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4F0" w:rsidRDefault="00CB24F0" w:rsidP="00CB24F0">
      <w:pPr>
        <w:spacing w:line="60" w:lineRule="exact"/>
        <w:rPr>
          <w:sz w:val="6"/>
        </w:rPr>
        <w:sectPr w:rsidR="00CB24F0" w:rsidSect="00CB24F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CB24F0" w:rsidRDefault="00CB24F0" w:rsidP="00CB24F0">
      <w:pPr>
        <w:spacing w:line="60" w:lineRule="exact"/>
        <w:rPr>
          <w:rFonts w:hint="eastAsia"/>
          <w:sz w:val="6"/>
        </w:rPr>
      </w:pPr>
    </w:p>
    <w:p w:rsidR="00CD2426" w:rsidRDefault="00CD2426" w:rsidP="00CD2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CD2426" w:rsidRDefault="00CD2426" w:rsidP="00CD24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第四十二届会议</w:t>
      </w:r>
    </w:p>
    <w:p w:rsidR="00CD2426" w:rsidRDefault="00CD2426" w:rsidP="00CD2426">
      <w:pPr>
        <w:pStyle w:val="SingleTxt"/>
        <w:ind w:left="0"/>
        <w:rPr>
          <w:rFonts w:hint="eastAsia"/>
        </w:rPr>
      </w:pPr>
      <w:r>
        <w:rPr>
          <w:rFonts w:hint="eastAsia"/>
        </w:rPr>
        <w:t>2008年10月20日至11月7日</w:t>
      </w:r>
    </w:p>
    <w:p w:rsidR="00CD2426" w:rsidRPr="00CD2426" w:rsidRDefault="00CD2426" w:rsidP="00CD2426">
      <w:pPr>
        <w:pStyle w:val="SingleTxt"/>
        <w:spacing w:after="0" w:line="120" w:lineRule="exact"/>
        <w:rPr>
          <w:sz w:val="10"/>
        </w:rPr>
      </w:pPr>
    </w:p>
    <w:p w:rsidR="00CD2426" w:rsidRPr="00CD2426" w:rsidRDefault="00CD2426" w:rsidP="00CD2426">
      <w:pPr>
        <w:pStyle w:val="SingleTxt"/>
        <w:spacing w:after="0" w:line="120" w:lineRule="exact"/>
        <w:rPr>
          <w:rFonts w:hint="eastAsia"/>
          <w:sz w:val="10"/>
        </w:rPr>
      </w:pPr>
    </w:p>
    <w:p w:rsidR="00CD2426" w:rsidRPr="00CD2426" w:rsidRDefault="00CD2426" w:rsidP="00CD2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CD2426" w:rsidRDefault="00CD2426" w:rsidP="00CD24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消除对妇女歧视委员会的结论意见：斯洛文尼亚</w:t>
      </w:r>
    </w:p>
    <w:p w:rsidR="00CD2426" w:rsidRPr="00CD2426" w:rsidRDefault="00CD2426" w:rsidP="00CD2426">
      <w:pPr>
        <w:pStyle w:val="SingleTxt"/>
        <w:spacing w:after="0" w:line="120" w:lineRule="exact"/>
        <w:rPr>
          <w:sz w:val="10"/>
        </w:rPr>
      </w:pPr>
    </w:p>
    <w:p w:rsidR="00CD2426" w:rsidRPr="00CD2426" w:rsidRDefault="00CD2426" w:rsidP="00CD2426">
      <w:pPr>
        <w:pStyle w:val="SingleTxt"/>
        <w:spacing w:after="0" w:line="120" w:lineRule="exact"/>
        <w:rPr>
          <w:rFonts w:hint="eastAsia"/>
          <w:sz w:val="10"/>
        </w:rPr>
      </w:pPr>
    </w:p>
    <w:p w:rsidR="00CD2426" w:rsidRDefault="00CD2426" w:rsidP="00CD2426">
      <w:pPr>
        <w:pStyle w:val="SingleTxt"/>
        <w:rPr>
          <w:rFonts w:hint="eastAsia"/>
        </w:rPr>
      </w:pPr>
      <w:r>
        <w:rPr>
          <w:rFonts w:hint="eastAsia"/>
        </w:rPr>
        <w:t>1.</w:t>
      </w:r>
      <w:r>
        <w:rPr>
          <w:rFonts w:hint="eastAsia"/>
        </w:rPr>
        <w:tab/>
        <w:t>2008年10月24日，委员会第858次和第859次会议审议了斯洛文尼亚第四次定期报告(CEDAW/C/SVN/4)(见CEDAW/C/SR.858和859)。委员会的议题和问题清单载于CEDAW/C/SVN/Q/4，斯洛文尼亚的答复载于CEDAW/C/SVN/Q/4/Add.1。</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导言</w:t>
      </w:r>
    </w:p>
    <w:p w:rsidR="00CD2426" w:rsidRDefault="00CD2426" w:rsidP="00CD2426">
      <w:pPr>
        <w:pStyle w:val="SingleTxt"/>
        <w:rPr>
          <w:rFonts w:hint="eastAsia"/>
        </w:rPr>
      </w:pPr>
      <w:r>
        <w:rPr>
          <w:rFonts w:hint="eastAsia"/>
        </w:rPr>
        <w:t>2.</w:t>
      </w:r>
      <w:r>
        <w:rPr>
          <w:rFonts w:hint="eastAsia"/>
        </w:rPr>
        <w:tab/>
        <w:t>委员会感谢缔约国遵循委员会报告编写导则并考虑到委员会以往的结论意见提交第四次定期报告。委员会赞赏缔约国对会前工作组提出的议题和问题清单的书面答复以及对委员会口头提出的问题作出口头说明和进一步澄清。</w:t>
      </w:r>
    </w:p>
    <w:p w:rsidR="00CD2426" w:rsidRDefault="00CD2426" w:rsidP="00CD2426">
      <w:pPr>
        <w:pStyle w:val="SingleTxt"/>
        <w:rPr>
          <w:rFonts w:hint="eastAsia"/>
        </w:rPr>
      </w:pPr>
      <w:r>
        <w:rPr>
          <w:rFonts w:hint="eastAsia"/>
        </w:rPr>
        <w:t>3.</w:t>
      </w:r>
      <w:r>
        <w:rPr>
          <w:rFonts w:hint="eastAsia"/>
        </w:rPr>
        <w:tab/>
        <w:t>委员会赞赏缔约国派遣由平等机会办公室负责人率领并由该办公室代表和卫生部代表组成的代表团出席会议。委员会赞赏代表团与委员会成员进行了开诚布公富有建设性的对话，但对代表团中没有具有决策权的高级别代表表示遗憾。</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积极方面</w:t>
      </w:r>
    </w:p>
    <w:p w:rsidR="00CD2426" w:rsidRDefault="00CD2426" w:rsidP="00CD2426">
      <w:pPr>
        <w:pStyle w:val="SingleTxt"/>
        <w:rPr>
          <w:rFonts w:hint="eastAsia"/>
        </w:rPr>
      </w:pPr>
      <w:r>
        <w:rPr>
          <w:rFonts w:hint="eastAsia"/>
        </w:rPr>
        <w:t>4.</w:t>
      </w:r>
      <w:r>
        <w:rPr>
          <w:rFonts w:hint="eastAsia"/>
        </w:rPr>
        <w:tab/>
        <w:t>委员会欢迎缔约国于2004年9月批准了《公约任择议定书》、于2006年11月接受了对《公约》第20条第1款关于委员会会议时间的修正。</w:t>
      </w:r>
    </w:p>
    <w:p w:rsidR="00CD2426" w:rsidRDefault="00CD2426" w:rsidP="00CD2426">
      <w:pPr>
        <w:pStyle w:val="SingleTxt"/>
        <w:rPr>
          <w:rFonts w:hint="eastAsia"/>
        </w:rPr>
      </w:pPr>
      <w:r>
        <w:rPr>
          <w:rFonts w:hint="eastAsia"/>
        </w:rPr>
        <w:t>5.</w:t>
      </w:r>
      <w:r>
        <w:rPr>
          <w:rFonts w:hint="eastAsia"/>
        </w:rPr>
        <w:tab/>
        <w:t>委员会欢迎缔约国批准了《联合国打击跨国有组织犯罪公约关于预防、禁止和惩治贩运人口特别是妇女和儿童行为的补充议定书》。</w:t>
      </w:r>
    </w:p>
    <w:p w:rsidR="00CD2426" w:rsidRDefault="00CD2426" w:rsidP="00CD2426">
      <w:pPr>
        <w:pStyle w:val="SingleTxt"/>
        <w:rPr>
          <w:rFonts w:hint="eastAsia"/>
        </w:rPr>
      </w:pPr>
      <w:r>
        <w:rPr>
          <w:rFonts w:hint="eastAsia"/>
        </w:rPr>
        <w:t>6.</w:t>
      </w:r>
      <w:r>
        <w:rPr>
          <w:rFonts w:hint="eastAsia"/>
        </w:rPr>
        <w:tab/>
        <w:t>委员会赞扬缔约国采取了一系列立法、司法和行政措施，着力促进两性平等、消除对妇女歧视、打击暴力侵害妇女行为。委员会特别建议：</w:t>
      </w:r>
    </w:p>
    <w:p w:rsidR="00CD2426" w:rsidRDefault="00CD2426" w:rsidP="00CD2426">
      <w:pPr>
        <w:pStyle w:val="SingleTxt"/>
        <w:rPr>
          <w:rFonts w:hint="eastAsia"/>
        </w:rPr>
      </w:pPr>
      <w:r>
        <w:rPr>
          <w:rFonts w:hint="eastAsia"/>
        </w:rPr>
        <w:tab/>
        <w:t>(a)</w:t>
      </w:r>
      <w:r>
        <w:rPr>
          <w:rFonts w:hint="eastAsia"/>
        </w:rPr>
        <w:tab/>
        <w:t>委员会在以往的结论意见中敦促缔约国通过促进男女平等参与选举的宪法修正案，以及对《国民议会选举法》和《地方选举法》要求候选人名单实现性别平衡的修正案；</w:t>
      </w:r>
    </w:p>
    <w:p w:rsidR="00CD2426" w:rsidRDefault="00CD2426" w:rsidP="00CD2426">
      <w:pPr>
        <w:pStyle w:val="SingleTxt"/>
        <w:rPr>
          <w:rFonts w:hint="eastAsia"/>
        </w:rPr>
      </w:pPr>
      <w:r>
        <w:rPr>
          <w:rFonts w:hint="eastAsia"/>
        </w:rPr>
        <w:tab/>
        <w:t>(b)</w:t>
      </w:r>
      <w:r>
        <w:rPr>
          <w:rFonts w:hint="eastAsia"/>
        </w:rPr>
        <w:tab/>
        <w:t>通过2004年</w:t>
      </w:r>
      <w:r w:rsidR="00A506A9">
        <w:rPr>
          <w:rFonts w:hint="eastAsia"/>
        </w:rPr>
        <w:t>5</w:t>
      </w:r>
      <w:r w:rsidR="00996E69">
        <w:rPr>
          <w:rFonts w:hint="eastAsia"/>
        </w:rPr>
        <w:t>月</w:t>
      </w:r>
      <w:r>
        <w:rPr>
          <w:rFonts w:hint="eastAsia"/>
        </w:rPr>
        <w:t>《实施平等待遇原则法》并在包括《罗姆人社区法》、《修订就业关系法》以及《保险法》等多项法律中列入禁止歧视条款；</w:t>
      </w:r>
    </w:p>
    <w:p w:rsidR="00CD2426" w:rsidRDefault="00CD2426" w:rsidP="00CD2426">
      <w:pPr>
        <w:pStyle w:val="SingleTxt"/>
        <w:rPr>
          <w:rFonts w:hint="eastAsia"/>
        </w:rPr>
      </w:pPr>
      <w:r>
        <w:rPr>
          <w:rFonts w:hint="eastAsia"/>
        </w:rPr>
        <w:tab/>
        <w:t>(c)</w:t>
      </w:r>
      <w:r>
        <w:rPr>
          <w:rFonts w:hint="eastAsia"/>
        </w:rPr>
        <w:tab/>
        <w:t>最近生效的2008年《刑法典》把家庭暴力列为特殊的犯罪行为，2008年《防止家庭暴力法》确定了不同形式家庭暴力的定义，并规定保护受害者。</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主要关切领域和建议</w:t>
      </w:r>
    </w:p>
    <w:p w:rsidR="00CD2426" w:rsidRDefault="00CD2426" w:rsidP="00CD2426">
      <w:pPr>
        <w:pStyle w:val="SingleTxt"/>
        <w:rPr>
          <w:rFonts w:hint="eastAsia"/>
        </w:rPr>
      </w:pPr>
      <w:r>
        <w:rPr>
          <w:rFonts w:hint="eastAsia"/>
        </w:rPr>
        <w:t>7.</w:t>
      </w:r>
      <w:r>
        <w:rPr>
          <w:rFonts w:hint="eastAsia"/>
        </w:rPr>
        <w:tab/>
      </w:r>
      <w:r w:rsidRPr="00CD2426">
        <w:rPr>
          <w:rFonts w:ascii="SimHei" w:eastAsia="SimHei" w:hint="eastAsia"/>
          <w:color w:val="FF0000"/>
        </w:rPr>
        <w:t>委员会提请注意，缔约国有义务系统地、持续地执行《公约》各项规定，同时认为，从现在到提交下一次定期报告期间，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其他政府各级机构、议会和司法机构，以确保这些意见得到充分执行</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议会</w:t>
      </w:r>
    </w:p>
    <w:p w:rsidR="00CD2426" w:rsidRDefault="00CD2426" w:rsidP="00CD2426">
      <w:pPr>
        <w:pStyle w:val="SingleTxt"/>
        <w:rPr>
          <w:rFonts w:hint="eastAsia"/>
        </w:rPr>
      </w:pPr>
      <w:r>
        <w:rPr>
          <w:rFonts w:hint="eastAsia"/>
        </w:rPr>
        <w:t>8.</w:t>
      </w:r>
      <w:r>
        <w:rPr>
          <w:rFonts w:hint="eastAsia"/>
        </w:rPr>
        <w:tab/>
      </w:r>
      <w:r w:rsidRPr="00CD2426">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程序，就执行本结论意见和《公约》规定的政府下一个报告过程采取必要措施</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《公约》及其《任择议定书》的知名度</w:t>
      </w:r>
    </w:p>
    <w:p w:rsidR="00CD2426" w:rsidRDefault="00CD2426" w:rsidP="00CD2426">
      <w:pPr>
        <w:pStyle w:val="SingleTxt"/>
        <w:rPr>
          <w:rFonts w:hint="eastAsia"/>
        </w:rPr>
      </w:pPr>
      <w:r>
        <w:rPr>
          <w:rFonts w:hint="eastAsia"/>
        </w:rPr>
        <w:t>9.</w:t>
      </w:r>
      <w:r>
        <w:rPr>
          <w:rFonts w:hint="eastAsia"/>
        </w:rPr>
        <w:tab/>
        <w:t>委员会注意到，《公约》及其《任择议定书》的信息、缔约国最新的定期报告以及委员会的结论意见均刊登在斯洛文尼亚外交部及平等机会办公室的网站上，但委员会感到关切的是，《公约》所载各项权利以及《任择议定书》中规定的来文和查询程序，包括委员会的意见，却没有向缔约国妇女广为传播或为她们所利用。委员会还关切的是，司法部门对《公约》不甚了解，没有机会适用和执行《公约》，委员会注意到，尽管《公约》直接适用于国家各级，但国家法庭却从未援引过《公约》。</w:t>
      </w:r>
    </w:p>
    <w:p w:rsidR="00CD2426" w:rsidRDefault="00CD2426" w:rsidP="00CD2426">
      <w:pPr>
        <w:pStyle w:val="SingleTxt"/>
        <w:rPr>
          <w:rFonts w:hint="eastAsia"/>
        </w:rPr>
      </w:pPr>
      <w:r>
        <w:rPr>
          <w:rFonts w:hint="eastAsia"/>
        </w:rPr>
        <w:t>10.</w:t>
      </w:r>
      <w:r>
        <w:rPr>
          <w:rFonts w:hint="eastAsia"/>
        </w:rPr>
        <w:tab/>
      </w:r>
      <w:r w:rsidRPr="00CD2426">
        <w:rPr>
          <w:rFonts w:ascii="SimHei" w:eastAsia="SimHei" w:hint="eastAsia"/>
          <w:color w:val="FF0000"/>
        </w:rPr>
        <w:t>根据《公约》的目标，特别是《任择议定书》第13条，委员会呼吁缔约国采取具体措施，广为宣传这两个文书。在这方面，委员会请缔约国采取措施，使妇女们了解《公约》赋予她们的权利，以及《任择议定书》规定的来文程序，尤其是要开展培训和建设能力方案，发布和传播各种信息材料。委员会还请缔约国确保使《公约》及其《任择议定书》以及委员会的一般性建议和就个别来文提出的看法成为相关部门教育大纲的一部分，特别是法律教学大纲，对法官、律师和检察官进行培训</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两性平等原则</w:t>
      </w:r>
    </w:p>
    <w:p w:rsidR="00CD2426" w:rsidRDefault="00CD2426" w:rsidP="00CD2426">
      <w:pPr>
        <w:pStyle w:val="SingleTxt"/>
        <w:rPr>
          <w:rFonts w:hint="eastAsia"/>
        </w:rPr>
      </w:pPr>
      <w:r>
        <w:rPr>
          <w:rFonts w:hint="eastAsia"/>
        </w:rPr>
        <w:t>11.</w:t>
      </w:r>
      <w:r>
        <w:rPr>
          <w:rFonts w:hint="eastAsia"/>
        </w:rPr>
        <w:tab/>
        <w:t>委员会注意到通过了修正《男女平等机会法》一些条款的《实施平等待遇原则法案》，以及缔约国为实现男女平等而采取的其他措施，但也关切地注意到实现男女真正平等方面还有各种障碍。</w:t>
      </w:r>
    </w:p>
    <w:p w:rsidR="00CD2426" w:rsidRDefault="00CD2426" w:rsidP="00CD2426">
      <w:pPr>
        <w:pStyle w:val="SingleTxt"/>
        <w:rPr>
          <w:rFonts w:hint="eastAsia"/>
        </w:rPr>
      </w:pPr>
      <w:r>
        <w:rPr>
          <w:rFonts w:hint="eastAsia"/>
        </w:rPr>
        <w:t>12.</w:t>
      </w:r>
      <w:r>
        <w:rPr>
          <w:rFonts w:hint="eastAsia"/>
        </w:rPr>
        <w:tab/>
      </w:r>
      <w:r w:rsidRPr="00CD2426">
        <w:rPr>
          <w:rFonts w:ascii="SimHei" w:eastAsia="SimHei" w:hint="eastAsia"/>
          <w:color w:val="FF0000"/>
        </w:rPr>
        <w:t>委员会建议，缔约国发展适当机制和能力以监测执行情况并衡量各项法律条款的影响及在法律上保证妇女平等的其他措施，从而确保它们的确对妇女有利。委员会重申它在以往结论意见内提出的要求，即,在下一次报告内评估执行情况和所有法律、政策、计划、方案和在生活各方面消除对妇女歧视而采取的其他措施的成果</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提高妇女地位国家机构</w:t>
      </w:r>
    </w:p>
    <w:p w:rsidR="00CD2426" w:rsidRDefault="00CD2426" w:rsidP="00CD2426">
      <w:pPr>
        <w:pStyle w:val="SingleTxt"/>
        <w:rPr>
          <w:rFonts w:hint="eastAsia"/>
        </w:rPr>
      </w:pPr>
      <w:r>
        <w:rPr>
          <w:rFonts w:hint="eastAsia"/>
        </w:rPr>
        <w:t>13.</w:t>
      </w:r>
      <w:r>
        <w:rPr>
          <w:rFonts w:hint="eastAsia"/>
        </w:rPr>
        <w:tab/>
        <w:t>平等机会办公室在国家行政机构重组后仍然是一个自主机构，委员会欢迎这一事实，但也关切该办公室改为一般反歧视机构可能导致较不重视和较少曝光歧视妇女以及两性平等政策缺乏连续性，结果对妇女保护不利等问题。委员会也关注男女平等机会辩护律师审查的案件数目不多，以及目前只任命一位实施平等待遇律师，担任反歧视律师的多项任务，这个职位属于政府官员职务。</w:t>
      </w:r>
    </w:p>
    <w:p w:rsidR="00CD2426" w:rsidRDefault="00CD2426" w:rsidP="00CD2426">
      <w:pPr>
        <w:pStyle w:val="SingleTxt"/>
        <w:rPr>
          <w:rFonts w:hint="eastAsia"/>
        </w:rPr>
      </w:pPr>
      <w:r>
        <w:rPr>
          <w:rFonts w:hint="eastAsia"/>
        </w:rPr>
        <w:t>14.</w:t>
      </w:r>
      <w:r>
        <w:rPr>
          <w:rFonts w:hint="eastAsia"/>
        </w:rPr>
        <w:tab/>
      </w:r>
      <w:r w:rsidRPr="00CD2426">
        <w:rPr>
          <w:rFonts w:ascii="SimHei" w:eastAsia="SimHei" w:hint="eastAsia"/>
          <w:color w:val="FF0000"/>
        </w:rPr>
        <w:t>委员会建议缔约国进一步加强平等机会办公室的权力、地位和知名度并增加其财政和人力资源，使之得以充分履行其扩大的任务规定并继续促进两性平等、提高妇女地位并执行《公约》。委员会还建议政府考虑设立一个具有独立地位、适当任务规定、权力和知名度的男女机会平等倡导组织</w:t>
      </w:r>
      <w:r>
        <w:rPr>
          <w:rFonts w:hint="eastAsia"/>
        </w:rPr>
        <w:t>。</w:t>
      </w:r>
    </w:p>
    <w:p w:rsidR="00CD2426" w:rsidRDefault="00CD2426" w:rsidP="00CD2426">
      <w:pPr>
        <w:pStyle w:val="SingleTxt"/>
        <w:rPr>
          <w:rFonts w:hint="eastAsia"/>
        </w:rPr>
      </w:pPr>
      <w:r>
        <w:rPr>
          <w:rFonts w:hint="eastAsia"/>
        </w:rPr>
        <w:t>15.</w:t>
      </w:r>
      <w:r>
        <w:rPr>
          <w:rFonts w:hint="eastAsia"/>
        </w:rPr>
        <w:tab/>
        <w:t>委员会满意地注意到最近在监察员办公室内设立一个儿童权利问题副监察员，专门负责儿童权利问题。</w:t>
      </w:r>
    </w:p>
    <w:p w:rsidR="00CD2426" w:rsidRDefault="00CD2426" w:rsidP="00CD2426">
      <w:pPr>
        <w:pStyle w:val="SingleTxt"/>
        <w:rPr>
          <w:rFonts w:hint="eastAsia"/>
        </w:rPr>
      </w:pPr>
      <w:r>
        <w:rPr>
          <w:rFonts w:hint="eastAsia"/>
        </w:rPr>
        <w:t>16.</w:t>
      </w:r>
      <w:r>
        <w:rPr>
          <w:rFonts w:hint="eastAsia"/>
        </w:rPr>
        <w:tab/>
      </w:r>
      <w:r w:rsidRPr="00CD2426">
        <w:rPr>
          <w:rFonts w:ascii="SimHei" w:eastAsia="SimHei" w:hint="eastAsia"/>
          <w:color w:val="FF0000"/>
        </w:rPr>
        <w:t>考虑到这种情况，委员会鼓励缔约国设立两性平等问题副观察员具体负责促进妇女权利</w:t>
      </w:r>
      <w:r>
        <w:rPr>
          <w:rFonts w:hint="eastAsia"/>
        </w:rPr>
        <w:t>。</w:t>
      </w:r>
    </w:p>
    <w:p w:rsidR="00CD2426" w:rsidRDefault="00CD2426" w:rsidP="00CD2426">
      <w:pPr>
        <w:pStyle w:val="SingleTxt"/>
        <w:rPr>
          <w:rFonts w:hint="eastAsia"/>
        </w:rPr>
      </w:pPr>
      <w:r>
        <w:rPr>
          <w:rFonts w:hint="eastAsia"/>
        </w:rPr>
        <w:t>17.</w:t>
      </w:r>
      <w:r>
        <w:rPr>
          <w:rFonts w:hint="eastAsia"/>
        </w:rPr>
        <w:tab/>
        <w:t>委员会关注地方一级性别平等主流化的进展缓慢，特别是在任命男女机会平等问题协调员方面。</w:t>
      </w:r>
    </w:p>
    <w:p w:rsidR="00CD2426" w:rsidRPr="00CD2426" w:rsidRDefault="00CD2426" w:rsidP="00CD2426">
      <w:pPr>
        <w:pStyle w:val="SingleTxt"/>
        <w:rPr>
          <w:rFonts w:ascii="SimHei" w:eastAsia="SimHei" w:hint="eastAsia"/>
          <w:color w:val="FF0000"/>
        </w:rPr>
      </w:pPr>
      <w:r>
        <w:rPr>
          <w:rFonts w:hint="eastAsia"/>
        </w:rPr>
        <w:t>18.</w:t>
      </w:r>
      <w:r>
        <w:rPr>
          <w:rFonts w:hint="eastAsia"/>
        </w:rPr>
        <w:tab/>
      </w:r>
      <w:r w:rsidRPr="00CD2426">
        <w:rPr>
          <w:rFonts w:ascii="SimHei" w:eastAsia="SimHei" w:hint="eastAsia"/>
          <w:color w:val="FF0000"/>
        </w:rPr>
        <w:t>委员会建议缔约国根据《男女平等机会法》采取积极步骤促进所有地方社区任命男女平等机会协调员。</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非政府组织</w:t>
      </w:r>
    </w:p>
    <w:p w:rsidR="00CD2426" w:rsidRDefault="00CD2426" w:rsidP="00CD2426">
      <w:pPr>
        <w:pStyle w:val="SingleTxt"/>
        <w:rPr>
          <w:rFonts w:hint="eastAsia"/>
        </w:rPr>
      </w:pPr>
      <w:r>
        <w:rPr>
          <w:rFonts w:hint="eastAsia"/>
        </w:rPr>
        <w:t>19.</w:t>
      </w:r>
      <w:r>
        <w:rPr>
          <w:rFonts w:hint="eastAsia"/>
        </w:rPr>
        <w:tab/>
        <w:t>委员会欣见非政府组织和其他民间社会团体在执行两性平等政策和采取措施打击暴力侵害妇女行为及贩运妇女方面，特别是保护受害者方面发挥重大作用，但也关切参与为促进妇女权利提供服务的非政府组织所获财政支助有限及资源分配透明度不够的问题。</w:t>
      </w:r>
    </w:p>
    <w:p w:rsidR="00CD2426" w:rsidRPr="00CD2426" w:rsidRDefault="00CD2426" w:rsidP="00CD2426">
      <w:pPr>
        <w:pStyle w:val="SingleTxt"/>
        <w:rPr>
          <w:rFonts w:ascii="SimHei" w:eastAsia="SimHei" w:hint="eastAsia"/>
          <w:color w:val="FF0000"/>
        </w:rPr>
      </w:pPr>
      <w:r>
        <w:rPr>
          <w:rFonts w:hint="eastAsia"/>
        </w:rPr>
        <w:t>20.</w:t>
      </w:r>
      <w:r>
        <w:rPr>
          <w:rFonts w:hint="eastAsia"/>
        </w:rPr>
        <w:tab/>
      </w:r>
      <w:r w:rsidRPr="00CD2426">
        <w:rPr>
          <w:rFonts w:ascii="SimHei" w:eastAsia="SimHei" w:hint="eastAsia"/>
          <w:color w:val="FF0000"/>
        </w:rPr>
        <w:t>委员会鼓励缔约国继续发展与民间组织的合作，并建议缔约国确保向非政府组织提供充足资金以支持其工作，并确保以透明的方式分配资源。</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陈规定型观念和文化习俗</w:t>
      </w:r>
    </w:p>
    <w:p w:rsidR="00CD2426" w:rsidRDefault="00CD2426" w:rsidP="00CD2426">
      <w:pPr>
        <w:pStyle w:val="SingleTxt"/>
        <w:rPr>
          <w:rFonts w:hint="eastAsia"/>
        </w:rPr>
      </w:pPr>
      <w:r>
        <w:rPr>
          <w:rFonts w:hint="eastAsia"/>
        </w:rPr>
        <w:t>21.</w:t>
      </w:r>
      <w:r>
        <w:rPr>
          <w:rFonts w:hint="eastAsia"/>
        </w:rPr>
        <w:tab/>
        <w:t>委员会注意到缔约国倡议消除陈规定型观念，但也关切对妇女及其社会作用</w:t>
      </w:r>
      <w:r w:rsidRPr="00CD2426">
        <w:rPr>
          <w:rFonts w:hint="eastAsia"/>
          <w:spacing w:val="-2"/>
        </w:rPr>
        <w:t>的陈规定型态度长期存在的问题，这种态度加重妇女在一些方面的不利地位，包括劳动力市场和担任决策职务，并影响妇女选择其学习和专业。在这方面，委员会注意到缔约国了解本身的情况并关切积极对话中所显示出的妇女职业隔离问题。</w:t>
      </w:r>
    </w:p>
    <w:p w:rsidR="00CD2426" w:rsidRPr="00CD2426" w:rsidRDefault="00CD2426" w:rsidP="00CD2426">
      <w:pPr>
        <w:pStyle w:val="SingleTxt"/>
        <w:rPr>
          <w:rFonts w:ascii="SimHei" w:eastAsia="SimHei" w:hint="eastAsia"/>
          <w:color w:val="FF0000"/>
        </w:rPr>
      </w:pPr>
      <w:r>
        <w:rPr>
          <w:rFonts w:hint="eastAsia"/>
        </w:rPr>
        <w:t>22.</w:t>
      </w:r>
      <w:r>
        <w:rPr>
          <w:rFonts w:hint="eastAsia"/>
        </w:rPr>
        <w:tab/>
      </w:r>
      <w:r w:rsidRPr="00CD2426">
        <w:rPr>
          <w:rFonts w:ascii="SimHei" w:eastAsia="SimHei" w:hint="eastAsia"/>
          <w:color w:val="FF0000"/>
        </w:rPr>
        <w:t>委员会建议缔约国加强努力改变妇女和女童及男人和男童在家庭和社会的作用和责任方面的陈规定型形象及歧视态度和看法。委员会建议缔约国拟订措施解决妇女包括在非传统领域内的职业隔离及学术和职业选择多样化的问题。</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暴力侵害妇女行为</w:t>
      </w:r>
    </w:p>
    <w:p w:rsidR="00CD2426" w:rsidRDefault="00CD2426" w:rsidP="00CD2426">
      <w:pPr>
        <w:pStyle w:val="SingleTxt"/>
        <w:rPr>
          <w:rFonts w:hint="eastAsia"/>
        </w:rPr>
      </w:pPr>
      <w:r>
        <w:rPr>
          <w:rFonts w:hint="eastAsia"/>
        </w:rPr>
        <w:t>23.</w:t>
      </w:r>
      <w:r>
        <w:rPr>
          <w:rFonts w:hint="eastAsia"/>
        </w:rPr>
        <w:tab/>
        <w:t>委员会欢迎缔约国目前为消除暴力侵害妇女行为采取的法律和其他措施，特别是通过2008年《防止家庭暴力法》，但仍然关切暴力侵犯妇女和女童行为仍然普遍存在、妇女遭受亲密伴侣谋害、以及没有制定综合性国家战略和方案以打击一切形式的暴力侵害妇女和女童行为。</w:t>
      </w:r>
    </w:p>
    <w:p w:rsidR="00CD2426" w:rsidRPr="00CD2426" w:rsidRDefault="00CD2426" w:rsidP="00CD2426">
      <w:pPr>
        <w:pStyle w:val="SingleTxt"/>
        <w:rPr>
          <w:rFonts w:ascii="SimHei" w:eastAsia="SimHei" w:hint="eastAsia"/>
          <w:color w:val="FF0000"/>
        </w:rPr>
      </w:pPr>
      <w:r>
        <w:rPr>
          <w:rFonts w:hint="eastAsia"/>
        </w:rPr>
        <w:t>24.</w:t>
      </w:r>
      <w:r>
        <w:rPr>
          <w:rFonts w:hint="eastAsia"/>
        </w:rPr>
        <w:tab/>
      </w:r>
      <w:r w:rsidRPr="00CD2426">
        <w:rPr>
          <w:rFonts w:ascii="SimHei" w:eastAsia="SimHei" w:hint="eastAsia"/>
          <w:color w:val="FF0000"/>
        </w:rPr>
        <w:t>委员会吁请缔约国根据第19号一般性建议采取综合办法处理基于性别的问题。在这方面，委员会建议缔约国拟订综合战略和行动计划以防止暴力侵犯妇女和女童行为并建立有效机构体制以协调、监测和评估所采取措施的效果。委员会还建议缔约国研究和分析妇女遭受其亲密伴侣杀害的所有案件，并及时通过有效措施保护妇女免受这种特殊类型的暴力。委员会促请缔约国确保向受暴力行为所害妇女提供足够数目的安全应急中心和住所，为其有效运作配备专家人员并提供充分财政资源。委员会请缔约国在下一次定期报告内分析实施《防止家庭暴力法》对普遍存在的暴力侵害妇女行为将产生的影响。</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贩运妇女和女童</w:t>
      </w:r>
    </w:p>
    <w:p w:rsidR="00CD2426" w:rsidRDefault="00CD2426" w:rsidP="00CD2426">
      <w:pPr>
        <w:pStyle w:val="SingleTxt"/>
        <w:rPr>
          <w:rFonts w:hint="eastAsia"/>
        </w:rPr>
      </w:pPr>
      <w:r>
        <w:rPr>
          <w:rFonts w:hint="eastAsia"/>
        </w:rPr>
        <w:t>25.</w:t>
      </w:r>
      <w:r>
        <w:rPr>
          <w:rFonts w:hint="eastAsia"/>
        </w:rPr>
        <w:tab/>
        <w:t>委员会承认缔约国已采取措施打击贩运妇女和女童行为，包括在《刑法典》中列入针对贩运人口的特别规定以及有可能向被贩运者提供暂住证，但委员会感到关切的是，贩运问题依然很普遍，尽管对指称的贩运案件已经展开刑事调查，尽管据称受害者人数众多，迄今仍未对贩运行为作出任何判决。</w:t>
      </w:r>
    </w:p>
    <w:p w:rsidR="00CD2426" w:rsidRDefault="00CD2426" w:rsidP="00CD2426">
      <w:pPr>
        <w:pStyle w:val="SingleTxt"/>
        <w:rPr>
          <w:rFonts w:hint="eastAsia"/>
        </w:rPr>
      </w:pPr>
      <w:r>
        <w:rPr>
          <w:rFonts w:hint="eastAsia"/>
        </w:rPr>
        <w:t>26.</w:t>
      </w:r>
      <w:r>
        <w:rPr>
          <w:rFonts w:hint="eastAsia"/>
        </w:rPr>
        <w:tab/>
      </w:r>
      <w:r w:rsidRPr="00CD2426">
        <w:rPr>
          <w:rFonts w:ascii="SimHei" w:eastAsia="SimHei" w:hint="eastAsia"/>
          <w:color w:val="FF0000"/>
        </w:rPr>
        <w:t>委员会促请缔约国依照《公约》第6条，继续努力打击一切形式贩运妇女和女童的行为。委员会建议扩大对法官、检察官、其他政府官员的培训活动并将这些活动扩大到非政府组织，确保起诉和处罚贩运者。委员会还建议缔约国继续与原籍国、过境国和目的地国进行国际、区域和双边合作，以防止贩运并依法惩治贩运者</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政治参与和参与公共生活</w:t>
      </w:r>
    </w:p>
    <w:p w:rsidR="00CD2426" w:rsidRDefault="00CD2426" w:rsidP="00CD2426">
      <w:pPr>
        <w:pStyle w:val="SingleTxt"/>
        <w:rPr>
          <w:rFonts w:hint="eastAsia"/>
        </w:rPr>
      </w:pPr>
      <w:r>
        <w:rPr>
          <w:rFonts w:hint="eastAsia"/>
        </w:rPr>
        <w:t>27.</w:t>
      </w:r>
      <w:r>
        <w:rPr>
          <w:rFonts w:hint="eastAsia"/>
        </w:rPr>
        <w:tab/>
        <w:t>委员会注意到，缔约国为增加欧洲、本国和地方各级选举机构中的妇女人数已经作出努力，但委员会感到关切的是，《国民议会选举法》修正案对国民议会中妇女当选比例所采用的定额制度形同虚设，没有起到作用。与2004年的12.2%相比，2008年最近一次选举为13.3%，委员会注意到缔约国已承认这一状况。委员会注意到，市议会中妇女当选比例已从13.1%提高到最近在2006年选举中的21.5%，但委员会感到关切的是，同期女市长的比例从6%降至3%。</w:t>
      </w:r>
    </w:p>
    <w:p w:rsidR="00CD2426" w:rsidRPr="00CD2426" w:rsidRDefault="00CD2426" w:rsidP="00CD2426">
      <w:pPr>
        <w:pStyle w:val="SingleTxt"/>
        <w:rPr>
          <w:rFonts w:ascii="SimHei" w:eastAsia="SimHei" w:hint="eastAsia"/>
          <w:color w:val="FF0000"/>
        </w:rPr>
      </w:pPr>
      <w:r>
        <w:rPr>
          <w:rFonts w:hint="eastAsia"/>
        </w:rPr>
        <w:t>28.</w:t>
      </w:r>
      <w:r>
        <w:rPr>
          <w:rFonts w:hint="eastAsia"/>
        </w:rPr>
        <w:tab/>
      </w:r>
      <w:r w:rsidRPr="00CD2426">
        <w:rPr>
          <w:rFonts w:ascii="SimHei" w:eastAsia="SimHei" w:hint="eastAsia"/>
          <w:color w:val="FF0000"/>
        </w:rPr>
        <w:t>委员会吁请缔约国加大力度，增加参与特别是国家一级政治生活的妇女人数，并按照最近一次选举的结果重新审查《国民议会选举法》，以在下次选举中加快提高妇女的政治地位。为此，委员会建议缔约国依照《公约》第4条第1款和第25号一般性建议实行暂行特别措施。委员会还建议缔约国加大力度，通过实行暂行特别措施等方式，推动妇女担任市长职务。委员会还建议缔约国进一步开展活动，提高对妇女参与政治生活的重要性的认识，并为妇女候选人或参选市长的女性候选人安排专门的能力建设倡议。</w:t>
      </w:r>
    </w:p>
    <w:p w:rsidR="00CD2426" w:rsidRDefault="00CD2426" w:rsidP="00CD2426">
      <w:pPr>
        <w:pStyle w:val="SingleTxt"/>
        <w:rPr>
          <w:rFonts w:hint="eastAsia"/>
        </w:rPr>
      </w:pPr>
      <w:r w:rsidRPr="00CD2426">
        <w:rPr>
          <w:rFonts w:ascii="SimHei" w:eastAsia="SimHei" w:hint="eastAsia"/>
          <w:color w:val="FF0000"/>
        </w:rPr>
        <w:t>就业</w:t>
      </w:r>
    </w:p>
    <w:p w:rsidR="00CD2426" w:rsidRDefault="00CD2426" w:rsidP="00CD2426">
      <w:pPr>
        <w:pStyle w:val="SingleTxt"/>
        <w:rPr>
          <w:rFonts w:hint="eastAsia"/>
        </w:rPr>
      </w:pPr>
      <w:r>
        <w:rPr>
          <w:rFonts w:hint="eastAsia"/>
        </w:rPr>
        <w:t>29.</w:t>
      </w:r>
      <w:r>
        <w:rPr>
          <w:rFonts w:hint="eastAsia"/>
        </w:rPr>
        <w:tab/>
        <w:t>委员会注意到，缔约国已采取措施支持妇女加入劳动力市场并设法消除妇女和男子的纵向和横向歧视，据报告薪酬差距有所缩小。委员会还注意到，缔约国已采取措施降低妇女失业率，包括通过《积极就业政策措施方案》和旨在向长期失业妇女提供援助的特别方案。委员会仍感关切的是，妇女和男人在公共和私营部门劳动力市场上的纵向歧视依然存在，薪酬差距继续存在，按定期合同雇用的妇女、特别是青年妇女的比例，与男子相比仍然很高，委员会注意到缔约国已承认这一状况。委员会欢迎缔约国通过禁止工作场所性骚扰的特别规定，但也对工作场所性骚扰事件频繁发生，妇女很少报告性骚扰事件表示关切。</w:t>
      </w:r>
    </w:p>
    <w:p w:rsidR="00CD2426" w:rsidRPr="00CD2426" w:rsidRDefault="00CD2426" w:rsidP="00CD2426">
      <w:pPr>
        <w:pStyle w:val="SingleTxt"/>
        <w:rPr>
          <w:rFonts w:ascii="SimHei" w:eastAsia="SimHei" w:hint="eastAsia"/>
          <w:color w:val="FF0000"/>
        </w:rPr>
      </w:pPr>
      <w:r>
        <w:rPr>
          <w:rFonts w:hint="eastAsia"/>
        </w:rPr>
        <w:t>30.</w:t>
      </w:r>
      <w:r>
        <w:rPr>
          <w:rFonts w:hint="eastAsia"/>
        </w:rPr>
        <w:tab/>
      </w:r>
      <w:r w:rsidRPr="00CD2426">
        <w:rPr>
          <w:rFonts w:ascii="SimHei" w:eastAsia="SimHei" w:hint="eastAsia"/>
          <w:color w:val="FF0000"/>
        </w:rPr>
        <w:t>委员会建议缔约国继续采取具体措施，消除纵向和横向职业歧视，并缩小和消除妇女和男子之间的薪酬差距。委员会吁请缔约国优先考虑实现妇女和男子在劳动力市场中事实上的机会平等，并采取措施降低与男子相比妇女按定期合同雇用人数比例高的问题。为此，委员会建议缔约国采取步骤拓宽妇女在公共和私营部门的可选方案，包括依照《公约》第4条第1款和第25号一般性建议，尽可能地采取暂行特别措施。委员会还建议缔约国采</w:t>
      </w:r>
      <w:r w:rsidR="00E027A3">
        <w:rPr>
          <w:rFonts w:ascii="SimHei" w:eastAsia="SimHei" w:hint="eastAsia"/>
          <w:color w:val="FF0000"/>
        </w:rPr>
        <w:t>取具体措施，包括鼓励妇女报告性骚扰事件，解决工作场所性骚扰问题。</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卫生</w:t>
      </w:r>
    </w:p>
    <w:p w:rsidR="00CD2426" w:rsidRDefault="00CD2426" w:rsidP="00CD2426">
      <w:pPr>
        <w:pStyle w:val="SingleTxt"/>
        <w:rPr>
          <w:rFonts w:hint="eastAsia"/>
        </w:rPr>
      </w:pPr>
      <w:r>
        <w:rPr>
          <w:rFonts w:hint="eastAsia"/>
        </w:rPr>
        <w:t>31.</w:t>
      </w:r>
      <w:r>
        <w:rPr>
          <w:rFonts w:hint="eastAsia"/>
        </w:rPr>
        <w:tab/>
        <w:t>委员会欢迎缔约国成立防止孕产妇死亡问题工作组，研究孕产妇死亡的根本原因，但对缔约国孕产妇死亡率持续居高不下感到关切。</w:t>
      </w:r>
    </w:p>
    <w:p w:rsidR="00CD2426" w:rsidRPr="00CD2426" w:rsidRDefault="00CD2426" w:rsidP="00CD2426">
      <w:pPr>
        <w:pStyle w:val="SingleTxt"/>
        <w:spacing w:line="340" w:lineRule="exact"/>
        <w:rPr>
          <w:rFonts w:ascii="SimHei" w:eastAsia="SimHei" w:hint="eastAsia"/>
          <w:color w:val="FF0000"/>
        </w:rPr>
      </w:pPr>
      <w:r>
        <w:rPr>
          <w:rFonts w:hint="eastAsia"/>
        </w:rPr>
        <w:t>32.</w:t>
      </w:r>
      <w:r>
        <w:rPr>
          <w:rFonts w:hint="eastAsia"/>
        </w:rPr>
        <w:tab/>
      </w:r>
      <w:r w:rsidRPr="00CD2426">
        <w:rPr>
          <w:rFonts w:ascii="SimHei" w:eastAsia="SimHei" w:hint="eastAsia"/>
          <w:color w:val="FF0000"/>
        </w:rPr>
        <w:t>委员会促请缔约国采取有针对性的措施，降低孕产妇死亡率，包括执行防止孕产妇死亡问题工作组提出的建议，使妇女更多地了解和利用有关性健康和生殖健康的信息及服务。委员会还鼓励缔约国仔细监测保健服务的交付情况，以对性别问题有敏感认识的方式，回应妇女的所有保健关切。为此，委员会邀请缔约国将第24号一般性建议作为行动框架，确保所有保健政策和方案均纳入两性平等观点。</w:t>
      </w:r>
    </w:p>
    <w:p w:rsidR="00CD2426" w:rsidRPr="00CD2426" w:rsidRDefault="00CD2426" w:rsidP="00CD2426">
      <w:pPr>
        <w:pStyle w:val="SingleTxt"/>
        <w:spacing w:line="340" w:lineRule="exact"/>
        <w:rPr>
          <w:rFonts w:ascii="SimHei" w:eastAsia="SimHei" w:hint="eastAsia"/>
          <w:color w:val="FF0000"/>
        </w:rPr>
      </w:pPr>
      <w:r w:rsidRPr="00CD2426">
        <w:rPr>
          <w:rFonts w:ascii="SimHei" w:eastAsia="SimHei" w:hint="eastAsia"/>
          <w:color w:val="FF0000"/>
        </w:rPr>
        <w:t>离婚的经济后果</w:t>
      </w:r>
    </w:p>
    <w:p w:rsidR="00CD2426" w:rsidRDefault="00CD2426" w:rsidP="00CD2426">
      <w:pPr>
        <w:pStyle w:val="SingleTxt"/>
        <w:spacing w:line="340" w:lineRule="exact"/>
        <w:rPr>
          <w:rFonts w:hint="eastAsia"/>
        </w:rPr>
      </w:pPr>
      <w:r>
        <w:rPr>
          <w:rFonts w:hint="eastAsia"/>
        </w:rPr>
        <w:t>33.</w:t>
      </w:r>
      <w:r>
        <w:rPr>
          <w:rFonts w:hint="eastAsia"/>
        </w:rPr>
        <w:tab/>
        <w:t>委员会注意到《婚姻和家庭关系法》规定，在关系存续期间取得的财产被视为解除关系时应平分的共同财产，但委员会感到关切的是，关于财产分配的现行立法没有充分处理因劳动力市场现有的性别隔离和妇女在无报酬劳动中占较大比例而导致的经济差距，特别是因为该法没有明确界定哪些产权形成共同财产。</w:t>
      </w:r>
    </w:p>
    <w:p w:rsidR="00CD2426" w:rsidRPr="00CD2426" w:rsidRDefault="00CD2426" w:rsidP="00CD2426">
      <w:pPr>
        <w:pStyle w:val="SingleTxt"/>
        <w:spacing w:line="340" w:lineRule="exact"/>
        <w:rPr>
          <w:rFonts w:ascii="SimHei" w:eastAsia="SimHei" w:hint="eastAsia"/>
          <w:color w:val="FF0000"/>
        </w:rPr>
      </w:pPr>
      <w:r>
        <w:rPr>
          <w:rFonts w:hint="eastAsia"/>
        </w:rPr>
        <w:t>34.</w:t>
      </w:r>
      <w:r>
        <w:rPr>
          <w:rFonts w:hint="eastAsia"/>
        </w:rPr>
        <w:tab/>
      </w:r>
      <w:r w:rsidRPr="00CD2426">
        <w:rPr>
          <w:rFonts w:ascii="SimHei" w:eastAsia="SimHei" w:hint="eastAsia"/>
          <w:color w:val="FF0000"/>
        </w:rPr>
        <w:t>委员会呼吁缔约国研究离婚的经济后果对夫妇双方的影响，具体注意男性配偶的全职无间断职业模式加强了他们的人力资本和收入潜力。委员会建议缔约国根据这一研究的成果审查其现行法律，并将相关资料纳入下一次定期报告。</w:t>
      </w:r>
    </w:p>
    <w:p w:rsidR="00CD2426" w:rsidRDefault="00CD2426" w:rsidP="00CD2426">
      <w:pPr>
        <w:pStyle w:val="SingleTxt"/>
        <w:spacing w:line="340" w:lineRule="exact"/>
        <w:rPr>
          <w:rFonts w:hint="eastAsia"/>
        </w:rPr>
      </w:pPr>
      <w:r w:rsidRPr="00CD2426">
        <w:rPr>
          <w:rFonts w:ascii="SimHei" w:eastAsia="SimHei" w:hint="eastAsia"/>
          <w:color w:val="FF0000"/>
        </w:rPr>
        <w:t>弱势妇女群体</w:t>
      </w:r>
      <w:r>
        <w:rPr>
          <w:rFonts w:hint="eastAsia"/>
        </w:rPr>
        <w:t xml:space="preserve"> </w:t>
      </w:r>
    </w:p>
    <w:p w:rsidR="00CD2426" w:rsidRDefault="00CD2426" w:rsidP="00CD2426">
      <w:pPr>
        <w:pStyle w:val="SingleTxt"/>
        <w:spacing w:line="340" w:lineRule="exact"/>
        <w:rPr>
          <w:rFonts w:hint="eastAsia"/>
        </w:rPr>
      </w:pPr>
      <w:r>
        <w:rPr>
          <w:rFonts w:hint="eastAsia"/>
        </w:rPr>
        <w:t>35.</w:t>
      </w:r>
      <w:r>
        <w:rPr>
          <w:rFonts w:hint="eastAsia"/>
        </w:rPr>
        <w:tab/>
        <w:t>委员会注意到通过了《罗姆人社区法》和欢迎在打击对罗姆人的成见方面取得的成就。委员会感到关切的是，罗姆妇女和女童仍然处于弱势地位，遭受歧视，包括教育、卫生、住房和就业机会方面的歧视。委员会还对罗姆妇女受正规教育程度低和罗姆女童的辍学率表示关切。</w:t>
      </w:r>
    </w:p>
    <w:p w:rsidR="00CD2426" w:rsidRDefault="00CD2426" w:rsidP="00CD2426">
      <w:pPr>
        <w:pStyle w:val="SingleTxt"/>
        <w:spacing w:line="340" w:lineRule="exact"/>
        <w:rPr>
          <w:rFonts w:hint="eastAsia"/>
        </w:rPr>
      </w:pPr>
      <w:r>
        <w:rPr>
          <w:rFonts w:hint="eastAsia"/>
        </w:rPr>
        <w:t>36.</w:t>
      </w:r>
      <w:r>
        <w:rPr>
          <w:rFonts w:hint="eastAsia"/>
        </w:rPr>
        <w:tab/>
      </w:r>
      <w:r w:rsidRPr="00CD2426">
        <w:rPr>
          <w:rFonts w:ascii="SimHei" w:eastAsia="SimHei" w:hint="eastAsia"/>
          <w:color w:val="FF0000"/>
        </w:rPr>
        <w:t>委员会敦促缔约国采取紧急、具体措施来解决对罗姆妇女和女童的陈规定型观念问题，并加速实现事实上的平等。委员会建议缔约国加紧努力，促进罗姆女孩获得教育的机会和让她们留在各级教育中，并解决罗姆妇女高失业率问题。委员会建议该缔约国收集和提供有关罗姆妇女和女童的教育、卫生、就业以及社会、经济和政治地位方面的统计资料，以期根据她们的需要拟定其他专项政策。委员会还要求缔约国在其下次定期报告中列入这方面的资料</w:t>
      </w:r>
      <w:r>
        <w:rPr>
          <w:rFonts w:hint="eastAsia"/>
        </w:rPr>
        <w:t>。</w:t>
      </w:r>
    </w:p>
    <w:p w:rsidR="00CD2426" w:rsidRDefault="00CD2426" w:rsidP="00CD2426">
      <w:pPr>
        <w:pStyle w:val="SingleTxt"/>
        <w:spacing w:line="340" w:lineRule="exact"/>
        <w:rPr>
          <w:rFonts w:hint="eastAsia"/>
        </w:rPr>
      </w:pPr>
      <w:r>
        <w:rPr>
          <w:rFonts w:hint="eastAsia"/>
        </w:rPr>
        <w:t>37.</w:t>
      </w:r>
      <w:r>
        <w:rPr>
          <w:rFonts w:hint="eastAsia"/>
        </w:rPr>
        <w:tab/>
        <w:t>委员会对农村妇女，特别是老年农村妇女的境况，包括其获得教育、医疗保健服务和创收活动的机会表示关切。</w:t>
      </w:r>
    </w:p>
    <w:p w:rsidR="00CD2426" w:rsidRDefault="00CD2426" w:rsidP="00CD2426">
      <w:pPr>
        <w:pStyle w:val="SingleTxt"/>
        <w:spacing w:line="340" w:lineRule="exact"/>
        <w:rPr>
          <w:rFonts w:hint="eastAsia"/>
        </w:rPr>
      </w:pPr>
      <w:r>
        <w:rPr>
          <w:rFonts w:hint="eastAsia"/>
        </w:rPr>
        <w:t>38.</w:t>
      </w:r>
      <w:r>
        <w:rPr>
          <w:rFonts w:hint="eastAsia"/>
        </w:rPr>
        <w:tab/>
      </w:r>
      <w:r w:rsidRPr="00CD2426">
        <w:rPr>
          <w:rFonts w:ascii="SimHei" w:eastAsia="SimHei" w:hint="eastAsia"/>
          <w:color w:val="FF0000"/>
        </w:rPr>
        <w:t>委员会鼓励缔约国拟订旨在加强农村妇女经济能力的特殊政策和方案，确保她们享有获得保健服务、教育和社会服务的机会。委员会要求缔约国在下一次定期报告中列入有关农村妇女，特别是老年农村妇女状况的更多资料和数据，以及有关旨在加强其经济能力和确保她们享有获得教育和保健服务机会的任何政策资料和数据</w:t>
      </w:r>
      <w:r>
        <w:rPr>
          <w:rFonts w:hint="eastAsia"/>
        </w:rPr>
        <w:t>。</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《北京宣言和行动纲领》</w:t>
      </w:r>
    </w:p>
    <w:p w:rsidR="00CD2426" w:rsidRPr="00CD2426" w:rsidRDefault="00CD2426" w:rsidP="00CD2426">
      <w:pPr>
        <w:pStyle w:val="SingleTxt"/>
        <w:rPr>
          <w:rFonts w:ascii="SimHei" w:eastAsia="SimHei" w:hint="eastAsia"/>
          <w:color w:val="FF0000"/>
        </w:rPr>
      </w:pPr>
      <w:r>
        <w:rPr>
          <w:rFonts w:hint="eastAsia"/>
        </w:rPr>
        <w:t>39.</w:t>
      </w:r>
      <w:r>
        <w:rPr>
          <w:rFonts w:hint="eastAsia"/>
        </w:rPr>
        <w:tab/>
      </w:r>
      <w:r w:rsidRPr="00CD2426">
        <w:rPr>
          <w:rFonts w:ascii="SimHei" w:eastAsia="SimHei" w:hint="eastAsia"/>
          <w:color w:val="FF0000"/>
        </w:rPr>
        <w:t>委员会促请缔约国在履行《公约》义务时，充分利用加强《公约》各项规定的《北京宣言和行动纲要》，并请缔约国在下一次定期报告中提供有关资料。</w:t>
      </w:r>
    </w:p>
    <w:p w:rsidR="00CD2426" w:rsidRDefault="00CD2426" w:rsidP="00CD2426">
      <w:pPr>
        <w:pStyle w:val="SingleTxt"/>
        <w:rPr>
          <w:rFonts w:hint="eastAsia"/>
        </w:rPr>
      </w:pPr>
      <w:r w:rsidRPr="00CD2426">
        <w:rPr>
          <w:rFonts w:ascii="SimHei" w:eastAsia="SimHei" w:hint="eastAsia"/>
          <w:color w:val="FF0000"/>
        </w:rPr>
        <w:t>千年发展目标</w:t>
      </w:r>
      <w:r>
        <w:rPr>
          <w:rFonts w:hint="eastAsia"/>
        </w:rPr>
        <w:t xml:space="preserve"> </w:t>
      </w:r>
    </w:p>
    <w:p w:rsidR="00CD2426" w:rsidRPr="00CD2426" w:rsidRDefault="00CD2426" w:rsidP="00CD2426">
      <w:pPr>
        <w:pStyle w:val="SingleTxt"/>
        <w:rPr>
          <w:rFonts w:ascii="SimHei" w:eastAsia="SimHei" w:hint="eastAsia"/>
          <w:color w:val="FF0000"/>
        </w:rPr>
      </w:pPr>
      <w:r>
        <w:rPr>
          <w:rFonts w:hint="eastAsia"/>
        </w:rPr>
        <w:t>40.</w:t>
      </w:r>
      <w:r>
        <w:rPr>
          <w:rFonts w:hint="eastAsia"/>
        </w:rPr>
        <w:tab/>
      </w:r>
      <w:r w:rsidRPr="00CD2426">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委员会强调，充分和有效地执行《公约》对实现千年发展目标不可或缺。委员会要求在实现千年发展目标的一切工作中纳入性别观点，明确体现《公约》各项规定，并请缔约国在下一次定期报告中提供有关资料。</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条约的批准</w:t>
      </w:r>
    </w:p>
    <w:p w:rsidR="00CD2426" w:rsidRPr="00CD2426" w:rsidRDefault="00CD2426" w:rsidP="00CD2426">
      <w:pPr>
        <w:pStyle w:val="SingleTxt"/>
        <w:rPr>
          <w:rFonts w:ascii="SimHei" w:eastAsia="SimHei" w:hint="eastAsia"/>
          <w:color w:val="FF0000"/>
        </w:rPr>
      </w:pPr>
      <w:r>
        <w:rPr>
          <w:rFonts w:hint="eastAsia"/>
        </w:rPr>
        <w:t>41.</w:t>
      </w:r>
      <w:r w:rsidRPr="00CD2426">
        <w:rPr>
          <w:rFonts w:ascii="SimHei" w:eastAsia="SimHei" w:hint="eastAsia"/>
          <w:color w:val="FF0000"/>
        </w:rPr>
        <w:tab/>
        <w:t>委员会指出，各国参加九项主要国际人权文书，</w:t>
      </w:r>
      <w:r>
        <w:rPr>
          <w:rStyle w:val="FootnoteReference"/>
          <w:rFonts w:ascii="SimHei" w:eastAsia="SimHei"/>
        </w:rPr>
        <w:footnoteReference w:id="1"/>
      </w:r>
      <w:r w:rsidRPr="00CD2426">
        <w:rPr>
          <w:rFonts w:ascii="SimHei" w:eastAsia="SimHei" w:hint="eastAsia"/>
          <w:color w:val="FF0000"/>
        </w:rPr>
        <w:t xml:space="preserve"> 有助于促进妇女在生活的各个方面享受人权和基本自由。因此，委员会鼓励斯洛文尼亚政府批准它尚未成为缔约国的条约，即《保护所有移徙工人及其家庭成员权利国际公约》和《保护所有人免遭强迫失踪国际公约》。</w:t>
      </w:r>
    </w:p>
    <w:p w:rsidR="00CD2426" w:rsidRDefault="00CD2426" w:rsidP="00CD2426">
      <w:pPr>
        <w:pStyle w:val="SingleTxt"/>
        <w:rPr>
          <w:rFonts w:hint="eastAsia"/>
        </w:rPr>
      </w:pPr>
      <w:r w:rsidRPr="00CD2426">
        <w:rPr>
          <w:rFonts w:ascii="SimHei" w:eastAsia="SimHei" w:hint="eastAsia"/>
          <w:color w:val="FF0000"/>
        </w:rPr>
        <w:t>结论意见的传播</w:t>
      </w:r>
      <w:r>
        <w:rPr>
          <w:rFonts w:hint="eastAsia"/>
        </w:rPr>
        <w:t xml:space="preserve"> </w:t>
      </w:r>
    </w:p>
    <w:p w:rsidR="00CD2426" w:rsidRPr="00CD2426" w:rsidRDefault="00CD2426" w:rsidP="00CD2426">
      <w:pPr>
        <w:pStyle w:val="SingleTxt"/>
        <w:rPr>
          <w:rFonts w:ascii="SimHei" w:eastAsia="SimHei" w:hint="eastAsia"/>
          <w:color w:val="FF0000"/>
        </w:rPr>
      </w:pPr>
      <w:r>
        <w:rPr>
          <w:rFonts w:hint="eastAsia"/>
        </w:rPr>
        <w:t>42.</w:t>
      </w:r>
      <w:r>
        <w:rPr>
          <w:rFonts w:hint="eastAsia"/>
        </w:rPr>
        <w:tab/>
      </w:r>
      <w:r w:rsidRPr="00CD2426">
        <w:rPr>
          <w:rFonts w:ascii="SimHei" w:eastAsia="SimHei" w:hint="eastAsia"/>
          <w:color w:val="FF0000"/>
        </w:rPr>
        <w:t>委员会请斯洛文尼亚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结论意见的后续行动</w:t>
      </w:r>
    </w:p>
    <w:p w:rsidR="00CD2426" w:rsidRPr="00CD2426" w:rsidRDefault="00CD2426" w:rsidP="00CD2426">
      <w:pPr>
        <w:pStyle w:val="SingleTxt"/>
        <w:rPr>
          <w:rFonts w:ascii="SimHei" w:eastAsia="SimHei" w:hint="eastAsia"/>
          <w:color w:val="FF0000"/>
        </w:rPr>
      </w:pPr>
      <w:r>
        <w:rPr>
          <w:rFonts w:hint="eastAsia"/>
        </w:rPr>
        <w:t>43.</w:t>
      </w:r>
      <w:r>
        <w:rPr>
          <w:rFonts w:hint="eastAsia"/>
        </w:rPr>
        <w:tab/>
      </w:r>
      <w:r w:rsidRPr="00CD2426">
        <w:rPr>
          <w:rFonts w:ascii="SimHei" w:eastAsia="SimHei" w:hint="eastAsia"/>
          <w:color w:val="FF0000"/>
        </w:rPr>
        <w:t>委员会要求缔约国在两年内提供书面资料，说明为执行上文第14段和28段所载各项建议所采取的步骤。</w:t>
      </w:r>
    </w:p>
    <w:p w:rsidR="00CD2426" w:rsidRPr="00CD2426" w:rsidRDefault="00CD2426" w:rsidP="00CD2426">
      <w:pPr>
        <w:pStyle w:val="SingleTxt"/>
        <w:rPr>
          <w:rFonts w:ascii="SimHei" w:eastAsia="SimHei" w:hint="eastAsia"/>
          <w:color w:val="FF0000"/>
        </w:rPr>
      </w:pPr>
      <w:r w:rsidRPr="00CD2426">
        <w:rPr>
          <w:rFonts w:ascii="SimHei" w:eastAsia="SimHei" w:hint="eastAsia"/>
          <w:color w:val="FF0000"/>
        </w:rPr>
        <w:t>下一次报告的日期</w:t>
      </w:r>
    </w:p>
    <w:p w:rsidR="00CD2426" w:rsidRDefault="00CD2426" w:rsidP="00CD2426">
      <w:pPr>
        <w:pStyle w:val="SingleTxt"/>
        <w:rPr>
          <w:rFonts w:hint="eastAsia"/>
        </w:rPr>
      </w:pPr>
      <w:r>
        <w:rPr>
          <w:rFonts w:hint="eastAsia"/>
        </w:rPr>
        <w:t>44.</w:t>
      </w:r>
      <w:r>
        <w:rPr>
          <w:rFonts w:hint="eastAsia"/>
        </w:rPr>
        <w:tab/>
      </w:r>
      <w:r w:rsidRPr="00CD2426">
        <w:rPr>
          <w:rFonts w:ascii="SimHei" w:eastAsia="SimHei" w:hint="eastAsia"/>
          <w:color w:val="FF0000"/>
        </w:rPr>
        <w:t>委员会请缔约国在根据《公约》第18条提交的下一次定期报告中答复本结论意见所提出的各项关切。委员会请缔约国于2013年5月提交其第五次和第六次合并定期报告</w:t>
      </w:r>
      <w:r>
        <w:rPr>
          <w:rFonts w:hint="eastAsia"/>
        </w:rPr>
        <w:t>。</w:t>
      </w:r>
    </w:p>
    <w:p w:rsidR="00EA31C3" w:rsidRPr="00CD2426" w:rsidRDefault="00CD2426" w:rsidP="00CD2426">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EA31C3" w:rsidRPr="00CD2426" w:rsidSect="00CB24F0">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2:17:00Z" w:initials="Start">
    <w:p w:rsidR="00A506A9" w:rsidRDefault="00A506A9">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NO&gt;&gt;N0860316C&lt;&lt;ODS JOB NO&gt;&gt;</w:t>
      </w:r>
    </w:p>
    <w:p w:rsidR="00A506A9" w:rsidRDefault="00A506A9">
      <w:pPr>
        <w:pStyle w:val="CommentText"/>
      </w:pPr>
      <w:r>
        <w:t>&lt;&lt;ODS DOC SYMBOL1&gt;&gt;CEDAW/C/SVN/CO/4&lt;&lt;ODS DOC SYMBOL1&gt;&gt;</w:t>
      </w:r>
    </w:p>
    <w:p w:rsidR="00A506A9" w:rsidRDefault="00A506A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1A3C" w:rsidRDefault="00FF1A3C" w:rsidP="00CB24F0">
      <w:r>
        <w:separator/>
      </w:r>
    </w:p>
  </w:endnote>
  <w:endnote w:type="continuationSeparator" w:id="0">
    <w:p w:rsidR="00FF1A3C" w:rsidRDefault="00FF1A3C" w:rsidP="00CB2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06A9" w:rsidTr="00CB24F0">
      <w:tblPrEx>
        <w:tblCellMar>
          <w:top w:w="0" w:type="dxa"/>
          <w:bottom w:w="0" w:type="dxa"/>
        </w:tblCellMar>
      </w:tblPrEx>
      <w:tc>
        <w:tcPr>
          <w:tcW w:w="5033" w:type="dxa"/>
          <w:shd w:val="clear" w:color="auto" w:fill="auto"/>
        </w:tcPr>
        <w:p w:rsidR="00A506A9" w:rsidRPr="00CB24F0" w:rsidRDefault="00A506A9" w:rsidP="00CB24F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08-60316 (C)</w:t>
          </w:r>
          <w:r>
            <w:rPr>
              <w:b w:val="0"/>
              <w:w w:val="103"/>
              <w:sz w:val="14"/>
            </w:rPr>
            <w:fldChar w:fldCharType="end"/>
          </w:r>
        </w:p>
      </w:tc>
      <w:tc>
        <w:tcPr>
          <w:tcW w:w="5033" w:type="dxa"/>
          <w:shd w:val="clear" w:color="auto" w:fill="auto"/>
        </w:tcPr>
        <w:p w:rsidR="00A506A9" w:rsidRPr="00CB24F0" w:rsidRDefault="00A506A9" w:rsidP="00CB24F0">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E360F">
            <w:rPr>
              <w:w w:val="103"/>
              <w:sz w:val="17"/>
            </w:rPr>
            <w:t>2</w:t>
          </w:r>
          <w:r>
            <w:rPr>
              <w:w w:val="103"/>
              <w:sz w:val="17"/>
            </w:rPr>
            <w:fldChar w:fldCharType="end"/>
          </w:r>
        </w:p>
      </w:tc>
    </w:tr>
  </w:tbl>
  <w:p w:rsidR="00A506A9" w:rsidRPr="00CB24F0" w:rsidRDefault="00A506A9" w:rsidP="00CB24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506A9" w:rsidTr="00CB24F0">
      <w:tblPrEx>
        <w:tblCellMar>
          <w:top w:w="0" w:type="dxa"/>
          <w:bottom w:w="0" w:type="dxa"/>
        </w:tblCellMar>
      </w:tblPrEx>
      <w:tc>
        <w:tcPr>
          <w:tcW w:w="5033" w:type="dxa"/>
          <w:shd w:val="clear" w:color="auto" w:fill="auto"/>
        </w:tcPr>
        <w:p w:rsidR="00A506A9" w:rsidRPr="00CB24F0" w:rsidRDefault="00A506A9" w:rsidP="00CB24F0">
          <w:pPr>
            <w:pStyle w:val="Footer"/>
            <w:jc w:val="right"/>
          </w:pPr>
          <w:r>
            <w:fldChar w:fldCharType="begin"/>
          </w:r>
          <w:r>
            <w:instrText xml:space="preserve"> PAGE  \* MERGEFORMAT </w:instrText>
          </w:r>
          <w:r>
            <w:fldChar w:fldCharType="separate"/>
          </w:r>
          <w:r w:rsidR="00CE360F">
            <w:t>7</w:t>
          </w:r>
          <w:r>
            <w:fldChar w:fldCharType="end"/>
          </w:r>
        </w:p>
      </w:tc>
      <w:tc>
        <w:tcPr>
          <w:tcW w:w="5033" w:type="dxa"/>
          <w:shd w:val="clear" w:color="auto" w:fill="auto"/>
        </w:tcPr>
        <w:p w:rsidR="00A506A9" w:rsidRPr="00CB24F0" w:rsidRDefault="00A506A9" w:rsidP="00CB24F0">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08-60316 (C)</w:t>
          </w:r>
          <w:r>
            <w:rPr>
              <w:b w:val="0"/>
              <w:w w:val="103"/>
              <w:sz w:val="14"/>
            </w:rPr>
            <w:fldChar w:fldCharType="end"/>
          </w:r>
        </w:p>
      </w:tc>
    </w:tr>
  </w:tbl>
  <w:p w:rsidR="00A506A9" w:rsidRPr="00CB24F0" w:rsidRDefault="00A506A9" w:rsidP="00CB24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06A9" w:rsidRDefault="00A506A9" w:rsidP="00CB24F0">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08-60316 (C)</w:t>
    </w:r>
    <w:r>
      <w:rPr>
        <w:b w:val="0"/>
        <w:sz w:val="21"/>
      </w:rPr>
      <w:fldChar w:fldCharType="end"/>
    </w:r>
    <w:r>
      <w:rPr>
        <w:b w:val="0"/>
        <w:sz w:val="21"/>
      </w:rPr>
      <w:t xml:space="preserve">    201108    201108</w:t>
    </w:r>
  </w:p>
  <w:p w:rsidR="00A506A9" w:rsidRPr="00CB24F0" w:rsidRDefault="00A506A9" w:rsidP="00CB24F0">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*0860316*</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1A3C" w:rsidRPr="00CD2426" w:rsidRDefault="00FF1A3C" w:rsidP="00CD2426">
      <w:pPr>
        <w:pStyle w:val="Footer"/>
        <w:spacing w:after="80"/>
        <w:ind w:left="792"/>
        <w:rPr>
          <w:sz w:val="16"/>
        </w:rPr>
      </w:pPr>
      <w:r w:rsidRPr="00CD2426">
        <w:rPr>
          <w:sz w:val="16"/>
        </w:rPr>
        <w:t>__________________</w:t>
      </w:r>
    </w:p>
  </w:footnote>
  <w:footnote w:type="continuationSeparator" w:id="0">
    <w:p w:rsidR="00FF1A3C" w:rsidRPr="00CD2426" w:rsidRDefault="00FF1A3C" w:rsidP="00CD2426">
      <w:pPr>
        <w:pStyle w:val="Footer"/>
        <w:spacing w:after="80"/>
        <w:ind w:left="792"/>
        <w:rPr>
          <w:sz w:val="16"/>
        </w:rPr>
      </w:pPr>
      <w:r w:rsidRPr="00CD2426">
        <w:rPr>
          <w:sz w:val="16"/>
        </w:rPr>
        <w:t>__________________</w:t>
      </w:r>
    </w:p>
  </w:footnote>
  <w:footnote w:id="1">
    <w:p w:rsidR="00A506A9" w:rsidRPr="00CD2426" w:rsidRDefault="00A506A9" w:rsidP="00CD2426">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CD2426">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残疾人权利公约》和《保护所有人免遭强迫失踪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06A9" w:rsidTr="00CB24F0">
      <w:tblPrEx>
        <w:tblCellMar>
          <w:top w:w="0" w:type="dxa"/>
          <w:bottom w:w="0" w:type="dxa"/>
        </w:tblCellMar>
      </w:tblPrEx>
      <w:trPr>
        <w:trHeight w:hRule="exact" w:val="864"/>
      </w:trPr>
      <w:tc>
        <w:tcPr>
          <w:tcW w:w="4838" w:type="dxa"/>
          <w:shd w:val="clear" w:color="auto" w:fill="auto"/>
          <w:vAlign w:val="bottom"/>
        </w:tcPr>
        <w:p w:rsidR="00A506A9" w:rsidRPr="00CB24F0" w:rsidRDefault="00A506A9" w:rsidP="00CB24F0">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CEDAW/C/SVN/CO/4</w:t>
          </w:r>
          <w:r>
            <w:rPr>
              <w:b/>
              <w:sz w:val="17"/>
            </w:rPr>
            <w:fldChar w:fldCharType="end"/>
          </w:r>
        </w:p>
      </w:tc>
      <w:tc>
        <w:tcPr>
          <w:tcW w:w="5033" w:type="dxa"/>
          <w:shd w:val="clear" w:color="auto" w:fill="auto"/>
          <w:vAlign w:val="bottom"/>
        </w:tcPr>
        <w:p w:rsidR="00A506A9" w:rsidRDefault="00A506A9" w:rsidP="00CB24F0">
          <w:pPr>
            <w:pStyle w:val="Header"/>
          </w:pPr>
        </w:p>
      </w:tc>
    </w:tr>
  </w:tbl>
  <w:p w:rsidR="00A506A9" w:rsidRPr="00CB24F0" w:rsidRDefault="00A506A9" w:rsidP="00CB24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506A9" w:rsidTr="00CB24F0">
      <w:tblPrEx>
        <w:tblCellMar>
          <w:top w:w="0" w:type="dxa"/>
          <w:bottom w:w="0" w:type="dxa"/>
        </w:tblCellMar>
      </w:tblPrEx>
      <w:trPr>
        <w:trHeight w:hRule="exact" w:val="864"/>
      </w:trPr>
      <w:tc>
        <w:tcPr>
          <w:tcW w:w="4838" w:type="dxa"/>
          <w:shd w:val="clear" w:color="auto" w:fill="auto"/>
          <w:vAlign w:val="bottom"/>
        </w:tcPr>
        <w:p w:rsidR="00A506A9" w:rsidRDefault="00A506A9" w:rsidP="00CB24F0">
          <w:pPr>
            <w:pStyle w:val="Header"/>
          </w:pPr>
        </w:p>
      </w:tc>
      <w:tc>
        <w:tcPr>
          <w:tcW w:w="5033" w:type="dxa"/>
          <w:shd w:val="clear" w:color="auto" w:fill="auto"/>
          <w:vAlign w:val="bottom"/>
        </w:tcPr>
        <w:p w:rsidR="00A506A9" w:rsidRPr="00CB24F0" w:rsidRDefault="00A506A9" w:rsidP="00CB24F0">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CEDAW/C/SVN/CO/4</w:t>
          </w:r>
          <w:r>
            <w:rPr>
              <w:b/>
              <w:sz w:val="17"/>
            </w:rPr>
            <w:fldChar w:fldCharType="end"/>
          </w:r>
        </w:p>
      </w:tc>
    </w:tr>
  </w:tbl>
  <w:p w:rsidR="00A506A9" w:rsidRPr="00CB24F0" w:rsidRDefault="00A506A9" w:rsidP="00CB24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A506A9" w:rsidTr="00CB24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506A9" w:rsidRDefault="00A506A9" w:rsidP="00CB24F0">
          <w:pPr>
            <w:pStyle w:val="Header"/>
            <w:spacing w:after="120"/>
          </w:pPr>
        </w:p>
      </w:tc>
      <w:tc>
        <w:tcPr>
          <w:tcW w:w="1872" w:type="dxa"/>
          <w:tcBorders>
            <w:bottom w:val="single" w:sz="4" w:space="0" w:color="auto"/>
          </w:tcBorders>
          <w:shd w:val="clear" w:color="auto" w:fill="auto"/>
          <w:vAlign w:val="bottom"/>
        </w:tcPr>
        <w:p w:rsidR="00A506A9" w:rsidRPr="00CB24F0" w:rsidRDefault="00A506A9" w:rsidP="00CB24F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A506A9" w:rsidRDefault="00A506A9" w:rsidP="00CB24F0">
          <w:pPr>
            <w:pStyle w:val="Header"/>
            <w:spacing w:after="120"/>
          </w:pPr>
        </w:p>
      </w:tc>
      <w:tc>
        <w:tcPr>
          <w:tcW w:w="6523" w:type="dxa"/>
          <w:gridSpan w:val="3"/>
          <w:tcBorders>
            <w:bottom w:val="single" w:sz="4" w:space="0" w:color="auto"/>
          </w:tcBorders>
          <w:shd w:val="clear" w:color="auto" w:fill="auto"/>
          <w:vAlign w:val="bottom"/>
        </w:tcPr>
        <w:p w:rsidR="00A506A9" w:rsidRPr="00CB24F0" w:rsidRDefault="00A506A9" w:rsidP="00CB24F0">
          <w:pPr>
            <w:spacing w:after="80" w:line="240" w:lineRule="auto"/>
            <w:jc w:val="right"/>
            <w:rPr>
              <w:rFonts w:ascii="Times New Roman"/>
              <w:position w:val="-4"/>
            </w:rPr>
          </w:pPr>
          <w:r>
            <w:rPr>
              <w:rFonts w:ascii="Times New Roman"/>
              <w:position w:val="-4"/>
              <w:sz w:val="40"/>
            </w:rPr>
            <w:t>CEDAW</w:t>
          </w:r>
          <w:r>
            <w:rPr>
              <w:rFonts w:ascii="Times New Roman"/>
              <w:position w:val="-4"/>
            </w:rPr>
            <w:t>/C/SVN/CO/4</w:t>
          </w:r>
        </w:p>
      </w:tc>
    </w:tr>
    <w:tr w:rsidR="00A506A9" w:rsidRPr="00CB24F0" w:rsidTr="00CB24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506A9" w:rsidRDefault="00A506A9" w:rsidP="00CB24F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A506A9" w:rsidRPr="00CB24F0" w:rsidRDefault="00A506A9" w:rsidP="00CB24F0">
          <w:pPr>
            <w:pStyle w:val="Header"/>
            <w:spacing w:before="109"/>
            <w:ind w:left="-72"/>
          </w:pPr>
        </w:p>
      </w:tc>
      <w:tc>
        <w:tcPr>
          <w:tcW w:w="5227" w:type="dxa"/>
          <w:gridSpan w:val="3"/>
          <w:tcBorders>
            <w:top w:val="single" w:sz="4" w:space="0" w:color="auto"/>
            <w:bottom w:val="single" w:sz="12" w:space="0" w:color="auto"/>
          </w:tcBorders>
          <w:shd w:val="clear" w:color="auto" w:fill="auto"/>
        </w:tcPr>
        <w:p w:rsidR="00A506A9" w:rsidRPr="00CB24F0" w:rsidRDefault="00A506A9" w:rsidP="00CB24F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A506A9" w:rsidRPr="00CB24F0" w:rsidRDefault="00A506A9" w:rsidP="00CB24F0">
          <w:pPr>
            <w:pStyle w:val="Header"/>
            <w:spacing w:before="109"/>
          </w:pPr>
        </w:p>
      </w:tc>
      <w:tc>
        <w:tcPr>
          <w:tcW w:w="3180" w:type="dxa"/>
          <w:gridSpan w:val="2"/>
          <w:tcBorders>
            <w:top w:val="single" w:sz="4" w:space="0" w:color="auto"/>
            <w:bottom w:val="single" w:sz="12" w:space="0" w:color="auto"/>
          </w:tcBorders>
          <w:shd w:val="clear" w:color="auto" w:fill="auto"/>
        </w:tcPr>
        <w:p w:rsidR="00A506A9" w:rsidRDefault="00A506A9" w:rsidP="00CB24F0">
          <w:pPr>
            <w:spacing w:before="240" w:line="240" w:lineRule="exact"/>
            <w:rPr>
              <w:rFonts w:ascii="Times New Roman"/>
            </w:rPr>
          </w:pPr>
          <w:r>
            <w:rPr>
              <w:rFonts w:ascii="Times New Roman"/>
            </w:rPr>
            <w:t>Distr.: General</w:t>
          </w:r>
        </w:p>
        <w:p w:rsidR="00A506A9" w:rsidRDefault="00A506A9" w:rsidP="00CB24F0">
          <w:pPr>
            <w:spacing w:line="240" w:lineRule="exact"/>
            <w:rPr>
              <w:rFonts w:ascii="Times New Roman"/>
            </w:rPr>
          </w:pPr>
          <w:r>
            <w:rPr>
              <w:rFonts w:ascii="Times New Roman"/>
            </w:rPr>
            <w:t>7 November 2008</w:t>
          </w:r>
        </w:p>
        <w:p w:rsidR="00A506A9" w:rsidRDefault="00A506A9" w:rsidP="00CB24F0">
          <w:pPr>
            <w:spacing w:line="240" w:lineRule="exact"/>
            <w:rPr>
              <w:rFonts w:ascii="Times New Roman"/>
            </w:rPr>
          </w:pPr>
          <w:r>
            <w:rPr>
              <w:rFonts w:ascii="Times New Roman"/>
            </w:rPr>
            <w:t>Chinese</w:t>
          </w:r>
        </w:p>
        <w:p w:rsidR="00A506A9" w:rsidRPr="00CB24F0" w:rsidRDefault="00A506A9" w:rsidP="00CB24F0">
          <w:pPr>
            <w:spacing w:line="240" w:lineRule="exact"/>
            <w:rPr>
              <w:rFonts w:ascii="Times New Roman"/>
            </w:rPr>
          </w:pPr>
          <w:r>
            <w:rPr>
              <w:rFonts w:ascii="Times New Roman"/>
            </w:rPr>
            <w:t>Original: English</w:t>
          </w:r>
        </w:p>
      </w:tc>
    </w:tr>
  </w:tbl>
  <w:p w:rsidR="00A506A9" w:rsidRPr="00CB24F0" w:rsidRDefault="00A506A9" w:rsidP="00CB24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16*"/>
    <w:docVar w:name="CreationDt" w:val="20/11/2008 12:07:58"/>
    <w:docVar w:name="DocCategory" w:val="Doc"/>
    <w:docVar w:name="DocType" w:val="Final"/>
    <w:docVar w:name="FooterJN" w:val="08-60316 (C)"/>
    <w:docVar w:name="jobn" w:val="08-60316 (C)"/>
    <w:docVar w:name="jobnDT" w:val="08-60316 (C)   201108"/>
    <w:docVar w:name="jobnDTDT" w:val="08-60316 (C)   201108   201108"/>
    <w:docVar w:name="JobNo" w:val="0860316C"/>
    <w:docVar w:name="OandT" w:val="jia"/>
    <w:docVar w:name="sss1" w:val="CEDAW/C/SVN/CO/4"/>
    <w:docVar w:name="sss2" w:val="-"/>
    <w:docVar w:name="Symbol1" w:val="CEDAW/C/SVN/CO/4"/>
    <w:docVar w:name="Symbol2" w:val="-"/>
  </w:docVars>
  <w:rsids>
    <w:rsidRoot w:val="00AB3B3B"/>
    <w:rsid w:val="0000347C"/>
    <w:rsid w:val="000125BC"/>
    <w:rsid w:val="0001550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4D9A"/>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92F77"/>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96E69"/>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06A9"/>
    <w:rsid w:val="00A5206D"/>
    <w:rsid w:val="00A72E47"/>
    <w:rsid w:val="00A95404"/>
    <w:rsid w:val="00A968C5"/>
    <w:rsid w:val="00AA3C28"/>
    <w:rsid w:val="00AA759D"/>
    <w:rsid w:val="00AB2786"/>
    <w:rsid w:val="00AB3B3B"/>
    <w:rsid w:val="00AC7E5D"/>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BF0309"/>
    <w:rsid w:val="00C052A2"/>
    <w:rsid w:val="00C06A4A"/>
    <w:rsid w:val="00C1391A"/>
    <w:rsid w:val="00C14CE6"/>
    <w:rsid w:val="00C15218"/>
    <w:rsid w:val="00C2725D"/>
    <w:rsid w:val="00C42033"/>
    <w:rsid w:val="00C464DD"/>
    <w:rsid w:val="00C76854"/>
    <w:rsid w:val="00C92AE0"/>
    <w:rsid w:val="00CB24F0"/>
    <w:rsid w:val="00CB2B1E"/>
    <w:rsid w:val="00CC3E8B"/>
    <w:rsid w:val="00CC4E84"/>
    <w:rsid w:val="00CD2426"/>
    <w:rsid w:val="00CD5641"/>
    <w:rsid w:val="00CE360F"/>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27A3"/>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C75F2"/>
    <w:rsid w:val="00FD594E"/>
    <w:rsid w:val="00FD75B9"/>
    <w:rsid w:val="00FE5FE8"/>
    <w:rsid w:val="00FF1A3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68</TotalTime>
  <Pages>1</Pages>
  <Words>3076</Words>
  <Characters>3169</Characters>
  <Application>Microsoft Office Word</Application>
  <DocSecurity>4</DocSecurity>
  <Lines>117</Lines>
  <Paragraphs>74</Paragraphs>
  <ScaleCrop>false</ScaleCrop>
  <Company>United Nations</Company>
  <LinksUpToDate>false</LinksUpToDate>
  <CharactersWithSpaces>6171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14</cp:revision>
  <cp:lastPrinted>2008-11-20T13:05:00Z</cp:lastPrinted>
  <dcterms:created xsi:type="dcterms:W3CDTF">2008-11-20T10:02:00Z</dcterms:created>
  <dcterms:modified xsi:type="dcterms:W3CDTF">2008-11-20T13:05:00Z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0860316</vt:lpwstr>
  </property>
  <property fmtid="{D5CDD505-2E9C-101B-9397-08002B2CF9AE}" pid="3" name="Symbol1">
    <vt:lpwstr>CEDAW/C/SVN/CO/4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jia</vt:lpwstr>
  </property>
</Properties>
</file>