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5pt;margin-top:711.9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43662</w:t>
                  </w:r>
                  <w:r>
                    <w:rPr>
                      <w:lang w:val="en-US"/>
                    </w:rPr>
                    <w:fldChar w:fldCharType="end"/>
                  </w:r>
                  <w:r>
                    <w:rPr>
                      <w:lang w:val="en-US"/>
                    </w:rPr>
                    <w:t xml:space="preserve">   (R)</w:t>
                  </w:r>
                  <w:r>
                    <w:tab/>
                    <w:t xml:space="preserve">310106    </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2821"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E/1994/104/</w:t>
            </w:r>
            <w:proofErr w:type="spellStart"/>
            <w:r>
              <w:rPr>
                <w:lang w:val="en-US"/>
              </w:rPr>
              <w:t>Add.30</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23 August 2005</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pStyle w:val="Header"/>
        <w:tabs>
          <w:tab w:val="clear" w:pos="4153"/>
          <w:tab w:val="clear" w:pos="8306"/>
          <w:tab w:val="left" w:pos="0"/>
        </w:tabs>
      </w:pPr>
    </w:p>
    <w:p w:rsidR="00000000" w:rsidRDefault="00000000">
      <w:pPr>
        <w:pStyle w:val="Header"/>
        <w:tabs>
          <w:tab w:val="clear" w:pos="4153"/>
          <w:tab w:val="clear" w:pos="8306"/>
          <w:tab w:val="left" w:pos="0"/>
        </w:tabs>
      </w:pPr>
      <w:r>
        <w:t>Основная сессия 2006 года</w:t>
      </w:r>
    </w:p>
    <w:p w:rsidR="00000000" w:rsidRDefault="00000000">
      <w:pPr>
        <w:pStyle w:val="Header"/>
        <w:tabs>
          <w:tab w:val="clear" w:pos="4153"/>
          <w:tab w:val="clear" w:pos="8306"/>
          <w:tab w:val="left" w:pos="0"/>
        </w:tabs>
      </w:pPr>
    </w:p>
    <w:p w:rsidR="00000000" w:rsidRDefault="00000000">
      <w:pPr>
        <w:pStyle w:val="Header"/>
        <w:tabs>
          <w:tab w:val="clear" w:pos="4153"/>
          <w:tab w:val="clear" w:pos="8306"/>
          <w:tab w:val="left" w:pos="0"/>
        </w:tabs>
      </w:pPr>
    </w:p>
    <w:p w:rsidR="00000000" w:rsidRDefault="00000000">
      <w:pPr>
        <w:pStyle w:val="Header"/>
        <w:tabs>
          <w:tab w:val="clear" w:pos="4153"/>
          <w:tab w:val="clear" w:pos="8306"/>
          <w:tab w:val="left" w:pos="0"/>
        </w:tabs>
        <w:jc w:val="center"/>
        <w:rPr>
          <w:b/>
          <w:bCs/>
        </w:rPr>
      </w:pPr>
      <w:r>
        <w:rPr>
          <w:b/>
          <w:bCs/>
        </w:rPr>
        <w:t>ОСУЩЕСТВЛЕНИЕ МЕЖДУНАРОДНОГО ПАКТА ОБ ЭКОНОМИЧЕСКИХ,</w:t>
      </w:r>
    </w:p>
    <w:p w:rsidR="00000000" w:rsidRDefault="00000000">
      <w:pPr>
        <w:pStyle w:val="Header"/>
        <w:tabs>
          <w:tab w:val="clear" w:pos="4153"/>
          <w:tab w:val="clear" w:pos="8306"/>
          <w:tab w:val="left" w:pos="0"/>
        </w:tabs>
        <w:jc w:val="center"/>
        <w:rPr>
          <w:b/>
          <w:bCs/>
        </w:rPr>
      </w:pPr>
      <w:r>
        <w:rPr>
          <w:b/>
          <w:bCs/>
        </w:rPr>
        <w:t>СОЦИАЛЬНЫХ И КУЛЬТУРНЫХ ПРАВАХ</w:t>
      </w:r>
    </w:p>
    <w:p w:rsidR="00000000" w:rsidRDefault="00000000">
      <w:pPr>
        <w:pStyle w:val="Header"/>
        <w:tabs>
          <w:tab w:val="clear" w:pos="4153"/>
          <w:tab w:val="clear" w:pos="8306"/>
          <w:tab w:val="left" w:pos="0"/>
        </w:tabs>
        <w:jc w:val="center"/>
        <w:rPr>
          <w:b/>
          <w:bCs/>
        </w:rPr>
      </w:pPr>
    </w:p>
    <w:p w:rsidR="00000000" w:rsidRDefault="00000000">
      <w:pPr>
        <w:pStyle w:val="Header"/>
        <w:tabs>
          <w:tab w:val="clear" w:pos="4153"/>
          <w:tab w:val="clear" w:pos="8306"/>
          <w:tab w:val="left" w:pos="0"/>
        </w:tabs>
        <w:jc w:val="center"/>
        <w:rPr>
          <w:b/>
          <w:bCs/>
        </w:rPr>
      </w:pPr>
      <w:r>
        <w:rPr>
          <w:b/>
          <w:bCs/>
        </w:rPr>
        <w:t>Третьи периодические доклады, представляемые государствами-участниками</w:t>
      </w:r>
    </w:p>
    <w:p w:rsidR="00000000" w:rsidRDefault="00000000">
      <w:pPr>
        <w:pStyle w:val="Header"/>
        <w:tabs>
          <w:tab w:val="clear" w:pos="4153"/>
          <w:tab w:val="clear" w:pos="8306"/>
          <w:tab w:val="left" w:pos="0"/>
        </w:tabs>
        <w:jc w:val="center"/>
        <w:rPr>
          <w:b/>
          <w:bCs/>
        </w:rPr>
      </w:pPr>
      <w:r>
        <w:rPr>
          <w:b/>
          <w:bCs/>
        </w:rPr>
        <w:t>в соответствии со статьями 16 и 17 Пакта</w:t>
      </w:r>
    </w:p>
    <w:p w:rsidR="00000000" w:rsidRDefault="00000000">
      <w:pPr>
        <w:pStyle w:val="Header"/>
        <w:tabs>
          <w:tab w:val="clear" w:pos="4153"/>
          <w:tab w:val="clear" w:pos="8306"/>
          <w:tab w:val="left" w:pos="0"/>
        </w:tabs>
        <w:jc w:val="center"/>
        <w:rPr>
          <w:b/>
          <w:bCs/>
        </w:rPr>
      </w:pPr>
    </w:p>
    <w:p w:rsidR="00000000" w:rsidRDefault="00000000">
      <w:pPr>
        <w:pStyle w:val="Header"/>
        <w:tabs>
          <w:tab w:val="clear" w:pos="4153"/>
          <w:tab w:val="clear" w:pos="8306"/>
          <w:tab w:val="left" w:pos="0"/>
        </w:tabs>
        <w:jc w:val="center"/>
        <w:rPr>
          <w:b/>
          <w:bCs/>
        </w:rPr>
      </w:pPr>
      <w:r>
        <w:rPr>
          <w:b/>
          <w:bCs/>
        </w:rPr>
        <w:t>Добавление</w:t>
      </w:r>
    </w:p>
    <w:p w:rsidR="00000000" w:rsidRDefault="00000000">
      <w:pPr>
        <w:pStyle w:val="Header"/>
        <w:tabs>
          <w:tab w:val="clear" w:pos="4153"/>
          <w:tab w:val="clear" w:pos="8306"/>
          <w:tab w:val="left" w:pos="0"/>
        </w:tabs>
        <w:jc w:val="center"/>
        <w:rPr>
          <w:b/>
          <w:bCs/>
        </w:rPr>
      </w:pPr>
    </w:p>
    <w:p w:rsidR="00000000" w:rsidRDefault="00000000">
      <w:pPr>
        <w:pStyle w:val="Header"/>
        <w:tabs>
          <w:tab w:val="clear" w:pos="4153"/>
          <w:tab w:val="clear" w:pos="8306"/>
          <w:tab w:val="left" w:pos="0"/>
        </w:tabs>
        <w:jc w:val="center"/>
        <w:rPr>
          <w:b/>
          <w:bCs/>
        </w:rPr>
      </w:pPr>
      <w:r>
        <w:rPr>
          <w:b/>
          <w:bCs/>
        </w:rPr>
        <w:t xml:space="preserve">НИДЕРЛАНДЫ* </w:t>
      </w:r>
      <w:r>
        <w:rPr>
          <w:b/>
          <w:bCs/>
          <w:lang w:val="en-US"/>
        </w:rPr>
        <w:t xml:space="preserve"> </w:t>
      </w:r>
      <w:r>
        <w:rPr>
          <w:b/>
          <w:bCs/>
        </w:rPr>
        <w:t>**  ***</w:t>
      </w:r>
    </w:p>
    <w:p w:rsidR="00000000" w:rsidRDefault="00000000">
      <w:pPr>
        <w:pStyle w:val="Header"/>
        <w:tabs>
          <w:tab w:val="clear" w:pos="4153"/>
          <w:tab w:val="clear" w:pos="8306"/>
          <w:tab w:val="left" w:pos="0"/>
        </w:tabs>
        <w:jc w:val="center"/>
      </w:pPr>
    </w:p>
    <w:p w:rsidR="00000000" w:rsidRDefault="00000000">
      <w:pPr>
        <w:pStyle w:val="Header"/>
        <w:tabs>
          <w:tab w:val="clear" w:pos="4153"/>
          <w:tab w:val="clear" w:pos="8306"/>
          <w:tab w:val="left" w:pos="0"/>
        </w:tabs>
        <w:jc w:val="right"/>
      </w:pPr>
      <w:r>
        <w:t>[5 августа 2005 года]</w:t>
      </w:r>
    </w:p>
    <w:p w:rsidR="00000000" w:rsidRDefault="00000000">
      <w:pPr>
        <w:pStyle w:val="Header"/>
        <w:tabs>
          <w:tab w:val="clear" w:pos="4153"/>
          <w:tab w:val="clear" w:pos="8306"/>
          <w:tab w:val="left" w:pos="0"/>
        </w:tabs>
        <w:rPr>
          <w:lang w:val="en-US"/>
        </w:rPr>
      </w:pPr>
    </w:p>
    <w:p w:rsidR="00000000" w:rsidRDefault="00000000">
      <w:pPr>
        <w:pStyle w:val="Header"/>
        <w:tabs>
          <w:tab w:val="clear" w:pos="4153"/>
          <w:tab w:val="clear" w:pos="8306"/>
          <w:tab w:val="left" w:pos="0"/>
        </w:tabs>
      </w:pPr>
    </w:p>
    <w:p w:rsidR="00000000" w:rsidRDefault="00000000">
      <w:pPr>
        <w:pStyle w:val="Header"/>
        <w:tabs>
          <w:tab w:val="clear" w:pos="4153"/>
          <w:tab w:val="clear" w:pos="8306"/>
          <w:tab w:val="left" w:pos="0"/>
        </w:tabs>
      </w:pPr>
      <w:r>
        <w:t>__________________________</w:t>
      </w:r>
    </w:p>
    <w:p w:rsidR="00000000" w:rsidRDefault="00000000">
      <w:pPr>
        <w:pStyle w:val="Header"/>
        <w:tabs>
          <w:tab w:val="clear" w:pos="4153"/>
          <w:tab w:val="clear" w:pos="8306"/>
          <w:tab w:val="left" w:pos="0"/>
        </w:tabs>
        <w:spacing w:line="240" w:lineRule="auto"/>
        <w:rPr>
          <w:lang w:val="en-US"/>
        </w:rPr>
      </w:pPr>
      <w:r>
        <w:t xml:space="preserve">* </w:t>
      </w:r>
      <w:r>
        <w:tab/>
        <w:t>Вторые периодические доклады относительно прав, охватываемых статьями 10-12 (</w:t>
      </w:r>
      <w:r>
        <w:rPr>
          <w:lang w:val="en-US"/>
        </w:rPr>
        <w:t>E</w:t>
      </w:r>
      <w:r>
        <w:t>/1986/4/</w:t>
      </w:r>
      <w:r>
        <w:rPr>
          <w:lang w:val="en-US"/>
        </w:rPr>
        <w:t>Add</w:t>
      </w:r>
      <w:r>
        <w:t>.24), 6-9 и 13-15 (</w:t>
      </w:r>
      <w:r>
        <w:rPr>
          <w:lang w:val="en-US"/>
        </w:rPr>
        <w:t>E</w:t>
      </w:r>
      <w:r>
        <w:t>/1990/6/</w:t>
      </w:r>
      <w:r>
        <w:rPr>
          <w:lang w:val="en-US"/>
        </w:rPr>
        <w:t>Add</w:t>
      </w:r>
      <w:r>
        <w:t>.11-13), которые были представлены правительством Нидерландов, были рассмотрены Комитетом по экономическим, социальным и культурным правам соответственно на его третьей сессии (см. </w:t>
      </w:r>
      <w:r>
        <w:rPr>
          <w:lang w:val="en-US"/>
        </w:rPr>
        <w:t>E</w:t>
      </w:r>
      <w:r>
        <w:t>/С.12/1989/</w:t>
      </w:r>
      <w:r>
        <w:rPr>
          <w:lang w:val="en-US"/>
        </w:rPr>
        <w:t>SR</w:t>
      </w:r>
      <w:r>
        <w:t>.14-15) в 1989 году и на его восемнадцатой сессии (</w:t>
      </w:r>
      <w:r>
        <w:rPr>
          <w:lang w:val="en-US"/>
        </w:rPr>
        <w:t>E</w:t>
      </w:r>
      <w:r>
        <w:t>/С.12/1998/</w:t>
      </w:r>
      <w:r>
        <w:rPr>
          <w:lang w:val="en-US"/>
        </w:rPr>
        <w:t>Add</w:t>
      </w:r>
      <w:r>
        <w:t xml:space="preserve">.13-17) (Заключительные замечания </w:t>
      </w:r>
      <w:r>
        <w:rPr>
          <w:lang w:val="en-US"/>
        </w:rPr>
        <w:t>E</w:t>
      </w:r>
      <w:r>
        <w:t>/С.12/1/</w:t>
      </w:r>
      <w:r>
        <w:rPr>
          <w:lang w:val="en-US"/>
        </w:rPr>
        <w:t>Add</w:t>
      </w:r>
      <w:r>
        <w:t>.25).</w:t>
      </w:r>
    </w:p>
    <w:p w:rsidR="00000000" w:rsidRDefault="00000000">
      <w:pPr>
        <w:pStyle w:val="Header"/>
        <w:tabs>
          <w:tab w:val="clear" w:pos="4153"/>
          <w:tab w:val="clear" w:pos="8306"/>
          <w:tab w:val="left" w:pos="0"/>
        </w:tabs>
        <w:spacing w:line="240" w:lineRule="auto"/>
        <w:rPr>
          <w:lang w:val="en-US"/>
        </w:rPr>
      </w:pPr>
    </w:p>
    <w:p w:rsidR="00000000" w:rsidRDefault="00000000">
      <w:pPr>
        <w:pStyle w:val="Header"/>
        <w:tabs>
          <w:tab w:val="clear" w:pos="4153"/>
          <w:tab w:val="clear" w:pos="8306"/>
          <w:tab w:val="left" w:pos="0"/>
        </w:tabs>
        <w:spacing w:line="240" w:lineRule="auto"/>
      </w:pPr>
      <w:r>
        <w:t>**</w:t>
      </w:r>
      <w:r>
        <w:tab/>
        <w:t>Информация, представленная Нидерландами в соответствии с руководящими принципами, касающимися первоначальной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.66).</w:t>
      </w:r>
    </w:p>
    <w:p w:rsidR="00000000" w:rsidRDefault="00000000">
      <w:pPr>
        <w:pStyle w:val="Header"/>
        <w:tabs>
          <w:tab w:val="clear" w:pos="4153"/>
          <w:tab w:val="clear" w:pos="8306"/>
          <w:tab w:val="left" w:pos="0"/>
        </w:tabs>
        <w:spacing w:line="240" w:lineRule="auto"/>
      </w:pPr>
    </w:p>
    <w:p w:rsidR="00000000" w:rsidRDefault="00000000">
      <w:pPr>
        <w:pStyle w:val="Header"/>
        <w:tabs>
          <w:tab w:val="clear" w:pos="4153"/>
          <w:tab w:val="clear" w:pos="8306"/>
          <w:tab w:val="left" w:pos="0"/>
        </w:tabs>
        <w:spacing w:line="240" w:lineRule="auto"/>
      </w:pPr>
      <w:r>
        <w:t>***</w:t>
      </w:r>
      <w:r>
        <w:tab/>
        <w:t>До передачи на перевод настоящий документ не редактировался.</w:t>
      </w:r>
    </w:p>
    <w:p w:rsidR="00000000" w:rsidRDefault="00000000">
      <w:pPr>
        <w:spacing w:line="240" w:lineRule="auto"/>
        <w:jc w:val="center"/>
        <w:rPr>
          <w:b/>
          <w:bCs/>
        </w:rPr>
      </w:pPr>
      <w:r>
        <w:rPr>
          <w:b/>
          <w:bCs/>
          <w:u w:val="single"/>
        </w:rPr>
        <w:br w:type="page"/>
      </w:r>
      <w:r>
        <w:rPr>
          <w:b/>
          <w:bCs/>
        </w:rPr>
        <w:t>СОДЕРЖАНИЕ</w:t>
      </w:r>
    </w:p>
    <w:p w:rsidR="00000000" w:rsidRDefault="00000000">
      <w:pPr>
        <w:spacing w:line="240" w:lineRule="auto"/>
        <w:jc w:val="center"/>
      </w:pPr>
    </w:p>
    <w:p w:rsidR="00000000" w:rsidRDefault="00000000">
      <w:pPr>
        <w:tabs>
          <w:tab w:val="clear" w:pos="6237"/>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center" w:pos="8039"/>
          <w:tab w:val="center" w:pos="9122"/>
        </w:tabs>
        <w:spacing w:line="240" w:lineRule="auto"/>
      </w:pP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40" w:lineRule="auto"/>
        <w:rPr>
          <w:lang w:val="en-US"/>
        </w:rPr>
      </w:pPr>
      <w:r>
        <w:t>Введение</w:t>
      </w:r>
      <w:r>
        <w:tab/>
      </w:r>
      <w:r>
        <w:tab/>
        <w:t>1 - 3</w:t>
      </w:r>
      <w:r>
        <w:tab/>
      </w:r>
      <w:r>
        <w:rPr>
          <w:lang w:val="en-US"/>
        </w:rPr>
        <w:t>9</w:t>
      </w:r>
    </w:p>
    <w:p w:rsidR="00000000" w:rsidRDefault="00000000">
      <w:pPr>
        <w:tabs>
          <w:tab w:val="clear" w:pos="1134"/>
          <w:tab w:val="clear" w:pos="1701"/>
          <w:tab w:val="clear" w:pos="2268"/>
          <w:tab w:val="clear" w:pos="6237"/>
          <w:tab w:val="decimal" w:pos="567"/>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1.</w:t>
      </w:r>
      <w:r>
        <w:tab/>
        <w:t>МЕРЫ, ПРИНЯТЫЕ В ПОРЯДКЕ РЕАГИРОВАНИЯ НА</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ЗАКЛЮЧИТЕЛЬНЫЕ ЗАМЕЧАНИЯ КОМИТЕТА</w:t>
      </w:r>
      <w:r>
        <w:tab/>
      </w:r>
      <w:r>
        <w:tab/>
        <w:t xml:space="preserve">   4 - 109</w:t>
      </w:r>
      <w:r>
        <w:tab/>
        <w:t>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1.1</w:t>
      </w:r>
      <w:r>
        <w:tab/>
        <w:t>Применимость положений Пакта в Королевстве</w:t>
      </w:r>
      <w:r>
        <w:tab/>
      </w:r>
      <w:r>
        <w:tab/>
        <w:t>4 - 9</w:t>
      </w:r>
      <w:r>
        <w:tab/>
        <w:t>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1.2</w:t>
      </w:r>
      <w:r>
        <w:tab/>
        <w:t>Равная заработная плата и возможности трудоустройства</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для мужчин и женщин</w:t>
      </w:r>
      <w:r>
        <w:tab/>
      </w:r>
      <w:r>
        <w:tab/>
        <w:t>10</w:t>
      </w:r>
      <w:r>
        <w:tab/>
        <w:t>11</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1.3</w:t>
      </w:r>
      <w:r>
        <w:tab/>
        <w:t xml:space="preserve">Усилия по искоренению расовой дискриминации </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на рынке труда</w:t>
      </w:r>
      <w:r>
        <w:tab/>
      </w:r>
      <w:r>
        <w:tab/>
        <w:t>11 - 79</w:t>
      </w:r>
      <w:r>
        <w:tab/>
        <w:t>11</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1.4</w:t>
      </w:r>
      <w:r>
        <w:tab/>
        <w:t xml:space="preserve">Меры, направленные на поощрение доступа к рынку </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труда лиц в возрасте 55-65 лет</w:t>
      </w:r>
      <w:r>
        <w:tab/>
      </w:r>
      <w:r>
        <w:tab/>
        <w:t>80 - 83</w:t>
      </w:r>
      <w:r>
        <w:tab/>
        <w:t>37</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1.5</w:t>
      </w:r>
      <w:r>
        <w:tab/>
        <w:t>Бюджетные ассигнования на программы социального</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обеспечения и улучшения положения уязвимых групп</w:t>
      </w:r>
      <w:r>
        <w:tab/>
      </w:r>
      <w:r>
        <w:tab/>
        <w:t>84</w:t>
      </w:r>
      <w:r>
        <w:tab/>
        <w:t>39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rPr>
          <w:lang w:val="en-US"/>
        </w:rPr>
      </w:pPr>
      <w:r>
        <w:tab/>
        <w:t>1.6</w:t>
      </w:r>
      <w:r>
        <w:tab/>
        <w:t>Благополучие семьи</w:t>
      </w:r>
      <w:r>
        <w:tab/>
      </w:r>
      <w:r>
        <w:tab/>
        <w:t>85 - 105</w:t>
      </w:r>
      <w:r>
        <w:tab/>
      </w:r>
      <w:r>
        <w:rPr>
          <w:lang w:val="en-US"/>
        </w:rPr>
        <w:t>39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1.7</w:t>
      </w:r>
      <w:r>
        <w:tab/>
        <w:t>Закон об оплате школьного образования и обучения</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на курсах</w:t>
      </w:r>
      <w:r>
        <w:tab/>
      </w:r>
      <w:r>
        <w:tab/>
        <w:t>106 - 107</w:t>
      </w:r>
      <w:r>
        <w:tab/>
        <w:t>47</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1.8</w:t>
      </w:r>
      <w:r>
        <w:tab/>
        <w:t>Выполнение обязательств по Пакту</w:t>
      </w:r>
      <w:r>
        <w:tab/>
      </w:r>
      <w:r>
        <w:tab/>
        <w:t>108 - 109</w:t>
      </w:r>
      <w:r>
        <w:tab/>
        <w:t>48</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2.</w:t>
      </w:r>
      <w:r>
        <w:tab/>
        <w:t>ОБЩИЕ ПОЛОЖЕНИЯ ПАКТА:  СТАТЬЯ 2</w:t>
      </w:r>
      <w:r>
        <w:tab/>
      </w:r>
      <w:r>
        <w:tab/>
        <w:t>110 - 112</w:t>
      </w:r>
      <w:r>
        <w:tab/>
        <w:t>49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rPr>
          <w:lang w:val="en-US"/>
        </w:rPr>
      </w:pPr>
      <w:r>
        <w:tab/>
        <w:t>2.1</w:t>
      </w:r>
      <w:r>
        <w:tab/>
        <w:t>Права нерезидентов</w:t>
      </w:r>
      <w:r>
        <w:tab/>
      </w:r>
      <w:r>
        <w:tab/>
        <w:t>110</w:t>
      </w:r>
      <w:r>
        <w:tab/>
      </w:r>
      <w:r>
        <w:rPr>
          <w:lang w:val="en-US"/>
        </w:rPr>
        <w:t>49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t>2.2</w:t>
      </w:r>
      <w:r>
        <w:tab/>
        <w:t>Поощрение экономических, социальных и культурных</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ab/>
      </w:r>
      <w:r>
        <w:tab/>
        <w:t>прав на международном уровне</w:t>
      </w:r>
      <w:r>
        <w:tab/>
      </w:r>
      <w:r>
        <w:tab/>
        <w:t>111 - 112</w:t>
      </w:r>
      <w:r>
        <w:tab/>
        <w:t>49</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r>
        <w:t>3.</w:t>
      </w:r>
      <w:r>
        <w:tab/>
        <w:t>ОСУЩЕСТВЛЕНИЕ КОНКРЕТНЫХ ПРАВ</w:t>
      </w:r>
      <w:r>
        <w:tab/>
      </w:r>
      <w:r>
        <w:tab/>
        <w:t>113 - 610</w:t>
      </w:r>
      <w:r>
        <w:tab/>
        <w:t>51</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left" w:pos="2044"/>
          <w:tab w:val="right" w:leader="dot" w:pos="7172"/>
          <w:tab w:val="center" w:pos="8039"/>
          <w:tab w:val="center" w:pos="9122"/>
        </w:tabs>
        <w:spacing w:line="240" w:lineRule="auto"/>
      </w:pPr>
      <w:r>
        <w:tab/>
        <w:t>3.1</w:t>
      </w:r>
      <w:r>
        <w:tab/>
        <w:t>Статья 6</w:t>
      </w:r>
      <w:r>
        <w:tab/>
      </w:r>
      <w:r>
        <w:tab/>
      </w:r>
      <w:r>
        <w:tab/>
        <w:t>113 - 169</w:t>
      </w:r>
      <w:r>
        <w:tab/>
        <w:t>51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w:t>
      </w:r>
      <w:r>
        <w:tab/>
        <w:t>Право на труд</w:t>
      </w:r>
      <w:r>
        <w:tab/>
      </w:r>
      <w:r>
        <w:tab/>
        <w:t>113 - 136</w:t>
      </w:r>
      <w:r>
        <w:tab/>
        <w:t>51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3.1.1.1</w:t>
      </w:r>
      <w:r>
        <w:tab/>
        <w:t>Положение и тенденции в сфере труда и уровень</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занятости, безработицы и неполной занятости</w:t>
      </w:r>
      <w:r>
        <w:tab/>
      </w:r>
      <w:r>
        <w:tab/>
        <w:t>113 - 119</w:t>
      </w:r>
      <w:r>
        <w:tab/>
        <w:t>51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br w:type="page"/>
      </w:r>
      <w:r>
        <w:rPr>
          <w:b/>
          <w:bCs/>
        </w:rPr>
        <w:t>СОДЕРЖАНИЕ</w:t>
      </w:r>
      <w:r>
        <w:rPr>
          <w:b/>
          <w:bCs/>
          <w:lang w:val="en-US"/>
        </w:rPr>
        <w:t xml:space="preserve"> </w:t>
      </w:r>
      <w:r>
        <w:rPr>
          <w:b/>
          <w:bCs/>
        </w:rPr>
        <w:t>(</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3.1.1.2</w:t>
      </w:r>
      <w:r>
        <w:tab/>
        <w:t>Наличие рабочих мест для лиц, ищущих работу</w:t>
      </w:r>
      <w:r>
        <w:tab/>
      </w:r>
      <w:r>
        <w:tab/>
        <w:t>120</w:t>
      </w:r>
      <w:r>
        <w:tab/>
        <w:t>54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3.1.1.3</w:t>
      </w:r>
      <w:r>
        <w:tab/>
        <w:t>Производительность труда</w:t>
      </w:r>
      <w:r>
        <w:tab/>
      </w:r>
      <w:r>
        <w:tab/>
        <w:t>121 - 123</w:t>
      </w:r>
      <w:r>
        <w:tab/>
        <w:t>56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3.1.1.4</w:t>
      </w:r>
      <w:r>
        <w:tab/>
        <w:t>Свободный выбор труда</w:t>
      </w:r>
      <w:r>
        <w:tab/>
      </w:r>
      <w:r>
        <w:tab/>
        <w:t>124 - 126</w:t>
      </w:r>
      <w:r>
        <w:tab/>
        <w:t>58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3.1.1.5</w:t>
      </w:r>
      <w:r>
        <w:tab/>
        <w:t>Профессиональная ориентация 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профессионально-техническая подготовка</w:t>
      </w:r>
      <w:r>
        <w:tab/>
      </w:r>
      <w:r>
        <w:tab/>
        <w:t>127 - 135</w:t>
      </w:r>
      <w:r>
        <w:tab/>
        <w:t>59</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3.1.1.6</w:t>
      </w:r>
      <w:r>
        <w:tab/>
        <w:t>Трудности, связанные с выполнением этих</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задач</w:t>
      </w:r>
      <w:r>
        <w:tab/>
      </w:r>
      <w:r>
        <w:tab/>
        <w:t>136</w:t>
      </w:r>
      <w:r>
        <w:tab/>
        <w:t>61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3.1.2</w:t>
      </w:r>
      <w:r>
        <w:tab/>
        <w:t>Равные возможности на рынке труда</w:t>
      </w:r>
      <w:r>
        <w:tab/>
      </w:r>
      <w:r>
        <w:tab/>
        <w:t>137 - 168</w:t>
      </w:r>
      <w:r>
        <w:tab/>
        <w:t>61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t>3.1.2.1</w:t>
      </w:r>
      <w:r>
        <w:tab/>
        <w:t>Профессиональная ориентация</w:t>
      </w:r>
      <w:r>
        <w:tab/>
      </w:r>
      <w:r>
        <w:tab/>
        <w:t>160 - 163</w:t>
      </w:r>
      <w:r>
        <w:tab/>
      </w:r>
      <w:r>
        <w:rPr>
          <w:lang w:val="en-US"/>
        </w:rPr>
        <w:t>68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3.1.2.2</w:t>
      </w:r>
      <w:r>
        <w:tab/>
        <w:t xml:space="preserve">Исключения:  исследование о </w:t>
      </w:r>
      <w:proofErr w:type="spellStart"/>
      <w:r>
        <w:t>гендерно</w:t>
      </w:r>
      <w:proofErr w:type="spellEnd"/>
      <w:r>
        <w:t>-</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специфических профессиях</w:t>
      </w:r>
      <w:r>
        <w:tab/>
      </w:r>
      <w:r>
        <w:tab/>
        <w:t>164 - 168</w:t>
      </w:r>
      <w:r>
        <w:tab/>
      </w:r>
      <w:r>
        <w:rPr>
          <w:lang w:val="en-US"/>
        </w:rPr>
        <w:t>70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3.1.3</w:t>
      </w:r>
      <w:r>
        <w:tab/>
        <w:t>Трудящиеся, совмещающие занятость полный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рабочий день с другой работой</w:t>
      </w:r>
      <w:r>
        <w:tab/>
      </w:r>
      <w:r>
        <w:tab/>
        <w:t>169</w:t>
      </w:r>
      <w:r>
        <w:tab/>
        <w:t>72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t>3.2</w:t>
      </w:r>
      <w:r>
        <w:tab/>
        <w:t>Статья 7</w:t>
      </w:r>
      <w:r>
        <w:tab/>
      </w:r>
      <w:r>
        <w:tab/>
      </w:r>
      <w:r>
        <w:tab/>
        <w:t>170 - 213</w:t>
      </w:r>
      <w:r>
        <w:tab/>
      </w:r>
      <w:r>
        <w:rPr>
          <w:lang w:val="en-US"/>
        </w:rPr>
        <w:t>72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3.2.1</w:t>
      </w:r>
      <w:r>
        <w:tab/>
        <w:t>Общая методика определения ставок заработной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платы</w:t>
      </w:r>
      <w:r>
        <w:tab/>
      </w:r>
      <w:r>
        <w:tab/>
        <w:t>170 - 192</w:t>
      </w:r>
      <w:r>
        <w:tab/>
        <w:t>72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3.2.1.1</w:t>
      </w:r>
      <w:r>
        <w:tab/>
        <w:t>Минимальный доход</w:t>
      </w:r>
      <w:r>
        <w:tab/>
      </w:r>
      <w:r>
        <w:tab/>
        <w:t>171 - 184</w:t>
      </w:r>
      <w:r>
        <w:tab/>
        <w:t>72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3.2.1.2</w:t>
      </w:r>
      <w:r>
        <w:tab/>
        <w:t>Равное вознаграждение за труд равной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ценности</w:t>
      </w:r>
      <w:r>
        <w:tab/>
      </w:r>
      <w:r>
        <w:tab/>
        <w:t>185 - 192</w:t>
      </w:r>
      <w:r>
        <w:tab/>
        <w:t>76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3.2.2</w:t>
      </w:r>
      <w:r>
        <w:tab/>
        <w:t>Безопасные условия и гигиена труда</w:t>
      </w:r>
      <w:r>
        <w:tab/>
      </w:r>
      <w:r>
        <w:tab/>
        <w:t>193 - 198</w:t>
      </w:r>
      <w:r>
        <w:tab/>
        <w:t>81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t>3.2.2.1</w:t>
      </w:r>
      <w:r>
        <w:tab/>
        <w:t>Исключения</w:t>
      </w:r>
      <w:r>
        <w:tab/>
      </w:r>
      <w:r>
        <w:tab/>
        <w:t>194</w:t>
      </w:r>
      <w:r>
        <w:tab/>
      </w:r>
      <w:r>
        <w:rPr>
          <w:lang w:val="en-US"/>
        </w:rPr>
        <w:t>81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3.2.2.2</w:t>
      </w:r>
      <w:r>
        <w:tab/>
        <w:t>Несчастные случаи на производстве 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профессиональные заболевания</w:t>
      </w:r>
      <w:r>
        <w:tab/>
      </w:r>
      <w:r>
        <w:tab/>
        <w:t>195 - 198</w:t>
      </w:r>
      <w:r>
        <w:tab/>
      </w:r>
      <w:r>
        <w:rPr>
          <w:lang w:val="en-US"/>
        </w:rPr>
        <w:t>81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3.2.3</w:t>
      </w:r>
      <w:r>
        <w:tab/>
        <w:t>Равные возможности в продвижении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по службе</w:t>
      </w:r>
      <w:r>
        <w:tab/>
      </w:r>
      <w:r>
        <w:tab/>
        <w:t>199 - 210</w:t>
      </w:r>
      <w:r>
        <w:tab/>
      </w:r>
      <w:r>
        <w:rPr>
          <w:lang w:val="en-US"/>
        </w:rPr>
        <w:t>83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br w:type="page"/>
      </w:r>
      <w:r>
        <w:rPr>
          <w:b/>
          <w:bCs/>
        </w:rPr>
        <w:t>СОДЕРЖАНИЕ (</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3.2.4</w:t>
      </w:r>
      <w:r>
        <w:tab/>
        <w:t>Разумная продолжительность рабочего времени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перерывов, отпусков, выходных дней и т.п.</w:t>
      </w:r>
      <w:r>
        <w:tab/>
      </w:r>
      <w:r>
        <w:tab/>
        <w:t>211 - 213</w:t>
      </w:r>
      <w:r>
        <w:tab/>
        <w:t>87</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16" w:lineRule="auto"/>
      </w:pPr>
      <w:r>
        <w:tab/>
        <w:t>3.3</w:t>
      </w:r>
      <w:r>
        <w:tab/>
        <w:t>Статья 8</w:t>
      </w:r>
      <w:r>
        <w:tab/>
      </w:r>
      <w:r>
        <w:tab/>
      </w:r>
      <w:r>
        <w:tab/>
        <w:t>214 - 224</w:t>
      </w:r>
      <w:r>
        <w:tab/>
        <w:t>88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16"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3.3.1</w:t>
      </w:r>
      <w:r>
        <w:tab/>
        <w:t>Право на свободу ассоциации</w:t>
      </w:r>
      <w:r>
        <w:tab/>
      </w:r>
      <w:r>
        <w:tab/>
        <w:t>214</w:t>
      </w:r>
      <w:r>
        <w:tab/>
        <w:t>88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3.3.1.1</w:t>
      </w:r>
      <w:r>
        <w:tab/>
        <w:t>Право создавать профсоюзы и вступать в них</w:t>
      </w:r>
      <w:r>
        <w:tab/>
      </w:r>
      <w:r>
        <w:tab/>
        <w:t>215</w:t>
      </w:r>
      <w:r>
        <w:tab/>
        <w:t>88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3.3.1.2</w:t>
      </w:r>
      <w:r>
        <w:tab/>
        <w:t xml:space="preserve">Право профсоюзов объединяться </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 xml:space="preserve">в национальные федерации и вступать в </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международные профсоюзные организации</w:t>
      </w:r>
      <w:r>
        <w:tab/>
      </w:r>
      <w:r>
        <w:tab/>
        <w:t>216</w:t>
      </w:r>
      <w:r>
        <w:tab/>
        <w:t>88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3.3.1.3</w:t>
      </w:r>
      <w:r>
        <w:tab/>
        <w:t>Право профсоюзов на беспрепятственное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функционирование</w:t>
      </w:r>
      <w:r>
        <w:tab/>
      </w:r>
      <w:r>
        <w:tab/>
        <w:t>217</w:t>
      </w:r>
      <w:r>
        <w:tab/>
      </w:r>
      <w:r>
        <w:rPr>
          <w:lang w:val="en-US"/>
        </w:rPr>
        <w:t>89</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3.3.1.4</w:t>
      </w:r>
      <w:r>
        <w:tab/>
        <w:t>Информация, касающаяся количества</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структуры профсоюзов и их членского</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состава</w:t>
      </w:r>
      <w:r>
        <w:tab/>
      </w:r>
      <w:r>
        <w:tab/>
        <w:t>218 - 223</w:t>
      </w:r>
      <w:r>
        <w:tab/>
        <w:t>89</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3.3.2</w:t>
      </w:r>
      <w:r>
        <w:tab/>
        <w:t>Право на забастовку</w:t>
      </w:r>
      <w:r>
        <w:tab/>
      </w:r>
      <w:r>
        <w:tab/>
        <w:t>224</w:t>
      </w:r>
      <w:r>
        <w:tab/>
        <w:t>90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3.4</w:t>
      </w:r>
      <w:r>
        <w:tab/>
        <w:t>Статья 9</w:t>
      </w:r>
      <w:r>
        <w:tab/>
      </w:r>
      <w:r>
        <w:tab/>
      </w:r>
      <w:r>
        <w:tab/>
        <w:t>225 - 240</w:t>
      </w:r>
      <w:r>
        <w:tab/>
        <w:t>90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3.4.1</w:t>
      </w:r>
      <w:r>
        <w:tab/>
        <w:t>Социальное обеспечение</w:t>
      </w:r>
      <w:r>
        <w:tab/>
      </w:r>
      <w:r>
        <w:tab/>
        <w:t>225</w:t>
      </w:r>
      <w:r>
        <w:tab/>
        <w:t>90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3.4.2</w:t>
      </w:r>
      <w:r>
        <w:tab/>
        <w:t>Государственные расходы (основные цифры</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показатели)</w:t>
      </w:r>
      <w:r>
        <w:tab/>
      </w:r>
      <w:r>
        <w:tab/>
        <w:t>226</w:t>
      </w:r>
      <w:r>
        <w:tab/>
        <w:t>91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3.4.3</w:t>
      </w:r>
      <w:r>
        <w:tab/>
        <w:t>Дополнительное частное страхование</w:t>
      </w:r>
      <w:r>
        <w:tab/>
      </w:r>
      <w:r>
        <w:tab/>
        <w:t>227</w:t>
      </w:r>
      <w:r>
        <w:tab/>
        <w:t>92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3.4.4</w:t>
      </w:r>
      <w:r>
        <w:tab/>
        <w:t>Группы населения, не имеющие полного</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доступа к системе социального обеспечения</w:t>
      </w:r>
      <w:r>
        <w:tab/>
      </w:r>
      <w:r>
        <w:tab/>
        <w:t>228</w:t>
      </w:r>
      <w:r>
        <w:tab/>
        <w:t>92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3.4.5</w:t>
      </w:r>
      <w:r>
        <w:tab/>
        <w:t>Изменения в размере пособий и условиях</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социального страхования</w:t>
      </w:r>
      <w:r>
        <w:tab/>
      </w:r>
      <w:r>
        <w:tab/>
        <w:t>229 - 240</w:t>
      </w:r>
      <w:r>
        <w:tab/>
        <w:t>93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3.5</w:t>
      </w:r>
      <w:r>
        <w:tab/>
        <w:t xml:space="preserve">Статья 10 </w:t>
      </w:r>
      <w:r>
        <w:tab/>
      </w:r>
      <w:r>
        <w:tab/>
        <w:t>241 - 327</w:t>
      </w:r>
      <w:r>
        <w:tab/>
        <w:t>96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3.5.1</w:t>
      </w:r>
      <w:r>
        <w:tab/>
        <w:t>Значение термина "семья" в голландском</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обществе</w:t>
      </w:r>
      <w:r>
        <w:tab/>
      </w:r>
      <w:r>
        <w:tab/>
        <w:t>242 - 249</w:t>
      </w:r>
      <w:r>
        <w:tab/>
        <w:t>97</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3.5.2</w:t>
      </w:r>
      <w:r>
        <w:tab/>
        <w:t>Возраст гражданского совершеннолетия</w:t>
      </w:r>
      <w:r>
        <w:tab/>
      </w:r>
      <w:r>
        <w:tab/>
        <w:t>250</w:t>
      </w:r>
      <w:r>
        <w:tab/>
        <w:t>100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br w:type="page"/>
      </w:r>
      <w:r>
        <w:rPr>
          <w:b/>
          <w:bCs/>
        </w:rPr>
        <w:t>СОДЕРЖАНИЕ (</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3.5.3</w:t>
      </w:r>
      <w:r>
        <w:tab/>
        <w:t>Охрана семьи</w:t>
      </w:r>
      <w:r>
        <w:tab/>
      </w:r>
      <w:r>
        <w:tab/>
        <w:t>251 - 297</w:t>
      </w:r>
      <w:r>
        <w:tab/>
        <w:t>100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3.5.4</w:t>
      </w:r>
      <w:r>
        <w:tab/>
        <w:t>Охрана материнства</w:t>
      </w:r>
      <w:r>
        <w:tab/>
      </w:r>
      <w:r>
        <w:tab/>
        <w:t>298 - 302</w:t>
      </w:r>
      <w:r>
        <w:tab/>
        <w:t>112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3.5.4.1</w:t>
      </w:r>
      <w:r>
        <w:tab/>
        <w:t>Различные формы защиты</w:t>
      </w:r>
      <w:r>
        <w:tab/>
      </w:r>
      <w:r>
        <w:tab/>
        <w:t>298 - 301</w:t>
      </w:r>
      <w:r>
        <w:tab/>
        <w:t>112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3.5.4.2</w:t>
      </w:r>
      <w:r>
        <w:tab/>
        <w:t>Группы женщин, не охватываемые мерами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защиты</w:t>
      </w:r>
      <w:r>
        <w:tab/>
      </w:r>
      <w:r>
        <w:tab/>
        <w:t>302</w:t>
      </w:r>
      <w:r>
        <w:tab/>
      </w:r>
      <w:r>
        <w:rPr>
          <w:lang w:val="en-US"/>
        </w:rPr>
        <w:t>113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3.5.5</w:t>
      </w:r>
      <w:r>
        <w:tab/>
        <w:t>Меры по обеспечению защиты и помощи для</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детей и молодежи</w:t>
      </w:r>
      <w:r>
        <w:tab/>
      </w:r>
      <w:r>
        <w:tab/>
        <w:t>303 - 327</w:t>
      </w:r>
      <w:r>
        <w:tab/>
        <w:t>113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t>3.5.5.1</w:t>
      </w:r>
      <w:r>
        <w:tab/>
        <w:t>Оплачиваемый труд</w:t>
      </w:r>
      <w:r>
        <w:tab/>
      </w:r>
      <w:r>
        <w:tab/>
        <w:t>320</w:t>
      </w:r>
      <w:r>
        <w:tab/>
      </w:r>
      <w:r>
        <w:rPr>
          <w:lang w:val="en-US"/>
        </w:rPr>
        <w:t>118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sz w:val="16"/>
        </w:rP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3.5.5.2</w:t>
      </w:r>
      <w:r>
        <w:tab/>
        <w:t>Труд на семейных предприятиях и в домашних</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хозяйствах</w:t>
      </w:r>
      <w:r>
        <w:tab/>
      </w:r>
      <w:r>
        <w:tab/>
        <w:t>321</w:t>
      </w:r>
      <w:r>
        <w:tab/>
        <w:t>118</w:t>
      </w:r>
    </w:p>
    <w:p w:rsidR="00000000" w:rsidRDefault="00000000">
      <w:pPr>
        <w:tabs>
          <w:tab w:val="left" w:pos="2044"/>
        </w:tabs>
        <w:spacing w:line="240" w:lineRule="auto"/>
        <w:jc w:val="cente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3.5.5.3</w:t>
      </w:r>
      <w:r>
        <w:tab/>
        <w:t>Защита конкретных групп детей</w:t>
      </w:r>
      <w:r>
        <w:tab/>
      </w:r>
      <w:r>
        <w:tab/>
        <w:t>322 - 327</w:t>
      </w:r>
      <w:r>
        <w:tab/>
        <w:t>118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3.6</w:t>
      </w:r>
      <w:r>
        <w:tab/>
        <w:t xml:space="preserve">Статья 11 </w:t>
      </w:r>
      <w:r>
        <w:tab/>
      </w:r>
      <w:r>
        <w:tab/>
        <w:t>328 - 406</w:t>
      </w:r>
      <w:r>
        <w:tab/>
        <w:t>121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3.6.1</w:t>
      </w:r>
      <w:r>
        <w:tab/>
        <w:t>Право на достаточный жизненный уровень</w:t>
      </w:r>
      <w:r>
        <w:tab/>
      </w:r>
      <w:r>
        <w:tab/>
        <w:t>328 - 330</w:t>
      </w:r>
      <w:r>
        <w:tab/>
        <w:t>121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3.6.1.1</w:t>
      </w:r>
      <w:r>
        <w:tab/>
        <w:t>Уровень жизни в настоящее время</w:t>
      </w:r>
      <w:r>
        <w:tab/>
      </w:r>
      <w:r>
        <w:tab/>
        <w:t>328</w:t>
      </w:r>
      <w:r>
        <w:tab/>
        <w:t>121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3.6.1.2</w:t>
      </w:r>
      <w:r>
        <w:tab/>
        <w:t>Экономическое положение (основные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статистические данные и показатели)</w:t>
      </w:r>
      <w:r>
        <w:tab/>
      </w:r>
      <w:r>
        <w:tab/>
        <w:t>329 - 330</w:t>
      </w:r>
      <w:r>
        <w:tab/>
        <w:t>122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3.6.2</w:t>
      </w:r>
      <w:r>
        <w:tab/>
        <w:t>Право на питание</w:t>
      </w:r>
      <w:r>
        <w:tab/>
      </w:r>
      <w:r>
        <w:tab/>
        <w:t>331 - 343</w:t>
      </w:r>
      <w:r>
        <w:tab/>
        <w:t>122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3.6.2.1</w:t>
      </w:r>
      <w:r>
        <w:tab/>
        <w:t>Осуществление этого права</w:t>
      </w:r>
      <w:r>
        <w:tab/>
      </w:r>
      <w:r>
        <w:tab/>
        <w:t>331</w:t>
      </w:r>
      <w:r>
        <w:tab/>
        <w:t>122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3.6.2.2</w:t>
      </w:r>
      <w:r>
        <w:tab/>
        <w:t>Государственная политика в области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производства продуктов питания</w:t>
      </w:r>
      <w:r>
        <w:tab/>
      </w:r>
      <w:r>
        <w:tab/>
        <w:t>332 - 338</w:t>
      </w:r>
      <w:r>
        <w:tab/>
        <w:t>123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3.6.2.3</w:t>
      </w:r>
      <w:r>
        <w:tab/>
        <w:t>Информация о питании</w:t>
      </w:r>
      <w:r>
        <w:tab/>
      </w:r>
      <w:r>
        <w:tab/>
        <w:t>339</w:t>
      </w:r>
      <w:r>
        <w:tab/>
        <w:t>124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3.6.2.4</w:t>
      </w:r>
      <w:r>
        <w:tab/>
        <w:t>Справедливое распределение мировых запасов</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 xml:space="preserve">продовольствия </w:t>
      </w:r>
      <w:r>
        <w:tab/>
      </w:r>
      <w:r>
        <w:tab/>
        <w:t>340 - 343</w:t>
      </w:r>
      <w:r>
        <w:tab/>
        <w:t>124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3.6.3</w:t>
      </w:r>
      <w:r>
        <w:tab/>
        <w:t>Право на жилище</w:t>
      </w:r>
      <w:r>
        <w:tab/>
      </w:r>
      <w:r>
        <w:tab/>
        <w:t>344 - 406</w:t>
      </w:r>
      <w:r>
        <w:tab/>
        <w:t>126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br w:type="page"/>
      </w:r>
      <w:r>
        <w:rPr>
          <w:b/>
          <w:bCs/>
        </w:rPr>
        <w:t>СОДЕРЖАНИЕ (</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3.6.3.1</w:t>
      </w:r>
      <w:r>
        <w:tab/>
        <w:t>Информация о положении в этой области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в Нидерландах</w:t>
      </w:r>
      <w:r>
        <w:tab/>
      </w:r>
      <w:r>
        <w:tab/>
        <w:t>344</w:t>
      </w:r>
      <w:r>
        <w:tab/>
      </w:r>
      <w:r>
        <w:rPr>
          <w:lang w:val="en-US"/>
        </w:rPr>
        <w:t>126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3.6.3.2</w:t>
      </w:r>
      <w:r>
        <w:tab/>
        <w:t>Уязвимые и находящиеся в неблагоприятном</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положении группы общества</w:t>
      </w:r>
      <w:r>
        <w:tab/>
      </w:r>
      <w:r>
        <w:tab/>
        <w:t>345 - 353</w:t>
      </w:r>
      <w:r>
        <w:tab/>
        <w:t>126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t>3.6.3.3</w:t>
      </w:r>
      <w:r>
        <w:tab/>
        <w:t>Законодательство</w:t>
      </w:r>
      <w:r>
        <w:tab/>
      </w:r>
      <w:r>
        <w:tab/>
        <w:t>354 - 406</w:t>
      </w:r>
      <w:r>
        <w:tab/>
      </w:r>
      <w:r>
        <w:rPr>
          <w:lang w:val="en-US"/>
        </w:rPr>
        <w:t>130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t>3.7</w:t>
      </w:r>
      <w:r>
        <w:tab/>
        <w:t xml:space="preserve">Статья 12 </w:t>
      </w:r>
      <w:r>
        <w:tab/>
      </w:r>
      <w:r>
        <w:tab/>
        <w:t>407 - 447</w:t>
      </w:r>
      <w:r>
        <w:tab/>
      </w:r>
      <w:r>
        <w:rPr>
          <w:lang w:val="en-US"/>
        </w:rPr>
        <w:t>151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3.7.1</w:t>
      </w:r>
      <w:r>
        <w:tab/>
        <w:t>Государственные расходы (основные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статистические данные и показатели)</w:t>
      </w:r>
      <w:r>
        <w:tab/>
      </w:r>
      <w:r>
        <w:tab/>
        <w:t>407 - 411</w:t>
      </w:r>
      <w:r>
        <w:tab/>
        <w:t>151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3.7.2</w:t>
      </w:r>
      <w:r>
        <w:tab/>
        <w:t>Статистические данные</w:t>
      </w:r>
      <w:r>
        <w:tab/>
      </w:r>
      <w:r>
        <w:tab/>
        <w:t>412 - 420</w:t>
      </w:r>
      <w:r>
        <w:tab/>
        <w:t>153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3.7.2.1</w:t>
      </w:r>
      <w:r>
        <w:tab/>
        <w:t>Детская смертность</w:t>
      </w:r>
      <w:r>
        <w:tab/>
      </w:r>
      <w:r>
        <w:tab/>
        <w:t>412 - 414</w:t>
      </w:r>
      <w:r>
        <w:tab/>
        <w:t>153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3.7.2.2</w:t>
      </w:r>
      <w:r>
        <w:tab/>
        <w:t>Средняя продолжительность жизни</w:t>
      </w:r>
      <w:r>
        <w:tab/>
      </w:r>
      <w:r>
        <w:tab/>
        <w:t>415 - 418</w:t>
      </w:r>
      <w:r>
        <w:tab/>
        <w:t>154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3.7.2.3</w:t>
      </w:r>
      <w:r>
        <w:tab/>
        <w:t>Доступ к медицинской помощи</w:t>
      </w:r>
      <w:r>
        <w:tab/>
      </w:r>
      <w:r>
        <w:tab/>
        <w:t>419 - 420</w:t>
      </w:r>
      <w:r>
        <w:tab/>
        <w:t>155</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w:t>
      </w:r>
      <w:r>
        <w:tab/>
        <w:t>Уязвимые в плане получения медицинской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помощи группы</w:t>
      </w:r>
      <w:r>
        <w:tab/>
      </w:r>
      <w:r>
        <w:tab/>
        <w:t>421 - 442</w:t>
      </w:r>
      <w:r>
        <w:tab/>
      </w:r>
      <w:r>
        <w:rPr>
          <w:lang w:val="en-US"/>
        </w:rPr>
        <w:t>156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3.7.3.1</w:t>
      </w:r>
      <w:r>
        <w:tab/>
        <w:t>Возможные отрицательные последствия</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политики и/или законодательства и меры,</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направленные на их смягчение</w:t>
      </w:r>
      <w:r>
        <w:tab/>
      </w:r>
      <w:r>
        <w:tab/>
        <w:t>421 - 423</w:t>
      </w:r>
      <w:r>
        <w:tab/>
        <w:t>156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3.7.3.2</w:t>
      </w:r>
      <w:r>
        <w:tab/>
        <w:t>Меры по улучшению жизни детей</w:t>
      </w:r>
      <w:r>
        <w:tab/>
      </w:r>
      <w:r>
        <w:tab/>
        <w:t>424 - 428</w:t>
      </w:r>
      <w:r>
        <w:tab/>
        <w:t>158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3.7.3.3</w:t>
      </w:r>
      <w:r>
        <w:tab/>
        <w:t>Улучшение условий жизни и труда</w:t>
      </w:r>
      <w:r>
        <w:tab/>
      </w:r>
      <w:r>
        <w:tab/>
        <w:t>429</w:t>
      </w:r>
      <w:r>
        <w:tab/>
        <w:t>160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3.7.3.4</w:t>
      </w:r>
      <w:r>
        <w:tab/>
        <w:t>Профилактика, лечение заболеваний и борьба</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 ними</w:t>
      </w:r>
      <w:r>
        <w:tab/>
      </w:r>
      <w:r>
        <w:tab/>
        <w:t>430 - 434</w:t>
      </w:r>
      <w:r>
        <w:tab/>
        <w:t>161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3.7.3.5</w:t>
      </w:r>
      <w:r>
        <w:tab/>
        <w:t>Восстановительная терапия и уход</w:t>
      </w:r>
      <w:r>
        <w:tab/>
      </w:r>
      <w:r>
        <w:tab/>
        <w:t>435 - 442</w:t>
      </w:r>
      <w:r>
        <w:tab/>
        <w:t>162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3.7.4</w:t>
      </w:r>
      <w:r>
        <w:tab/>
        <w:t>Стоимость медицинской помощи и положение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престарелых в этой связи</w:t>
      </w:r>
      <w:r>
        <w:tab/>
      </w:r>
      <w:r>
        <w:tab/>
        <w:t>443 - 447</w:t>
      </w:r>
      <w:r>
        <w:tab/>
        <w:t>164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sz w:val="16"/>
        </w:rP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3.8</w:t>
      </w:r>
      <w:r>
        <w:tab/>
        <w:t xml:space="preserve">Статья 13 </w:t>
      </w:r>
      <w:r>
        <w:tab/>
      </w:r>
      <w:r>
        <w:tab/>
        <w:t>448 - 538</w:t>
      </w:r>
      <w:r>
        <w:tab/>
        <w:t>165</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sz w:val="16"/>
        </w:rP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3.8.1</w:t>
      </w:r>
      <w:r>
        <w:tab/>
        <w:t>Право на образование</w:t>
      </w:r>
      <w:r>
        <w:tab/>
      </w:r>
      <w:r>
        <w:tab/>
        <w:t>456 - 480</w:t>
      </w:r>
      <w:r>
        <w:tab/>
        <w:t>173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br w:type="page"/>
      </w:r>
      <w:r>
        <w:rPr>
          <w:b/>
          <w:bCs/>
        </w:rPr>
        <w:t>СОДЕРЖАНИЕ (</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3.8.1.1</w:t>
      </w:r>
      <w:r>
        <w:tab/>
        <w:t>Начальное образование</w:t>
      </w:r>
      <w:r>
        <w:tab/>
      </w:r>
      <w:r>
        <w:tab/>
        <w:t>460</w:t>
      </w:r>
      <w:r>
        <w:tab/>
        <w:t>174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3.8.1.2</w:t>
      </w:r>
      <w:r>
        <w:tab/>
        <w:t>Среднее образование</w:t>
      </w:r>
      <w:r>
        <w:tab/>
      </w:r>
      <w:r>
        <w:tab/>
        <w:t>461 - 465</w:t>
      </w:r>
      <w:r>
        <w:tab/>
        <w:t>174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3.8.1.3</w:t>
      </w:r>
      <w:r>
        <w:tab/>
        <w:t>Высшее образование и базовое образование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для взрослых</w:t>
      </w:r>
      <w:r>
        <w:tab/>
      </w:r>
      <w:r>
        <w:tab/>
        <w:t>466 - 473</w:t>
      </w:r>
      <w:r>
        <w:tab/>
      </w:r>
      <w:r>
        <w:rPr>
          <w:lang w:val="en-US"/>
        </w:rPr>
        <w:t>176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3.8.1.4</w:t>
      </w:r>
      <w:r>
        <w:tab/>
        <w:t xml:space="preserve">Охват образованием взрослых с низким </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базовым образованием или без него</w:t>
      </w:r>
      <w:r>
        <w:tab/>
      </w:r>
      <w:r>
        <w:tab/>
        <w:t>474 - 480</w:t>
      </w:r>
      <w:r>
        <w:tab/>
        <w:t>178</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3.8.2</w:t>
      </w:r>
      <w:r>
        <w:tab/>
        <w:t xml:space="preserve">Данные об уровне грамотности и меры </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по борьбе с неграмотностью</w:t>
      </w:r>
      <w:r>
        <w:tab/>
      </w:r>
      <w:r>
        <w:tab/>
        <w:t>481 - 484</w:t>
      </w:r>
      <w:r>
        <w:tab/>
      </w:r>
      <w:r>
        <w:rPr>
          <w:lang w:val="en-US"/>
        </w:rPr>
        <w:t>180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3.8.3</w:t>
      </w:r>
      <w:r>
        <w:tab/>
        <w:t>Государственные расходы (основные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статистические данные и показатели)</w:t>
      </w:r>
      <w:r>
        <w:tab/>
      </w:r>
      <w:r>
        <w:tab/>
        <w:t>485 - 488</w:t>
      </w:r>
      <w:r>
        <w:tab/>
        <w:t>181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3.8.4</w:t>
      </w:r>
      <w:r>
        <w:tab/>
        <w:t>Равный доступ к образованию</w:t>
      </w:r>
      <w:r>
        <w:tab/>
      </w:r>
      <w:r>
        <w:tab/>
        <w:t>489 - 534</w:t>
      </w:r>
      <w:r>
        <w:tab/>
        <w:t>184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3.8.4.1</w:t>
      </w:r>
      <w:r>
        <w:tab/>
      </w:r>
      <w:proofErr w:type="spellStart"/>
      <w:r>
        <w:t>Гендерный</w:t>
      </w:r>
      <w:proofErr w:type="spellEnd"/>
      <w:r>
        <w:t xml:space="preserve"> баланс</w:t>
      </w:r>
      <w:r>
        <w:tab/>
      </w:r>
      <w:r>
        <w:tab/>
        <w:t>504 - 507</w:t>
      </w:r>
      <w:r>
        <w:tab/>
        <w:t>192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sz w:val="16"/>
        </w:rP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3.8.4.2</w:t>
      </w:r>
      <w:r>
        <w:tab/>
        <w:t>Уязвимые группы в обществе</w:t>
      </w:r>
      <w:r>
        <w:tab/>
      </w:r>
      <w:r>
        <w:tab/>
        <w:t>508 - 528</w:t>
      </w:r>
      <w:r>
        <w:tab/>
        <w:t>194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3.8.4.3</w:t>
      </w:r>
      <w:r>
        <w:tab/>
        <w:t>Поощрение равного доступа к образованию;</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r>
      <w:proofErr w:type="spellStart"/>
      <w:r>
        <w:t>антидискриминационные</w:t>
      </w:r>
      <w:proofErr w:type="spellEnd"/>
      <w:r>
        <w:t xml:space="preserve"> меры</w:t>
      </w:r>
      <w:r>
        <w:tab/>
      </w:r>
      <w:r>
        <w:tab/>
        <w:t>529 - 533</w:t>
      </w:r>
      <w:r>
        <w:tab/>
        <w:t>201</w:t>
      </w:r>
    </w:p>
    <w:p w:rsidR="00000000" w:rsidRDefault="00000000">
      <w:pPr>
        <w:tabs>
          <w:tab w:val="left" w:pos="2044"/>
        </w:tabs>
        <w:spacing w:line="240" w:lineRule="auto"/>
        <w:jc w:val="center"/>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3.8.4.4</w:t>
      </w:r>
      <w:r>
        <w:tab/>
        <w:t>Обучение на родном языке</w:t>
      </w:r>
      <w:r>
        <w:tab/>
      </w:r>
      <w:r>
        <w:tab/>
        <w:t>534</w:t>
      </w:r>
      <w:r>
        <w:tab/>
        <w:t>204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t>3.8.5</w:t>
      </w:r>
      <w:r>
        <w:tab/>
        <w:t>Преподаватели</w:t>
      </w:r>
      <w:r>
        <w:tab/>
      </w:r>
      <w:r>
        <w:tab/>
        <w:t>435 - 538</w:t>
      </w:r>
      <w:r>
        <w:tab/>
      </w:r>
      <w:r>
        <w:rPr>
          <w:lang w:val="en-US"/>
        </w:rPr>
        <w:t>204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3.9</w:t>
      </w:r>
      <w:r>
        <w:tab/>
        <w:t xml:space="preserve">Статья 14 </w:t>
      </w:r>
      <w:r>
        <w:tab/>
      </w:r>
      <w:r>
        <w:tab/>
        <w:t>539</w:t>
      </w:r>
      <w:r>
        <w:tab/>
      </w:r>
      <w:r>
        <w:rPr>
          <w:lang w:val="en-US"/>
        </w:rPr>
        <w:t>206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3.9.1</w:t>
      </w:r>
      <w:r>
        <w:tab/>
        <w:t xml:space="preserve">Обязанность государства предоставлять </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бесплатное начальное образование</w:t>
      </w:r>
      <w:r>
        <w:tab/>
      </w:r>
      <w:r>
        <w:tab/>
        <w:t>539</w:t>
      </w:r>
      <w:r>
        <w:tab/>
        <w:t>206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t>3.10</w:t>
      </w:r>
      <w:r>
        <w:tab/>
        <w:t xml:space="preserve">Статья 15 </w:t>
      </w:r>
      <w:r>
        <w:tab/>
      </w:r>
      <w:r>
        <w:tab/>
        <w:t>540 - 610</w:t>
      </w:r>
      <w:r>
        <w:tab/>
        <w:t>206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w:t>
      </w:r>
      <w:r>
        <w:tab/>
        <w:t>Право на участие в культурной жизни</w:t>
      </w:r>
      <w:r>
        <w:tab/>
      </w:r>
      <w:r>
        <w:tab/>
        <w:t>540 - 574</w:t>
      </w:r>
      <w:r>
        <w:tab/>
        <w:t>206</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3.10.1.1</w:t>
      </w:r>
      <w:r>
        <w:tab/>
        <w:t>Фонды для целей культурного развития</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участия населения</w:t>
      </w:r>
      <w:r>
        <w:tab/>
      </w:r>
      <w:r>
        <w:tab/>
        <w:t>550</w:t>
      </w:r>
      <w:r>
        <w:tab/>
        <w:t>210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3.10.1.2</w:t>
      </w:r>
      <w:r>
        <w:tab/>
        <w:t>Институциональная инфраструктура для</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содействия участию населения</w:t>
      </w:r>
      <w:r>
        <w:tab/>
      </w:r>
      <w:r>
        <w:tab/>
        <w:t>551</w:t>
      </w:r>
      <w:r>
        <w:tab/>
        <w:t>211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left" w:pos="2044"/>
        </w:tabs>
        <w:spacing w:line="240" w:lineRule="auto"/>
        <w:jc w:val="center"/>
        <w:rPr>
          <w:b/>
          <w:bCs/>
        </w:rPr>
      </w:pPr>
      <w:r>
        <w:rPr>
          <w:b/>
          <w:bCs/>
        </w:rPr>
        <w:t>СОДЕРЖАНИЕ (</w:t>
      </w:r>
      <w:r>
        <w:rPr>
          <w:b/>
          <w:bCs/>
          <w:i/>
          <w:iCs/>
        </w:rPr>
        <w:t>продолжение</w:t>
      </w:r>
      <w:r>
        <w:rPr>
          <w:b/>
          <w:bCs/>
        </w:rPr>
        <w:t>)</w:t>
      </w:r>
    </w:p>
    <w:p w:rsidR="00000000" w:rsidRDefault="00000000">
      <w:pPr>
        <w:tabs>
          <w:tab w:val="left" w:pos="2044"/>
        </w:tabs>
        <w:spacing w:line="240" w:lineRule="auto"/>
        <w:jc w:val="center"/>
      </w:pPr>
    </w:p>
    <w:p w:rsidR="00000000" w:rsidRDefault="00000000">
      <w:pPr>
        <w:tabs>
          <w:tab w:val="clear" w:pos="6237"/>
          <w:tab w:val="left" w:pos="2044"/>
          <w:tab w:val="center" w:pos="8039"/>
          <w:tab w:val="center" w:pos="9122"/>
        </w:tabs>
        <w:spacing w:line="240" w:lineRule="auto"/>
        <w:rPr>
          <w:i/>
          <w:iCs/>
        </w:rPr>
      </w:pPr>
      <w:r>
        <w:tab/>
      </w:r>
      <w:r>
        <w:tab/>
      </w:r>
      <w:r>
        <w:tab/>
      </w:r>
      <w:r>
        <w:tab/>
      </w:r>
      <w:r>
        <w:tab/>
      </w:r>
      <w:r>
        <w:tab/>
      </w:r>
      <w:r>
        <w:rPr>
          <w:i/>
          <w:iCs/>
        </w:rPr>
        <w:t>Пункты</w:t>
      </w:r>
      <w:r>
        <w:rPr>
          <w:i/>
          <w:iCs/>
        </w:rPr>
        <w:tab/>
        <w:t>Стр.</w:t>
      </w:r>
    </w:p>
    <w:p w:rsidR="00000000" w:rsidRDefault="00000000">
      <w:pPr>
        <w:tabs>
          <w:tab w:val="clear" w:pos="6237"/>
          <w:tab w:val="left" w:pos="2044"/>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3.10.1.3</w:t>
      </w:r>
      <w:r>
        <w:tab/>
        <w:t>Культурная самобытность и культурное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наследие, включая вопросы сохранения</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доступ к памятникам культуры</w:t>
      </w:r>
      <w:r>
        <w:tab/>
      </w:r>
      <w:r>
        <w:tab/>
        <w:t>552 - 558</w:t>
      </w:r>
      <w:r>
        <w:tab/>
        <w:t>212</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3.10.1.4</w:t>
      </w:r>
      <w:r>
        <w:tab/>
        <w:t>Роль средств массовой информации</w:t>
      </w:r>
      <w:r>
        <w:tab/>
      </w:r>
      <w:r>
        <w:tab/>
        <w:t>559 - 569</w:t>
      </w:r>
      <w:r>
        <w:tab/>
        <w:t>215</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3.10.1.5</w:t>
      </w:r>
      <w:r>
        <w:tab/>
        <w:t>Защита свободы художественного</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творчества</w:t>
      </w:r>
      <w:r>
        <w:tab/>
      </w:r>
      <w:r>
        <w:tab/>
        <w:t>570 - 572</w:t>
      </w:r>
      <w:r>
        <w:tab/>
        <w:t>219</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3.10.1.6</w:t>
      </w:r>
      <w:r>
        <w:tab/>
        <w:t>Профессиональная подготовка</w:t>
      </w:r>
      <w:r>
        <w:tab/>
      </w:r>
      <w:r>
        <w:tab/>
        <w:t>573</w:t>
      </w:r>
      <w:r>
        <w:tab/>
        <w:t>220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3.10.1.7</w:t>
      </w:r>
      <w:r>
        <w:tab/>
        <w:t>Дополнительные материалы о культурной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политике Нидерландов</w:t>
      </w:r>
      <w:r>
        <w:tab/>
      </w:r>
      <w:r>
        <w:tab/>
        <w:t>574</w:t>
      </w:r>
      <w:r>
        <w:tab/>
      </w:r>
      <w:r>
        <w:rPr>
          <w:lang w:val="en-US"/>
        </w:rPr>
        <w:t>220</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3.10.2</w:t>
      </w:r>
      <w:r>
        <w:tab/>
        <w:t>Пользование результатами научного прогресса</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их практического применения</w:t>
      </w:r>
      <w:r>
        <w:tab/>
      </w:r>
      <w:r>
        <w:tab/>
        <w:t>575 - 595</w:t>
      </w:r>
      <w:r>
        <w:tab/>
        <w:t>221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3.10.3</w:t>
      </w:r>
      <w:r>
        <w:tab/>
        <w:t>Защита моральных и материальных интересов,</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rPr>
          <w:lang w:val="en-US"/>
        </w:rPr>
      </w:pPr>
      <w:r>
        <w:tab/>
      </w:r>
      <w:r>
        <w:tab/>
      </w:r>
      <w:r>
        <w:tab/>
        <w:t>связанных с научной и иной деятельностью</w:t>
      </w:r>
      <w:r>
        <w:tab/>
      </w:r>
      <w:r>
        <w:tab/>
        <w:t>596 - 602</w:t>
      </w:r>
      <w:r>
        <w:tab/>
      </w:r>
      <w:r>
        <w:rPr>
          <w:lang w:val="en-US"/>
        </w:rPr>
        <w:t>231</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3.10.4</w:t>
      </w:r>
      <w:r>
        <w:tab/>
        <w:t>Охрана, развитие и распространение</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достижений науки и культуры</w:t>
      </w:r>
      <w:r>
        <w:tab/>
      </w:r>
      <w:r>
        <w:tab/>
        <w:t>603 - 605</w:t>
      </w:r>
      <w:r>
        <w:tab/>
        <w:t>233</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3.10.5</w:t>
      </w:r>
      <w:r>
        <w:tab/>
        <w:t>Свобода, необходимая для научных исследований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творческой деятельности</w:t>
      </w:r>
      <w:r>
        <w:tab/>
      </w:r>
      <w:r>
        <w:tab/>
        <w:t>606 - 608</w:t>
      </w:r>
      <w:r>
        <w:tab/>
        <w:t>234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3.10.5.1</w:t>
      </w:r>
      <w:r>
        <w:tab/>
        <w:t>Свобода обмена научной, технической</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и культурной информацией, мнениями и</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опытом</w:t>
      </w:r>
      <w:r>
        <w:tab/>
      </w:r>
      <w:r>
        <w:tab/>
        <w:t>607</w:t>
      </w:r>
      <w:r>
        <w:tab/>
        <w:t>234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3.10.5.2</w:t>
      </w:r>
      <w:r>
        <w:tab/>
        <w:t>Поддержка научных и культурных учреждений</w:t>
      </w:r>
      <w:r>
        <w:tab/>
      </w:r>
      <w:r>
        <w:tab/>
        <w:t>608</w:t>
      </w:r>
      <w:r>
        <w:tab/>
        <w:t>234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3.10.6</w:t>
      </w:r>
      <w:r>
        <w:tab/>
        <w:t>Международные контакты и сотрудничество</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r>
      <w:r>
        <w:tab/>
        <w:t>в научной и культурной областях</w:t>
      </w:r>
      <w:r>
        <w:tab/>
      </w:r>
      <w:r>
        <w:tab/>
        <w:t>609</w:t>
      </w:r>
      <w:r>
        <w:tab/>
        <w:t>234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r>
        <w:tab/>
      </w:r>
      <w:r>
        <w:tab/>
        <w:t>3.10.7</w:t>
      </w:r>
      <w:r>
        <w:tab/>
        <w:t>Новые тенденции в области науки и культуры</w:t>
      </w:r>
      <w:r>
        <w:tab/>
      </w:r>
      <w:r>
        <w:tab/>
        <w:t>610</w:t>
      </w:r>
      <w:r>
        <w:tab/>
        <w:t>234</w:t>
      </w:r>
    </w:p>
    <w:p w:rsidR="00000000" w:rsidRDefault="00000000">
      <w:pPr>
        <w:tabs>
          <w:tab w:val="clear" w:pos="567"/>
          <w:tab w:val="clear" w:pos="1134"/>
          <w:tab w:val="clear" w:pos="1701"/>
          <w:tab w:val="clear" w:pos="2268"/>
          <w:tab w:val="clear" w:pos="6237"/>
          <w:tab w:val="left" w:pos="561"/>
          <w:tab w:val="left" w:pos="1122"/>
          <w:tab w:val="left" w:pos="2044"/>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2057"/>
          <w:tab w:val="right" w:leader="dot" w:pos="8228"/>
          <w:tab w:val="center" w:pos="9122"/>
        </w:tabs>
        <w:spacing w:line="240" w:lineRule="auto"/>
      </w:pPr>
      <w:r>
        <w:t>4.</w:t>
      </w:r>
      <w:r>
        <w:tab/>
        <w:t>СПИСОК ДОБАВЛЕНИЙ</w:t>
      </w:r>
      <w:r>
        <w:tab/>
      </w:r>
      <w:r>
        <w:tab/>
        <w:t>237</w:t>
      </w:r>
    </w:p>
    <w:p w:rsidR="00000000" w:rsidRDefault="00000000">
      <w:pPr>
        <w:tabs>
          <w:tab w:val="clear" w:pos="567"/>
          <w:tab w:val="clear" w:pos="1134"/>
          <w:tab w:val="clear" w:pos="1701"/>
          <w:tab w:val="clear" w:pos="2268"/>
          <w:tab w:val="clear" w:pos="6237"/>
          <w:tab w:val="left" w:pos="561"/>
          <w:tab w:val="left" w:pos="1122"/>
          <w:tab w:val="left" w:pos="2057"/>
          <w:tab w:val="right" w:leader="dot" w:pos="7172"/>
          <w:tab w:val="center" w:pos="8039"/>
          <w:tab w:val="center" w:pos="9122"/>
        </w:tabs>
        <w:spacing w:line="240" w:lineRule="auto"/>
      </w:pPr>
    </w:p>
    <w:p w:rsidR="00000000" w:rsidRDefault="00000000">
      <w:pPr>
        <w:jc w:val="center"/>
        <w:rPr>
          <w:b/>
          <w:bCs/>
        </w:rPr>
      </w:pPr>
      <w:r>
        <w:rPr>
          <w:b/>
          <w:bCs/>
        </w:rPr>
        <w:br w:type="page"/>
        <w:t>Введение</w:t>
      </w:r>
    </w:p>
    <w:p w:rsidR="00000000" w:rsidRDefault="00000000">
      <w:pPr>
        <w:jc w:val="center"/>
        <w:rPr>
          <w:b/>
          <w:bCs/>
        </w:rPr>
      </w:pPr>
    </w:p>
    <w:p w:rsidR="00000000" w:rsidRDefault="00000000">
      <w:r>
        <w:t>1.</w:t>
      </w:r>
      <w:r>
        <w:tab/>
        <w:t>Настоящий доклад представляется в соответствии с пересмотренными руководящими принципами в отношении формы и содержания докладов, подлежащих представлению государствами-участниками в соответствии со статьями 16 и 17 Международного пакта об экономических, социальных и культурных правах (</w:t>
      </w:r>
      <w:r>
        <w:rPr>
          <w:lang w:val="en-US"/>
        </w:rPr>
        <w:t>E</w:t>
      </w:r>
      <w:r>
        <w:t>/</w:t>
      </w:r>
      <w:r>
        <w:rPr>
          <w:lang w:val="en-US"/>
        </w:rPr>
        <w:t>C</w:t>
      </w:r>
      <w:r>
        <w:t>.12/1991/1).</w:t>
      </w:r>
    </w:p>
    <w:p w:rsidR="00000000" w:rsidRDefault="00000000"/>
    <w:p w:rsidR="00000000" w:rsidRDefault="00000000">
      <w:r>
        <w:t>2.</w:t>
      </w:r>
      <w:r>
        <w:tab/>
        <w:t>Настоящий доклад охватывает период с 1 января 1996 года по 31 декабря 2002 года.  В нем содержится информация, касающаяся реагирования на Заключительные замечания Комитета (</w:t>
      </w:r>
      <w:r>
        <w:rPr>
          <w:lang w:val="en-US"/>
        </w:rPr>
        <w:t>E</w:t>
      </w:r>
      <w:r>
        <w:t>/</w:t>
      </w:r>
      <w:r>
        <w:rPr>
          <w:lang w:val="en-US"/>
        </w:rPr>
        <w:t>C</w:t>
      </w:r>
      <w:r>
        <w:t>.12/1/</w:t>
      </w:r>
      <w:r>
        <w:rPr>
          <w:lang w:val="en-US"/>
        </w:rPr>
        <w:t>Add</w:t>
      </w:r>
      <w:r>
        <w:t>.25) и осуществления прав, упомянутых в статьях 1-2 и 6-15.</w:t>
      </w:r>
    </w:p>
    <w:p w:rsidR="00000000" w:rsidRDefault="00000000"/>
    <w:p w:rsidR="00000000" w:rsidRDefault="00000000">
      <w:r>
        <w:t>3.</w:t>
      </w:r>
      <w:r>
        <w:tab/>
        <w:t xml:space="preserve">Настоящий доклад касается Нидерландов (европейской части Королевства), в то время как доклад по Нидерландским Антильским островам будет представлен отдельно, а доклад по </w:t>
      </w:r>
      <w:proofErr w:type="spellStart"/>
      <w:r>
        <w:t>Арубе</w:t>
      </w:r>
      <w:proofErr w:type="spellEnd"/>
      <w:r>
        <w:t xml:space="preserve"> будет представлен на более позднем этапе.</w:t>
      </w:r>
    </w:p>
    <w:p w:rsidR="00000000" w:rsidRDefault="00000000"/>
    <w:p w:rsidR="00000000" w:rsidRDefault="00000000">
      <w:pPr>
        <w:jc w:val="center"/>
        <w:rPr>
          <w:b/>
          <w:bCs/>
        </w:rPr>
      </w:pPr>
      <w:r>
        <w:rPr>
          <w:b/>
          <w:bCs/>
        </w:rPr>
        <w:t>НИДЕРЛАНДЫ (ЕВРОПЕЙСКАЯ ЧАСТЬ КОРОЛЕВСТВА)</w:t>
      </w:r>
    </w:p>
    <w:p w:rsidR="00000000" w:rsidRDefault="00000000">
      <w:pPr>
        <w:jc w:val="center"/>
        <w:rPr>
          <w:b/>
          <w:bCs/>
        </w:rPr>
      </w:pPr>
    </w:p>
    <w:p w:rsidR="00000000" w:rsidRDefault="00000000">
      <w:pPr>
        <w:jc w:val="center"/>
        <w:rPr>
          <w:b/>
          <w:bCs/>
        </w:rPr>
      </w:pPr>
      <w:r>
        <w:rPr>
          <w:b/>
          <w:bCs/>
        </w:rPr>
        <w:t>1.</w:t>
      </w:r>
      <w:r>
        <w:rPr>
          <w:b/>
          <w:bCs/>
        </w:rPr>
        <w:tab/>
        <w:t>МЕРЫ, ПРИНЯТЫЕ В ПОРЯДКЕ РЕАГИРОВАНИЯ НА</w:t>
      </w:r>
    </w:p>
    <w:p w:rsidR="00000000" w:rsidRDefault="00000000">
      <w:pPr>
        <w:jc w:val="center"/>
        <w:rPr>
          <w:b/>
          <w:bCs/>
        </w:rPr>
      </w:pPr>
      <w:r>
        <w:rPr>
          <w:b/>
          <w:bCs/>
        </w:rPr>
        <w:t xml:space="preserve">       ЗАКЛЮЧИТЕЛЬНЫЕ ЗАМЕЧАНИЯ КОМИТЕТА</w:t>
      </w:r>
    </w:p>
    <w:p w:rsidR="00000000" w:rsidRDefault="00000000">
      <w:pPr>
        <w:jc w:val="center"/>
        <w:rPr>
          <w:b/>
          <w:bCs/>
          <w:u w:val="single"/>
        </w:rPr>
      </w:pPr>
    </w:p>
    <w:p w:rsidR="00000000" w:rsidRDefault="00000000">
      <w:pPr>
        <w:jc w:val="center"/>
      </w:pPr>
      <w:r>
        <w:rPr>
          <w:b/>
          <w:bCs/>
        </w:rPr>
        <w:t>1.1</w:t>
      </w:r>
      <w:r>
        <w:rPr>
          <w:b/>
          <w:bCs/>
        </w:rPr>
        <w:tab/>
        <w:t>Применимость положений Пакта в Королевстве</w:t>
      </w:r>
    </w:p>
    <w:p w:rsidR="00000000" w:rsidRDefault="00000000">
      <w:pPr>
        <w:jc w:val="center"/>
      </w:pPr>
    </w:p>
    <w:p w:rsidR="00000000" w:rsidRDefault="00000000">
      <w:r>
        <w:t>4.</w:t>
      </w:r>
      <w:r>
        <w:tab/>
        <w:t>Комитет рекомендовал провести оценку того, в какой мере положения Пакта могут иметь прямое применение в голландской правовой системе.</w:t>
      </w:r>
    </w:p>
    <w:p w:rsidR="00000000" w:rsidRDefault="00000000"/>
    <w:p w:rsidR="00000000" w:rsidRDefault="00000000">
      <w:r>
        <w:t>5.</w:t>
      </w:r>
      <w:r>
        <w:tab/>
        <w:t>Применение договорных положений в национальной правовой системе четко предусмотрено Конституцией Нидерландов.  Статья 93 Конституции гласит следующее:  "Положения международных договоров и резолюции международных институтов, которые по своему содержанию могут иметь обязательную силу для всех лиц, становятся обязательными к исполнению после их опубликования".  Помимо этого, статья 94 устанавливает:  "Действующие в Королевстве положения законов не применяются, если такое применение противоречит положениям международных договоров, имеющих обязательную силу для всех лиц, или резолюциям международных институтов".  Это означает, что некоторые международно-правовые нормы имеют прямое применение и что международные нормы, которые могут применяться непосредственно, имеют преимущественную силу над национальным законодательством.</w:t>
      </w:r>
    </w:p>
    <w:p w:rsidR="00000000" w:rsidRDefault="00000000"/>
    <w:p w:rsidR="00000000" w:rsidRDefault="00000000">
      <w:r>
        <w:t>6.</w:t>
      </w:r>
      <w:r>
        <w:tab/>
        <w:t>В прецедентном праве были установлены критерии для определения того, являются ли те или иные договорные положения прямо применимыми.  Обязанность принимать решение о том, следует ли применять национальные предписания в конкретной ситуации, при которой они вступают в противоречие с договорными положениями, возлагается на национальные суды.  При вынесении судебного решения относительно того, может ли договорное положение непосредственно применяться в национальной правовой системе, учитываются характер и содержание положения, а также его формулировка.  Если действие того или иного положения непосредственно распространяется на граждан и позволяет предъявлять претензию без необходимости каких-либо новых имплементирующих законов, оно может прямо применяться в правовой системе Нидерландов.  Если же действие данного положения распространяется непосредственно на государство и оно содержит такие фразы, как "несет ответственность за", "принимает меры" или "гарантирует", то граждане, как правило, не могут непосредственно обосновывать любую претензию таким положением, вследствие чего это положение не может прямо применяться в национальной правовой системе.  Положение, касающееся государства, может иметь прямое применение только в том случае, если его характер и содержание четко позволяют гражданину использовать его для обоснования своей претензии.  Одним из таких примеров является требование к государству запрещать дискриминацию, на основании которого гражданин может претендовать на равное обращение.</w:t>
      </w:r>
    </w:p>
    <w:p w:rsidR="00000000" w:rsidRDefault="00000000"/>
    <w:p w:rsidR="00000000" w:rsidRDefault="00000000">
      <w:r>
        <w:t>7.</w:t>
      </w:r>
      <w:r>
        <w:tab/>
        <w:t>По мнению правительства Нидерландов, это означает, что прямое применение соответствующих договорных положений гарантируется в достаточной степени.</w:t>
      </w:r>
    </w:p>
    <w:p w:rsidR="00000000" w:rsidRDefault="00000000"/>
    <w:p w:rsidR="00000000" w:rsidRDefault="00000000">
      <w:r>
        <w:t>8.</w:t>
      </w:r>
      <w:r>
        <w:tab/>
        <w:t>Характер и содержание Пакта, а также формулировки статей указывают на то, что он направлен на постепенное и все более полное достижение его целей за счет законодательных мер и новых мер по осуществлению.  Вследствие этого большинство положений не могут быть прямо применимыми.  Этот вывод подкрепляется еще и тем, что в случае возникновения необходимости в новых имплементирующих законах, национальный законодатель получает определенную свободу выбора в отношении предметного закрепления подлежащих гарантированию прав.  Простое принятие принципа прямого применения положений, нуждающихся в более полной проработке, означало бы возложения на национальные суды обязанности по практическому выполнению задач, изложенных в Пакте.  Как уже отмечалось во втором докладе, правительство Нидерландов привержено выполнению обязательств, возлагаемых на правительство в соответствии с Пактом, в рамках демократического процесса.  Это позволяет лучше реагировать на социальные изменения.</w:t>
      </w:r>
    </w:p>
    <w:p w:rsidR="00000000" w:rsidRDefault="00000000"/>
    <w:p w:rsidR="00000000" w:rsidRDefault="00000000">
      <w:r>
        <w:t>9.</w:t>
      </w:r>
      <w:r>
        <w:tab/>
        <w:t>Следует также подчеркнуть, что это отнюдь не означает, что экономическим, социальным и культурным правам придается меньшее значение, чем другим правам человека.  В этой связи основной вопрос состоит в том, определяются ли права, закрепленные в договоре или пакте, таким конкретным и точным образом, который позволил бы применять их без дополнительного вмешательства со стороны национального законодателя.</w:t>
      </w:r>
    </w:p>
    <w:p w:rsidR="00000000" w:rsidRDefault="00000000"/>
    <w:p w:rsidR="00000000" w:rsidRDefault="00000000">
      <w:pPr>
        <w:keepNext/>
        <w:jc w:val="center"/>
        <w:rPr>
          <w:b/>
          <w:bCs/>
        </w:rPr>
      </w:pPr>
      <w:r>
        <w:rPr>
          <w:b/>
          <w:bCs/>
        </w:rPr>
        <w:t>1.2</w:t>
      </w:r>
      <w:r>
        <w:rPr>
          <w:b/>
          <w:bCs/>
        </w:rPr>
        <w:tab/>
        <w:t>Равная заработная плата и возможности трудоустройства</w:t>
      </w:r>
    </w:p>
    <w:p w:rsidR="00000000" w:rsidRDefault="00000000">
      <w:pPr>
        <w:keepNext/>
        <w:jc w:val="center"/>
      </w:pPr>
      <w:r>
        <w:rPr>
          <w:b/>
          <w:bCs/>
        </w:rPr>
        <w:t>для мужчин и женщин</w:t>
      </w:r>
    </w:p>
    <w:p w:rsidR="00000000" w:rsidRDefault="00000000">
      <w:pPr>
        <w:keepNext/>
        <w:jc w:val="center"/>
      </w:pPr>
    </w:p>
    <w:p w:rsidR="00000000" w:rsidRDefault="00000000">
      <w:r>
        <w:t>10.</w:t>
      </w:r>
      <w:r>
        <w:tab/>
        <w:t>Комитет рекомендовал правительству активизировать свои усилия, по обеспечению мужчинам и женщинам равного доступа к рынку труда и равной оплаты за труд равной ценности.  Ожидается, что в 2004 году будут получены новые данные, касающиеся разницы в оплате труда мужчин и женщин.  Затем будет принято решение о том, целесообразно ли активизировать осуществляемые меры или же необходимо применять новые дополнительные меры.  До этого момента будет продолжена реализуемая в настоящее время всеобъемлющая политика в данной области.  Она предусматривает принятие конкретных мер, направленных на предупреждение необоснованного неравенства в оплате труда, а также общих мер в рамках политики по обеспечению равенства возможностей, которая призвана увеличить число женщин в сфере труда.  Конкретные меры по предупреждению неравенства в оплате труда, перечислены в пунктах 185</w:t>
      </w:r>
      <w:r>
        <w:noBreakHyphen/>
        <w:t>192 раздела 3.2.1.2.  Меры, призванные обеспечить мужчинам и женщинам равный доступ к рынку труда, рассматриваются в пунктах 137</w:t>
      </w:r>
      <w:r>
        <w:noBreakHyphen/>
        <w:t>155 раздела 3.1.2 и пунктах 199</w:t>
      </w:r>
      <w:r>
        <w:noBreakHyphen/>
        <w:t>210 раздела 3.2.3.</w:t>
      </w:r>
    </w:p>
    <w:p w:rsidR="00000000" w:rsidRDefault="00000000"/>
    <w:p w:rsidR="00000000" w:rsidRDefault="00000000">
      <w:pPr>
        <w:keepNext/>
        <w:jc w:val="center"/>
      </w:pPr>
      <w:r>
        <w:rPr>
          <w:b/>
          <w:bCs/>
        </w:rPr>
        <w:t>1.3</w:t>
      </w:r>
      <w:r>
        <w:rPr>
          <w:b/>
          <w:bCs/>
        </w:rPr>
        <w:tab/>
        <w:t>Усилия по искоренению расовой дискриминации</w:t>
      </w:r>
      <w:r>
        <w:rPr>
          <w:b/>
          <w:bCs/>
        </w:rPr>
        <w:br/>
        <w:t>на рынке труда</w:t>
      </w:r>
    </w:p>
    <w:p w:rsidR="00000000" w:rsidRDefault="00000000">
      <w:pPr>
        <w:keepNext/>
        <w:jc w:val="center"/>
      </w:pPr>
    </w:p>
    <w:p w:rsidR="00000000" w:rsidRDefault="00000000">
      <w:r>
        <w:t>11.</w:t>
      </w:r>
      <w:r>
        <w:tab/>
        <w:t>В своих предложениях и рекомендациях Комитет отметил, что правительству Нидерландов следует продолжать свои усилия по искоренению расовой дискриминации на рынке труда в целях содействия интеграции иммигрантов и их семей в жизнь страны.</w:t>
      </w:r>
    </w:p>
    <w:p w:rsidR="00000000" w:rsidRDefault="00000000"/>
    <w:p w:rsidR="00000000" w:rsidRDefault="00000000">
      <w:pPr>
        <w:keepNext/>
        <w:rPr>
          <w:b/>
          <w:bCs/>
        </w:rPr>
      </w:pPr>
      <w:r>
        <w:rPr>
          <w:b/>
          <w:bCs/>
        </w:rPr>
        <w:t>Тенденции и цели</w:t>
      </w:r>
    </w:p>
    <w:p w:rsidR="00000000" w:rsidRDefault="00000000">
      <w:pPr>
        <w:keepNext/>
      </w:pPr>
    </w:p>
    <w:p w:rsidR="00000000" w:rsidRDefault="00000000">
      <w:r>
        <w:t>12.</w:t>
      </w:r>
      <w:r>
        <w:tab/>
        <w:t>В 1990</w:t>
      </w:r>
      <w:r>
        <w:noBreakHyphen/>
        <w:t>х годах экономика Нидерландов переживала подъем.  Занятость увеличилась, безработица начала сокращаться, и на получение пособий по социальному обеспечению претендовало все меньше людей.  От этого выиграли также лица из числа этнических меньшинств.  Таблица 1 демонстрирует весьма радужную картину:  хотя безработица среди этнических меньшинств в 1994 году составляла 26%, к 2002 году она сократилась до 10%, что, как представляется, означает достижение правительством цели сокращения масштабов безработицы среди этнических меньшинств до 10% к 2002 году.</w:t>
      </w:r>
    </w:p>
    <w:p w:rsidR="00000000" w:rsidRDefault="00000000"/>
    <w:p w:rsidR="00000000" w:rsidRDefault="00000000">
      <w:r>
        <w:t>13.</w:t>
      </w:r>
      <w:r>
        <w:tab/>
        <w:t>Несмотря на явное улучшение социально-экономического положения этнических меньшинств, очевидно, что они все еще являются группой, находящейся в относительно неблагоприятном положении.  Например, показатели безработицы среди этнических меньшинств все еще в три раза превышают аналогичные показатели в отношении лиц голландского происхождения;  среди них больше доля лиц, длительное время остающихся без работы;  профессиональный уровень трудящихся из числа этнических меньшинств значительно ниже;  среди этих трудящихся пропорционально больше доля лиц без постоянного трудового договора, а зависимость от пособий гораздо выше, чем среди коренных голландцев.  Из этого следует вывод о том, что, несмотря на все позитивные изменения, в 2003 году социально-экономическое положение этнических меньшинств все еще свидетельствовало об их уязвимости.</w:t>
      </w:r>
    </w:p>
    <w:p w:rsidR="00000000" w:rsidRDefault="00000000"/>
    <w:p w:rsidR="00000000" w:rsidRDefault="00000000">
      <w:r>
        <w:t>14.</w:t>
      </w:r>
      <w:r>
        <w:tab/>
        <w:t xml:space="preserve">В условиях экономического спада следует ожидать, что он несоразмерно больше затронет этнические меньшинства.  Это объясняется тем, что они в большей степени, чем коренные голландцы, вынуждены зарабатывать себе на жизнь выполнением </w:t>
      </w:r>
      <w:proofErr w:type="spellStart"/>
      <w:r>
        <w:t>низкоквалифицированных</w:t>
      </w:r>
      <w:proofErr w:type="spellEnd"/>
      <w:r>
        <w:t xml:space="preserve"> работ, что они не имеют постоянной работы, и, как правило, первыми подпадают под сокращение в период экономического спада.  Кроме того, существует реальная возможность того, что в ситуациях избытка рабочей силы трудящиеся менее привлекательных категорий, включая этнические меньшинства, вынуждены становиться в конец очереди.  В 2004 году этот вопрос окончательно прояснится после обработки данных о безработице Нидерландского статистического управления (НСУ) за 2003 год.</w:t>
      </w:r>
    </w:p>
    <w:p w:rsidR="00000000" w:rsidRDefault="00000000"/>
    <w:p w:rsidR="00000000" w:rsidRDefault="00000000">
      <w:r>
        <w:t>15.</w:t>
      </w:r>
      <w:r>
        <w:tab/>
        <w:t>Как отмечалось в коалиционном соглашении (которое было заключено новым правительством при вступлении в должность на новый срок), цель правительства состоит в том, чтобы восстановить эффективность и конкурентоспособность голландской экономики за счет стимулов к созданию рабочих мест и расширению трудового участия, которые будут применяться на принципах устойчивости.  В последующие годы жизненно важным для экономики и желательным в социальном плане станет увеличение фактического предложения рабочей силы для охвата групп, уровень участия которых на рынке труда остается низким.  Ввиду старения населения и сокращения доли молодежи в составе населения, а также относительно быстрого роста численности этнических меньшинств для экономики решающее значение имеет поворот к расширению трудового участия рабочей силы из числа этнических меньшинств.</w:t>
      </w:r>
    </w:p>
    <w:p w:rsidR="00000000" w:rsidRDefault="00000000"/>
    <w:p w:rsidR="00000000" w:rsidRDefault="00000000">
      <w:r>
        <w:t>16.</w:t>
      </w:r>
      <w:r>
        <w:tab/>
        <w:t>Между группами этнических меньшинств и коренными голландцами существует значительная разница в плане их участия на рынке труда:  50% и 68% в 2002 году.  Если учитывать старение населения, относительно быстрый рост в составе населения количества представителей этнических меньшинств и важную роль интеграции в сфере труда, становится явной важность трудового участия этнических меньшинств.</w:t>
      </w:r>
    </w:p>
    <w:p w:rsidR="00000000" w:rsidRDefault="00000000"/>
    <w:p w:rsidR="00000000" w:rsidRDefault="00000000">
      <w:r>
        <w:t>17.</w:t>
      </w:r>
      <w:r>
        <w:tab/>
        <w:t>В соответствии с Лиссабонскими целями (европейская стратегия в области занятости) к 2010 году общий уровень занятости должен увеличиться до 70%.  Предыдущее правительство поставило задачу расширять трудовое участие этнических меньшинств на три четверти процента в год, что с учетом показателей 2001 года означает рост уровня занятости среди этнических меньшинств до 54% к 2005 году.  Что касается безработицы, то следует, по меньшей мере, сохранять успехи, достигнутые за предыдущие несколько лет.  Этнические меньшинства не должны серьезно затрагиваться сокращениями на рынке труда.  Существует возможность издания новым правительством новых руководящих принципов в этой связи.</w:t>
      </w:r>
    </w:p>
    <w:p w:rsidR="00000000" w:rsidRDefault="00000000"/>
    <w:p w:rsidR="00000000" w:rsidRDefault="00000000">
      <w:pPr>
        <w:jc w:val="center"/>
        <w:rPr>
          <w:b/>
          <w:bCs/>
        </w:rPr>
      </w:pPr>
      <w:r>
        <w:rPr>
          <w:b/>
          <w:bCs/>
        </w:rPr>
        <w:t>Таблица 1</w:t>
      </w:r>
    </w:p>
    <w:p w:rsidR="00000000" w:rsidRDefault="00000000">
      <w:pPr>
        <w:spacing w:line="216" w:lineRule="auto"/>
        <w:jc w:val="center"/>
        <w:rPr>
          <w:b/>
          <w:bCs/>
          <w:sz w:val="16"/>
        </w:rPr>
      </w:pPr>
    </w:p>
    <w:p w:rsidR="00000000" w:rsidRDefault="00000000">
      <w:pPr>
        <w:jc w:val="center"/>
        <w:rPr>
          <w:b/>
          <w:bCs/>
        </w:rPr>
      </w:pPr>
      <w:r>
        <w:rPr>
          <w:b/>
          <w:bCs/>
        </w:rPr>
        <w:t>Участие на рынке труда и уровень безработицы среди коренных голландцев и этнических меньшинств в 1995-2002 годах</w:t>
      </w:r>
    </w:p>
    <w:p w:rsidR="00000000" w:rsidRDefault="00000000">
      <w:pPr>
        <w:pStyle w:val="BodyText3"/>
        <w:widowControl/>
        <w:overflowPunct/>
        <w:autoSpaceDE/>
        <w:autoSpaceDN/>
        <w:adjustRightInd/>
        <w:spacing w:line="288" w:lineRule="auto"/>
        <w:jc w:val="center"/>
        <w:textAlignment w:val="auto"/>
        <w:rPr>
          <w:sz w:val="22"/>
          <w:lang w:val="ru-RU"/>
        </w:rPr>
      </w:pPr>
    </w:p>
    <w:tbl>
      <w:tblPr>
        <w:tblW w:w="941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4061"/>
        <w:gridCol w:w="4060"/>
      </w:tblGrid>
      <w:tr w:rsidR="00000000">
        <w:tblPrEx>
          <w:tblCellMar>
            <w:top w:w="0" w:type="dxa"/>
            <w:bottom w:w="0" w:type="dxa"/>
          </w:tblCellMar>
        </w:tblPrEx>
        <w:trPr>
          <w:cantSplit/>
        </w:trPr>
        <w:tc>
          <w:tcPr>
            <w:tcW w:w="1290" w:type="dxa"/>
            <w:tcBorders>
              <w:top w:val="single" w:sz="4" w:space="0" w:color="auto"/>
              <w:bottom w:val="nil"/>
            </w:tcBorders>
          </w:tcPr>
          <w:p w:rsidR="00000000" w:rsidRDefault="00000000">
            <w:pPr>
              <w:jc w:val="right"/>
              <w:rPr>
                <w:sz w:val="20"/>
              </w:rPr>
            </w:pPr>
          </w:p>
        </w:tc>
        <w:tc>
          <w:tcPr>
            <w:tcW w:w="4061" w:type="dxa"/>
            <w:tcBorders>
              <w:top w:val="single" w:sz="4" w:space="0" w:color="auto"/>
              <w:bottom w:val="single" w:sz="4" w:space="0" w:color="auto"/>
            </w:tcBorders>
          </w:tcPr>
          <w:p w:rsidR="00000000" w:rsidRDefault="00000000">
            <w:pPr>
              <w:jc w:val="center"/>
              <w:rPr>
                <w:sz w:val="20"/>
              </w:rPr>
            </w:pPr>
            <w:r>
              <w:rPr>
                <w:sz w:val="20"/>
              </w:rPr>
              <w:t>Безработица (в %)</w:t>
            </w:r>
          </w:p>
        </w:tc>
        <w:tc>
          <w:tcPr>
            <w:tcW w:w="4060" w:type="dxa"/>
            <w:tcBorders>
              <w:top w:val="single" w:sz="4" w:space="0" w:color="auto"/>
              <w:bottom w:val="single" w:sz="4" w:space="0" w:color="auto"/>
            </w:tcBorders>
          </w:tcPr>
          <w:p w:rsidR="00000000" w:rsidRDefault="00000000">
            <w:pPr>
              <w:jc w:val="center"/>
              <w:rPr>
                <w:sz w:val="20"/>
              </w:rPr>
            </w:pPr>
            <w:r>
              <w:rPr>
                <w:sz w:val="20"/>
              </w:rPr>
              <w:t>Уровень чистого участия на рынке труда (в %)</w:t>
            </w:r>
          </w:p>
        </w:tc>
      </w:tr>
      <w:tr w:rsidR="00000000">
        <w:tblPrEx>
          <w:tblCellMar>
            <w:top w:w="0" w:type="dxa"/>
            <w:bottom w:w="0" w:type="dxa"/>
          </w:tblCellMar>
        </w:tblPrEx>
        <w:trPr>
          <w:cantSplit/>
        </w:trPr>
        <w:tc>
          <w:tcPr>
            <w:tcW w:w="1290" w:type="dxa"/>
            <w:tcBorders>
              <w:top w:val="nil"/>
              <w:bottom w:val="single" w:sz="4" w:space="0" w:color="auto"/>
            </w:tcBorders>
          </w:tcPr>
          <w:p w:rsidR="00000000" w:rsidRDefault="00000000">
            <w:pPr>
              <w:jc w:val="right"/>
              <w:rPr>
                <w:sz w:val="20"/>
              </w:rPr>
            </w:pPr>
          </w:p>
        </w:tc>
        <w:tc>
          <w:tcPr>
            <w:tcW w:w="4061" w:type="dxa"/>
            <w:tcBorders>
              <w:top w:val="single" w:sz="4" w:space="0" w:color="auto"/>
              <w:bottom w:val="single" w:sz="4" w:space="0" w:color="auto"/>
            </w:tcBorders>
          </w:tcPr>
          <w:p w:rsidR="00000000" w:rsidRDefault="00000000">
            <w:pPr>
              <w:jc w:val="center"/>
              <w:rPr>
                <w:sz w:val="20"/>
              </w:rPr>
            </w:pPr>
            <w:r>
              <w:rPr>
                <w:sz w:val="20"/>
              </w:rPr>
              <w:t>1995 1996 1997 1998 1999 2000 2001 2002</w:t>
            </w:r>
          </w:p>
        </w:tc>
        <w:tc>
          <w:tcPr>
            <w:tcW w:w="4060" w:type="dxa"/>
            <w:tcBorders>
              <w:top w:val="single" w:sz="4" w:space="0" w:color="auto"/>
              <w:bottom w:val="single" w:sz="4" w:space="0" w:color="auto"/>
            </w:tcBorders>
          </w:tcPr>
          <w:p w:rsidR="00000000" w:rsidRDefault="00000000">
            <w:pPr>
              <w:jc w:val="center"/>
              <w:rPr>
                <w:sz w:val="20"/>
              </w:rPr>
            </w:pPr>
            <w:r>
              <w:rPr>
                <w:sz w:val="20"/>
              </w:rPr>
              <w:t>1995 1996 1997 1998 1999 2000 2001 2002</w:t>
            </w:r>
          </w:p>
        </w:tc>
      </w:tr>
      <w:tr w:rsidR="00000000">
        <w:tblPrEx>
          <w:tblCellMar>
            <w:top w:w="0" w:type="dxa"/>
            <w:bottom w:w="0" w:type="dxa"/>
          </w:tblCellMar>
        </w:tblPrEx>
        <w:trPr>
          <w:cantSplit/>
          <w:trHeight w:val="255"/>
        </w:trPr>
        <w:tc>
          <w:tcPr>
            <w:tcW w:w="1290" w:type="dxa"/>
            <w:tcBorders>
              <w:top w:val="single" w:sz="4" w:space="0" w:color="auto"/>
              <w:bottom w:val="single" w:sz="4" w:space="0" w:color="auto"/>
            </w:tcBorders>
          </w:tcPr>
          <w:p w:rsidR="00000000" w:rsidRDefault="00000000">
            <w:pPr>
              <w:spacing w:line="216" w:lineRule="auto"/>
              <w:rPr>
                <w:sz w:val="20"/>
              </w:rPr>
            </w:pPr>
            <w:r>
              <w:rPr>
                <w:sz w:val="20"/>
              </w:rPr>
              <w:t>Всего</w:t>
            </w:r>
          </w:p>
        </w:tc>
        <w:tc>
          <w:tcPr>
            <w:tcW w:w="4061" w:type="dxa"/>
            <w:tcBorders>
              <w:top w:val="single" w:sz="4" w:space="0" w:color="auto"/>
              <w:bottom w:val="single" w:sz="4" w:space="0" w:color="auto"/>
            </w:tcBorders>
          </w:tcPr>
          <w:p w:rsidR="00000000" w:rsidRDefault="00000000">
            <w:pPr>
              <w:spacing w:line="216" w:lineRule="auto"/>
              <w:rPr>
                <w:sz w:val="20"/>
              </w:rPr>
            </w:pPr>
            <w:r>
              <w:rPr>
                <w:sz w:val="20"/>
              </w:rPr>
              <w:t xml:space="preserve">       8        7        6      5       4       3       3      4</w:t>
            </w:r>
          </w:p>
        </w:tc>
        <w:tc>
          <w:tcPr>
            <w:tcW w:w="4060" w:type="dxa"/>
            <w:tcBorders>
              <w:top w:val="single" w:sz="4" w:space="0" w:color="auto"/>
              <w:bottom w:val="single" w:sz="4" w:space="0" w:color="auto"/>
            </w:tcBorders>
          </w:tcPr>
          <w:p w:rsidR="00000000" w:rsidRDefault="00000000">
            <w:pPr>
              <w:spacing w:line="216" w:lineRule="auto"/>
              <w:rPr>
                <w:sz w:val="20"/>
              </w:rPr>
            </w:pPr>
            <w:r>
              <w:rPr>
                <w:sz w:val="20"/>
              </w:rPr>
              <w:t xml:space="preserve">      58       59     61     62     64     65     65     66  </w:t>
            </w:r>
          </w:p>
        </w:tc>
      </w:tr>
      <w:tr w:rsidR="00000000">
        <w:tblPrEx>
          <w:tblCellMar>
            <w:top w:w="0" w:type="dxa"/>
            <w:bottom w:w="0" w:type="dxa"/>
          </w:tblCellMar>
        </w:tblPrEx>
        <w:trPr>
          <w:cantSplit/>
          <w:trHeight w:val="207"/>
        </w:trPr>
        <w:tc>
          <w:tcPr>
            <w:tcW w:w="1290" w:type="dxa"/>
            <w:tcBorders>
              <w:top w:val="single" w:sz="4" w:space="0" w:color="auto"/>
              <w:bottom w:val="nil"/>
            </w:tcBorders>
          </w:tcPr>
          <w:p w:rsidR="00000000" w:rsidRDefault="00000000">
            <w:pPr>
              <w:spacing w:line="216" w:lineRule="auto"/>
              <w:rPr>
                <w:sz w:val="20"/>
              </w:rPr>
            </w:pPr>
          </w:p>
        </w:tc>
        <w:tc>
          <w:tcPr>
            <w:tcW w:w="4061" w:type="dxa"/>
            <w:tcBorders>
              <w:top w:val="single" w:sz="4" w:space="0" w:color="auto"/>
              <w:bottom w:val="nil"/>
            </w:tcBorders>
          </w:tcPr>
          <w:p w:rsidR="00000000" w:rsidRDefault="00000000">
            <w:pPr>
              <w:spacing w:line="216" w:lineRule="auto"/>
              <w:rPr>
                <w:sz w:val="20"/>
              </w:rPr>
            </w:pPr>
          </w:p>
        </w:tc>
        <w:tc>
          <w:tcPr>
            <w:tcW w:w="4060" w:type="dxa"/>
            <w:vMerge w:val="restart"/>
            <w:tcBorders>
              <w:top w:val="single" w:sz="4" w:space="0" w:color="auto"/>
              <w:bottom w:val="nil"/>
            </w:tcBorders>
          </w:tcPr>
          <w:p w:rsidR="00000000" w:rsidRDefault="00000000">
            <w:pPr>
              <w:spacing w:line="216" w:lineRule="auto"/>
              <w:rPr>
                <w:sz w:val="16"/>
              </w:rPr>
            </w:pPr>
          </w:p>
          <w:p w:rsidR="00000000" w:rsidRDefault="00000000">
            <w:pPr>
              <w:spacing w:line="216" w:lineRule="auto"/>
              <w:rPr>
                <w:sz w:val="20"/>
              </w:rPr>
            </w:pPr>
            <w:r>
              <w:rPr>
                <w:sz w:val="20"/>
              </w:rPr>
              <w:t xml:space="preserve">      60       61     62     64     65     67     67     68</w:t>
            </w:r>
          </w:p>
          <w:p w:rsidR="00000000" w:rsidRDefault="00000000">
            <w:pPr>
              <w:spacing w:line="216" w:lineRule="auto"/>
              <w:rPr>
                <w:sz w:val="20"/>
              </w:rPr>
            </w:pPr>
          </w:p>
          <w:p w:rsidR="00000000" w:rsidRDefault="00000000">
            <w:pPr>
              <w:spacing w:line="216" w:lineRule="auto"/>
            </w:pPr>
          </w:p>
          <w:p w:rsidR="00000000" w:rsidRDefault="00000000">
            <w:pPr>
              <w:spacing w:line="216" w:lineRule="auto"/>
              <w:rPr>
                <w:sz w:val="20"/>
              </w:rPr>
            </w:pPr>
            <w:r>
              <w:rPr>
                <w:sz w:val="20"/>
              </w:rPr>
              <w:t xml:space="preserve">      37       39     42     44     45     48     50     </w:t>
            </w:r>
            <w:proofErr w:type="spellStart"/>
            <w:r>
              <w:rPr>
                <w:sz w:val="20"/>
              </w:rPr>
              <w:t>50</w:t>
            </w:r>
            <w:proofErr w:type="spellEnd"/>
          </w:p>
        </w:tc>
      </w:tr>
      <w:tr w:rsidR="00000000">
        <w:tblPrEx>
          <w:tblCellMar>
            <w:top w:w="0" w:type="dxa"/>
            <w:bottom w:w="0" w:type="dxa"/>
          </w:tblCellMar>
        </w:tblPrEx>
        <w:trPr>
          <w:cantSplit/>
          <w:trHeight w:val="975"/>
        </w:trPr>
        <w:tc>
          <w:tcPr>
            <w:tcW w:w="1290" w:type="dxa"/>
            <w:tcBorders>
              <w:top w:val="nil"/>
            </w:tcBorders>
          </w:tcPr>
          <w:p w:rsidR="00000000" w:rsidRDefault="00000000">
            <w:pPr>
              <w:spacing w:line="216" w:lineRule="auto"/>
              <w:rPr>
                <w:sz w:val="20"/>
              </w:rPr>
            </w:pPr>
            <w:r>
              <w:rPr>
                <w:sz w:val="20"/>
              </w:rPr>
              <w:t>Голландцы</w:t>
            </w:r>
          </w:p>
          <w:p w:rsidR="00000000" w:rsidRDefault="00000000">
            <w:pPr>
              <w:spacing w:line="216" w:lineRule="auto"/>
              <w:rPr>
                <w:sz w:val="20"/>
              </w:rPr>
            </w:pPr>
          </w:p>
          <w:p w:rsidR="00000000" w:rsidRDefault="00000000">
            <w:pPr>
              <w:spacing w:line="216" w:lineRule="auto"/>
              <w:rPr>
                <w:sz w:val="20"/>
              </w:rPr>
            </w:pPr>
            <w:r>
              <w:rPr>
                <w:sz w:val="20"/>
              </w:rPr>
              <w:t>Этнические</w:t>
            </w:r>
          </w:p>
          <w:p w:rsidR="00000000" w:rsidRDefault="00000000">
            <w:pPr>
              <w:spacing w:line="216" w:lineRule="auto"/>
              <w:rPr>
                <w:sz w:val="20"/>
              </w:rPr>
            </w:pPr>
            <w:r>
              <w:rPr>
                <w:sz w:val="20"/>
              </w:rPr>
              <w:t>меньшинства</w:t>
            </w:r>
            <w:r>
              <w:rPr>
                <w:rStyle w:val="FootnoteReference"/>
                <w:sz w:val="20"/>
                <w:lang w:val="en-GB"/>
              </w:rPr>
              <w:footnoteRef/>
            </w:r>
          </w:p>
        </w:tc>
        <w:tc>
          <w:tcPr>
            <w:tcW w:w="4061" w:type="dxa"/>
            <w:tcBorders>
              <w:top w:val="nil"/>
            </w:tcBorders>
          </w:tcPr>
          <w:p w:rsidR="00000000" w:rsidRDefault="00000000">
            <w:pPr>
              <w:spacing w:line="216" w:lineRule="auto"/>
              <w:rPr>
                <w:sz w:val="20"/>
              </w:rPr>
            </w:pPr>
            <w:r>
              <w:rPr>
                <w:sz w:val="20"/>
              </w:rPr>
              <w:t xml:space="preserve">       7       6         5      4       3       3       3      3</w:t>
            </w:r>
          </w:p>
          <w:p w:rsidR="00000000" w:rsidRDefault="00000000">
            <w:pPr>
              <w:spacing w:line="216" w:lineRule="auto"/>
              <w:rPr>
                <w:sz w:val="20"/>
              </w:rPr>
            </w:pPr>
          </w:p>
          <w:p w:rsidR="00000000" w:rsidRDefault="00000000">
            <w:pPr>
              <w:spacing w:line="216" w:lineRule="auto"/>
              <w:rPr>
                <w:sz w:val="20"/>
              </w:rPr>
            </w:pPr>
          </w:p>
          <w:p w:rsidR="00000000" w:rsidRDefault="00000000">
            <w:pPr>
              <w:spacing w:line="216" w:lineRule="auto"/>
              <w:rPr>
                <w:sz w:val="20"/>
              </w:rPr>
            </w:pPr>
            <w:r>
              <w:rPr>
                <w:sz w:val="20"/>
              </w:rPr>
              <w:t xml:space="preserve">     26     22       20    16     14     10      9     10</w:t>
            </w:r>
          </w:p>
        </w:tc>
        <w:tc>
          <w:tcPr>
            <w:tcW w:w="4060" w:type="dxa"/>
            <w:vMerge/>
            <w:tcBorders>
              <w:top w:val="nil"/>
            </w:tcBorders>
          </w:tcPr>
          <w:p w:rsidR="00000000" w:rsidRDefault="00000000">
            <w:pPr>
              <w:spacing w:line="216" w:lineRule="auto"/>
              <w:rPr>
                <w:sz w:val="20"/>
              </w:rPr>
            </w:pPr>
          </w:p>
        </w:tc>
      </w:tr>
    </w:tbl>
    <w:p w:rsidR="00000000" w:rsidRDefault="00000000">
      <w:pPr>
        <w:rPr>
          <w:i/>
          <w:iCs/>
        </w:rPr>
      </w:pPr>
    </w:p>
    <w:p w:rsidR="00000000" w:rsidRDefault="00000000">
      <w:pPr>
        <w:spacing w:line="240" w:lineRule="auto"/>
      </w:pPr>
      <w:r>
        <w:rPr>
          <w:i/>
          <w:iCs/>
        </w:rPr>
        <w:tab/>
        <w:t>Источник</w:t>
      </w:r>
      <w:r>
        <w:t xml:space="preserve">:  Нидерландское </w:t>
      </w:r>
      <w:proofErr w:type="spellStart"/>
      <w:r>
        <w:t>статистичекое</w:t>
      </w:r>
      <w:proofErr w:type="spellEnd"/>
      <w:r>
        <w:t xml:space="preserve"> управление (</w:t>
      </w:r>
      <w:proofErr w:type="spellStart"/>
      <w:r>
        <w:t>НСУ</w:t>
      </w:r>
      <w:proofErr w:type="spellEnd"/>
      <w:r>
        <w:t>) на основе Обзора рабочей силы (</w:t>
      </w:r>
      <w:proofErr w:type="spellStart"/>
      <w:r>
        <w:rPr>
          <w:i/>
          <w:lang w:val="en-GB"/>
        </w:rPr>
        <w:t>Enqu</w:t>
      </w:r>
      <w:r>
        <w:rPr>
          <w:i/>
        </w:rPr>
        <w:t>ê</w:t>
      </w:r>
      <w:r>
        <w:rPr>
          <w:i/>
          <w:lang w:val="en-GB"/>
        </w:rPr>
        <w:t>te</w:t>
      </w:r>
      <w:proofErr w:type="spellEnd"/>
      <w:r>
        <w:rPr>
          <w:i/>
        </w:rPr>
        <w:t xml:space="preserve"> </w:t>
      </w:r>
      <w:proofErr w:type="spellStart"/>
      <w:r>
        <w:rPr>
          <w:i/>
          <w:lang w:val="en-GB"/>
        </w:rPr>
        <w:t>Beroepsbevolking</w:t>
      </w:r>
      <w:proofErr w:type="spellEnd"/>
      <w:r>
        <w:t>).</w:t>
      </w:r>
    </w:p>
    <w:p w:rsidR="00000000" w:rsidRDefault="00000000">
      <w:pPr>
        <w:pStyle w:val="EndnoteText"/>
        <w:rPr>
          <w:sz w:val="22"/>
        </w:rPr>
      </w:pPr>
    </w:p>
    <w:p w:rsidR="00000000" w:rsidRDefault="00000000">
      <w:pPr>
        <w:numPr>
          <w:ilvl w:val="12"/>
          <w:numId w:val="0"/>
        </w:numPr>
        <w:spacing w:line="240" w:lineRule="auto"/>
      </w:pPr>
      <w:r>
        <w:rPr>
          <w:rStyle w:val="FootnoteReference"/>
          <w:lang w:val="en-GB"/>
        </w:rPr>
        <w:footnoteRef/>
      </w:r>
      <w:r>
        <w:t xml:space="preserve"> </w:t>
      </w:r>
      <w:r>
        <w:tab/>
        <w:t xml:space="preserve">Этнические меньшинства </w:t>
      </w:r>
      <w:proofErr w:type="spellStart"/>
      <w:r>
        <w:t>незападного</w:t>
      </w:r>
      <w:proofErr w:type="spellEnd"/>
      <w:r>
        <w:t xml:space="preserve"> происхождения (лица, у которых хотя бы один из родителей родился в </w:t>
      </w:r>
      <w:proofErr w:type="spellStart"/>
      <w:r>
        <w:t>незападной</w:t>
      </w:r>
      <w:proofErr w:type="spellEnd"/>
      <w:r>
        <w:t xml:space="preserve"> стране).</w:t>
      </w:r>
    </w:p>
    <w:p w:rsidR="00000000" w:rsidRDefault="00000000">
      <w:pPr>
        <w:numPr>
          <w:ilvl w:val="12"/>
          <w:numId w:val="0"/>
        </w:numPr>
        <w:rPr>
          <w:i/>
        </w:rPr>
      </w:pPr>
    </w:p>
    <w:p w:rsidR="00000000" w:rsidRDefault="00000000">
      <w:pPr>
        <w:pStyle w:val="EndnoteText"/>
        <w:spacing w:line="288" w:lineRule="auto"/>
        <w:rPr>
          <w:b/>
          <w:bCs/>
          <w:iCs/>
        </w:rPr>
      </w:pPr>
      <w:r>
        <w:rPr>
          <w:b/>
          <w:bCs/>
          <w:iCs/>
        </w:rPr>
        <w:t>Политика на рынке труда в отношении этнических меньшинств</w:t>
      </w:r>
    </w:p>
    <w:p w:rsidR="00000000" w:rsidRDefault="00000000">
      <w:pPr>
        <w:pStyle w:val="EndnoteText"/>
        <w:spacing w:line="288" w:lineRule="auto"/>
        <w:rPr>
          <w:iCs/>
          <w:u w:val="single"/>
        </w:rPr>
      </w:pPr>
    </w:p>
    <w:p w:rsidR="00000000" w:rsidRDefault="00000000">
      <w:pPr>
        <w:pStyle w:val="EndnoteText"/>
        <w:spacing w:line="288" w:lineRule="auto"/>
      </w:pPr>
      <w:r>
        <w:rPr>
          <w:iCs/>
        </w:rPr>
        <w:t>18.</w:t>
      </w:r>
      <w:r>
        <w:rPr>
          <w:iCs/>
        </w:rPr>
        <w:tab/>
        <w:t>Для достижения европейских целей и задач правительства будут неуклонно продолжаться усилия по активизации начатой в 2000 году политики на рынке труда в отношении этнических меньшинств.  Основной принцип политики в отношении этой целевой группы состоит в том, чтобы она дополняла общую политику на рынке труда.  Когда обычные директивные меры на рынке труда не позволяют в достаточной степени удовлетворять индивидуальные потребности, принимаются дополнительные меры.  Государственным органам и другим сторонам, отвечающим за принятие директивных мер на рынке труда, будет предлагаться принимать любые меры, которые окажутся эффективными в рамках обычной политики, даже если для этого потребуются нестандартные подходы.  Конечная цель состоит в планировании и осуществлении такой политики на рынке труда, которая была бы полезной для этнических меньшинств.  Сторонами, участвующими в проведении политики в отношении этой целевой группы, являются центры по вопросам труда и дохода (ЦТД), муниципалитеты, Орган по осуществлению схем страхования трудящихся (ОСТ) (</w:t>
      </w:r>
      <w:r>
        <w:rPr>
          <w:lang w:val="en-GB"/>
        </w:rPr>
        <w:t>Uitvoeringsorganisatie</w:t>
      </w:r>
      <w:r>
        <w:t xml:space="preserve"> </w:t>
      </w:r>
      <w:r>
        <w:rPr>
          <w:lang w:val="en-GB"/>
        </w:rPr>
        <w:t>Werknemersverzekeringen</w:t>
      </w:r>
      <w:r>
        <w:t>), работодатели, ассоциации работодателей и группы, выступающие в защиту меньшинств.</w:t>
      </w:r>
    </w:p>
    <w:p w:rsidR="00000000" w:rsidRDefault="00000000">
      <w:pPr>
        <w:pStyle w:val="EndnoteText"/>
        <w:spacing w:line="288" w:lineRule="auto"/>
      </w:pPr>
    </w:p>
    <w:p w:rsidR="00000000" w:rsidRDefault="00000000">
      <w:pPr>
        <w:pStyle w:val="EndnoteText"/>
        <w:spacing w:line="288" w:lineRule="auto"/>
      </w:pPr>
      <w:r>
        <w:t>19.</w:t>
      </w:r>
      <w:r>
        <w:tab/>
        <w:t>Для согласования спроса на рабочую силу и ее предложения и для поощрения устойчивой интеграции на рынок труда и повышения производительности представителей этнических меньшинств необходимо последовательно обеспечивать профессиональную подготовку как лиц, ищущих работу, так и трудящихся.  Важно, чтобы лица из числа этнических меньшинств, пополняющие рынок труда, имели доступ к качественной начальной подготовке, позволяющей им приобрести минимальную квалификацию, в которой они нуждаются для эффективного участия в трудовой деятельности.  Исследования, проведенные Центром исследований в области образования и рынка труда (ЦИОТ), выявили необходимость охвата средним профессиональным образованием (СПО) низкоквалифицированных рабочих, в том числе из числа этнических меньшинств.  Согласно ЦИОТ, профессиональная подготовка низкоквалифицированных рабочих и безработных позволит существенно сократить дефицит на рынке труда.  Особое внимание следует уделять относительно большой группе молодежи из числа этнических меньшинств, вступающей на рынок труда без какой</w:t>
      </w:r>
      <w:r>
        <w:noBreakHyphen/>
        <w:t>либо базовой квалификации, например лицам, рано оставившим учебу в школе.  Если возможность продолжить образование отсутствует, базовую профессиональную квалификацию молодые люди могут получить на комбинированных курсах, позволяющих сочетать учебу с производственной стажировкой (дополнительную информацию об этих курсах см. в пунктах 54</w:t>
      </w:r>
      <w:r>
        <w:noBreakHyphen/>
        <w:t>56 настоящего доклада).  Нидерландам следует также вкладывать средства в дальнейшую профессиональную подготовку трудящихся из числа этнических меньшинств, с тем чтобы расширить их возможности в плане профессионального роста и обеспечить их устойчивую занятость.</w:t>
      </w:r>
    </w:p>
    <w:p w:rsidR="00000000" w:rsidRDefault="00000000">
      <w:pPr>
        <w:pStyle w:val="EndnoteText"/>
        <w:spacing w:line="288" w:lineRule="auto"/>
      </w:pPr>
    </w:p>
    <w:p w:rsidR="00000000" w:rsidRDefault="00000000">
      <w:pPr>
        <w:pStyle w:val="EndnoteText"/>
        <w:spacing w:line="288" w:lineRule="auto"/>
      </w:pPr>
      <w:r>
        <w:t>20.</w:t>
      </w:r>
      <w:r>
        <w:tab/>
        <w:t>Любые улучшения в социально-экономическом положении сопровождаются социальными преобразованиями, имеющими приоритетное значение как для общества, так и для политической элиты страны.  Доказано, что улучшение социально-экономического благосостояния приводит к сокращению преступности среди этнических меньшинств, что способствует укреплению общей безопасности.  Труд также играет важную роль в обеспечении успешной социальной интеграции.  Активно участвуя в жизни голландского общества, трудящиеся из числа этнических меньшинств быстрее изучают голландский язык и культуру, что позволяет новым поколениям жить в более благоприятных условиях.  Наконец, любые улучшения в социально-экономическом положении и их позитивное воздействие на такие аспекты, как безопасность и интеграция, будут формировать у населения более положительное представление об общине этнических меньшинств, тем самым устраняя угрозу сегрегации.  Из этого неизбежно вытекает вывод о том, что в предстоящие несколько лет как с экономической, так и социальной точки зрения важно сосредоточить внимание на улучшении положения этнических меньшинств на рынке труда.</w:t>
      </w:r>
    </w:p>
    <w:p w:rsidR="00000000" w:rsidRDefault="00000000">
      <w:pPr>
        <w:pStyle w:val="EndnoteText"/>
        <w:spacing w:line="288" w:lineRule="auto"/>
      </w:pPr>
    </w:p>
    <w:p w:rsidR="00000000" w:rsidRDefault="00000000">
      <w:pPr>
        <w:pStyle w:val="EndnoteText"/>
        <w:spacing w:line="288" w:lineRule="auto"/>
      </w:pPr>
      <w:r>
        <w:t>21.</w:t>
      </w:r>
      <w:r>
        <w:tab/>
        <w:t>В следующих пунктах содержатся примеры конкретных инициатив и директивных мер, которые предпринимались или предпринимаются сторонами, ответственными за достижение поставленных задач, и для поощрения такой деятельности.  В них описываются также меры, принимаемые в интересах женщин и беженцев с относительно более высокой квалификацией, а также подчеркивается важность открытия комбинированных курсов, сочетающих обучение с производственной практикой.</w:t>
      </w:r>
    </w:p>
    <w:p w:rsidR="00000000" w:rsidRDefault="00000000">
      <w:pPr>
        <w:pStyle w:val="EndnoteText"/>
        <w:spacing w:line="288" w:lineRule="auto"/>
      </w:pPr>
    </w:p>
    <w:p w:rsidR="00000000" w:rsidRDefault="00000000">
      <w:pPr>
        <w:pStyle w:val="EndnoteText"/>
        <w:spacing w:line="288" w:lineRule="auto"/>
        <w:rPr>
          <w:b/>
          <w:bCs/>
        </w:rPr>
      </w:pPr>
      <w:r>
        <w:rPr>
          <w:b/>
          <w:bCs/>
        </w:rPr>
        <w:t>Центры по вопросам труда и дохода (ЦТД)</w:t>
      </w:r>
    </w:p>
    <w:p w:rsidR="00000000" w:rsidRDefault="00000000">
      <w:pPr>
        <w:pStyle w:val="EndnoteText"/>
        <w:spacing w:line="288" w:lineRule="auto"/>
        <w:rPr>
          <w:i/>
          <w:iCs/>
        </w:rPr>
      </w:pPr>
    </w:p>
    <w:p w:rsidR="00000000" w:rsidRDefault="00000000">
      <w:pPr>
        <w:pStyle w:val="EndnoteText"/>
        <w:spacing w:line="288" w:lineRule="auto"/>
      </w:pPr>
      <w:r>
        <w:t>22.</w:t>
      </w:r>
      <w:r>
        <w:tab/>
        <w:t>В структуре обеспечения труда и дохода (СОТД) труд главенствует над доходом.  Для реализации этого принципа было решено объединить процедуры ходатайства о выплате пособий и трудоустройстве.  Когда это возможно, ЦТД стремятся обеспечивать комплексное обслуживание.  Первым делом ЦТД проверяет, имеется ли какая-либо приемлемая работа для конкретного клиента, и незамедлительно занимается его трудоустройством.  ЦТД определяет также возможности претендентов в плане трудоустройства, т.е. классифицирует их в зависимости от перспектив найти работу.  Лица, которые, как считается, имеют хорошие шансы найти работу (относимые к категории 1), получают право активно пользоваться услугами ЦТД.  Для тех, кто, по мнению ЦТД, являются менее перспективными кандидатами (категории 2, 3 или 4), предлагается консультирование по вопросам реинтеграции.  Подробное изложение представленной рекомендации вместе с ходатайством о выплате пособия направляется в муниципалитет или ОСТ, которые определяют наличие права на получение пособия.  Для обеспечения соразмерного пользования услугами ЦТД кандидатами на трудоустройство из числа этнических меньшинств заключаются специальные договоренности и применяются конкретные методы.</w:t>
      </w:r>
    </w:p>
    <w:p w:rsidR="00000000" w:rsidRDefault="00000000">
      <w:pPr>
        <w:pStyle w:val="EndnoteText"/>
        <w:spacing w:line="288" w:lineRule="auto"/>
      </w:pPr>
    </w:p>
    <w:p w:rsidR="00000000" w:rsidRDefault="00000000">
      <w:pPr>
        <w:pStyle w:val="EndnoteText"/>
        <w:spacing w:line="288" w:lineRule="auto"/>
      </w:pPr>
      <w:r>
        <w:t>23.</w:t>
      </w:r>
      <w:r>
        <w:tab/>
        <w:t xml:space="preserve">По плану на 2003 год в стандартные процедуры ЦТД были включены методы индивидуального подхода к трудоустройству этнических меньшинств на условиях специального соглашения с такой организацией работодателей, как Королевская ассоциация МСП Нидерландов (см. пункты 38 и 39).  Было решено, что в 2003 году ЦДТ предоставят дополнительные услуги кандидатам на трудоустройство из числа этнических меньшинств, входящих в категорию 1.  Например, работодателям, желающим принять на работу лиц из числа этнических меньшинств, будут предложены дополнительные услуги, в частности в виде личного представления кандидата на объекте работодателя и наблюдения за вступлением кандидата в должность.  </w:t>
      </w:r>
      <w:proofErr w:type="spellStart"/>
      <w:r>
        <w:t>ЦТД</w:t>
      </w:r>
      <w:proofErr w:type="spellEnd"/>
      <w:r>
        <w:t xml:space="preserve"> будут также предоставлять желающим трудоустроится лицам из числа этнических меньшинств поддержку в поиске работы и уделять больше времени их трудоустройству.  Было решено, что в итоге ЦТД будут уделять примерно на два часа больше времени предоставлению дополнительных услуг каждому кандидату из числа этнических меньшинств.  В рамках активизации деятельности, направленной на поиск работы, этнические меньшинства будут объектом особого внимания, с тем чтобы достичь цели их пропорционального трудоустройства.  Данные ЦТД показывают, что в 2003 году доля трудоустроенных лиц из числа этнических меньшинств превышала долю других кандидатов.  К этническим меньшинствам принадлежит более 16% лиц, ищущих работу, из категории 1.  Результаты применения этого подхода видны из регулярных ежеквартальных докладов ЦТД.</w:t>
      </w:r>
    </w:p>
    <w:p w:rsidR="00000000" w:rsidRDefault="00000000"/>
    <w:p w:rsidR="00000000" w:rsidRDefault="00000000">
      <w:r>
        <w:t>24.</w:t>
      </w:r>
      <w:r>
        <w:tab/>
        <w:t>Успешно продолжая применять этот подход, ЦТД смогут выполнять для групп этнических меньшинств функцию "посредника" в рамках новой структуры обеспечения труда и дохода.  Как следствие, подход, разработанный в рамках соглашения по этническим меньшинствам с Ассоциацией МСП Нидерландов (см. пункты 38 и 39), позволил обеспечить этическим кандидатам на трудоустройство категории 1 более быстрый поиск работы, чем обычно.  Это освобождает их от необходимости проходить программу реинтеграции на более позднем этапе, с тем чтобы найти работу.</w:t>
      </w:r>
    </w:p>
    <w:p w:rsidR="00000000" w:rsidRDefault="00000000"/>
    <w:p w:rsidR="00000000" w:rsidRDefault="00000000">
      <w:r>
        <w:t>25.</w:t>
      </w:r>
      <w:r>
        <w:tab/>
        <w:t>В ЦТД было принято решение в 2003 году использовать услуги старших консультантов по вопросам труда и дохода, специализирующихся на консультировании предприятий по вопросам, связанным с этническими меньшинствами.  Эти консультанты поддерживают контакт с работодателями, располагающими потенциальными возможностями в плане трудоустройства кандидатов из числа этнических меньшинств, с тем чтобы улучшить процедуры найма и трудоустройства.  Они также оказывают услуги в области трудоустройства и поддержку, в основном кандидатам из числа этнических меньшинств.  Некоторые из консультантов выполняют задачи, связанные с внедрением межкультурных подходов в организацию работы самих ЦТД, и занимаются деятельностью в контексте реализации Закона о поощрении занятости среди меньшинств (ЗПЗМ), в частности анализируя ежегодные доклады по осуществлению этого Закона и представляя рекомендации в отношении межкультурной кадровой политики.  Консультанты по предпринимательской деятельности меньшинств проконсультировали в общей сложности 4 180 компаний, выявили 2 857 вакансий и подготовили 226 планов межкультурного управления для предприятий и учреждений.</w:t>
      </w:r>
    </w:p>
    <w:p w:rsidR="00000000" w:rsidRDefault="00000000"/>
    <w:p w:rsidR="00000000" w:rsidRDefault="00000000">
      <w:r>
        <w:t>26.</w:t>
      </w:r>
      <w:r>
        <w:tab/>
        <w:t>ЦТД целенаправленно занимаются интеграцией лиц в нидерландское общество.  Их усилия отвечают цели применения в процессе интеграции более гибкого подхода, включая задачу своевременного приобщения лиц к труду (например, путем их охвата курсами, сочетающими обучение и производственную практику).  Пожелания лиц, охватываемых программой интеграции, и их возможности в плане приобщения к труду, возможности профессиональной подготовки или обучения на комбинированных курсах (дополнительную информацию о комбинированных курсах см. в пунктах 54-56 настоящего доклада) надлежит выяснять в ходе процедуры приема.  Кроме того, с 1 января 2003 года ЦТД в контексте обзора процесса интеграции представляли заявки на признание иностранных квалификационных свидетельств, что способствовало бы возвращению лиц к трудовой деятельности, особенно лиц, охваченных программами интеграции, и беженцев с относительно более высокой квалификацией.</w:t>
      </w:r>
    </w:p>
    <w:p w:rsidR="00000000" w:rsidRDefault="00000000"/>
    <w:p w:rsidR="00000000" w:rsidRDefault="00000000">
      <w:pPr>
        <w:rPr>
          <w:b/>
          <w:bCs/>
        </w:rPr>
      </w:pPr>
      <w:r>
        <w:rPr>
          <w:b/>
          <w:bCs/>
        </w:rPr>
        <w:t>Муниципалитеты</w:t>
      </w:r>
    </w:p>
    <w:p w:rsidR="00000000" w:rsidRDefault="00000000">
      <w:pPr>
        <w:rPr>
          <w:i/>
          <w:iCs/>
          <w:u w:val="single"/>
        </w:rPr>
      </w:pPr>
    </w:p>
    <w:p w:rsidR="00000000" w:rsidRDefault="00000000">
      <w:r>
        <w:t>27.</w:t>
      </w:r>
      <w:r>
        <w:tab/>
        <w:t xml:space="preserve">В структуре обеспечения труда и дохода (СОТД) муниципалитеты отвечают за реинтеграцию и охват как лиц, получающих пособия от муниципалитета, так и заявителей, не имеющих права на такое пособие.  Для обеспечения пропорционального получения меньшинствами выгод от политики поощрения реинтеграции и участия применяются специальные механизмы и конкретные методы.  </w:t>
      </w:r>
    </w:p>
    <w:p w:rsidR="00000000" w:rsidRDefault="00000000"/>
    <w:p w:rsidR="00000000" w:rsidRDefault="00000000">
      <w:r>
        <w:t>28.</w:t>
      </w:r>
      <w:r>
        <w:tab/>
        <w:t xml:space="preserve">В соответствии с "Повесткой дня на будущее" с Ассоциацией нидерландских муниципалитетов (АНМ) была достигнута договоренность о принятии дополнительных мер для формирования всеобъемлющей системы участия, реинтеграции и создания новых рабочих мест.  В частности, были согласованы меры, направленные на ускорение, совершенствование и модернизацию процедур реинтеграции лиц, претендующих на получение пособий.  С тем чтобы придать соглашениям с </w:t>
      </w:r>
      <w:proofErr w:type="spellStart"/>
      <w:r>
        <w:t>АНМ</w:t>
      </w:r>
      <w:proofErr w:type="spellEnd"/>
      <w:r>
        <w:t xml:space="preserve"> практическую направленность, с 30 крупнейшими муниципалитетами Нидерландов (</w:t>
      </w:r>
      <w:r>
        <w:rPr>
          <w:lang w:val="en-US"/>
        </w:rPr>
        <w:t>G</w:t>
      </w:r>
      <w:r>
        <w:t xml:space="preserve">4 и </w:t>
      </w:r>
      <w:r>
        <w:rPr>
          <w:lang w:val="en-US"/>
        </w:rPr>
        <w:t>G</w:t>
      </w:r>
      <w:r>
        <w:t xml:space="preserve">26) были заключены административные соглашения, охватывающие период 2001-2004 годов.  Для малых и средних муниципалитетов была внедрена система управленческих грантов, размер которых определяется в каждом конкретном случае, при этом с муниципалитетами заключаются соглашения относительно выполнения определенного количества программ реинтеграции и доли лиц, переходящих от существования на пособия к самообеспеченности за счет трудовой деятельности.  В целях создания новых стимулов муниципалитетам будет предоставлена возможность осуществлять соответствующие проекты.  С учетом наличия большой доли лиц незападного происхождения, претендующих на пособия (31% по Нидерландам в целом и до 49% в четырех крупных городах), соглашения с </w:t>
      </w:r>
      <w:r>
        <w:rPr>
          <w:lang w:val="en-US"/>
        </w:rPr>
        <w:t>G</w:t>
      </w:r>
      <w:r>
        <w:t xml:space="preserve">4 и </w:t>
      </w:r>
      <w:r>
        <w:rPr>
          <w:lang w:val="en-US"/>
        </w:rPr>
        <w:t>G</w:t>
      </w:r>
      <w:r>
        <w:t xml:space="preserve">26 предусматривают задачу снятия с пособий пропорционального количества желающих трудиться лиц из числа этнических меньшинств и их перехода к трудовой деятельности.  Кроме того, с муниципалитетами </w:t>
      </w:r>
      <w:r>
        <w:rPr>
          <w:lang w:val="en-US"/>
        </w:rPr>
        <w:t>G</w:t>
      </w:r>
      <w:r>
        <w:t xml:space="preserve">26 были достигнуты договоренности об организации для прибывающих в Нидерланды представителей этнических меньшинств и для обустроившихся мигрантов комбинированных курсов, сочетающих обучение с производственной практикой, и об уделении особого внимания беженцам с относительно более высокой квалификацией.  В настоящее время в муниципалитетах </w:t>
      </w:r>
      <w:r>
        <w:rPr>
          <w:lang w:val="en-US"/>
        </w:rPr>
        <w:t>G</w:t>
      </w:r>
      <w:r>
        <w:t>26 осуществляются три проекта по реинтеграции беженцев.  До конца 2003 года муниципалитеты могут обращаться за поддержкой и консультированием в вопросах разработки программ или проектов, предназначенных для беженцев с относительно более высокой квалификацией, к Фонду для учащихся-беженцев и поддержки труда (ФУБ).  Эта организация финансируется Министерством социальных дел и по вопросам занятости.  Местные отделения Голландского совета по делам беженцев поощряют муниципалитеты к разработке проектов и делятся своим опытом в отношении этой конкретной целевой группы.</w:t>
      </w:r>
    </w:p>
    <w:p w:rsidR="00000000" w:rsidRDefault="00000000"/>
    <w:p w:rsidR="00000000" w:rsidRDefault="00000000">
      <w:r>
        <w:t>29.</w:t>
      </w:r>
      <w:r>
        <w:tab/>
        <w:t>Для дополнительной активизации усилий в области реинтеграции кандидатов на трудоустройство из числа этнических меньшинств с весьма слабыми перспективами трудоустройства Министерство социальных дел и по вопросам занятости предоставляет 28 муниципалитетам гранты на разработку проектов, направленных на оказание помощи лицам из этой группы в трудоустройстве или профессиональной подготовке.  Такие гранты предоставляются в рамках Программы по улучшению положения этнических меньшинств (ППЭМ) (</w:t>
      </w:r>
      <w:r>
        <w:rPr>
          <w:lang w:val="en-US"/>
        </w:rPr>
        <w:t>Stimuleringsprojecten</w:t>
      </w:r>
      <w:r>
        <w:t xml:space="preserve"> </w:t>
      </w:r>
      <w:r>
        <w:rPr>
          <w:lang w:val="en-US"/>
        </w:rPr>
        <w:t>Allochtone</w:t>
      </w:r>
      <w:r>
        <w:t xml:space="preserve"> </w:t>
      </w:r>
      <w:r>
        <w:rPr>
          <w:lang w:val="en-US"/>
        </w:rPr>
        <w:t>Groepen</w:t>
      </w:r>
      <w:r>
        <w:t xml:space="preserve">).  Цель этой программы заключается в расширении охвата этнических меньшинств деятельностью обычных учреждений по профессиональной подготовке и реинтеграции и в подключении к этой деятельности механизмов, которыми располагают муниципалитеты.  Она начала осуществляться в 1994 году и первоначально предназначалась для молодых лиц, прибывших с Антильских островов и острова Аруба, однако в 1998 году ею были охвачены также молодые турки и марокканцы.  В апреле 2000 года успешно осуществляемая программа ППЭМ была продлена на три года.  С 1 мая 2001 года к целевой группе были отнесены как молодежь, так и пожилые лица, принадлежащие к различным группам меньшинств.  Система выделения грантов будет действовать до 1 мая 2004 года, когда участвующие в программе муниципалитеты обязаны будут передать свои полномочия по осуществлению проектов ППЭМ обычным учреждениям.  Министерство социальных дел и по вопросам занятости оказывает муниципалитетам разнообразную помощь, с тем чтобы проекты ППЭМ стали неотъемлемой частью проводимой ими политики.  Был разработан формат осуществления Программы, а соответствующие методические указания будут конкретизированы в июле 2003 года на основе изучения наилучшей практики 28 муниципалитетов, участвующих в </w:t>
      </w:r>
      <w:proofErr w:type="spellStart"/>
      <w:r>
        <w:t>ППЭМ</w:t>
      </w:r>
      <w:proofErr w:type="spellEnd"/>
      <w:r>
        <w:t xml:space="preserve">.  </w:t>
      </w:r>
    </w:p>
    <w:p w:rsidR="00000000" w:rsidRDefault="00000000"/>
    <w:p w:rsidR="00000000" w:rsidRDefault="00000000">
      <w:r>
        <w:t>30.</w:t>
      </w:r>
      <w:r>
        <w:tab/>
        <w:t xml:space="preserve">Программа по улучшению положения этнических меньшинств расширяет возможности в плане уделения пристального индивидуального внимания желающим трудоустроиться лицам, которые сталкиваются с многочисленными проблемами (низкий образовательный уровень, проблемы в изучении голландского языка, долги, жилищные проблемы, проблемы одиноких матерей).  Эта программа позволяет также весьма результативно оказывать помощь лицам из числа этнических меньшинств, которые не могут воспользоваться обычными процедурами трудоустройства.  Весьма эффективным оказался применяемый подход установления контактов, когда с лицами проводятся встречи на дому или в местах общественных собраний.  За период с 1 мая 2001 года по 1 октября 2002 года программой ППЭМ были охвачены свыше 3 800 человек, из которых более 1 100 человек (29%) уже участвовали в мероприятиях в рамках предыдущей программы.  По состоянию на октябрь 2002 года 25% охваченных лиц нашли работу, приступили к профессиональной подготовке или были включены в программу социальной активизации, 12% отсеялись, а 63% все еще продолжали участвовать в мероприятиях программы ППЭМ.  </w:t>
      </w:r>
    </w:p>
    <w:p w:rsidR="00000000" w:rsidRDefault="00000000"/>
    <w:p w:rsidR="00000000" w:rsidRDefault="00000000">
      <w:pPr>
        <w:rPr>
          <w:b/>
          <w:bCs/>
        </w:rPr>
      </w:pPr>
      <w:r>
        <w:rPr>
          <w:b/>
          <w:bCs/>
        </w:rPr>
        <w:t>Орган по осуществлению программ страхования трудящихся (ОСТ)</w:t>
      </w:r>
    </w:p>
    <w:p w:rsidR="00000000" w:rsidRDefault="00000000">
      <w:pPr>
        <w:rPr>
          <w:i/>
          <w:iCs/>
        </w:rPr>
      </w:pPr>
    </w:p>
    <w:p w:rsidR="00000000" w:rsidRDefault="00000000">
      <w:r>
        <w:t>31.</w:t>
      </w:r>
      <w:r>
        <w:tab/>
        <w:t>В рамках СОТД роль ОСТ состоит в том, что на него возлагается ответственность за реинтеграцию и участие лиц, зависящих от системы страхования трудящихся.  Министерство социальных дел и по вопросам занятости заключило с ОСТ, как и с другими партнерами (ЦТД и муниципалитетами), соглашения, предусматривающие пропорциональный охват этнических меньшинств директивными мерами ОСТ.  В целях сведения к минимуму количества трудящихся из числа этнических меньшинств, претендующих на пособия в соответствии с Законом о пособиях по инвалидности (</w:t>
      </w:r>
      <w:proofErr w:type="spellStart"/>
      <w:r>
        <w:t>ЗПИ</w:t>
      </w:r>
      <w:proofErr w:type="spellEnd"/>
      <w:r>
        <w:t>) (</w:t>
      </w:r>
      <w:r>
        <w:rPr>
          <w:lang w:val="en-GB"/>
        </w:rPr>
        <w:t>Wet</w:t>
      </w:r>
      <w:r>
        <w:t xml:space="preserve"> </w:t>
      </w:r>
      <w:r>
        <w:rPr>
          <w:lang w:val="en-GB"/>
        </w:rPr>
        <w:t>op</w:t>
      </w:r>
      <w:r>
        <w:t xml:space="preserve"> </w:t>
      </w:r>
      <w:r>
        <w:rPr>
          <w:lang w:val="en-GB"/>
        </w:rPr>
        <w:t>de</w:t>
      </w:r>
      <w:r>
        <w:t xml:space="preserve"> </w:t>
      </w:r>
      <w:proofErr w:type="spellStart"/>
      <w:r>
        <w:rPr>
          <w:lang w:val="en-GB"/>
        </w:rPr>
        <w:t>Arbeidsongeschiktheidsverzekering</w:t>
      </w:r>
      <w:proofErr w:type="spellEnd"/>
      <w:r>
        <w:t xml:space="preserve">), и поощрения их </w:t>
      </w:r>
      <w:proofErr w:type="spellStart"/>
      <w:r>
        <w:t>реинтеграции</w:t>
      </w:r>
      <w:proofErr w:type="spellEnd"/>
      <w:r>
        <w:t xml:space="preserve"> с ОСТ в рамках годового плана заключаются соглашения, направленные на охват этой целевой группы.  Они дополняют общие меры, способствующие достижению поставленных целей.</w:t>
      </w:r>
    </w:p>
    <w:p w:rsidR="00000000" w:rsidRDefault="00000000"/>
    <w:p w:rsidR="00000000" w:rsidRDefault="00000000">
      <w:r>
        <w:t>32.</w:t>
      </w:r>
      <w:r>
        <w:tab/>
        <w:t>В порядке сопоставления можно отметить, что вероятность получения лицами турецкого и марокканского происхождения пособий по инвалидности является более высокой, а полная утрата ими работоспособности удостоверяется чаще, чем среди коренных голландцев.  Поэтому ОСТ принял решение адаптировать свои услуги для этих групп, с тем чтобы сократить вероятность необходимости подачи трудящимися ходатайств о получении пособий по инвалидности и увеличить число лиц, которым не нужно выплачивать пособий.  Отчасти с учетом того, что в будущем мигрантам, прежде чем претендовать на пособия, необходимо пройти программу интеграции, с ОСТ были заключены соглашения о создании комбинированных курсов для этнических меньшинств, сочетающих обучение с производственной практикой.  Термин "обосновавшиеся мигранты" применяется к представителям этнических меньшинств, прибывшим для проживания в Нидерландах до вступления в силу Закона об интеграции иммигрантов (</w:t>
      </w:r>
      <w:proofErr w:type="spellStart"/>
      <w:r>
        <w:t>ЗИИ</w:t>
      </w:r>
      <w:proofErr w:type="spellEnd"/>
      <w:r>
        <w:t xml:space="preserve">). Согласно этому Закону, программы интеграции иммигрантов осуществляются на государственные средства.  </w:t>
      </w:r>
    </w:p>
    <w:p w:rsidR="00000000" w:rsidRDefault="00000000"/>
    <w:p w:rsidR="00000000" w:rsidRDefault="00000000">
      <w:pPr>
        <w:pStyle w:val="Heading6"/>
        <w:rPr>
          <w:iCs/>
          <w:u w:val="none"/>
        </w:rPr>
      </w:pPr>
      <w:r>
        <w:rPr>
          <w:iCs/>
          <w:u w:val="none"/>
        </w:rPr>
        <w:t>Работодатели</w:t>
      </w:r>
    </w:p>
    <w:p w:rsidR="00000000" w:rsidRDefault="00000000">
      <w:pPr>
        <w:pStyle w:val="Heading6"/>
        <w:rPr>
          <w:b w:val="0"/>
          <w:bCs/>
          <w:i/>
        </w:rPr>
      </w:pPr>
    </w:p>
    <w:p w:rsidR="00000000" w:rsidRDefault="00000000">
      <w:r>
        <w:t>33.</w:t>
      </w:r>
      <w:r>
        <w:tab/>
        <w:t>Негативное восприятие, предрассудки или дискриминация могут серьезно затруднять доступ этнических меньшинств к трудовой деятельности.  Однако относительно неблагоприятное положение, в котором они оказываются в процессе трудоустройства, не всегда означает наличие преднамеренной дискриминации.  Обстановка, для которой характерно неравное обращение с этническими меньшинствами на рынке труда и в профсоюзных организациях, может формироваться под влиянием таких факторов, как особенности организации найма и процесса отбора, применение необъективных психологических тестов и найм трудящихся по другим каналам, кроме тех, которыми пользуются кандидаты на трудоустройство из числа этнических меньшинств.  Дискриминация на рабочем месте также затрудняет интеграцию трудящихся, принадлежащих к этническим меньшинствам.  Из ежегодных докладов Комиссии по равному обращению (</w:t>
      </w:r>
      <w:proofErr w:type="spellStart"/>
      <w:r>
        <w:t>КРО</w:t>
      </w:r>
      <w:proofErr w:type="spellEnd"/>
      <w:r>
        <w:t>) и докладов Национального бюро по борьбе против расовой дискриминации (</w:t>
      </w:r>
      <w:proofErr w:type="spellStart"/>
      <w:r>
        <w:t>НББРД</w:t>
      </w:r>
      <w:proofErr w:type="spellEnd"/>
      <w:r>
        <w:t xml:space="preserve">) явствует, что большинство полученных жалоб на дискриминацию касаются сферы труда.  В целях борьбы с негативными представлениями и умышленной или неумышленной дискриминацией, а также поощрения </w:t>
      </w:r>
      <w:proofErr w:type="spellStart"/>
      <w:r>
        <w:t>многокультурной</w:t>
      </w:r>
      <w:proofErr w:type="spellEnd"/>
      <w:r>
        <w:t xml:space="preserve"> кадровой политики и обеспечения приема на перспективные должности и повышения по службе этнических меньшинств отдельные компании, секторы и ассоциации работодателей и трудящихся разработали различные инструменты.  Они включают Рамочное соглашение с крупными компаниями, соглашения по этническим меньшинствам с Ассоциацией работодателей МСП Нидерландов, Центром по обслуживанию малых и средних предприятий на рынке труда, Проект по созданию предприятий с активным участием меньшинств (</w:t>
      </w:r>
      <w:proofErr w:type="spellStart"/>
      <w:r>
        <w:t>ППМ</w:t>
      </w:r>
      <w:proofErr w:type="spellEnd"/>
      <w:r>
        <w:t>) (</w:t>
      </w:r>
      <w:proofErr w:type="spellStart"/>
      <w:r>
        <w:rPr>
          <w:iCs/>
          <w:lang w:val="en-GB"/>
        </w:rPr>
        <w:t>Krachtig</w:t>
      </w:r>
      <w:proofErr w:type="spellEnd"/>
      <w:r>
        <w:rPr>
          <w:iCs/>
        </w:rPr>
        <w:t xml:space="preserve"> </w:t>
      </w:r>
      <w:proofErr w:type="spellStart"/>
      <w:r>
        <w:rPr>
          <w:iCs/>
          <w:lang w:val="en-GB"/>
        </w:rPr>
        <w:t>Ondernemen</w:t>
      </w:r>
      <w:proofErr w:type="spellEnd"/>
      <w:r>
        <w:rPr>
          <w:iCs/>
        </w:rPr>
        <w:t xml:space="preserve"> </w:t>
      </w:r>
      <w:r>
        <w:rPr>
          <w:iCs/>
          <w:lang w:val="en-GB"/>
        </w:rPr>
        <w:t>met</w:t>
      </w:r>
      <w:r>
        <w:rPr>
          <w:iCs/>
        </w:rPr>
        <w:t xml:space="preserve"> </w:t>
      </w:r>
      <w:proofErr w:type="spellStart"/>
      <w:r>
        <w:rPr>
          <w:iCs/>
          <w:lang w:val="en-GB"/>
        </w:rPr>
        <w:t>Minderheden</w:t>
      </w:r>
      <w:proofErr w:type="spellEnd"/>
      <w:r>
        <w:rPr>
          <w:iCs/>
        </w:rPr>
        <w:t>) и Закон о поощрении занятости меньшинств (</w:t>
      </w:r>
      <w:proofErr w:type="spellStart"/>
      <w:r>
        <w:rPr>
          <w:iCs/>
        </w:rPr>
        <w:t>ЗПЗМ</w:t>
      </w:r>
      <w:proofErr w:type="spellEnd"/>
      <w:r>
        <w:rPr>
          <w:iCs/>
        </w:rPr>
        <w:t>).</w:t>
      </w:r>
      <w:r>
        <w:t xml:space="preserve"> </w:t>
      </w:r>
    </w:p>
    <w:p w:rsidR="00000000" w:rsidRDefault="00000000">
      <w:pPr>
        <w:spacing w:line="240" w:lineRule="auto"/>
      </w:pPr>
    </w:p>
    <w:p w:rsidR="00000000" w:rsidRDefault="00000000">
      <w:pPr>
        <w:spacing w:line="240" w:lineRule="auto"/>
        <w:rPr>
          <w:b/>
          <w:bCs/>
        </w:rPr>
      </w:pPr>
      <w:r>
        <w:rPr>
          <w:b/>
          <w:bCs/>
        </w:rPr>
        <w:t>Рамочное соглашение с крупными компаниями</w:t>
      </w:r>
    </w:p>
    <w:p w:rsidR="00000000" w:rsidRDefault="00000000">
      <w:pPr>
        <w:spacing w:line="240" w:lineRule="auto"/>
        <w:rPr>
          <w:iCs/>
        </w:rPr>
      </w:pPr>
    </w:p>
    <w:p w:rsidR="00000000" w:rsidRDefault="00000000">
      <w:r>
        <w:t>34.</w:t>
      </w:r>
      <w:r>
        <w:tab/>
        <w:t xml:space="preserve">Задача заключения соглашений с не менее, чем 100 крупными компаниями в целях обеспечения приема на перспективные должности и повышения по службе представителей этнических меньшинств и поощрения </w:t>
      </w:r>
      <w:proofErr w:type="spellStart"/>
      <w:r>
        <w:t>многокультурной</w:t>
      </w:r>
      <w:proofErr w:type="spellEnd"/>
      <w:r>
        <w:t xml:space="preserve"> кадровой политики была фактически перевыполнена, когда в марте 2002 года было подписано 110 таких соглашений.</w:t>
      </w:r>
    </w:p>
    <w:p w:rsidR="00000000" w:rsidRDefault="00000000"/>
    <w:p w:rsidR="00000000" w:rsidRDefault="00000000">
      <w:pPr>
        <w:rPr>
          <w:iCs/>
        </w:rPr>
      </w:pPr>
      <w:r>
        <w:t>35.</w:t>
      </w:r>
      <w:r>
        <w:tab/>
        <w:t xml:space="preserve">Соответствующие компании действуют в различных секторах, включая финансовый сектор, сезонные работы, промышленное производство, оптовую/розничную торговлю и строительство.  Подписывая такие соглашения, предприятия берут на себя разнообразные обязательства, касающиеся, в частности, подготовки персонала по вопросам </w:t>
      </w:r>
      <w:proofErr w:type="spellStart"/>
      <w:r>
        <w:t>многокультурной</w:t>
      </w:r>
      <w:proofErr w:type="spellEnd"/>
      <w:r>
        <w:t xml:space="preserve"> кадровой политики (</w:t>
      </w:r>
      <w:proofErr w:type="spellStart"/>
      <w:r>
        <w:t>66%</w:t>
      </w:r>
      <w:proofErr w:type="spellEnd"/>
      <w:r>
        <w:t>), достижения целевого показателя найма лиц из числа этнических меньшинств (</w:t>
      </w:r>
      <w:proofErr w:type="spellStart"/>
      <w:r>
        <w:t>58%</w:t>
      </w:r>
      <w:proofErr w:type="spellEnd"/>
      <w:r>
        <w:t>), учета культурных аспектов, например внедрения при наборе трудящихся тестов, не предусматривающих культурных предпочтений (</w:t>
      </w:r>
      <w:proofErr w:type="spellStart"/>
      <w:r>
        <w:t>38%</w:t>
      </w:r>
      <w:proofErr w:type="spellEnd"/>
      <w:r>
        <w:t>), организации комбинированных курсов, сочетающих обучение с производственной практикой (</w:t>
      </w:r>
      <w:proofErr w:type="spellStart"/>
      <w:r>
        <w:t>36%</w:t>
      </w:r>
      <w:proofErr w:type="spellEnd"/>
      <w:r>
        <w:t>), осуществление мер по обеспечению продвижению по службе лиц из числа этнических меньшинств (</w:t>
      </w:r>
      <w:proofErr w:type="spellStart"/>
      <w:r>
        <w:t>30%</w:t>
      </w:r>
      <w:proofErr w:type="spellEnd"/>
      <w:r>
        <w:t>) и предоставления возможностей в плане профессиональной подготовки (</w:t>
      </w:r>
      <w:proofErr w:type="spellStart"/>
      <w:r>
        <w:t>26%</w:t>
      </w:r>
      <w:proofErr w:type="spellEnd"/>
      <w:r>
        <w:t xml:space="preserve">).  Для оказания компаниям помощи в осуществлении этих соглашений и воплощения на практике проводимой государством политики при Министерстве социальных дел и по вопросам занятости было создано специальное агентство по проектам </w:t>
      </w:r>
      <w:r>
        <w:rPr>
          <w:iCs/>
        </w:rPr>
        <w:t>(</w:t>
      </w:r>
      <w:proofErr w:type="spellStart"/>
      <w:r>
        <w:rPr>
          <w:iCs/>
          <w:lang w:val="en-GB"/>
        </w:rPr>
        <w:t>Ruim</w:t>
      </w:r>
      <w:proofErr w:type="spellEnd"/>
      <w:r>
        <w:rPr>
          <w:iCs/>
        </w:rPr>
        <w:t xml:space="preserve"> </w:t>
      </w:r>
      <w:proofErr w:type="spellStart"/>
      <w:r>
        <w:rPr>
          <w:iCs/>
          <w:lang w:val="en-GB"/>
        </w:rPr>
        <w:t>Baan</w:t>
      </w:r>
      <w:proofErr w:type="spellEnd"/>
      <w:r>
        <w:rPr>
          <w:iCs/>
        </w:rPr>
        <w:t xml:space="preserve"> </w:t>
      </w:r>
      <w:proofErr w:type="spellStart"/>
      <w:r>
        <w:rPr>
          <w:iCs/>
          <w:lang w:val="en-GB"/>
        </w:rPr>
        <w:t>voor</w:t>
      </w:r>
      <w:proofErr w:type="spellEnd"/>
      <w:r>
        <w:rPr>
          <w:iCs/>
        </w:rPr>
        <w:t xml:space="preserve"> </w:t>
      </w:r>
      <w:proofErr w:type="spellStart"/>
      <w:r>
        <w:rPr>
          <w:iCs/>
          <w:lang w:val="en-GB"/>
        </w:rPr>
        <w:t>Minderheden</w:t>
      </w:r>
      <w:proofErr w:type="spellEnd"/>
      <w:r>
        <w:rPr>
          <w:iCs/>
        </w:rPr>
        <w:t>).</w:t>
      </w:r>
    </w:p>
    <w:p w:rsidR="00000000" w:rsidRDefault="00000000">
      <w:pPr>
        <w:rPr>
          <w:iCs/>
        </w:rPr>
      </w:pPr>
    </w:p>
    <w:p w:rsidR="00000000" w:rsidRDefault="00000000">
      <w:r>
        <w:rPr>
          <w:iCs/>
        </w:rPr>
        <w:t>36.</w:t>
      </w:r>
      <w:r>
        <w:rPr>
          <w:iCs/>
        </w:rPr>
        <w:tab/>
        <w:t xml:space="preserve">Осуществление соглашений контролируется независимым исследовательским учреждением.  В апреле </w:t>
      </w:r>
      <w:r>
        <w:t>2003 года министр социальных дел и по вопросам занятости представил в парламент резюме выводов, содержащихся во втором промежуточном докладе.  Основные выводы этого доклада изложены ниже.</w:t>
      </w:r>
    </w:p>
    <w:p w:rsidR="00000000" w:rsidRDefault="00000000"/>
    <w:p w:rsidR="00000000" w:rsidRDefault="00000000">
      <w:pPr>
        <w:rPr>
          <w:iCs/>
        </w:rPr>
      </w:pPr>
      <w:r>
        <w:t>37.</w:t>
      </w:r>
      <w:r>
        <w:tab/>
        <w:t xml:space="preserve">Задача проведения </w:t>
      </w:r>
      <w:proofErr w:type="spellStart"/>
      <w:r>
        <w:t>многокультурной</w:t>
      </w:r>
      <w:proofErr w:type="spellEnd"/>
      <w:r>
        <w:t xml:space="preserve"> кадровой политики ставится на старшем управленческом уровне.  Во многих компаниях более полно учитывается и лучше понимается как положение трудящихся из числа этнических меньшинств, так и обусловливающие его факторы, вследствие чего предрассудков становится меньше.  Компании вкладывают средства в профессиональную подготовку целевой группы и организацию трудовых коллективов в составе представителей различных культур.  Они признают, что соглашение с правительством является стимулом к принятию соответствующих мер и продолжению работы по укреплению </w:t>
      </w:r>
      <w:proofErr w:type="spellStart"/>
      <w:r>
        <w:t>многокультурной</w:t>
      </w:r>
      <w:proofErr w:type="spellEnd"/>
      <w:r>
        <w:t xml:space="preserve"> кадровой политики.  Однако осуществление соглашений, особенно в отношении перспективных должностей, как представляется, подвержено воздействию циклических изменений.  Одним из конкретных последствий такой деятельности является то, что заключение и осуществление соглашений позволило установить более тесные контакты между правительством и соответствующими компаниями.  Налаживаются новые партнерские связи между компаниями, муниципалитетами, региональными платформами политики на рынке труда (</w:t>
      </w:r>
      <w:proofErr w:type="spellStart"/>
      <w:r>
        <w:t>РПП</w:t>
      </w:r>
      <w:proofErr w:type="spellEnd"/>
      <w:r>
        <w:t>), региональными учебными центрами (</w:t>
      </w:r>
      <w:proofErr w:type="spellStart"/>
      <w:r>
        <w:t>РУЦ</w:t>
      </w:r>
      <w:proofErr w:type="spellEnd"/>
      <w:r>
        <w:t xml:space="preserve">), </w:t>
      </w:r>
      <w:proofErr w:type="spellStart"/>
      <w:r>
        <w:t>ЦТД</w:t>
      </w:r>
      <w:proofErr w:type="spellEnd"/>
      <w:r>
        <w:t xml:space="preserve"> и центральным правительством.  Министерство социальных дел и по вопросам занятости стремится оказывать содействие в урегулировании любых проблем, возникающих в отношениях между этими партнерами.  В рамках этих вновь созданных сетей проводятся совещания, на которых охваченные соглашениями компании делятся опытом и экспертным потенциалом и учатся на примере своих партнеров.  Действие соглашений истекает в конце июня 2004 года.  Заключительный доклад об оценке выполнения Рамочного соглашения с крупными компаниями будет представлен парламенту в середине 2004 года.  </w:t>
      </w:r>
    </w:p>
    <w:p w:rsidR="00000000" w:rsidRDefault="00000000">
      <w:pPr>
        <w:rPr>
          <w:iCs/>
        </w:rPr>
      </w:pPr>
    </w:p>
    <w:p w:rsidR="00000000" w:rsidRDefault="00000000">
      <w:pPr>
        <w:rPr>
          <w:b/>
          <w:bCs/>
        </w:rPr>
      </w:pPr>
      <w:r>
        <w:rPr>
          <w:b/>
          <w:bCs/>
        </w:rPr>
        <w:t>Добровольное соглашение по меньшинствам с МСП</w:t>
      </w:r>
    </w:p>
    <w:p w:rsidR="00000000" w:rsidRDefault="00000000">
      <w:pPr>
        <w:rPr>
          <w:i/>
          <w:iCs/>
        </w:rPr>
      </w:pPr>
    </w:p>
    <w:p w:rsidR="00000000" w:rsidRDefault="00000000">
      <w:r>
        <w:t>38.</w:t>
      </w:r>
      <w:r>
        <w:tab/>
        <w:t xml:space="preserve">Действие добровольного соглашения по меньшинствам с Королевской ассоциацией МСП Нидерландов (ассоциацией работодателей малых и средних предприятий) истекает 31 декабря 2002 года.  До настоящего времени начатое 18 апреля 2000 осуществление этого соглашения способствовало трудоустройству на малых и средних предприятиях примерно 62 000 лиц из числа этнических меньшинств.  Замысел состоял во внедрении в стандартные процедуры </w:t>
      </w:r>
      <w:proofErr w:type="spellStart"/>
      <w:r>
        <w:t>ЦТД</w:t>
      </w:r>
      <w:proofErr w:type="spellEnd"/>
      <w:r>
        <w:t xml:space="preserve"> подхода, учитывающего индивидуальные потребности каждого из кандидатов на трудоустройство.  По смыслу соглашения предусматривалось, что в 2003 году </w:t>
      </w:r>
      <w:proofErr w:type="spellStart"/>
      <w:r>
        <w:t>ЦТД</w:t>
      </w:r>
      <w:proofErr w:type="spellEnd"/>
      <w:r>
        <w:t xml:space="preserve"> предоставят дополнительные услуги кандидатам на трудоустройство из числа этнических меньшинств, относимых к категории 1.  Так, работодателям, желающим трудоустроить лиц из числа этнических меньшинств, предлагались дополнительные услуги, в частности личное представление кандидатов на объектах работодателей и наблюдение за их вступлением в должность.  Кроме того, добровольное соглашение позволило установить более тесные контакты между </w:t>
      </w:r>
      <w:proofErr w:type="spellStart"/>
      <w:r>
        <w:t>ЦТД</w:t>
      </w:r>
      <w:proofErr w:type="spellEnd"/>
      <w:r>
        <w:t xml:space="preserve"> и работодателями малых и средних компаний.  Работодатели уведомлялись о внедрении в стандартные процедуры </w:t>
      </w:r>
      <w:proofErr w:type="spellStart"/>
      <w:r>
        <w:t>ЦТД</w:t>
      </w:r>
      <w:proofErr w:type="spellEnd"/>
      <w:r>
        <w:t xml:space="preserve"> подхода, предусмотренного добровольным соглашением, и настоятельно поощрялись к продолжению его применения.  В контексте соглашения были разработаны различные пособия.  Брошюры, озаглавленные "Сделать вашу компанию более колоритной" и "Оптимальные методы использования рабочей силы", содержат практические советы работодателям в отношении найма, отбора, сохранения в штате и возможностей в плане трудоустройства кадров из числа этнических меньшинств.  В брошюре "Заполнение вакансий в соответствии со спросом и предложением" работодатели малых и средних предприятий рассказывают о своем позитивном опыте.  В брошюре "Ключи к успеху:  впечатления от широкомасштабного проекта на рынке труда" описываются результаты выполнения добровольного соглашения и методы их достижения.  На заключительном совещании 9 декабря 2002 года эта брошюра была представлена министру социальных дел и по вопросам занятости и министру по вопросам иммиграции и интеграции.</w:t>
      </w:r>
    </w:p>
    <w:p w:rsidR="00000000" w:rsidRDefault="00000000"/>
    <w:p w:rsidR="00000000" w:rsidRDefault="00000000">
      <w:r>
        <w:t>39.</w:t>
      </w:r>
      <w:r>
        <w:tab/>
        <w:t xml:space="preserve">1 апреля 2001 года при финансовой поддержке со стороны Министерства социальных дел и по вопросам занятости, рассчитанной на двухлетний период, был открыт Центр по обслуживанию малых и средних предприятий на рынке труде.  Создание этого Центра является совместной инициативой </w:t>
      </w:r>
      <w:proofErr w:type="spellStart"/>
      <w:r>
        <w:t>ЦТД</w:t>
      </w:r>
      <w:proofErr w:type="spellEnd"/>
      <w:r>
        <w:t xml:space="preserve">, Ассоциации МСП Нидерландов и Министерства социальных дел и по вопросам занятости, направленной на оказание поддержки работодателям малых и средних предприятий в их усилиях по разработке взвешенной и эффективной </w:t>
      </w:r>
      <w:proofErr w:type="spellStart"/>
      <w:r>
        <w:t>многокультурной</w:t>
      </w:r>
      <w:proofErr w:type="spellEnd"/>
      <w:r>
        <w:t xml:space="preserve"> кадровой политики.  Поддержка предоставляется в виде консультирования секторов и компаний по таким вопросам, как наем и отбор, профессиональная подготовка сотрудников, профессиональная ориентация и планирование служебного роста.  Кроме того, за последние несколько лет Центр по обслуживанию разработал несколько проектов, в частности для поощрения работодателей к организации языковых курсов как средства улучшения перспектив трудоустройства трудящихся из числа этнических меньшинств.  С этой целью были подготовлены брошюра и руководство, в которых содержится подробная информация о языковой подготовке лиц, не владеющих голландским языком, и методическое пособие для определения потребностей компаний в организации языковых курсов. </w:t>
      </w:r>
    </w:p>
    <w:p w:rsidR="00000000" w:rsidRDefault="00000000"/>
    <w:p w:rsidR="00000000" w:rsidRDefault="00000000">
      <w:pPr>
        <w:rPr>
          <w:b/>
          <w:bCs/>
        </w:rPr>
      </w:pPr>
      <w:r>
        <w:rPr>
          <w:b/>
          <w:bCs/>
        </w:rPr>
        <w:t>Проект создания предприятий с активным участием меньшинств (</w:t>
      </w:r>
      <w:proofErr w:type="spellStart"/>
      <w:r>
        <w:rPr>
          <w:b/>
          <w:bCs/>
        </w:rPr>
        <w:t>ППМ</w:t>
      </w:r>
      <w:proofErr w:type="spellEnd"/>
      <w:r>
        <w:rPr>
          <w:b/>
          <w:bCs/>
        </w:rPr>
        <w:t>)</w:t>
      </w:r>
    </w:p>
    <w:p w:rsidR="00000000" w:rsidRDefault="00000000">
      <w:pPr>
        <w:rPr>
          <w:i/>
          <w:iCs/>
        </w:rPr>
      </w:pPr>
    </w:p>
    <w:p w:rsidR="00000000" w:rsidRDefault="00000000">
      <w:r>
        <w:t>40.</w:t>
      </w:r>
      <w:r>
        <w:tab/>
        <w:t xml:space="preserve">Цель проекта </w:t>
      </w:r>
      <w:proofErr w:type="spellStart"/>
      <w:r>
        <w:t>ППМ</w:t>
      </w:r>
      <w:proofErr w:type="spellEnd"/>
      <w:r>
        <w:t xml:space="preserve"> состоит в разработке и применении ориентированного на потребности </w:t>
      </w:r>
      <w:proofErr w:type="spellStart"/>
      <w:r>
        <w:t>отрслей</w:t>
      </w:r>
      <w:proofErr w:type="spellEnd"/>
      <w:r>
        <w:t xml:space="preserve"> подхода, позволяющего компаниям использовать значительный потенциал трудящихся из числа этнических меньшинств.  Осуществление этого проекта было начато в 2000 году по инициативе самих отраслей.  Первоначально он предназначался для трех отраслей (гостиничное хозяйство и предприятия общественного питания, охранные агентства, транспортные и ремонтные предприятия), но в 2001 году в рамках региональных опытных проектов им были охвачены еще две отрасли (строительные компании и предприятия по уборке).  24 января 2004 года представители организаций этих пяти отраслей в присутствии бывшего министра социальных дел и по вопросам занятости подписали рамочное соглашение и заключили </w:t>
      </w:r>
      <w:proofErr w:type="spellStart"/>
      <w:r>
        <w:t>имплементационные</w:t>
      </w:r>
      <w:proofErr w:type="spellEnd"/>
      <w:r>
        <w:t xml:space="preserve"> соглашения с четырьмя региональными платформами политики на рынке труда.  Проект </w:t>
      </w:r>
      <w:proofErr w:type="spellStart"/>
      <w:r>
        <w:t>ППМ</w:t>
      </w:r>
      <w:proofErr w:type="spellEnd"/>
      <w:r>
        <w:t xml:space="preserve"> завершился 19 февраля 2003 года организацией конференции, на которой были представлены разработанные инструменты.  На этом мероприятии организации пяти отраслей заявили, что они планирует продолжать такую деятельность на основе знаний и опыта, полученных в ходе осуществления проекта </w:t>
      </w:r>
      <w:proofErr w:type="spellStart"/>
      <w:r>
        <w:t>ППМ</w:t>
      </w:r>
      <w:proofErr w:type="spellEnd"/>
      <w:r>
        <w:t xml:space="preserve">.  Итоги проекта </w:t>
      </w:r>
      <w:proofErr w:type="spellStart"/>
      <w:r>
        <w:t>ППМ</w:t>
      </w:r>
      <w:proofErr w:type="spellEnd"/>
      <w:r>
        <w:t>, а также выводы оценки осуществления добровольного соглашения по этническим меньшинствам с Ассоциацией МСП Нидерландов и Рамочного соглашения с крупными компаниями будут рассмотрены в процессе оценки осуществления Закона о поощрении занятости меньшинств.</w:t>
      </w:r>
    </w:p>
    <w:p w:rsidR="00000000" w:rsidRDefault="00000000"/>
    <w:p w:rsidR="00000000" w:rsidRDefault="00000000">
      <w:r>
        <w:t>41.</w:t>
      </w:r>
      <w:r>
        <w:tab/>
        <w:t xml:space="preserve">Рабочие методы осуществления двуединой политики (в области обеспечения занятости трудящихся и сохранения за ними работы), которые были использованы в ходе выполнения проекта, составляют основу формы и содержания конечных продуктов проекта </w:t>
      </w:r>
      <w:proofErr w:type="spellStart"/>
      <w:r>
        <w:t>ММП</w:t>
      </w:r>
      <w:proofErr w:type="spellEnd"/>
      <w:r>
        <w:t xml:space="preserve">.  Продукт, получивший название "Комплект </w:t>
      </w:r>
      <w:proofErr w:type="spellStart"/>
      <w:r>
        <w:t>ППМ</w:t>
      </w:r>
      <w:proofErr w:type="spellEnd"/>
      <w:r>
        <w:t xml:space="preserve">", включает компакт-диск, на котором содержатся все инструменты, разработанные в ходе осуществления проекта в различных отраслях.  В соответствии с программным подходом применение этих инструментов предусматривает пять этапов.  В ходе осуществления проекта инструменты разрабатывались применительно к каждому из пяти этапов на двух уровнях:  на уровне компании и на уровне производственной площадки.  В брошюре "Предприятие с активным участием меньшинств" содержится подробное описание основных принципов, подхода и результатов </w:t>
      </w:r>
      <w:proofErr w:type="spellStart"/>
      <w:r>
        <w:t>ППМ</w:t>
      </w:r>
      <w:proofErr w:type="spellEnd"/>
      <w:r>
        <w:t>.  Ее цель заключается в том, чтобы побудить и поощрить другие отрасли к созданию предприятий с активным участием меньшинств.  По завершении опытных проектов каждая отрасль выпускала практическое руководство, касающееся методов приема на работу большего количества лиц из числа этнических меньшинств и важности сохранения их в составе рабочей силы.</w:t>
      </w:r>
    </w:p>
    <w:p w:rsidR="00000000" w:rsidRDefault="00000000"/>
    <w:p w:rsidR="00000000" w:rsidRDefault="00000000">
      <w:pPr>
        <w:rPr>
          <w:b/>
          <w:bCs/>
        </w:rPr>
      </w:pPr>
      <w:r>
        <w:rPr>
          <w:b/>
          <w:bCs/>
        </w:rPr>
        <w:t>Закон о поощрении занятости меньшинств</w:t>
      </w:r>
    </w:p>
    <w:p w:rsidR="00000000" w:rsidRDefault="00000000">
      <w:pPr>
        <w:rPr>
          <w:i/>
          <w:iCs/>
          <w:u w:val="single"/>
        </w:rPr>
      </w:pPr>
    </w:p>
    <w:p w:rsidR="00000000" w:rsidRDefault="00000000">
      <w:r>
        <w:t>42.</w:t>
      </w:r>
      <w:r>
        <w:tab/>
        <w:t>Закон о поощрении занятости меньшинств (</w:t>
      </w:r>
      <w:proofErr w:type="spellStart"/>
      <w:r>
        <w:t>ЗПЗМ</w:t>
      </w:r>
      <w:proofErr w:type="spellEnd"/>
      <w:r>
        <w:t xml:space="preserve">) является правовым актом, предусматривающим поддержку отдельных компаний в проведении </w:t>
      </w:r>
      <w:proofErr w:type="spellStart"/>
      <w:r>
        <w:t>многокультурной</w:t>
      </w:r>
      <w:proofErr w:type="spellEnd"/>
      <w:r>
        <w:t xml:space="preserve"> кадровой политики.  По смыслу этого Закона работодатели, у которых трудится не менее 35 работников, обязаны вести подробный учет кадров и ежегодно представлять отчет о мерах, принятых компанией с целью достижения пропорционального трудового участия в соответствии с Законом.  За последние годы было многое сделано для поддержки работодателей в осуществлении Закона и проведении </w:t>
      </w:r>
      <w:proofErr w:type="spellStart"/>
      <w:r>
        <w:t>многокультурной</w:t>
      </w:r>
      <w:proofErr w:type="spellEnd"/>
      <w:r>
        <w:t xml:space="preserve"> кадровой политики.  Например, на </w:t>
      </w:r>
      <w:proofErr w:type="spellStart"/>
      <w:r>
        <w:t>вебсайте</w:t>
      </w:r>
      <w:proofErr w:type="spellEnd"/>
      <w:r>
        <w:t xml:space="preserve"> </w:t>
      </w:r>
      <w:hyperlink r:id="rId9" w:history="1">
        <w:r>
          <w:rPr>
            <w:rStyle w:val="Hyperlink"/>
            <w:lang w:val="en-US"/>
          </w:rPr>
          <w:t>www</w:t>
        </w:r>
        <w:r>
          <w:rPr>
            <w:rStyle w:val="Hyperlink"/>
          </w:rPr>
          <w:t>.</w:t>
        </w:r>
        <w:proofErr w:type="spellStart"/>
        <w:r>
          <w:rPr>
            <w:rStyle w:val="Hyperlink"/>
            <w:lang w:val="en-US"/>
          </w:rPr>
          <w:t>wetsamen</w:t>
        </w:r>
        <w:proofErr w:type="spellEnd"/>
        <w:r>
          <w:rPr>
            <w:rStyle w:val="Hyperlink"/>
          </w:rPr>
          <w:t>.</w:t>
        </w:r>
        <w:proofErr w:type="spellStart"/>
        <w:r>
          <w:rPr>
            <w:rStyle w:val="Hyperlink"/>
            <w:lang w:val="en-US"/>
          </w:rPr>
          <w:t>nl</w:t>
        </w:r>
        <w:proofErr w:type="spellEnd"/>
      </w:hyperlink>
      <w:r>
        <w:t xml:space="preserve"> работодатели могут найти всю соответствующую информацию (на голландском языке) об этом Законе и о </w:t>
      </w:r>
      <w:proofErr w:type="spellStart"/>
      <w:r>
        <w:t>многокультурной</w:t>
      </w:r>
      <w:proofErr w:type="spellEnd"/>
      <w:r>
        <w:t xml:space="preserve"> кадровой политике и ознакомиться с годовыми отчетами.</w:t>
      </w:r>
    </w:p>
    <w:p w:rsidR="00000000" w:rsidRDefault="00000000"/>
    <w:p w:rsidR="00000000" w:rsidRDefault="00000000">
      <w:r>
        <w:t>43.</w:t>
      </w:r>
      <w:r>
        <w:tab/>
        <w:t xml:space="preserve">В результате этих мер в настоящее время все больше компаний выполняют положения Закона о поощрении занятости меньшинств (свыше </w:t>
      </w:r>
      <w:proofErr w:type="spellStart"/>
      <w:r>
        <w:t>81%</w:t>
      </w:r>
      <w:proofErr w:type="spellEnd"/>
      <w:r>
        <w:t xml:space="preserve"> в 2001 году).  Анализ годовых отчетов свидетельствует об относительной стабилизации в составе работников компаний доли этнических меньшинств (</w:t>
      </w:r>
      <w:proofErr w:type="spellStart"/>
      <w:r>
        <w:t>8,5%</w:t>
      </w:r>
      <w:proofErr w:type="spellEnd"/>
      <w:r>
        <w:t xml:space="preserve"> в 2001 году по сравнению с </w:t>
      </w:r>
      <w:proofErr w:type="spellStart"/>
      <w:r>
        <w:t>8,6%</w:t>
      </w:r>
      <w:proofErr w:type="spellEnd"/>
      <w:r>
        <w:t xml:space="preserve"> в 2000 году).  В итоге доля трудоустроившихся лиц из числа этнических меньшинств выше, чем доля лиц, прекративших работу (</w:t>
      </w:r>
      <w:proofErr w:type="spellStart"/>
      <w:r>
        <w:t>14,5%</w:t>
      </w:r>
      <w:proofErr w:type="spellEnd"/>
      <w:r>
        <w:t xml:space="preserve"> против </w:t>
      </w:r>
      <w:proofErr w:type="spellStart"/>
      <w:r>
        <w:t>12,6%</w:t>
      </w:r>
      <w:proofErr w:type="spellEnd"/>
      <w:r>
        <w:t xml:space="preserve">).  Количество мер, принимаемых компаниями для улучшения положения трудящихся из числа этнических меньшинств, увеличилось на </w:t>
      </w:r>
      <w:proofErr w:type="spellStart"/>
      <w:r>
        <w:t>17%</w:t>
      </w:r>
      <w:proofErr w:type="spellEnd"/>
      <w:r>
        <w:t>;  в среднем это означает, что каждая компания приняла четыре такие меры.  Крупные компании (свыше 500 работников) выполняют положения Закона чаще (</w:t>
      </w:r>
      <w:proofErr w:type="spellStart"/>
      <w:r>
        <w:t>66,1%</w:t>
      </w:r>
      <w:proofErr w:type="spellEnd"/>
      <w:r>
        <w:t>), чем малые предприятия с 35-49 работниками (</w:t>
      </w:r>
      <w:proofErr w:type="spellStart"/>
      <w:r>
        <w:t>38,4%</w:t>
      </w:r>
      <w:proofErr w:type="spellEnd"/>
      <w:r>
        <w:t>).  Самый высокий уровень выполнения его положений приходится на сектор государственного управления/образования/здравоохранения (</w:t>
      </w:r>
      <w:proofErr w:type="spellStart"/>
      <w:r>
        <w:t>71,4%</w:t>
      </w:r>
      <w:proofErr w:type="spellEnd"/>
      <w:r>
        <w:t xml:space="preserve">).  Институт по вопросам </w:t>
      </w:r>
      <w:proofErr w:type="spellStart"/>
      <w:r>
        <w:t>многокультурного</w:t>
      </w:r>
      <w:proofErr w:type="spellEnd"/>
      <w:r>
        <w:t xml:space="preserve"> развития (ФОРУМ), Национальное бюро по борьбе против расовой дискриминации (</w:t>
      </w:r>
      <w:proofErr w:type="spellStart"/>
      <w:r>
        <w:t>НББРД</w:t>
      </w:r>
      <w:proofErr w:type="spellEnd"/>
      <w:r>
        <w:t>) и Национальный консультативный комитет по делам этнических меньшинств (</w:t>
      </w:r>
      <w:proofErr w:type="spellStart"/>
      <w:r>
        <w:t>НКЭМ</w:t>
      </w:r>
      <w:proofErr w:type="spellEnd"/>
      <w:r>
        <w:t>) направили компаниям и муниципалитетам, не выполняющим свои правовые обязательства, соответствующие уведомления.  Эта мера была принята для совершенствования соблюдения и осуществления Закона.  Некоторые учреждения стали выполнять Закон из опасения возможного возбуждения против них гражданских исков.  Предпринятые действия показали, что компании, получившие уведомления, не возражали против Закона, но всего лишь нуждались в практической поддержке в деле выполнения своих установленных Законом обязательств.</w:t>
      </w:r>
    </w:p>
    <w:p w:rsidR="00000000" w:rsidRDefault="00000000"/>
    <w:p w:rsidR="00000000" w:rsidRDefault="00000000">
      <w:r>
        <w:t>44.</w:t>
      </w:r>
      <w:r>
        <w:tab/>
        <w:t xml:space="preserve">2002 год является последним годом, за который компании были обязаны представить годовой доклад.  Ввиду того факта, что срок действия Закона о поощрении занятости меньшинств должен истечь 31 декабря 2003 года, осенью 2002 года была проведена оценка осуществления Закона.  Оценочный доклад должен быть готов в июне 2003 года, когда правительство сформулирует свою позицию относительно целесообразности и методов поддержки работодателей в проведении </w:t>
      </w:r>
      <w:proofErr w:type="spellStart"/>
      <w:r>
        <w:t>многокультурной</w:t>
      </w:r>
      <w:proofErr w:type="spellEnd"/>
      <w:r>
        <w:t xml:space="preserve"> кадровой политики.  Одним из важных соображений является необходимость сокращения регламентационного и административного бремени, возлагаемого на работодателей.  </w:t>
      </w:r>
    </w:p>
    <w:p w:rsidR="00000000" w:rsidRDefault="00000000"/>
    <w:p w:rsidR="00000000" w:rsidRDefault="00000000">
      <w:r>
        <w:t>45.</w:t>
      </w:r>
      <w:r>
        <w:tab/>
        <w:t xml:space="preserve">Положение об истечении срока действия Закона о поощрении занятости меньшинств содержится в самом Законе.  Он уже продлевался один раз, и поэтому действие Закона прекратится автоматически.  После этого правительство определит, необходимы ли последующие меры, с тем чтобы побудить предпринимателей к найму </w:t>
      </w:r>
      <w:proofErr w:type="spellStart"/>
      <w:r>
        <w:t>многокультурного</w:t>
      </w:r>
      <w:proofErr w:type="spellEnd"/>
      <w:r>
        <w:t xml:space="preserve"> персонала.  </w:t>
      </w:r>
    </w:p>
    <w:p w:rsidR="00000000" w:rsidRDefault="00000000"/>
    <w:p w:rsidR="00000000" w:rsidRDefault="00000000">
      <w:pPr>
        <w:rPr>
          <w:b/>
          <w:bCs/>
        </w:rPr>
      </w:pPr>
      <w:r>
        <w:rPr>
          <w:b/>
          <w:bCs/>
        </w:rPr>
        <w:t>Организации этнических меньшинств</w:t>
      </w:r>
    </w:p>
    <w:p w:rsidR="00000000" w:rsidRDefault="00000000">
      <w:pPr>
        <w:rPr>
          <w:i/>
          <w:iCs/>
        </w:rPr>
      </w:pPr>
    </w:p>
    <w:p w:rsidR="00000000" w:rsidRDefault="00000000">
      <w:r>
        <w:t>46.</w:t>
      </w:r>
      <w:r>
        <w:tab/>
        <w:t>Организации этнических меньшинств могут создавать полезные контакты между группами этнических меньшинств и правительством.  Поощряя своих членов к использованию имеющихся средств по обеспечению занятости, организации этнических меньшинств могут играть важную роль в деле сокращения безработицы и поощрения участия на рынке в рабочей силы.  Они также занимаются предоставлением информации о Законе о равном обращении (</w:t>
      </w:r>
      <w:proofErr w:type="spellStart"/>
      <w:r>
        <w:t>ЗРО</w:t>
      </w:r>
      <w:proofErr w:type="spellEnd"/>
      <w:r>
        <w:t xml:space="preserve">) и </w:t>
      </w:r>
      <w:proofErr w:type="spellStart"/>
      <w:r>
        <w:t>СОТД</w:t>
      </w:r>
      <w:proofErr w:type="spellEnd"/>
      <w:r>
        <w:t xml:space="preserve">.  В рамках добровольного соглашения по этническим меньшинствам с Ассоциацией МСП Нидерландов они контактируют с </w:t>
      </w:r>
      <w:proofErr w:type="spellStart"/>
      <w:r>
        <w:t>ЦТД</w:t>
      </w:r>
      <w:proofErr w:type="spellEnd"/>
      <w:r>
        <w:t xml:space="preserve"> по вопросам организации на местном уровне информационных совещаний для стремящихся трудоустроиться лиц из числа этнических меньшинств.  Обсуждения с Министерством юстиции проводятся на форуме Национального консультативного комитета по делам этнических меньшинств.</w:t>
      </w:r>
    </w:p>
    <w:p w:rsidR="00000000" w:rsidRDefault="00000000"/>
    <w:p w:rsidR="00000000" w:rsidRDefault="00000000">
      <w:pPr>
        <w:rPr>
          <w:b/>
          <w:bCs/>
        </w:rPr>
      </w:pPr>
      <w:r>
        <w:rPr>
          <w:b/>
          <w:bCs/>
        </w:rPr>
        <w:t>Политика в отношении конкретных целевых групп</w:t>
      </w:r>
    </w:p>
    <w:p w:rsidR="00000000" w:rsidRDefault="00000000"/>
    <w:p w:rsidR="00000000" w:rsidRDefault="00000000">
      <w:pPr>
        <w:rPr>
          <w:i/>
          <w:iCs/>
        </w:rPr>
      </w:pPr>
      <w:r>
        <w:rPr>
          <w:i/>
          <w:iCs/>
        </w:rPr>
        <w:t>Женщины из групп этнических меньшинств</w:t>
      </w:r>
    </w:p>
    <w:p w:rsidR="00000000" w:rsidRDefault="00000000">
      <w:pPr>
        <w:rPr>
          <w:i/>
          <w:iCs/>
        </w:rPr>
      </w:pPr>
    </w:p>
    <w:p w:rsidR="00000000" w:rsidRDefault="00000000">
      <w:r>
        <w:t>47.</w:t>
      </w:r>
      <w:r>
        <w:tab/>
        <w:t xml:space="preserve">Второе правительства Кока сформулировало задачу расширения чистого участия женщин в трудовой деятельности с </w:t>
      </w:r>
      <w:proofErr w:type="spellStart"/>
      <w:r>
        <w:t>51%</w:t>
      </w:r>
      <w:proofErr w:type="spellEnd"/>
      <w:r>
        <w:t xml:space="preserve"> в 1999 году до </w:t>
      </w:r>
      <w:proofErr w:type="spellStart"/>
      <w:r>
        <w:t>65%</w:t>
      </w:r>
      <w:proofErr w:type="spellEnd"/>
      <w:r>
        <w:t xml:space="preserve"> к 2010 году.  Учет объективных тенденций дает основание сделать неизбежный вывод о том, что без дополнительных усилий эта задача не может быть выполнена.  Один из путей внесения существенного вклада в достижение этой цели состоял бы в поощрении женщин из числа этнических меньшинств к участию в трудовой деятельности.  За последние годы рынок труда пополнился большим количеством женщин из групп этнических меньшинств.  Однако в 2002 году динамика расширения полной занятости среди этой группы замедлилась по сравнению с 2001 годом и, согласно предварительным данным Нидерландского статистического управления (</w:t>
      </w:r>
      <w:proofErr w:type="spellStart"/>
      <w:r>
        <w:t>НСУ</w:t>
      </w:r>
      <w:proofErr w:type="spellEnd"/>
      <w:r>
        <w:t xml:space="preserve">), оставалась стабильной на уровне </w:t>
      </w:r>
      <w:proofErr w:type="spellStart"/>
      <w:r>
        <w:t>40%</w:t>
      </w:r>
      <w:proofErr w:type="spellEnd"/>
      <w:r>
        <w:t>.  Это означает, что женщины из числа этнических меньшинств по</w:t>
      </w:r>
      <w:r>
        <w:noBreakHyphen/>
        <w:t>прежнему находятся в более неблагоприятном положении, чем коренные голландки (</w:t>
      </w:r>
      <w:proofErr w:type="spellStart"/>
      <w:r>
        <w:t>56%</w:t>
      </w:r>
      <w:proofErr w:type="spellEnd"/>
      <w:r>
        <w:t>).  На практике коэффициент трудового участия женщин зависит от того, к какому этническому меньшинству они принадлежат.  Занятость суринамок находится примерно на таком же уровне, как и голландок (</w:t>
      </w:r>
      <w:proofErr w:type="spellStart"/>
      <w:r>
        <w:t>56%</w:t>
      </w:r>
      <w:proofErr w:type="spellEnd"/>
      <w:r>
        <w:t xml:space="preserve"> в 2002 году), тогда как турчанки и марокканки относительно мало участвуют в трудовой деятельности (в 2002 году соответственно </w:t>
      </w:r>
      <w:proofErr w:type="spellStart"/>
      <w:r>
        <w:t>32%</w:t>
      </w:r>
      <w:proofErr w:type="spellEnd"/>
      <w:r>
        <w:t xml:space="preserve"> и </w:t>
      </w:r>
      <w:proofErr w:type="spellStart"/>
      <w:r>
        <w:t>30%</w:t>
      </w:r>
      <w:proofErr w:type="spellEnd"/>
      <w:r>
        <w:t>).</w:t>
      </w:r>
    </w:p>
    <w:p w:rsidR="00000000" w:rsidRDefault="00000000"/>
    <w:p w:rsidR="00000000" w:rsidRDefault="00000000">
      <w:r>
        <w:t>48.</w:t>
      </w:r>
      <w:r>
        <w:tab/>
        <w:t>С учетом их численности и потенциала женщины из числа этнических меньшинств могут в будущем вносить важный вклад в расширение участия в трудовой деятельности групп этнических меньшинств в целом.  В своем официальном ответе на рекомендацию Комитета по вопросам участия женщин из числа этнических меньшинств (</w:t>
      </w:r>
      <w:proofErr w:type="spellStart"/>
      <w:r>
        <w:t>КУЖЭМ</w:t>
      </w:r>
      <w:proofErr w:type="spellEnd"/>
      <w:r>
        <w:t>) правительство объявило о принятии дополнительных мер, способствующих устранению препятствий на рынке труда для этой группы и обеспечению ее более эффективного охвата.  На национальном уровне учреждается руководящая группа, на которую будет возложена задача осуществления этих мер и поддержки муниципалитетов в выполнении ими роли координаторов инициатив в интересах женщин из групп этнических меньшинств.</w:t>
      </w:r>
    </w:p>
    <w:p w:rsidR="00000000" w:rsidRDefault="00000000"/>
    <w:p w:rsidR="00000000" w:rsidRDefault="00000000">
      <w:r>
        <w:t>49.</w:t>
      </w:r>
      <w:r>
        <w:tab/>
        <w:t xml:space="preserve">В программном документе по равенству возможностей и семейным делам, выпущенном в 2003 году, объявлено о разработке комплексного плана действий по обеспечению равных возможностей для женщин и девочек из числа этнических меньшинств с </w:t>
      </w:r>
      <w:proofErr w:type="spellStart"/>
      <w:r>
        <w:t>уделением</w:t>
      </w:r>
      <w:proofErr w:type="spellEnd"/>
      <w:r>
        <w:t xml:space="preserve"> особого внимания вопросам образования, участия в трудовой деятельности, экономической самообеспеченности, сексуального самоопределения и самостоятельного развития.  В этой связи в марте 2003 года была начата подготовка публикации результатов </w:t>
      </w:r>
      <w:proofErr w:type="spellStart"/>
      <w:r>
        <w:t>межучрежденческого</w:t>
      </w:r>
      <w:proofErr w:type="spellEnd"/>
      <w:r>
        <w:t xml:space="preserve"> обследования, в котором представлен обзор проводимой правительством политики в отношении женщин и девочек из числа этнических меньшинств.  К концу 2003 года по итогам этого обзора будет подготовлен соответствующий план действий.  </w:t>
      </w:r>
    </w:p>
    <w:p w:rsidR="00000000" w:rsidRDefault="00000000"/>
    <w:p w:rsidR="00000000" w:rsidRDefault="00000000">
      <w:pPr>
        <w:rPr>
          <w:i/>
          <w:iCs/>
        </w:rPr>
      </w:pPr>
      <w:r>
        <w:rPr>
          <w:i/>
          <w:iCs/>
        </w:rPr>
        <w:t>Беженцы с относительно более высокой квалификацией</w:t>
      </w:r>
    </w:p>
    <w:p w:rsidR="00000000" w:rsidRDefault="00000000">
      <w:pPr>
        <w:rPr>
          <w:i/>
          <w:iCs/>
        </w:rPr>
      </w:pPr>
    </w:p>
    <w:p w:rsidR="00000000" w:rsidRDefault="00000000">
      <w:r>
        <w:t>50.</w:t>
      </w:r>
      <w:r>
        <w:tab/>
        <w:t xml:space="preserve">В целях обеспечения возвращения к трудовой деятельности беженцев с относительно более высокой квалификацией был подготовлен план действий, который был представлен на рассмотрение Палаты представителей в апреле 2002 года.  Этот план предусматривает непрерывный охват таких лиц, начиная с этапа представления ходатайства об убежище, за которым следует интеграция в общество, дальнейшая профессиональная подготовка и </w:t>
      </w:r>
      <w:proofErr w:type="spellStart"/>
      <w:r>
        <w:t>реинтеграция</w:t>
      </w:r>
      <w:proofErr w:type="spellEnd"/>
      <w:r>
        <w:t xml:space="preserve"> в процессе трудоустройства.  Осуществление соответствующей программы в начале процесса и на последующих этапах увеличивает возможность более быстрого трудоустройства квалифицированных беженцев и обеспечения их работой, которая соответствует уровню их образования и профессиональному опыту.  Руководящая группа будет отслеживать прогресс в этой области и эффективность мер, предложенных в плане действий.  </w:t>
      </w:r>
    </w:p>
    <w:p w:rsidR="00000000" w:rsidRDefault="00000000"/>
    <w:p w:rsidR="00000000" w:rsidRDefault="00000000">
      <w:r>
        <w:t>51.</w:t>
      </w:r>
      <w:r>
        <w:tab/>
        <w:t xml:space="preserve">В контексте плана действий будут приниматься, в частности, следующие меры.  С 1 января 2003 года каждому взрослому просителю убежища по окончании процедур в службах по приему лиц, ходатайствующих о предоставлении убежища, будет выдаваться личное дело.  Затем </w:t>
      </w:r>
      <w:proofErr w:type="spellStart"/>
      <w:r>
        <w:t>ЦТД</w:t>
      </w:r>
      <w:proofErr w:type="spellEnd"/>
      <w:r>
        <w:t xml:space="preserve"> занимаются заявлениями о международной оценке дипломов (МОД) (с 1 января 2003 года).  В рамках сотрудничества между Центром по расширению возможностей путем признания диплома о полученном образовании (ППО) Нидерландской организацией международного сотрудничества в области высшего образования (</w:t>
      </w:r>
      <w:proofErr w:type="spellStart"/>
      <w:r>
        <w:t>НОМСВО</w:t>
      </w:r>
      <w:proofErr w:type="spellEnd"/>
      <w:r>
        <w:t>) и Фондом для учащихся из числа беженцев (</w:t>
      </w:r>
      <w:proofErr w:type="spellStart"/>
      <w:r>
        <w:t>ФУБ</w:t>
      </w:r>
      <w:proofErr w:type="spellEnd"/>
      <w:r>
        <w:t xml:space="preserve">) производится оценка применения методов ППО в отношении беженцев с относительно более высокой квалификацией и их более широкое распространение.  В результате отмены нормативных положений, предписывающих прохождение обязательной подготовки, с 1 января 2003 года улучшились возможности в плане продолжения высшего образования.  С 1 января 2003 года действует </w:t>
      </w:r>
      <w:proofErr w:type="spellStart"/>
      <w:r>
        <w:t>вебсайт</w:t>
      </w:r>
      <w:proofErr w:type="spellEnd"/>
      <w:r>
        <w:t xml:space="preserve"> </w:t>
      </w:r>
      <w:proofErr w:type="spellStart"/>
      <w:r>
        <w:t>ФУБ</w:t>
      </w:r>
      <w:proofErr w:type="spellEnd"/>
      <w:r>
        <w:t>, на котором заинтересованные стороны могут ознакомиться с его деятельностью.</w:t>
      </w:r>
    </w:p>
    <w:p w:rsidR="00000000" w:rsidRDefault="00000000"/>
    <w:p w:rsidR="00000000" w:rsidRDefault="00000000">
      <w:r>
        <w:t>52.</w:t>
      </w:r>
      <w:r>
        <w:tab/>
        <w:t>С целью периодического обзора социально-экономического и социально-культурного положения четырех крупнейших этнических групп меньшинств в Нидерландах осуществляется проект мониторинга под названием "Положение этнических меньшинств и пользование ими социальными услугами" (</w:t>
      </w:r>
      <w:proofErr w:type="spellStart"/>
      <w:r>
        <w:t>PositieVoorzieningengebruik</w:t>
      </w:r>
      <w:proofErr w:type="spellEnd"/>
      <w:r>
        <w:t xml:space="preserve"> </w:t>
      </w:r>
      <w:proofErr w:type="spellStart"/>
      <w:r>
        <w:t>Allochtonen</w:t>
      </w:r>
      <w:proofErr w:type="spellEnd"/>
      <w:r>
        <w:t>).  В нем дается количественная оценка положения этнических групп по целому ряду позиций в сопоставлении со средними показателями по стране.  Проект мониторинга рассчитан на период 2001</w:t>
      </w:r>
      <w:r>
        <w:noBreakHyphen/>
        <w:t>2004 годов.  Министерство социальных дел и по вопросам занятости участвует в финансировании данного проекта для охвата обследованием крупных групп беженцев.  Данные, касающиеся беженцев, будут опубликованы в первом квартале 2004 года.</w:t>
      </w:r>
    </w:p>
    <w:p w:rsidR="00000000" w:rsidRDefault="00000000"/>
    <w:p w:rsidR="00000000" w:rsidRDefault="00000000">
      <w:r>
        <w:t>53.</w:t>
      </w:r>
      <w:r>
        <w:tab/>
        <w:t xml:space="preserve">Принцип признания диплома о полученном образовании (ППО, на голландском языке - </w:t>
      </w:r>
      <w:proofErr w:type="spellStart"/>
      <w:r>
        <w:t>EVC</w:t>
      </w:r>
      <w:proofErr w:type="spellEnd"/>
      <w:r>
        <w:t>) позволяет предоставить лицам из числа этнических меньшинств, особенно беженцам с относительно более высокой квалификацией, возможность быстрого улучшения перспектив в плане трудоустройства.  Определение уровня компетентности лиц, его сопоставление с формальными требованиями в отношении квалификации и, когда это возможно, официальное признание полученного образования посредством выдачи свидетельств или даже дипломов обеспечивают объективные доказательства того, что эти лица обладают уровнем подготовки, соответствующей стандартам голландского рынка труда.  Процедура ППО, помимо документального подтверждения, оказывает стимулирующее социально-психологическое воздействие в силу самого факта признания существующего человеческого капитала.  С учетом предыдущего опыта можно ожидать, что этот стимул побуждает людей всячески стремиться к повышению своей квалификации.  Это </w:t>
      </w:r>
      <w:r>
        <w:noBreakHyphen/>
        <w:t xml:space="preserve"> еще один фактор, способствующий устойчивой интеграции в сферу труда.  В случае этнических меньшинств, в частности лиц, недавно прибывших в страну, возможно также определять наличие у них такой подготовки, как знание голландского языка и осведомленность относительно голландской культуры труда и вообще культуры страны.  В целом ППО может стать основой для программы личного развития (в профессиональном, социально-культурном и языковом отношениях), обусловливающего процесс дальнейшей интеграции.  Центру знаний ППО, созданному для трудящихся по инициативе Министерства экономики, Министерства образования, культуры и науки и Министерства социальных дел и по вопросам занятости, и Центру по расширению возможностей путем ППО, который при помощи финансирования со стороны Европейского сообщества в рамках инициативы </w:t>
      </w:r>
      <w:proofErr w:type="spellStart"/>
      <w:r>
        <w:t>EQUAL</w:t>
      </w:r>
      <w:proofErr w:type="spellEnd"/>
      <w:r>
        <w:t xml:space="preserve"> предметно занимается разработкой методов ППО для различных целевых групп, настоятельно предлагается ускорить разработку практически применимых инструментов ППО в интересах этнических меньшинств.  Ожидается, что они, действуя в качестве координаторов, будут побуждать другие соответствующие стороны работать над достижением этой цели.</w:t>
      </w:r>
    </w:p>
    <w:p w:rsidR="00000000" w:rsidRDefault="00000000"/>
    <w:p w:rsidR="00000000" w:rsidRDefault="00000000">
      <w:pPr>
        <w:rPr>
          <w:b/>
          <w:bCs/>
        </w:rPr>
      </w:pPr>
      <w:r>
        <w:rPr>
          <w:b/>
          <w:bCs/>
        </w:rPr>
        <w:t>Комбинированные курсы</w:t>
      </w:r>
    </w:p>
    <w:p w:rsidR="00000000" w:rsidRDefault="00000000">
      <w:pPr>
        <w:rPr>
          <w:u w:val="single"/>
        </w:rPr>
      </w:pPr>
    </w:p>
    <w:p w:rsidR="00000000" w:rsidRDefault="00000000">
      <w:r>
        <w:t>54.</w:t>
      </w:r>
      <w:r>
        <w:tab/>
        <w:t>Комбинированные курсы, сочетающие обучение с производственной практикой, дают участникам возможность сочетать оплачиваемый труд с получением образования.  Это позволяет добиваться быстрой и устойчивой реинтеграции, сокращает зависимость от пособий и обеспечивает удовлетворение спроса работодателей на рабочую силу.  Как правило, там, где действуют такие комбинированные курсы, целесообразно проводить международную оценку дипломов (МОД) и, где это возможно, ППО.  Комбинированные курсы могут использоваться для различных групп, но наиболее оптимальными они являются для недавно прибывших в страну лиц, обосновавшихся мигрантов, беженцев с относительно более высокой квалификацией, женщин, стремящихся возобновить трудовую деятельность (в том числе из групп этнических меньшинств), и лиц, не получивших полное школьное образование (в том числе из групп этнических меньшинств).  Это явствует из приведенных ниже разъяснений относительно важного значения комбинированных курсов для недавно прибывших лиц, обосновавшихся мигрантов и беженцев с относительно более высокой квалификацией.  Центральное правительство и впредь будет поощрять деятельность таких курсов.</w:t>
      </w:r>
    </w:p>
    <w:p w:rsidR="00000000" w:rsidRDefault="00000000"/>
    <w:p w:rsidR="00000000" w:rsidRDefault="00000000">
      <w:r>
        <w:t>55.</w:t>
      </w:r>
      <w:r>
        <w:tab/>
        <w:t>Комбинированные курсы в сочетании с МОД и, где это возможно, ППО являются оптимальным средством, позволяющим недавно прибывшим лицам и обосновавшимся мигрантами сочетать труд с процессом интеграции.  Это способствует выполнению задач по возобновлению трудовой деятельности и интеграции в голландское общество.  На рабочем месте трудящиеся из числа этнических меньшинств могут на практике применять изучаемый ими голландский язык, что помогает быстрее осваивать его, а также могут получить более полное представление о голландском обществе и его обычаях, ценностях и стандартах.  Кроме того, этот вариант удовлетворяет их потребность в собственном заработке, которая является одной из серьезных причин отсева лиц из "регулярных программ интеграции".  Комбинированные курсы в сочетании с МОД и, где это возможно, ППО создают для беженцев с относительно более высокой квалификацией перспективу быстрой реинтеграции в сферу труда в соответствии с их возможностями и квалификацией, а также позволяют удовлетворять растущий спрос на кадры с более высоким уровнем образования.  Опыт организации таких комбинированных курсов уже имеется у многих муниципалитетов и организаций.  Управление по вопросам интеграции оказывает помощь нескольким муниципалитетам в их организации и проведении.  Помимо этого, в контексте Рамочного соглашения с крупными компаниями были достигнуты договоренности с 40 предприятиями относительно создания таких комбинированных курсов;  муниципалитеты обязались создавать такие курсы в рамках осуществления "Повестки дня на будущее".</w:t>
      </w:r>
    </w:p>
    <w:p w:rsidR="00000000" w:rsidRDefault="00000000"/>
    <w:p w:rsidR="00000000" w:rsidRDefault="00000000">
      <w:r>
        <w:t>56.</w:t>
      </w:r>
      <w:r>
        <w:tab/>
        <w:t xml:space="preserve">В предстоящие несколько лет ставится задача преобразовать комбинированные курсы в полноценные инструменты обеспечения занятости.  В более краткосрочной перспективе, а именно в 2003 году, цель состоит в том, чтобы стороны, ответственные за проведение политики на рынке труда и участвующие в ней (включая муниципалитеты, ОСТ, </w:t>
      </w:r>
      <w:proofErr w:type="spellStart"/>
      <w:r>
        <w:t>ЦТД</w:t>
      </w:r>
      <w:proofErr w:type="spellEnd"/>
      <w:r>
        <w:t xml:space="preserve">, учреждения, занимающиеся </w:t>
      </w:r>
      <w:proofErr w:type="spellStart"/>
      <w:r>
        <w:t>реинтеграцией</w:t>
      </w:r>
      <w:proofErr w:type="spellEnd"/>
      <w:r>
        <w:t>, социальных партнеров, работодателей и региональные платформы политики на рынке труда), получили полное представление о важности комбинированных курсов и поощряли их деятельность.  В настоящее время Социально-экономический совет/Совет по вопросам труда и дохода (</w:t>
      </w:r>
      <w:proofErr w:type="spellStart"/>
      <w:r>
        <w:t>СЭС</w:t>
      </w:r>
      <w:proofErr w:type="spellEnd"/>
      <w:r>
        <w:t>/</w:t>
      </w:r>
      <w:proofErr w:type="spellStart"/>
      <w:r>
        <w:t>СТД</w:t>
      </w:r>
      <w:proofErr w:type="spellEnd"/>
      <w:r>
        <w:t xml:space="preserve">) готовит консультативный доклад о деятельности комбинированных курсов, сочетающих овладение языком с трудовой практикой.  Ожидается, что он будет готов к октябрю 2003 года и будет включать результаты обследования комбинированных курсов, проводимого консультационной фирмой "Кап </w:t>
      </w:r>
      <w:proofErr w:type="spellStart"/>
      <w:r>
        <w:t>Джемини</w:t>
      </w:r>
      <w:proofErr w:type="spellEnd"/>
      <w:r>
        <w:t xml:space="preserve"> Эрнст </w:t>
      </w:r>
      <w:proofErr w:type="spellStart"/>
      <w:r>
        <w:t>энд</w:t>
      </w:r>
      <w:proofErr w:type="spellEnd"/>
      <w:r>
        <w:t xml:space="preserve"> Юнг", а также итоги экспертного совещания, организованного 18 июня 2003 года Министерством социальных дел и по вопросам занятости.</w:t>
      </w:r>
    </w:p>
    <w:p w:rsidR="00000000" w:rsidRDefault="00000000"/>
    <w:p w:rsidR="00000000" w:rsidRDefault="00000000">
      <w:pPr>
        <w:rPr>
          <w:b/>
          <w:bCs/>
        </w:rPr>
      </w:pPr>
      <w:r>
        <w:rPr>
          <w:b/>
          <w:bCs/>
        </w:rPr>
        <w:t xml:space="preserve">Специальные меры для поощрения равного обращения и </w:t>
      </w:r>
      <w:proofErr w:type="spellStart"/>
      <w:r>
        <w:rPr>
          <w:b/>
          <w:bCs/>
        </w:rPr>
        <w:t>недискриминации</w:t>
      </w:r>
      <w:proofErr w:type="spellEnd"/>
      <w:r>
        <w:rPr>
          <w:b/>
          <w:bCs/>
        </w:rPr>
        <w:t xml:space="preserve"> в отношении групп этнических меньшинств</w:t>
      </w:r>
    </w:p>
    <w:p w:rsidR="00000000" w:rsidRDefault="00000000">
      <w:pPr>
        <w:rPr>
          <w:u w:val="single"/>
        </w:rPr>
      </w:pPr>
    </w:p>
    <w:p w:rsidR="00000000" w:rsidRDefault="00000000">
      <w:r>
        <w:t>57.</w:t>
      </w:r>
      <w:r>
        <w:tab/>
        <w:t xml:space="preserve">В политике по обеспечению равного обращения и </w:t>
      </w:r>
      <w:proofErr w:type="spellStart"/>
      <w:r>
        <w:t>недискриминации</w:t>
      </w:r>
      <w:proofErr w:type="spellEnd"/>
      <w:r>
        <w:t xml:space="preserve"> проводится разграничение между общей и специальной политикой.  Общая политика подразумевает директивные меры по обеспечению равного обращения, предназначенные для всех целевых групп, защищаемых от дискриминации по закону.  В тех случаях, когда общих директивных мер для оказания помощи конкретным целевым группам или для учета индивидуальных характеристик целевой группы недостаточно, принимаются специальные меры.</w:t>
      </w:r>
    </w:p>
    <w:p w:rsidR="00000000" w:rsidRDefault="00000000"/>
    <w:p w:rsidR="00000000" w:rsidRDefault="00000000">
      <w:r>
        <w:t>58.</w:t>
      </w:r>
      <w:r>
        <w:tab/>
        <w:t>В соответствии с законодательством о равном обращении, в частности Законом о равном обращении (</w:t>
      </w:r>
      <w:proofErr w:type="spellStart"/>
      <w:r>
        <w:t>ЗРО</w:t>
      </w:r>
      <w:proofErr w:type="spellEnd"/>
      <w:r>
        <w:t>), Законом о равных возможностях (</w:t>
      </w:r>
      <w:proofErr w:type="spellStart"/>
      <w:r>
        <w:t>ЗРВ</w:t>
      </w:r>
      <w:proofErr w:type="spellEnd"/>
      <w:r>
        <w:t>), Законом о равном обращении в связи с рабочим графиком (</w:t>
      </w:r>
      <w:proofErr w:type="spellStart"/>
      <w:r>
        <w:t>ЗРОРГ</w:t>
      </w:r>
      <w:proofErr w:type="spellEnd"/>
      <w:r>
        <w:t xml:space="preserve">), статьями 7:646-7:649 Гражданского кодекса Нидерландов, статьей 125 </w:t>
      </w:r>
      <w:proofErr w:type="spellStart"/>
      <w:r>
        <w:t>g</w:t>
      </w:r>
      <w:proofErr w:type="spellEnd"/>
      <w:r>
        <w:t xml:space="preserve"> Закона о персонале центральных и местных органов власти и Законом о равном обращении в связи со временными и постоянными трудовыми договорами (</w:t>
      </w:r>
      <w:proofErr w:type="spellStart"/>
      <w:r>
        <w:t>ЗРОВПТД</w:t>
      </w:r>
      <w:proofErr w:type="spellEnd"/>
      <w:r>
        <w:t>), запрещается дискриминация по признакам религии, убеждений, политического мнения, расового или этнического происхождения, пола, гражданства, сексуальной ориентации, гражданского статуса, а также в связи с определением рабочих графиков или заключением трудовых договоров.  К концу 2003 года к этому перечню будут также добавлены признаки инвалидности и хронического заболевания.  Закон о равном обращении с инвалидами и хронически больными лицами вступает в силу 1 декабря 2003 года.  В настоящее время на рассмотрении парламента находится законопроект о запрещении дискриминации по признаку возраста в сфере труда, который также должен вступить в силу 1 декабря 2003 года.</w:t>
      </w:r>
    </w:p>
    <w:p w:rsidR="00000000" w:rsidRDefault="00000000"/>
    <w:p w:rsidR="00000000" w:rsidRDefault="00000000">
      <w:r>
        <w:t>59.</w:t>
      </w:r>
      <w:r>
        <w:tab/>
        <w:t>Краткое описание общих мер по обеспечению равного обращения, включая "проект статьи 13", см. в пунктах 137-159 раздела 3.1.2.</w:t>
      </w:r>
    </w:p>
    <w:p w:rsidR="00000000" w:rsidRDefault="00000000"/>
    <w:p w:rsidR="00000000" w:rsidRDefault="00000000">
      <w:r>
        <w:t>60.</w:t>
      </w:r>
      <w:r>
        <w:tab/>
        <w:t xml:space="preserve">Ниже кратко излагаются меры, специально предназначенные для поощрения равного обращения и </w:t>
      </w:r>
      <w:proofErr w:type="spellStart"/>
      <w:r>
        <w:t>недискриминации</w:t>
      </w:r>
      <w:proofErr w:type="spellEnd"/>
      <w:r>
        <w:t xml:space="preserve"> в отношении групп этнических меньшинств.</w:t>
      </w:r>
    </w:p>
    <w:p w:rsidR="00000000" w:rsidRDefault="00000000"/>
    <w:p w:rsidR="00000000" w:rsidRDefault="00000000">
      <w:pPr>
        <w:rPr>
          <w:i/>
          <w:iCs/>
        </w:rPr>
      </w:pPr>
      <w:r>
        <w:rPr>
          <w:i/>
          <w:iCs/>
        </w:rPr>
        <w:t>Проект "Стимулирование, кодекс и мониторинг"</w:t>
      </w:r>
    </w:p>
    <w:p w:rsidR="00000000" w:rsidRDefault="00000000">
      <w:pPr>
        <w:rPr>
          <w:i/>
          <w:iCs/>
        </w:rPr>
      </w:pPr>
    </w:p>
    <w:p w:rsidR="00000000" w:rsidRDefault="00000000">
      <w:r>
        <w:t>61.</w:t>
      </w:r>
      <w:r>
        <w:tab/>
        <w:t>Осуществление проекта "Стимулирование, кодекс и мониторинг" было начато в рамках европейской программы "</w:t>
      </w:r>
      <w:r>
        <w:rPr>
          <w:lang w:val="en-US"/>
        </w:rPr>
        <w:t>EQUAL</w:t>
      </w:r>
      <w:r>
        <w:t>".  Его долгосрочные цели включают уменьшение препятствий для спроса на рынке труда, мешающих полномасштабному участию в трудовой деятельности лиц из числа этнических меньшинств, и создание равных возможностей для трудящихся, принадлежащих к этническим меньшинствам.  Половину средств на осуществление проекта выделяет Министерство социальных дел и по вопросам занятости.</w:t>
      </w:r>
    </w:p>
    <w:p w:rsidR="00000000" w:rsidRDefault="00000000"/>
    <w:p w:rsidR="00000000" w:rsidRDefault="00000000">
      <w:r>
        <w:t>62.</w:t>
      </w:r>
      <w:r>
        <w:tab/>
        <w:t>Проект включает три компонента:  "стимулирование", "кодекс" и "мониторинг", между которыми существует неразрывная связь.  В рамках компонента "стимулирование" работодатели представляют сведения об участии в трудовой деятельности работников их компании из числа этнических меньшинств и об инициативах компании, направленных на активизацию такого участия.  "Мониторинг" предусматривает запрашивание информации о случаях дискриминации на рабочем месте.  "Кодекс поведения" предназначен для осведомления работодателей о примерах оптимальной практики и поддержки в разработке и осуществлении ими кодексов поведения.</w:t>
      </w:r>
    </w:p>
    <w:p w:rsidR="00000000" w:rsidRDefault="00000000"/>
    <w:p w:rsidR="00000000" w:rsidRDefault="00000000">
      <w:r>
        <w:t>63.</w:t>
      </w:r>
      <w:r>
        <w:tab/>
        <w:t>В рамках проекта предполагается получить следующие результаты:</w:t>
      </w:r>
    </w:p>
    <w:p w:rsidR="00000000" w:rsidRDefault="00000000"/>
    <w:p w:rsidR="00000000" w:rsidRDefault="00000000">
      <w:pPr>
        <w:ind w:left="1134" w:hanging="1134"/>
      </w:pPr>
      <w:r>
        <w:tab/>
        <w:t>-</w:t>
      </w:r>
      <w:r>
        <w:tab/>
        <w:t xml:space="preserve">регулярное внедрение компонента качественного стимулирования в зонах деятельности не менее чем восьми </w:t>
      </w:r>
      <w:proofErr w:type="spellStart"/>
      <w:r>
        <w:t>антидискриминационных</w:t>
      </w:r>
      <w:proofErr w:type="spellEnd"/>
      <w:r>
        <w:t xml:space="preserve"> бюро (</w:t>
      </w:r>
      <w:proofErr w:type="spellStart"/>
      <w:r>
        <w:t>АДБ</w:t>
      </w:r>
      <w:proofErr w:type="spellEnd"/>
      <w:r>
        <w:t>);</w:t>
      </w:r>
    </w:p>
    <w:p w:rsidR="00000000" w:rsidRDefault="00000000">
      <w:pPr>
        <w:ind w:left="1134" w:hanging="1134"/>
      </w:pPr>
    </w:p>
    <w:p w:rsidR="00000000" w:rsidRDefault="00000000">
      <w:pPr>
        <w:ind w:left="1134" w:hanging="1134"/>
      </w:pPr>
      <w:r>
        <w:tab/>
        <w:t>-</w:t>
      </w:r>
      <w:r>
        <w:tab/>
        <w:t xml:space="preserve">поддержка не менее восьми </w:t>
      </w:r>
      <w:proofErr w:type="spellStart"/>
      <w:r>
        <w:t>АДБ</w:t>
      </w:r>
      <w:proofErr w:type="spellEnd"/>
      <w:r>
        <w:t xml:space="preserve"> в наращивании их потенциала в целях внедрения и реализации проекта "Стимулирование, кодекс, мониторинг" в их соответствующих зонах;</w:t>
      </w:r>
    </w:p>
    <w:p w:rsidR="00000000" w:rsidRDefault="00000000">
      <w:pPr>
        <w:ind w:left="1134" w:hanging="1134"/>
      </w:pPr>
    </w:p>
    <w:p w:rsidR="00000000" w:rsidRDefault="00000000">
      <w:pPr>
        <w:ind w:left="1134" w:hanging="1134"/>
      </w:pPr>
      <w:r>
        <w:tab/>
        <w:t>-</w:t>
      </w:r>
      <w:r>
        <w:tab/>
        <w:t xml:space="preserve">информирование всех бюро, входящих в состав Национальной федерации </w:t>
      </w:r>
      <w:proofErr w:type="spellStart"/>
      <w:r>
        <w:t>антидискриминационных</w:t>
      </w:r>
      <w:proofErr w:type="spellEnd"/>
      <w:r>
        <w:t xml:space="preserve"> бюро (</w:t>
      </w:r>
      <w:proofErr w:type="spellStart"/>
      <w:r>
        <w:t>НФАДБ</w:t>
      </w:r>
      <w:proofErr w:type="spellEnd"/>
      <w:r>
        <w:t>) о методах применения проекта как средства борьбы с дискриминацией на рынке труда;</w:t>
      </w:r>
    </w:p>
    <w:p w:rsidR="00000000" w:rsidRDefault="00000000">
      <w:pPr>
        <w:ind w:left="1134" w:hanging="1134"/>
      </w:pPr>
    </w:p>
    <w:p w:rsidR="00000000" w:rsidRDefault="00000000">
      <w:pPr>
        <w:ind w:left="1134" w:hanging="1134"/>
      </w:pPr>
      <w:r>
        <w:tab/>
        <w:t>-</w:t>
      </w:r>
      <w:r>
        <w:tab/>
        <w:t xml:space="preserve">создание доступного </w:t>
      </w:r>
      <w:proofErr w:type="spellStart"/>
      <w:r>
        <w:t>вебсайта</w:t>
      </w:r>
      <w:proofErr w:type="spellEnd"/>
      <w:r>
        <w:t>, информирующего о кодексах поведения (</w:t>
      </w:r>
      <w:r>
        <w:rPr>
          <w:lang w:val="en-US"/>
        </w:rPr>
        <w:t>www</w:t>
      </w:r>
      <w:r>
        <w:t>.</w:t>
      </w:r>
      <w:proofErr w:type="spellStart"/>
      <w:r>
        <w:rPr>
          <w:lang w:val="en-US"/>
        </w:rPr>
        <w:t>gedragscodes</w:t>
      </w:r>
      <w:proofErr w:type="spellEnd"/>
      <w:r>
        <w:t>.</w:t>
      </w:r>
      <w:proofErr w:type="spellStart"/>
      <w:r>
        <w:rPr>
          <w:lang w:val="en-US"/>
        </w:rPr>
        <w:t>nl</w:t>
      </w:r>
      <w:proofErr w:type="spellEnd"/>
      <w:r>
        <w:t xml:space="preserve">), </w:t>
      </w:r>
      <w:proofErr w:type="spellStart"/>
      <w:r>
        <w:t>вебсайта</w:t>
      </w:r>
      <w:proofErr w:type="spellEnd"/>
      <w:r>
        <w:t xml:space="preserve"> о компоненте "стимулирование", </w:t>
      </w:r>
      <w:proofErr w:type="spellStart"/>
      <w:r>
        <w:t>вебсайта</w:t>
      </w:r>
      <w:proofErr w:type="spellEnd"/>
      <w:r>
        <w:t xml:space="preserve"> о компоненте "мониторинг" и </w:t>
      </w:r>
      <w:proofErr w:type="spellStart"/>
      <w:r>
        <w:t>вебсайта</w:t>
      </w:r>
      <w:proofErr w:type="spellEnd"/>
      <w:r>
        <w:t xml:space="preserve"> обо всем проекте;</w:t>
      </w:r>
    </w:p>
    <w:p w:rsidR="00000000" w:rsidRDefault="00000000">
      <w:pPr>
        <w:ind w:left="1134" w:hanging="1134"/>
      </w:pPr>
    </w:p>
    <w:p w:rsidR="00000000" w:rsidRDefault="00000000">
      <w:pPr>
        <w:ind w:left="1134" w:hanging="1134"/>
      </w:pPr>
      <w:r>
        <w:tab/>
        <w:t>-</w:t>
      </w:r>
      <w:r>
        <w:tab/>
        <w:t>определение примерно 20 компаний не менее чем в восьми зонах, которые займутся разработкой своей политики в области многообразия;</w:t>
      </w:r>
    </w:p>
    <w:p w:rsidR="00000000" w:rsidRDefault="00000000">
      <w:pPr>
        <w:ind w:left="1134" w:hanging="1134"/>
      </w:pPr>
    </w:p>
    <w:p w:rsidR="00000000" w:rsidRDefault="00000000">
      <w:pPr>
        <w:ind w:left="1134" w:hanging="1134"/>
      </w:pPr>
      <w:r>
        <w:tab/>
        <w:t>-</w:t>
      </w:r>
      <w:r>
        <w:tab/>
        <w:t xml:space="preserve">по меньшей мере одна компания в каждой из зон должна активно заниматься дальнейшей разработкой и осуществлением соответствующей политики при помощи своих местных </w:t>
      </w:r>
      <w:proofErr w:type="spellStart"/>
      <w:r>
        <w:t>антидискриминационных</w:t>
      </w:r>
      <w:proofErr w:type="spellEnd"/>
      <w:r>
        <w:t xml:space="preserve"> бюро и с использованием финансовых средств, предоставляемых им в рамках компонента "стимулирование".</w:t>
      </w:r>
    </w:p>
    <w:p w:rsidR="00000000" w:rsidRDefault="00000000">
      <w:pPr>
        <w:ind w:left="1134" w:hanging="1134"/>
      </w:pPr>
    </w:p>
    <w:p w:rsidR="00000000" w:rsidRDefault="00000000">
      <w:pPr>
        <w:ind w:left="1134" w:hanging="1134"/>
        <w:rPr>
          <w:i/>
          <w:iCs/>
        </w:rPr>
      </w:pPr>
      <w:r>
        <w:rPr>
          <w:i/>
          <w:iCs/>
        </w:rPr>
        <w:t>Проект "К рабочей силе, свободной от дискриминации" (</w:t>
      </w:r>
      <w:proofErr w:type="spellStart"/>
      <w:r>
        <w:rPr>
          <w:i/>
          <w:iCs/>
        </w:rPr>
        <w:t>РССД</w:t>
      </w:r>
      <w:proofErr w:type="spellEnd"/>
      <w:r>
        <w:rPr>
          <w:i/>
          <w:iCs/>
        </w:rPr>
        <w:t>)</w:t>
      </w:r>
    </w:p>
    <w:p w:rsidR="00000000" w:rsidRDefault="00000000">
      <w:pPr>
        <w:ind w:left="1134" w:hanging="1134"/>
        <w:rPr>
          <w:i/>
          <w:iCs/>
        </w:rPr>
      </w:pPr>
    </w:p>
    <w:p w:rsidR="00000000" w:rsidRDefault="00000000">
      <w:r>
        <w:t>64.</w:t>
      </w:r>
      <w:r>
        <w:tab/>
        <w:t xml:space="preserve">Проект </w:t>
      </w:r>
      <w:proofErr w:type="spellStart"/>
      <w:r>
        <w:t>РССД</w:t>
      </w:r>
      <w:proofErr w:type="spellEnd"/>
      <w:r>
        <w:t>, который также финансируется совместно с инициативой "</w:t>
      </w:r>
      <w:r>
        <w:rPr>
          <w:lang w:val="en-US"/>
        </w:rPr>
        <w:t>EQUAL</w:t>
      </w:r>
      <w:r>
        <w:t xml:space="preserve">", направлен на создание подлинно </w:t>
      </w:r>
      <w:proofErr w:type="spellStart"/>
      <w:r>
        <w:t>недискриминационной</w:t>
      </w:r>
      <w:proofErr w:type="spellEnd"/>
      <w:r>
        <w:t xml:space="preserve"> производственной обстановки.  Случаи дискриминации должны становиться предметом обсуждения как в профсоюзных организациях, так и между ними, без предъявления каких-либо обвинений конкретным лицам.  При этом создаются два проекта:</w:t>
      </w:r>
    </w:p>
    <w:p w:rsidR="00000000" w:rsidRDefault="00000000"/>
    <w:p w:rsidR="00000000" w:rsidRDefault="00000000">
      <w:pPr>
        <w:ind w:left="1134" w:hanging="1134"/>
      </w:pPr>
      <w:r>
        <w:tab/>
        <w:t>1.</w:t>
      </w:r>
      <w:r>
        <w:tab/>
        <w:t>Проект, конкретно направленный на создание надлежащей обстановки на рабочем месте;</w:t>
      </w:r>
    </w:p>
    <w:p w:rsidR="00000000" w:rsidRDefault="00000000">
      <w:pPr>
        <w:ind w:left="1134" w:hanging="1134"/>
      </w:pPr>
    </w:p>
    <w:p w:rsidR="00000000" w:rsidRDefault="00000000">
      <w:pPr>
        <w:ind w:left="1134" w:hanging="1134"/>
      </w:pPr>
      <w:r>
        <w:tab/>
        <w:t>2.</w:t>
      </w:r>
      <w:r>
        <w:tab/>
        <w:t>Проект по оказанию помощи лицам из числа этнических меньшинств, желающих создать свое предприятие.</w:t>
      </w:r>
    </w:p>
    <w:p w:rsidR="00000000" w:rsidRDefault="00000000">
      <w:pPr>
        <w:ind w:left="1134" w:hanging="1134"/>
      </w:pPr>
    </w:p>
    <w:p w:rsidR="00000000" w:rsidRDefault="00000000">
      <w:r>
        <w:t>65.</w:t>
      </w:r>
      <w:r>
        <w:tab/>
        <w:t xml:space="preserve">В ходе осуществления проекта </w:t>
      </w:r>
      <w:proofErr w:type="spellStart"/>
      <w:r>
        <w:t>РССД</w:t>
      </w:r>
      <w:proofErr w:type="spellEnd"/>
      <w:r>
        <w:t xml:space="preserve"> предполагается достичь следующих результатов:</w:t>
      </w:r>
    </w:p>
    <w:p w:rsidR="00000000" w:rsidRDefault="00000000"/>
    <w:p w:rsidR="00000000" w:rsidRDefault="00000000">
      <w:pPr>
        <w:ind w:left="1134" w:hanging="1134"/>
      </w:pPr>
      <w:r>
        <w:tab/>
        <w:t>-</w:t>
      </w:r>
      <w:r>
        <w:tab/>
        <w:t xml:space="preserve">в сотрудничестве с профсоюзами </w:t>
      </w:r>
      <w:proofErr w:type="spellStart"/>
      <w:r>
        <w:t>ФНВ</w:t>
      </w:r>
      <w:proofErr w:type="spellEnd"/>
      <w:r>
        <w:t xml:space="preserve"> и другими организациями и учреждениями проводится изучение воздействия средств и методов, разработанных за последние несколько лет в целях поощрения равенства возможностей трудящихся из числа этнических меньшинств в профсоюзных организациях.  Цель этого проекта состоит в создании в трудовых коллективах такой обстановки, при которой дискриминация на уровне политики предприятия и на рабочем месте запрещается;</w:t>
      </w:r>
    </w:p>
    <w:p w:rsidR="00000000" w:rsidRDefault="00000000">
      <w:pPr>
        <w:ind w:left="1134" w:hanging="1134"/>
      </w:pPr>
    </w:p>
    <w:p w:rsidR="00000000" w:rsidRDefault="00000000">
      <w:pPr>
        <w:ind w:left="1134" w:hanging="1134"/>
      </w:pPr>
      <w:r>
        <w:tab/>
        <w:t>-</w:t>
      </w:r>
      <w:r>
        <w:tab/>
        <w:t>большой упор делается на поведение лиц и компаний, участвующих в проектах.  Ставятся вопросы о том, какие действия предпринимаются и почему.  При этом используются метод коллективного надзора и практика наставничества.  В основе этого лежит представление о том, что у многих людей есть укоренившиеся предрассудки.  Наставничество и соответствующие механизмы являются важными средствами для преодоления этого препятствия.  Таким образом, предполагается, что сотрудники компаний, принимающих участие в проекте, объединяются для оказания поддержки друг другу в достижении своих целей и продвижении по пути обеспечения равного обращения с лицами из числа этнических меньшинств.  На основе этих коллективных механизмов будут создаваться другие новые структуры, которые в свою очередь будут способствовать распространению позитивных идей.  При этом предполагается, что трудовые коллективы уже поддерживают политику, проводимую в интересах групп этнических меньшинств;</w:t>
      </w:r>
    </w:p>
    <w:p w:rsidR="00000000" w:rsidRDefault="00000000">
      <w:pPr>
        <w:ind w:left="1134" w:hanging="1134"/>
      </w:pPr>
    </w:p>
    <w:p w:rsidR="00000000" w:rsidRDefault="00000000">
      <w:pPr>
        <w:ind w:left="1134" w:hanging="1134"/>
      </w:pPr>
      <w:r>
        <w:tab/>
        <w:t>-</w:t>
      </w:r>
      <w:r>
        <w:tab/>
        <w:t xml:space="preserve">на основе опыта, накопленного участниками таких механизмов, будет разработана методика для общего применения с целью обеспечения перехода к </w:t>
      </w:r>
      <w:proofErr w:type="spellStart"/>
      <w:r>
        <w:t>недискриминационной</w:t>
      </w:r>
      <w:proofErr w:type="spellEnd"/>
      <w:r>
        <w:t xml:space="preserve"> культуре в трудовых коллективах.</w:t>
      </w:r>
    </w:p>
    <w:p w:rsidR="00000000" w:rsidRDefault="00000000">
      <w:pPr>
        <w:ind w:left="1134" w:hanging="1134"/>
      </w:pPr>
    </w:p>
    <w:p w:rsidR="00000000" w:rsidRDefault="00000000">
      <w:pPr>
        <w:rPr>
          <w:i/>
          <w:iCs/>
        </w:rPr>
      </w:pPr>
      <w:r>
        <w:rPr>
          <w:i/>
          <w:iCs/>
        </w:rPr>
        <w:t>Разработанный "парниковыми хозяйствами" проект в интересах этнических меньшинств</w:t>
      </w:r>
    </w:p>
    <w:p w:rsidR="00000000" w:rsidRDefault="00000000">
      <w:pPr>
        <w:ind w:left="1134" w:hanging="1134"/>
        <w:rPr>
          <w:i/>
          <w:iCs/>
        </w:rPr>
      </w:pPr>
    </w:p>
    <w:p w:rsidR="00000000" w:rsidRDefault="00000000">
      <w:r>
        <w:t>66.</w:t>
      </w:r>
      <w:r>
        <w:tab/>
        <w:t>В рамках проекта парниковых хозяйств, осуществляемого в интересах этнических меньшинств, Организация сельского хозяйства и садоводства Нидерландов (</w:t>
      </w:r>
      <w:proofErr w:type="spellStart"/>
      <w:r>
        <w:t>ОСХС</w:t>
      </w:r>
      <w:proofErr w:type="spellEnd"/>
      <w:r>
        <w:t xml:space="preserve">) в сотрудничестве с профсоюзами </w:t>
      </w:r>
      <w:proofErr w:type="spellStart"/>
      <w:r>
        <w:t>ФНВ</w:t>
      </w:r>
      <w:proofErr w:type="spellEnd"/>
      <w:r>
        <w:t xml:space="preserve"> и </w:t>
      </w:r>
      <w:proofErr w:type="spellStart"/>
      <w:r>
        <w:t>ЦНВ</w:t>
      </w:r>
      <w:proofErr w:type="spellEnd"/>
      <w:r>
        <w:t xml:space="preserve"> и Министерством социальных дел и по вопросам занятости разработала кодекс поведения, учебную программу и систему мониторинга.  Эти инструменты будут использоваться для предупреждения дискриминации в отношении лиц из числа этнических меньшинств, работающих в парниковых хозяйствах, и борьбы с ней.  Следующие мероприятия уже принесли свои плоды: </w:t>
      </w:r>
    </w:p>
    <w:p w:rsidR="00000000" w:rsidRDefault="00000000"/>
    <w:p w:rsidR="00000000" w:rsidRDefault="00000000">
      <w:pPr>
        <w:numPr>
          <w:ilvl w:val="0"/>
          <w:numId w:val="187"/>
        </w:numPr>
        <w:tabs>
          <w:tab w:val="clear" w:pos="567"/>
          <w:tab w:val="clear" w:pos="720"/>
        </w:tabs>
        <w:ind w:left="1134" w:hanging="567"/>
      </w:pPr>
      <w:r>
        <w:t>3 декабря 2001 года министру социальных дел и по вопросам занятости был официально представлен кодекс поведения, включая предписания о рассмотрении жалоб, а также был подготовлен для публикации и распространения соответствующий план.  Министр в порядке информации представил экземпляр кодекса поведения Трудовому фонду, который в ответ заявил, что он доведет его до сведения ассоциаций работодателей и трудящихся, имеющих консультативный статус при Трудовом фонде;</w:t>
      </w:r>
    </w:p>
    <w:p w:rsidR="00000000" w:rsidRDefault="00000000">
      <w:pPr>
        <w:tabs>
          <w:tab w:val="clear" w:pos="567"/>
        </w:tabs>
        <w:ind w:left="1134" w:hanging="567"/>
      </w:pPr>
    </w:p>
    <w:p w:rsidR="00000000" w:rsidRDefault="00000000">
      <w:pPr>
        <w:numPr>
          <w:ilvl w:val="0"/>
          <w:numId w:val="187"/>
        </w:numPr>
        <w:tabs>
          <w:tab w:val="clear" w:pos="567"/>
          <w:tab w:val="clear" w:pos="720"/>
        </w:tabs>
        <w:ind w:left="1134" w:hanging="567"/>
      </w:pPr>
      <w:r>
        <w:t>кроме того, осуществляется программа подготовки работников из числа этнических меньшинств, и недавно, в июне 2002 года, работникам, которые успешно завершили курс изучения голландского языка и производственной технологии, вручили первые свидетельства.  К этому мероприятию привлекаются также рядовые сотрудники и руководящее звено.  Еще одним аспектом учебной программы стало овладение навыками социальной интеграции и общения.</w:t>
      </w:r>
    </w:p>
    <w:p w:rsidR="00000000" w:rsidRDefault="00000000">
      <w:pPr>
        <w:tabs>
          <w:tab w:val="clear" w:pos="567"/>
          <w:tab w:val="left" w:pos="561"/>
        </w:tabs>
      </w:pPr>
    </w:p>
    <w:p w:rsidR="00000000" w:rsidRDefault="00000000">
      <w:pPr>
        <w:tabs>
          <w:tab w:val="clear" w:pos="567"/>
          <w:tab w:val="left" w:pos="561"/>
        </w:tabs>
        <w:rPr>
          <w:i/>
          <w:iCs/>
        </w:rPr>
      </w:pPr>
      <w:r>
        <w:rPr>
          <w:i/>
          <w:iCs/>
        </w:rPr>
        <w:t>Проект ФНВ</w:t>
      </w:r>
    </w:p>
    <w:p w:rsidR="00000000" w:rsidRDefault="00000000">
      <w:pPr>
        <w:tabs>
          <w:tab w:val="clear" w:pos="567"/>
          <w:tab w:val="left" w:pos="561"/>
        </w:tabs>
        <w:rPr>
          <w:i/>
          <w:iCs/>
        </w:rPr>
      </w:pPr>
    </w:p>
    <w:p w:rsidR="00000000" w:rsidRDefault="00000000">
      <w:pPr>
        <w:tabs>
          <w:tab w:val="clear" w:pos="567"/>
          <w:tab w:val="left" w:pos="561"/>
        </w:tabs>
      </w:pPr>
      <w:r>
        <w:t>67.</w:t>
      </w:r>
      <w:r>
        <w:tab/>
        <w:t>К числу мер, направленных на поощрение равного обращения с трудящимися из числа этнических меньшинств в сфере трудовых отношений и в трудовых коллективах, относится субсидирование ФНВ на цели осуществления проекта, предусматривающего децентрализованный подход к проведению эффективной политики в этой сфере.  Особое внимание уделяется малым и средним предприятиям.  Была выпущена брошюра, содержащая примеры оптимальных инициатив и специальных корпоративных мер, принимаемых для найма трудящихся из числа этнических меньшинств и сохранения за ними рабочих мест.  Она включает рекомендуемый перечень основных элементов подхода, отраженного в примерах оптимальной практики.  Кроме того, среди членов трудовых советов и профсоюзных организаций профсоюзными руководителями ФНВ был распространен вопросник с целью выяснения того, какая политика в отношении этнических меньшинств проводится той или иной профсоюзной организацией.  Проект завершится рабочей конференцией, на которой результаты его осуществления будут использованы для изучения мнения профсоюзных руководителей ФНВ, профсоюзных активистов, членов трудовых советов, работников отделов кадров и непосредственных начальников трудящихся из числа этнических меньшинств относительно возможностей проведения соответствующей долгосрочной политики, обеспечивающей позитивный вклад в работу всей организации.  Осуществление проекта должно завершиться 31 октября 2003 года.</w:t>
      </w:r>
    </w:p>
    <w:p w:rsidR="00000000" w:rsidRDefault="00000000">
      <w:pPr>
        <w:tabs>
          <w:tab w:val="clear" w:pos="567"/>
          <w:tab w:val="left" w:pos="561"/>
        </w:tabs>
      </w:pPr>
    </w:p>
    <w:p w:rsidR="00000000" w:rsidRDefault="00000000">
      <w:pPr>
        <w:tabs>
          <w:tab w:val="clear" w:pos="567"/>
          <w:tab w:val="left" w:pos="561"/>
        </w:tabs>
        <w:rPr>
          <w:i/>
          <w:iCs/>
        </w:rPr>
      </w:pPr>
      <w:r>
        <w:rPr>
          <w:i/>
          <w:iCs/>
        </w:rPr>
        <w:t>Консультативная ассоциация турецкой общины/Марокканско-тунисский альянс</w:t>
      </w:r>
    </w:p>
    <w:p w:rsidR="00000000" w:rsidRDefault="00000000">
      <w:pPr>
        <w:tabs>
          <w:tab w:val="clear" w:pos="567"/>
          <w:tab w:val="left" w:pos="561"/>
        </w:tabs>
        <w:rPr>
          <w:i/>
          <w:iCs/>
        </w:rPr>
      </w:pPr>
    </w:p>
    <w:p w:rsidR="00000000" w:rsidRDefault="00000000">
      <w:pPr>
        <w:tabs>
          <w:tab w:val="clear" w:pos="567"/>
          <w:tab w:val="left" w:pos="561"/>
        </w:tabs>
      </w:pPr>
      <w:r>
        <w:t>68.</w:t>
      </w:r>
      <w:r>
        <w:tab/>
        <w:t xml:space="preserve">Получив сведения о том, что лица из числа этнических меньшинств слабо знакомы с Законом о равном обращении, Министерство социальных дел и по вопросам занятости приступило к финансированию двух проектов для организаций, представляющих группы этнических меньшинств, а именно Консультативной ассоциации турецкой общины (КАТО) и Марокканско-тунисского альянса (МТА).  Цель этих проектов состоит в обмене информацией о равном обращении на рабочем месте в отношении различных целевых групп, уже охватываемых или подлежащих охвату законодательством о равном обращении.  </w:t>
      </w:r>
    </w:p>
    <w:p w:rsidR="00000000" w:rsidRDefault="00000000">
      <w:pPr>
        <w:tabs>
          <w:tab w:val="clear" w:pos="567"/>
          <w:tab w:val="left" w:pos="561"/>
        </w:tabs>
      </w:pPr>
    </w:p>
    <w:p w:rsidR="00000000" w:rsidRDefault="00000000">
      <w:pPr>
        <w:tabs>
          <w:tab w:val="clear" w:pos="567"/>
          <w:tab w:val="left" w:pos="561"/>
        </w:tabs>
        <w:rPr>
          <w:i/>
          <w:iCs/>
        </w:rPr>
      </w:pPr>
      <w:r>
        <w:t>69.</w:t>
      </w:r>
      <w:r>
        <w:tab/>
        <w:t>Проекты предусматривают использование средств массовой информации и наглядной агитации и проведение местных и общенациональных конференций.  Был также организован курс обучения и создан специальный вебсайт.  Для содействия достижению поставленных целей были представлены просьбы о сотрудничестве с профсоюзами ФНВ и различными НПО, которые занимаются проблемами этнических меньшинств, равного обращения и недискриминации.  Эта работа закончилась проведением экспертного совещания, в ходе которого представители КАТО и МТА рассказали о реализуемых проектах, выступили представители различных НПО и других организаций, представляющих интересы этнических меньшинств, а затем состоялось обсуждение накопленного опыта и возможностей дальнейшего сотрудничества.</w:t>
      </w:r>
    </w:p>
    <w:p w:rsidR="00000000" w:rsidRDefault="00000000">
      <w:pPr>
        <w:tabs>
          <w:tab w:val="clear" w:pos="567"/>
          <w:tab w:val="left" w:pos="561"/>
        </w:tabs>
        <w:rPr>
          <w:i/>
          <w:iCs/>
        </w:rPr>
      </w:pPr>
    </w:p>
    <w:p w:rsidR="00000000" w:rsidRDefault="00000000">
      <w:pPr>
        <w:tabs>
          <w:tab w:val="clear" w:pos="567"/>
          <w:tab w:val="left" w:pos="561"/>
        </w:tabs>
        <w:rPr>
          <w:i/>
          <w:iCs/>
        </w:rPr>
      </w:pPr>
      <w:r>
        <w:rPr>
          <w:i/>
          <w:iCs/>
        </w:rPr>
        <w:t>Обследование по вопросам найма и отбора лиц из числа этнических меньшинств</w:t>
      </w:r>
    </w:p>
    <w:p w:rsidR="00000000" w:rsidRDefault="00000000">
      <w:pPr>
        <w:tabs>
          <w:tab w:val="clear" w:pos="567"/>
          <w:tab w:val="left" w:pos="561"/>
        </w:tabs>
        <w:rPr>
          <w:i/>
          <w:iCs/>
        </w:rPr>
      </w:pPr>
    </w:p>
    <w:p w:rsidR="00000000" w:rsidRDefault="00000000">
      <w:pPr>
        <w:tabs>
          <w:tab w:val="clear" w:pos="567"/>
          <w:tab w:val="left" w:pos="561"/>
        </w:tabs>
      </w:pPr>
      <w:r>
        <w:t>70.</w:t>
      </w:r>
      <w:r>
        <w:tab/>
        <w:t>В 2001 году было завершено обследование по вопросам найма и отбора лиц из числа этнических меньшинств.  В ходе этого качественного обследования изучалось поведение кандидатов на трудоустройство из числа этнических меньшинств в процессе поиска работы и поведение работодателей в шести секторах в процессе найма и отбора таких трудящихся.  Основные проблемы, выявленные в случае работодателей, зачастую были связаны с наличием у них общего негативного представления об этнических меньшинствах, их слабым знанием процессов социального отторжения, с неспособностью эффективно пользоваться механизмами найма (в отсутствие специальных директивных мер), с неприемлемым тоном собеседований с кандидатами на трудоустройство и неспособностью использовать объективные критерии отбора.  Было установлено, что кандидаты на трудоустройство из числа этнических меньшинств, несмотря на желание найти работу, как правило, не располагают эффективной стратегией в отношении поиска работы и поведения во время собеседований.</w:t>
      </w:r>
    </w:p>
    <w:p w:rsidR="00000000" w:rsidRDefault="00000000">
      <w:pPr>
        <w:tabs>
          <w:tab w:val="clear" w:pos="567"/>
          <w:tab w:val="left" w:pos="561"/>
        </w:tabs>
      </w:pPr>
    </w:p>
    <w:p w:rsidR="00000000" w:rsidRDefault="00000000">
      <w:pPr>
        <w:tabs>
          <w:tab w:val="clear" w:pos="567"/>
          <w:tab w:val="left" w:pos="561"/>
        </w:tabs>
        <w:rPr>
          <w:i/>
          <w:iCs/>
        </w:rPr>
      </w:pPr>
      <w:r>
        <w:rPr>
          <w:i/>
          <w:iCs/>
        </w:rPr>
        <w:t>Обследование СЕОР по вопросам продвижения по службе трудящихся из числа этнических меньшинств</w:t>
      </w:r>
    </w:p>
    <w:p w:rsidR="00000000" w:rsidRDefault="00000000">
      <w:pPr>
        <w:tabs>
          <w:tab w:val="clear" w:pos="567"/>
          <w:tab w:val="left" w:pos="561"/>
        </w:tabs>
        <w:rPr>
          <w:i/>
          <w:iCs/>
        </w:rPr>
      </w:pPr>
    </w:p>
    <w:p w:rsidR="00000000" w:rsidRDefault="00000000">
      <w:pPr>
        <w:tabs>
          <w:tab w:val="clear" w:pos="567"/>
          <w:tab w:val="left" w:pos="561"/>
        </w:tabs>
      </w:pPr>
      <w:r>
        <w:t>71.</w:t>
      </w:r>
      <w:r>
        <w:tab/>
        <w:t>23 апреля 2002 года на рассмотрение парламента были представлены результаты обследования под названием "Продвижение по службе представителей этнических меньшинств в компаниях" ("</w:t>
      </w:r>
      <w:proofErr w:type="spellStart"/>
      <w:r>
        <w:rPr>
          <w:i/>
          <w:iCs/>
          <w:lang w:val="en-US"/>
        </w:rPr>
        <w:t>Doorstrooom</w:t>
      </w:r>
      <w:proofErr w:type="spellEnd"/>
      <w:r>
        <w:rPr>
          <w:i/>
          <w:iCs/>
        </w:rPr>
        <w:t xml:space="preserve"> </w:t>
      </w:r>
      <w:r>
        <w:rPr>
          <w:i/>
          <w:iCs/>
          <w:lang w:val="en-US"/>
        </w:rPr>
        <w:t>van</w:t>
      </w:r>
      <w:r>
        <w:rPr>
          <w:i/>
          <w:iCs/>
        </w:rPr>
        <w:t xml:space="preserve"> </w:t>
      </w:r>
      <w:proofErr w:type="spellStart"/>
      <w:r>
        <w:rPr>
          <w:i/>
          <w:iCs/>
          <w:lang w:val="en-US"/>
        </w:rPr>
        <w:t>etnische</w:t>
      </w:r>
      <w:proofErr w:type="spellEnd"/>
      <w:r>
        <w:rPr>
          <w:i/>
          <w:iCs/>
        </w:rPr>
        <w:t xml:space="preserve"> </w:t>
      </w:r>
      <w:proofErr w:type="spellStart"/>
      <w:r>
        <w:rPr>
          <w:i/>
          <w:iCs/>
          <w:lang w:val="en-US"/>
        </w:rPr>
        <w:t>minderheden</w:t>
      </w:r>
      <w:proofErr w:type="spellEnd"/>
      <w:r>
        <w:rPr>
          <w:i/>
          <w:iCs/>
        </w:rPr>
        <w:t xml:space="preserve"> </w:t>
      </w:r>
      <w:r>
        <w:rPr>
          <w:i/>
          <w:iCs/>
          <w:lang w:val="en-US"/>
        </w:rPr>
        <w:t>op</w:t>
      </w:r>
      <w:r>
        <w:rPr>
          <w:i/>
          <w:iCs/>
        </w:rPr>
        <w:t xml:space="preserve"> </w:t>
      </w:r>
      <w:r>
        <w:rPr>
          <w:i/>
          <w:iCs/>
          <w:lang w:val="en-US"/>
        </w:rPr>
        <w:t>de</w:t>
      </w:r>
      <w:r>
        <w:rPr>
          <w:i/>
          <w:iCs/>
        </w:rPr>
        <w:t xml:space="preserve"> </w:t>
      </w:r>
      <w:proofErr w:type="spellStart"/>
      <w:r>
        <w:rPr>
          <w:i/>
          <w:iCs/>
          <w:lang w:val="en-US"/>
        </w:rPr>
        <w:t>werkvloer</w:t>
      </w:r>
      <w:proofErr w:type="spellEnd"/>
      <w:r>
        <w:t>"), которое было проведено консультативной фирмой по экономическим исследованиям (СЕОР) в Роттердаме.</w:t>
      </w:r>
    </w:p>
    <w:p w:rsidR="00000000" w:rsidRDefault="00000000">
      <w:pPr>
        <w:tabs>
          <w:tab w:val="clear" w:pos="567"/>
          <w:tab w:val="left" w:pos="561"/>
        </w:tabs>
      </w:pPr>
    </w:p>
    <w:p w:rsidR="00000000" w:rsidRDefault="00000000">
      <w:pPr>
        <w:tabs>
          <w:tab w:val="clear" w:pos="567"/>
          <w:tab w:val="left" w:pos="561"/>
        </w:tabs>
      </w:pPr>
      <w:r>
        <w:t>72.</w:t>
      </w:r>
      <w:r>
        <w:tab/>
        <w:t xml:space="preserve">В обследовании рассматриваются различия в продвижении по службе и возможностях получения более престижной работы, существующие между коренными голландцами и работниками из числа этнических меньшинств, а также кадровая и организационная политика предприятий и степень учета ими интересов таких трудящихся.  Повышение по службе подразумевает переход на другую должность в том же трудовом коллективе, тогда как получение более престижной работы предполагает смену работодателя.  Для проведения обследования были выбраны отрасли, где занято подавляющее большинство трудящихся из числа этнических меньшинств (пищевая промышленность, розничная торговля, </w:t>
      </w:r>
      <w:proofErr w:type="spellStart"/>
      <w:r>
        <w:t>сервисно-ремонтные</w:t>
      </w:r>
      <w:proofErr w:type="spellEnd"/>
      <w:r>
        <w:t xml:space="preserve"> компании, банковское дело и страхование, а также больницы, приюты и дома престарелых). </w:t>
      </w:r>
    </w:p>
    <w:p w:rsidR="00000000" w:rsidRDefault="00000000">
      <w:pPr>
        <w:tabs>
          <w:tab w:val="clear" w:pos="567"/>
          <w:tab w:val="left" w:pos="561"/>
        </w:tabs>
      </w:pPr>
    </w:p>
    <w:p w:rsidR="00000000" w:rsidRDefault="00000000">
      <w:pPr>
        <w:tabs>
          <w:tab w:val="clear" w:pos="567"/>
          <w:tab w:val="left" w:pos="561"/>
        </w:tabs>
      </w:pPr>
      <w:r>
        <w:t>73.</w:t>
      </w:r>
      <w:r>
        <w:tab/>
        <w:t>Результаты обследования позволяют лучше понять положение работников из числа этнических меньшинств путем оценки количественных данных, касающихся их мобильности на рынке труда.  Качественная оценка их положения содержит ряд интересных подсказок для разработчиков политики, но ее результаты не могут рассматриваться в качестве представительных данных с учетом ограниченного охвата обследования, что сказывается на ценности полученных результатов.  Количественная оценка показывает, что для различия между представителями этнических меньшинств и коренными голландскими трудящимися обусловлены главным образом тем, в какой мере трудящимся удается обеспечить свое постоянное присутствие на рынке труда.  Чем более постоянным является их положение, тем меньше различий между ними.</w:t>
      </w:r>
    </w:p>
    <w:p w:rsidR="00000000" w:rsidRDefault="00000000">
      <w:pPr>
        <w:tabs>
          <w:tab w:val="clear" w:pos="567"/>
          <w:tab w:val="left" w:pos="561"/>
        </w:tabs>
      </w:pPr>
    </w:p>
    <w:p w:rsidR="00000000" w:rsidRDefault="00000000">
      <w:pPr>
        <w:tabs>
          <w:tab w:val="clear" w:pos="567"/>
          <w:tab w:val="left" w:pos="561"/>
        </w:tabs>
      </w:pPr>
      <w:r>
        <w:t>74.</w:t>
      </w:r>
      <w:r>
        <w:tab/>
        <w:t>Что касается перехода на более престижную работу, то между коренными голландцами и этническими меньшинствами существуют весьма незначительные различия.  В частности, лица из числа этнических меньшинств меняют работодателя несколько реже.  Пол и образование не являются существенными факторами, обусловливающими различия.  Однако возраст, как представляется, имеет определенное значение:  молодые лица из числа этнических меньшинств меняют свою работу реже, чем молодые голландцы.</w:t>
      </w:r>
    </w:p>
    <w:p w:rsidR="00000000" w:rsidRDefault="00000000">
      <w:pPr>
        <w:tabs>
          <w:tab w:val="clear" w:pos="567"/>
          <w:tab w:val="left" w:pos="561"/>
        </w:tabs>
      </w:pPr>
    </w:p>
    <w:p w:rsidR="00000000" w:rsidRDefault="00000000">
      <w:pPr>
        <w:tabs>
          <w:tab w:val="clear" w:pos="567"/>
          <w:tab w:val="left" w:pos="561"/>
        </w:tabs>
      </w:pPr>
      <w:r>
        <w:t>75.</w:t>
      </w:r>
      <w:r>
        <w:tab/>
        <w:t xml:space="preserve">Что касается повышения по службе, то представленность этнических меньшинств зависит от отрасли и/или сектора.  Несмотря на широкую </w:t>
      </w:r>
      <w:proofErr w:type="spellStart"/>
      <w:r>
        <w:t>представленность</w:t>
      </w:r>
      <w:proofErr w:type="spellEnd"/>
      <w:r>
        <w:t xml:space="preserve"> меньшинств в секторе оптовой/розничной торговли и в гостиничном хозяйстве, случаи их повышения по службе в целом довольно редки.  Как правило, относительно чаще повышение по службе происходит в государственных административных органах, где трудящиеся из числа этнических меньшинств представлены слабо.</w:t>
      </w:r>
    </w:p>
    <w:p w:rsidR="00000000" w:rsidRDefault="00000000">
      <w:pPr>
        <w:tabs>
          <w:tab w:val="clear" w:pos="567"/>
          <w:tab w:val="left" w:pos="561"/>
        </w:tabs>
      </w:pPr>
    </w:p>
    <w:p w:rsidR="00000000" w:rsidRDefault="00000000">
      <w:pPr>
        <w:tabs>
          <w:tab w:val="clear" w:pos="567"/>
          <w:tab w:val="left" w:pos="561"/>
        </w:tabs>
      </w:pPr>
      <w:r>
        <w:t>76.</w:t>
      </w:r>
      <w:r>
        <w:tab/>
        <w:t xml:space="preserve">Ввиду недостатка полученных ответов результаты качественной оценки, произведенной по итогам обследования среди сотрудников отделов кадров и трудящихся, имеют ограниченную ценность.  Поэтому к нижеприведенным результатам следует относиться весьма осторожно.  Один из удивительных фактов заключался в том, что инструмент управленческой политики в области межкультурного многообразия практически не используется.  Имеются признаки </w:t>
      </w:r>
      <w:proofErr w:type="spellStart"/>
      <w:r>
        <w:t>недоиспользования</w:t>
      </w:r>
      <w:proofErr w:type="spellEnd"/>
      <w:r>
        <w:t xml:space="preserve"> потенциала работников из числа этнических меньшинств, в отличие от коренных голландцев, а также отмечается то обстоятельство, что трудящиеся из числа этнических меньшинств имеют меньше возможностей обсуждать с начальниками и руководителями компаний перспективы своего служебного роста.  Это подтверждают наблюдения, сделанные в ходе другого исследования, согласно которым должностной уровень лиц из числа этнических меньшинств зачастую ниже уровня их образования.  </w:t>
      </w:r>
    </w:p>
    <w:p w:rsidR="00000000" w:rsidRDefault="00000000"/>
    <w:p w:rsidR="00000000" w:rsidRDefault="00000000">
      <w:pPr>
        <w:rPr>
          <w:i/>
          <w:iCs/>
        </w:rPr>
      </w:pPr>
      <w:r>
        <w:rPr>
          <w:i/>
          <w:iCs/>
        </w:rPr>
        <w:t xml:space="preserve">Исследование </w:t>
      </w:r>
      <w:proofErr w:type="spellStart"/>
      <w:r>
        <w:rPr>
          <w:i/>
          <w:iCs/>
        </w:rPr>
        <w:t>ТНО</w:t>
      </w:r>
      <w:proofErr w:type="spellEnd"/>
      <w:r>
        <w:rPr>
          <w:i/>
          <w:iCs/>
        </w:rPr>
        <w:t xml:space="preserve"> в отношении примеров наилучшей практики в деле предупреждения нежелательного поведения на производстве</w:t>
      </w:r>
    </w:p>
    <w:p w:rsidR="00000000" w:rsidRDefault="00000000">
      <w:pPr>
        <w:rPr>
          <w:i/>
          <w:iCs/>
        </w:rPr>
      </w:pPr>
    </w:p>
    <w:p w:rsidR="00000000" w:rsidRDefault="00000000">
      <w:r>
        <w:t>77.</w:t>
      </w:r>
      <w:r>
        <w:tab/>
        <w:t>Институт по вопросам труда и занятости ТНО недавно завершил исследование под названием "Желательная политика в отношении нежелательного поведения:  примеры наилучшей практики в деле борьбы с нежелательным обращением на производстве", в котором сведены 16 примеров оптимальной практики в области принятия дополнительных мер, помимо борьбы с дискриминацией.</w:t>
      </w:r>
    </w:p>
    <w:p w:rsidR="00000000" w:rsidRDefault="00000000"/>
    <w:p w:rsidR="00000000" w:rsidRDefault="00000000">
      <w:r>
        <w:t>78.</w:t>
      </w:r>
      <w:r>
        <w:tab/>
        <w:t>Выявлены три типа нежелательного обращения:  агрессивность и насилие, дискриминация и хулиганство.  Агрессивность и насилие включают следующие виды поведения:  словесные нападки (например, ругательства, крики или издевательские высказывания), физическое воздействие (например, избиение или грубое физическое обращение), психологическое давление или запугивание (например, угрозы, шантаж, притеснения, обструкция или преследования) и сексуальное домогательство (например, свист при встрече с женщиной, неприличные комментарии или приставание).  14 из 16 изученных видов наилучшей практики включают усилия, направленные на борьбу с дискриминационным поведением и его предупреждение.  В большинстве случаев используется комплексный подход и не проводится какого-либо четкого различия между разными типами нежелательного обращения или разными целевыми группами, включая этнические меньшинства.</w:t>
      </w:r>
    </w:p>
    <w:p w:rsidR="00000000" w:rsidRDefault="00000000"/>
    <w:p w:rsidR="00000000" w:rsidRDefault="00000000">
      <w:r>
        <w:t>79.</w:t>
      </w:r>
      <w:r>
        <w:tab/>
        <w:t>Результаты исследования наилучшей практики были размещены на вебсайте Министерства социальных дел и по вопросам занятости.</w:t>
      </w:r>
    </w:p>
    <w:p w:rsidR="00000000" w:rsidRDefault="00000000"/>
    <w:p w:rsidR="00000000" w:rsidRDefault="00000000">
      <w:pPr>
        <w:jc w:val="center"/>
        <w:rPr>
          <w:b/>
          <w:bCs/>
        </w:rPr>
      </w:pPr>
      <w:r>
        <w:rPr>
          <w:b/>
          <w:bCs/>
        </w:rPr>
        <w:t>1.4</w:t>
      </w:r>
      <w:r>
        <w:rPr>
          <w:b/>
          <w:bCs/>
        </w:rPr>
        <w:tab/>
        <w:t>Меры, направленные на поощрение доступа к рынку труда</w:t>
      </w:r>
    </w:p>
    <w:p w:rsidR="00000000" w:rsidRDefault="00000000">
      <w:pPr>
        <w:jc w:val="center"/>
        <w:rPr>
          <w:b/>
          <w:bCs/>
        </w:rPr>
      </w:pPr>
      <w:r>
        <w:rPr>
          <w:b/>
          <w:bCs/>
        </w:rPr>
        <w:t>лиц в возрасте 55-65 лет</w:t>
      </w:r>
      <w:r>
        <w:rPr>
          <w:b/>
          <w:bCs/>
        </w:rPr>
        <w:br/>
      </w:r>
    </w:p>
    <w:p w:rsidR="00000000" w:rsidRDefault="00000000">
      <w:r>
        <w:t>80.</w:t>
      </w:r>
      <w:r>
        <w:tab/>
        <w:t>Комитет предложил правительству Нидерландов принять меры с целью расширения доступа лиц в возрасте 55-65 лет к рынку труда.  Правительство Нидерландов разделяет мнение о важности более активного трудового участия пожилых лиц и со времени представления второго доклада разработало меры для поощрения доступа этой группы к рынку труда.  В 90-е годы лица пожилого возраста стали более активно участвовать в трудовой деятельности.</w:t>
      </w:r>
    </w:p>
    <w:p w:rsidR="00000000" w:rsidRDefault="00000000"/>
    <w:p w:rsidR="00000000" w:rsidRDefault="00000000">
      <w:r>
        <w:t>81.</w:t>
      </w:r>
      <w:r>
        <w:tab/>
        <w:t>В настоящее время правительство поставило задачу к 2030 году обеспечить продолжение оплачиваемой трудовой деятельности не менее чем половиной лиц в возрасте 55-64 года.  Это предполагает ежегодное увеличение коэффициента трудового участия таких лиц в рабочей силе в среднем на 0,75%.</w:t>
      </w:r>
    </w:p>
    <w:p w:rsidR="00000000" w:rsidRDefault="00000000"/>
    <w:p w:rsidR="00000000" w:rsidRDefault="00000000">
      <w:r>
        <w:t>82.</w:t>
      </w:r>
      <w:r>
        <w:tab/>
        <w:t>Для достижения этой цели была разработана соответствующая политика, которая предусматривает:</w:t>
      </w:r>
    </w:p>
    <w:p w:rsidR="00000000" w:rsidRDefault="00000000"/>
    <w:p w:rsidR="00000000" w:rsidRDefault="00000000">
      <w:pPr>
        <w:numPr>
          <w:ilvl w:val="0"/>
          <w:numId w:val="188"/>
        </w:numPr>
        <w:tabs>
          <w:tab w:val="clear" w:pos="963"/>
        </w:tabs>
        <w:ind w:left="1134" w:hanging="567"/>
      </w:pPr>
      <w:r>
        <w:t>налоговые льготы:  снижение издержек работодателей в связи с оплатой труда пожилых трудящихся путем уменьшения с 1 января 2002 года взносов по линии страхования на случай инвалидности, в результате которого работодатели будут стремиться сохранять рабочие места за трудящимися пожилого возраста.  Это связано с выплатой взносов на социальное обеспечение согласно Закону о пособиях по инвалидности (ЗПИ);</w:t>
      </w:r>
    </w:p>
    <w:p w:rsidR="00000000" w:rsidRDefault="00000000">
      <w:pPr>
        <w:ind w:left="283"/>
      </w:pPr>
    </w:p>
    <w:p w:rsidR="00000000" w:rsidRDefault="00000000">
      <w:pPr>
        <w:numPr>
          <w:ilvl w:val="0"/>
          <w:numId w:val="188"/>
        </w:numPr>
        <w:tabs>
          <w:tab w:val="clear" w:pos="963"/>
        </w:tabs>
        <w:ind w:left="1134" w:hanging="567"/>
      </w:pPr>
      <w:r>
        <w:t>меры по сокращению числа пожилых трудящихся, рано уходящих на пенсию:</w:t>
      </w:r>
    </w:p>
    <w:p w:rsidR="00000000" w:rsidRDefault="00000000">
      <w:pPr>
        <w:ind w:left="283"/>
      </w:pPr>
    </w:p>
    <w:p w:rsidR="00000000" w:rsidRDefault="00000000">
      <w:pPr>
        <w:ind w:left="1701" w:hanging="567"/>
      </w:pPr>
      <w:r>
        <w:t>1.</w:t>
      </w:r>
      <w:r>
        <w:tab/>
        <w:t>В 2002 году была расширена практика налоговых скидок для пожилых трудящихся, с тем чтобы поощрить их к продолжению трудовой деятельности.  Трудящиеся в возрасте 57 лет и старше стимулируются к продолжению трудовой деятельности путем дополнительного сокращения суммы налогообложения.  Чем старше работник, тем больше его налоговая льгота;</w:t>
      </w:r>
    </w:p>
    <w:p w:rsidR="00000000" w:rsidRDefault="00000000">
      <w:pPr>
        <w:ind w:left="1701" w:hanging="567"/>
      </w:pPr>
    </w:p>
    <w:p w:rsidR="00000000" w:rsidRDefault="00000000">
      <w:pPr>
        <w:ind w:left="1701" w:hanging="567"/>
      </w:pPr>
      <w:r>
        <w:t>2.</w:t>
      </w:r>
      <w:r>
        <w:tab/>
        <w:t>Преобразование схем добровольного раннего выхода на пенсию в гибкие пенсионные схемы;</w:t>
      </w:r>
    </w:p>
    <w:p w:rsidR="00000000" w:rsidRDefault="00000000">
      <w:pPr>
        <w:ind w:left="1701" w:hanging="567"/>
      </w:pPr>
    </w:p>
    <w:p w:rsidR="00000000" w:rsidRDefault="00000000">
      <w:pPr>
        <w:ind w:left="1701" w:hanging="567"/>
      </w:pPr>
      <w:r>
        <w:t>3.</w:t>
      </w:r>
      <w:r>
        <w:tab/>
        <w:t>С тем чтобы использование положений Закона о пособиях по безработице (ЗПБ) в связи с избыточной рабочей силой становилось менее привлекательным, предполагается, что отдельные работодатели будут выплачивать часть взносов пожилых трудящихся на страхование по безработице;</w:t>
      </w:r>
    </w:p>
    <w:p w:rsidR="00000000" w:rsidRDefault="00000000">
      <w:pPr>
        <w:ind w:left="1701" w:hanging="567"/>
      </w:pPr>
    </w:p>
    <w:p w:rsidR="00000000" w:rsidRDefault="00000000">
      <w:pPr>
        <w:numPr>
          <w:ilvl w:val="0"/>
          <w:numId w:val="188"/>
        </w:numPr>
        <w:tabs>
          <w:tab w:val="clear" w:pos="963"/>
        </w:tabs>
        <w:ind w:left="1134" w:hanging="567"/>
      </w:pPr>
      <w:r>
        <w:t>с 1 мая 1999</w:t>
      </w:r>
      <w:r>
        <w:rPr>
          <w:lang w:val="en-US"/>
        </w:rPr>
        <w:t> </w:t>
      </w:r>
      <w:r>
        <w:t>года лица старше 57,5 лет обязаны регистрироваться как безработные и соглашаться на любую предложенную работу.  Правительство планирует ввести для лиц старше 57,5 лет, имеющих недавний опыт работы, обязательство подавать заявления о трудоустройстве.</w:t>
      </w:r>
    </w:p>
    <w:p w:rsidR="00000000" w:rsidRDefault="00000000">
      <w:pPr>
        <w:ind w:left="283"/>
      </w:pPr>
    </w:p>
    <w:p w:rsidR="00000000" w:rsidRDefault="00000000">
      <w:r>
        <w:t>83.</w:t>
      </w:r>
      <w:r>
        <w:tab/>
        <w:t>Усилия по борьбе с дискриминацией по признаку возраста также могут помочь в расширении трудового участия пожилых лиц.  В соответствии с директивой 2000/78/ЕС Совета, устанавливающей общие рамки равного обращения в сфере труда и занятий, правительство в декабре 2001 года представило на рассмотрение Палаты представителей законопроект о запрещении дискриминации по признаку возраста в сфере труда.  Такая дискриминация не разрешается, кроме случаев ее объективной обоснованности.  Законопроект охватывает вопросы занятости в целом - от найма, отбора и условий и процедур трудовой деятельности и до назначения на должность и увольнения.</w:t>
      </w:r>
    </w:p>
    <w:p w:rsidR="00000000" w:rsidRDefault="00000000"/>
    <w:p w:rsidR="00000000" w:rsidRDefault="00000000">
      <w:pPr>
        <w:jc w:val="center"/>
        <w:rPr>
          <w:b/>
          <w:bCs/>
        </w:rPr>
      </w:pPr>
      <w:r>
        <w:rPr>
          <w:b/>
          <w:bCs/>
        </w:rPr>
        <w:t>1.5</w:t>
      </w:r>
      <w:r>
        <w:rPr>
          <w:b/>
          <w:bCs/>
        </w:rPr>
        <w:tab/>
        <w:t>Бюджетные ассигнования на программы социального обеспечения и улучшения положения уязвимых групп</w:t>
      </w:r>
    </w:p>
    <w:p w:rsidR="00000000" w:rsidRDefault="00000000">
      <w:pPr>
        <w:jc w:val="center"/>
        <w:rPr>
          <w:b/>
          <w:bCs/>
        </w:rPr>
      </w:pPr>
    </w:p>
    <w:p w:rsidR="00000000" w:rsidRDefault="00000000">
      <w:r>
        <w:t>84.</w:t>
      </w:r>
      <w:r>
        <w:tab/>
        <w:t>Комитет настоятельно призвал правительство Нидерландов обеспечить, чтобы сокращение бюджетных ассигнований на программы социального обеспечения не имело отрицательных последствий для осуществления экономических, социальных и культурных прав.  Поскольку эта рекомендация касается реформирования системы социального обеспечения, следует отметить, что в этой связи не ставится вопрос о сокращении размера пособия по линии социальной помощи.  Любое лицо, на законных основаниях проживающее в Нидерландах и не располагающее достаточными средствами для существования, в соответствии с национальным Законом о социальной помощи (НЗП) имеет право на пособие, обеспечивающее гарантированный минимальный доход.  За отчетный период пособия увязывались с минимальной ставкой заработной платы.  Иными словами, размер пособий увеличивается одновременно с законодательным увеличением ставки минимальной заработной платы.  См. также пункты 225-240 раздела 3.4.</w:t>
      </w:r>
    </w:p>
    <w:p w:rsidR="00000000" w:rsidRDefault="00000000"/>
    <w:p w:rsidR="00000000" w:rsidRDefault="00000000">
      <w:pPr>
        <w:jc w:val="center"/>
        <w:rPr>
          <w:b/>
          <w:bCs/>
        </w:rPr>
      </w:pPr>
      <w:r>
        <w:rPr>
          <w:b/>
          <w:bCs/>
        </w:rPr>
        <w:t>1.6</w:t>
      </w:r>
      <w:r>
        <w:rPr>
          <w:b/>
          <w:bCs/>
        </w:rPr>
        <w:tab/>
        <w:t>Благополучие семьи</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85.</w:t>
      </w:r>
      <w:r>
        <w:tab/>
        <w:t>Правительство Нидерландов стремится более эффективно бороться с бытовым насилием.  Уровень насилия в огромной степени влияет на безопасность в обществе и реальные представления людей о своей безопасности.  Это относится как к насилию в общественных местах, так и к бытовому насилию.  Хотя акты бытового насилия, как правило, происходят за закрытыми дверями и жертвы редко сообщают о них полиции, различные исследования, проведенные в Нидерландах и других странах, позволяют предположить, что бытовое насилие имеет такие широкие масштабы, как ни один другой вид насилия</w:t>
      </w:r>
      <w:r>
        <w:rPr>
          <w:b/>
          <w:bCs/>
          <w:vertAlign w:val="superscript"/>
        </w:rPr>
        <w:t>2</w:t>
      </w:r>
      <w:r>
        <w:t>.</w:t>
      </w:r>
    </w:p>
    <w:p w:rsidR="00000000" w:rsidRDefault="00000000"/>
    <w:p w:rsidR="00000000" w:rsidRDefault="00000000">
      <w:r>
        <w:t>86.</w:t>
      </w:r>
      <w:r>
        <w:tab/>
        <w:t>Бытовое насилие представляет собой акты насилия, совершаемые в семейном кругу жертвы.  Оно может обретать форму физического, сексуального или психологического насилия.  Примеры последнего включают угрозы и угрожающее поведение.  Такие акты происходят во всех слоях общества и во всех культурных группах как в городах, так и в сельской местности</w:t>
      </w:r>
      <w:r>
        <w:rPr>
          <w:b/>
          <w:bCs/>
          <w:vertAlign w:val="superscript"/>
        </w:rPr>
        <w:t>3</w:t>
      </w:r>
      <w:r>
        <w:t>.  Виновниками могут быть родственники - родители, дедушки и бабушки, дети, дядья или тети - или кто-либо из непосредственного окружения жертвы, например друзья семьи, партнеры или бывшие партнеры.  Жертвами могут становиться мужчины, женщины и дети обоего пола.  Таким образом, бытовое насилие не направлено исключительно против женщин, хотя документально доказано, что в 80% случаев акты насилия совершают мужчины</w:t>
      </w:r>
      <w:r>
        <w:rPr>
          <w:b/>
          <w:bCs/>
          <w:vertAlign w:val="superscript"/>
        </w:rPr>
        <w:t>4</w:t>
      </w:r>
      <w:r>
        <w:t>.  Поэтому необходимо рассматривать эту проблему в связи с мерами, разработанными в целях борьбы с гендерно-специфическим насилием в отношении женщин.</w:t>
      </w:r>
    </w:p>
    <w:p w:rsidR="00000000" w:rsidRDefault="00000000"/>
    <w:p w:rsidR="00000000" w:rsidRDefault="00000000">
      <w:pPr>
        <w:rPr>
          <w:b/>
          <w:bCs/>
        </w:rPr>
      </w:pPr>
      <w:r>
        <w:rPr>
          <w:b/>
          <w:bCs/>
        </w:rPr>
        <w:t>Международное измерение</w:t>
      </w:r>
    </w:p>
    <w:p w:rsidR="00000000" w:rsidRDefault="00000000">
      <w:pPr>
        <w:rPr>
          <w:b/>
          <w:bCs/>
        </w:rPr>
      </w:pPr>
    </w:p>
    <w:p w:rsidR="00000000" w:rsidRDefault="00000000">
      <w:r>
        <w:t>87.</w:t>
      </w:r>
      <w:r>
        <w:tab/>
        <w:t xml:space="preserve">После проведения в Пекине в 1995 году Всемирной конференции ООН по положению женщин и в 2000 году Специальной сессии Генеральной Ассамблеи ООН (Пекин+5) политика на национальном уровне стала в большей степени учитывать международную политику.  Национальная политика по предупреждению насилия и борьбе с ним испытывает на себе влияние соглашений и обсуждений по этой теме в таких международных органах, как:  Организация Объединенных Наций (ООН), Европейский союз (ЕС), Совет Европы, Международная организация труда (МОТ) и Организация по безопасности и сотрудничеству в Европе (ОБСЕ).  С другой стороны, правительство Нидерландов информирует эти органы о своих разработках, опыте и наилучшей практике в области проведения национальной политики по обеспечению равенства возможностей. </w:t>
      </w:r>
    </w:p>
    <w:p w:rsidR="00000000" w:rsidRDefault="00000000"/>
    <w:p w:rsidR="00000000" w:rsidRDefault="00000000">
      <w:r>
        <w:t>88.</w:t>
      </w:r>
      <w:r>
        <w:tab/>
        <w:t>В соответствии с приоритетами, разработанными на уровне ООН, Европейский союз вписывает усилия по предупреждению насилия в отношении женщин и борьбе с ним в контекст "обеспечения прав человека", включив их в рамочную стратегию Сообщества по гендерному равенству (на 2001</w:t>
      </w:r>
      <w:r>
        <w:noBreakHyphen/>
        <w:t xml:space="preserve">2005 годы).  ЕС настоятельно предлагает проводить систематический сбор информации, на основе которой будет осуществляться эффективная политика и ее мониторинг.  Нидерланды вносят активный вклад в эту деятельность.  </w:t>
      </w:r>
    </w:p>
    <w:p w:rsidR="00000000" w:rsidRDefault="00000000"/>
    <w:p w:rsidR="00000000" w:rsidRDefault="00000000">
      <w:r>
        <w:t>89.</w:t>
      </w:r>
      <w:r>
        <w:tab/>
        <w:t>За последние несколько лет Нидерланды предпринимали действенные усилия, особенно в рамках ООН, для борьбы с насилием в отношении женщин.  Например, по инициативе Нидерландов Генеральная Ассамблея Организации Объединенных Наций (ГА ООН) приняла резолюции, касающиеся традиционной практики, такой, как калечение женских половых органов, затрагивающее здоровье женщин и девочек</w:t>
      </w:r>
      <w:r>
        <w:rPr>
          <w:b/>
          <w:bCs/>
          <w:vertAlign w:val="superscript"/>
        </w:rPr>
        <w:t>5</w:t>
      </w:r>
      <w:r>
        <w:t>, и резолюцию о деятельности по искоренению преступлений против женщин, совершаемых в защиту чести</w:t>
      </w:r>
      <w:r>
        <w:rPr>
          <w:b/>
          <w:bCs/>
          <w:vertAlign w:val="superscript"/>
        </w:rPr>
        <w:t>6</w:t>
      </w:r>
      <w:r>
        <w:t>.  Последняя мера позволила включить этот вопрос в международную повестку дня.  На пятьдесят девятой сессии ГА ООН Нидерланды вновь представили проект резолюции о борьбе с преступлениями в защиту чести</w:t>
      </w:r>
      <w:r>
        <w:rPr>
          <w:b/>
          <w:bCs/>
          <w:vertAlign w:val="superscript"/>
        </w:rPr>
        <w:t>7</w:t>
      </w:r>
      <w:r>
        <w:t xml:space="preserve">.  В рамках последующих мер по реализации вышеупомянутых резолюций Нидерланды в 2003 году поддержат общую резолюцию о насилии в отношении женщин, уделяя особое внимание искоренению преступлений в защиту чести и практики </w:t>
      </w:r>
      <w:proofErr w:type="spellStart"/>
      <w:r>
        <w:t>калечения</w:t>
      </w:r>
      <w:proofErr w:type="spellEnd"/>
      <w:r>
        <w:t xml:space="preserve"> женских половых органов.  Продвигая эти инициативы, Нидерланды намереваются повысить осведомленность относительно ряда трудных и спорных вопросов, и следует надеяться, что это побудит страны внести изменения в свое законодательство и будет способствовать поддержке политики, проводимой международными и неправительственными организациями в целях улучшения положения женщин.</w:t>
      </w:r>
    </w:p>
    <w:p w:rsidR="00000000" w:rsidRDefault="00000000"/>
    <w:p w:rsidR="00000000" w:rsidRDefault="00000000">
      <w:pPr>
        <w:rPr>
          <w:b/>
          <w:bCs/>
        </w:rPr>
      </w:pPr>
      <w:r>
        <w:rPr>
          <w:b/>
          <w:bCs/>
        </w:rPr>
        <w:t>Национальное измерение</w:t>
      </w:r>
    </w:p>
    <w:p w:rsidR="00000000" w:rsidRDefault="00000000">
      <w:pPr>
        <w:rPr>
          <w:b/>
          <w:bCs/>
        </w:rPr>
      </w:pPr>
    </w:p>
    <w:p w:rsidR="00000000" w:rsidRDefault="00000000">
      <w:pPr>
        <w:rPr>
          <w:i/>
          <w:iCs/>
        </w:rPr>
      </w:pPr>
      <w:r>
        <w:rPr>
          <w:i/>
          <w:iCs/>
        </w:rPr>
        <w:t>Предупреждение бытового насилия и борьба с ним</w:t>
      </w:r>
    </w:p>
    <w:p w:rsidR="00000000" w:rsidRDefault="00000000">
      <w:pPr>
        <w:rPr>
          <w:i/>
          <w:iCs/>
        </w:rPr>
      </w:pPr>
    </w:p>
    <w:p w:rsidR="00000000" w:rsidRDefault="00000000">
      <w:r>
        <w:t>90.</w:t>
      </w:r>
      <w:r>
        <w:tab/>
        <w:t xml:space="preserve">В 1997 году был опубликован доклад, озаглавленный "Бытовое насилие </w:t>
      </w:r>
      <w:r>
        <w:noBreakHyphen/>
        <w:t xml:space="preserve"> характер, масштабы и поддержка" (</w:t>
      </w:r>
      <w:r>
        <w:rPr>
          <w:i/>
          <w:iCs/>
          <w:lang w:val="en-US"/>
        </w:rPr>
        <w:t>Huiselijk</w:t>
      </w:r>
      <w:r>
        <w:rPr>
          <w:i/>
          <w:iCs/>
        </w:rPr>
        <w:t xml:space="preserve"> </w:t>
      </w:r>
      <w:r>
        <w:rPr>
          <w:i/>
          <w:iCs/>
          <w:lang w:val="en-US"/>
        </w:rPr>
        <w:t>geweld</w:t>
      </w:r>
      <w:r>
        <w:rPr>
          <w:i/>
          <w:iCs/>
        </w:rPr>
        <w:t xml:space="preserve"> </w:t>
      </w:r>
      <w:r>
        <w:rPr>
          <w:i/>
          <w:iCs/>
        </w:rPr>
        <w:noBreakHyphen/>
        <w:t xml:space="preserve"> </w:t>
      </w:r>
      <w:r>
        <w:rPr>
          <w:i/>
          <w:iCs/>
          <w:lang w:val="en-US"/>
        </w:rPr>
        <w:t>aard</w:t>
      </w:r>
      <w:r>
        <w:rPr>
          <w:i/>
          <w:iCs/>
        </w:rPr>
        <w:t xml:space="preserve">, </w:t>
      </w:r>
      <w:r>
        <w:rPr>
          <w:i/>
          <w:iCs/>
          <w:lang w:val="en-US"/>
        </w:rPr>
        <w:t>omvang</w:t>
      </w:r>
      <w:r>
        <w:rPr>
          <w:i/>
          <w:iCs/>
        </w:rPr>
        <w:t xml:space="preserve"> </w:t>
      </w:r>
      <w:r>
        <w:rPr>
          <w:i/>
          <w:iCs/>
          <w:lang w:val="en-US"/>
        </w:rPr>
        <w:t>en</w:t>
      </w:r>
      <w:r>
        <w:rPr>
          <w:i/>
          <w:iCs/>
        </w:rPr>
        <w:t xml:space="preserve"> </w:t>
      </w:r>
      <w:r>
        <w:rPr>
          <w:i/>
          <w:iCs/>
          <w:lang w:val="en-US"/>
        </w:rPr>
        <w:t>hulpverlening</w:t>
      </w:r>
      <w:r>
        <w:t>) (</w:t>
      </w:r>
      <w:r>
        <w:rPr>
          <w:lang w:val="en-US"/>
        </w:rPr>
        <w:t>Infomart</w:t>
      </w:r>
      <w:r>
        <w:t xml:space="preserve">, </w:t>
      </w:r>
      <w:r>
        <w:rPr>
          <w:lang w:val="en-US"/>
        </w:rPr>
        <w:t>Hilversum</w:t>
      </w:r>
      <w:r>
        <w:t>, 1997), в котором утверждается, что бытовое насилие</w:t>
      </w:r>
      <w:r>
        <w:rPr>
          <w:b/>
          <w:bCs/>
          <w:vertAlign w:val="superscript"/>
        </w:rPr>
        <w:t>8</w:t>
      </w:r>
      <w:r>
        <w:t xml:space="preserve"> представляет собой серьезную социальную проблему:  свыше 40% опрошенных мужчин и женщин заявили, что они в то или иное время становились жертвами одной из форм бытового насилия;  30% утверждали, что они стали жертвами бытового насилия, повлекшего за собой существенные последствия, в частности состояние тревоги, депрессию или  развод;  11% в результате бытового насилия получили физические травмы;  27% сталкивались с насилием повседневно или еженедельно;  и 21% подвергались насилию на протяжении более пяти лет.  Многие из таких проблем остаются в тени, поскольку в полицию поступают заявления только о 12% таких случаев, а до предъявления обвинений дело доходит лишь в 6% случаев.</w:t>
      </w:r>
    </w:p>
    <w:p w:rsidR="00000000" w:rsidRDefault="00000000"/>
    <w:p w:rsidR="00000000" w:rsidRDefault="00000000">
      <w:r>
        <w:t>91.</w:t>
      </w:r>
      <w:r>
        <w:tab/>
        <w:t>1 октября 2000 года министр юстиции издал распоряжение об осуществлении проекта под названием "Предупреждение и пресечение бытового насилия" (</w:t>
      </w:r>
      <w:r>
        <w:rPr>
          <w:i/>
          <w:iCs/>
          <w:lang w:val="en-US"/>
        </w:rPr>
        <w:t>Voorkomen</w:t>
      </w:r>
      <w:r>
        <w:rPr>
          <w:i/>
          <w:iCs/>
        </w:rPr>
        <w:t xml:space="preserve"> </w:t>
      </w:r>
      <w:r>
        <w:rPr>
          <w:i/>
          <w:iCs/>
          <w:lang w:val="en-US"/>
        </w:rPr>
        <w:t>en</w:t>
      </w:r>
      <w:r>
        <w:rPr>
          <w:i/>
          <w:iCs/>
        </w:rPr>
        <w:t xml:space="preserve"> </w:t>
      </w:r>
      <w:r>
        <w:rPr>
          <w:i/>
          <w:iCs/>
          <w:lang w:val="en-US"/>
        </w:rPr>
        <w:t>bestrijden</w:t>
      </w:r>
      <w:r>
        <w:rPr>
          <w:i/>
          <w:iCs/>
        </w:rPr>
        <w:t xml:space="preserve"> </w:t>
      </w:r>
      <w:r>
        <w:rPr>
          <w:i/>
          <w:iCs/>
          <w:lang w:val="en-US"/>
        </w:rPr>
        <w:t>van</w:t>
      </w:r>
      <w:r>
        <w:rPr>
          <w:i/>
          <w:iCs/>
        </w:rPr>
        <w:t xml:space="preserve"> </w:t>
      </w:r>
      <w:r>
        <w:rPr>
          <w:i/>
          <w:iCs/>
          <w:lang w:val="en-US"/>
        </w:rPr>
        <w:t>huiselijk</w:t>
      </w:r>
      <w:r>
        <w:rPr>
          <w:i/>
          <w:iCs/>
        </w:rPr>
        <w:t xml:space="preserve"> </w:t>
      </w:r>
      <w:r>
        <w:rPr>
          <w:i/>
          <w:iCs/>
          <w:lang w:val="en-US"/>
        </w:rPr>
        <w:t>geweld</w:t>
      </w:r>
      <w:r>
        <w:t xml:space="preserve">), который преследует двуединую цель:  обеспечить для государственных ведомств и национальных организаций возможность наращивать свои усилия, направленные на борьбу с бытовым насилием, и разработать более эффективный подход к решению этой проблемы.  В осуществлении проекта участвует целый ряд министерств (юстиции;  образования, культуры и науки;  внутренних дел и по делам Королевства;  здравоохранения, благосостояния и спорта;  и социальных дел и по вопросам занятости), а также десятки национальных организаций.  В результате выполнения этого проекта был подготовлен итоговый программный документ "Частное насилие </w:t>
      </w:r>
      <w:r>
        <w:noBreakHyphen/>
        <w:t xml:space="preserve"> общественная проблема", который был представлен парламенту в апреле 2002 года.  В нем содержится описание не только директивных мер, которые уже осуществлялись к моменту его публикации, но и свыше 50 новых мер, разработанных с целью эффективного решения проблемы бытового насилия.</w:t>
      </w:r>
    </w:p>
    <w:p w:rsidR="00000000" w:rsidRDefault="00000000"/>
    <w:p w:rsidR="00000000" w:rsidRDefault="00000000">
      <w:r>
        <w:t>92.</w:t>
      </w:r>
      <w:r>
        <w:tab/>
        <w:t xml:space="preserve">Проект по предупреждению и пресечению бытового насилия и программный документ "Частное насилие </w:t>
      </w:r>
      <w:r>
        <w:noBreakHyphen/>
        <w:t xml:space="preserve"> общественная проблема" вызвали к жизни многочисленные инициативы.  За последние несколько лет в десятках муниципалитетов были созданы партнерские организации по борьбе с бытовым насилием и подготовлены протоколы о сотрудничестве между полицией, прокурорской службой и службой пробации, организациями в поддержку женщин и организациями, действующими в интересах благосостояния населения.</w:t>
      </w:r>
    </w:p>
    <w:p w:rsidR="00000000" w:rsidRDefault="00000000"/>
    <w:p w:rsidR="00000000" w:rsidRDefault="00000000">
      <w:r>
        <w:t>93.</w:t>
      </w:r>
      <w:r>
        <w:tab/>
        <w:t>Борьба с бытовым насилием стала одной из основных задач в деятельности таких учреждений и организаций, как органы полиции, прокурорская служба, организации в поддержку женщин и муниципальные органы власти, все больше активизирующие свое участие в ней.  Непосредственно причастные к ней учреждения и организации приступили к реализации мер, позволяющих уделять более пристальное внимание борьбе с бытовым насилием и разрабатывать новые методы и инициативы.</w:t>
      </w:r>
    </w:p>
    <w:p w:rsidR="00000000" w:rsidRDefault="00000000"/>
    <w:p w:rsidR="00000000" w:rsidRDefault="00000000">
      <w:r>
        <w:t>94.</w:t>
      </w:r>
      <w:r>
        <w:tab/>
        <w:t xml:space="preserve">В программном документе "Частное насилие </w:t>
      </w:r>
      <w:r>
        <w:noBreakHyphen/>
        <w:t xml:space="preserve"> общественная проблема" упомянуты меры в области координации и организации, а также меры, предусматривающие методы работы с жертвами, нарушителями и затрагиваемыми детьми, пропаганду и ознакомление общественности, сбор информации и мониторинг.  Для воплощения в жизнь предлагаемой политики были созданы межучрежденческая консультативная группа (в составе представителей Министерства юстиции;  Министерства образования, культуры и науки;  Министерства внутренних дел и по делам Королевства;  Министерства здравоохранения, благосостояния и спорта;  и Министерства социальных дел и по вопросам занятости) и официальная консультативная группа специалистов, работающих в этой области.</w:t>
      </w:r>
    </w:p>
    <w:p w:rsidR="00000000" w:rsidRDefault="00000000"/>
    <w:p w:rsidR="00000000" w:rsidRDefault="00000000">
      <w:r>
        <w:t>95.</w:t>
      </w:r>
      <w:r>
        <w:tab/>
        <w:t>Основные задачи политики в этой сфере включают:</w:t>
      </w:r>
    </w:p>
    <w:p w:rsidR="00000000" w:rsidRDefault="00000000"/>
    <w:p w:rsidR="00000000" w:rsidRDefault="00000000">
      <w:pPr>
        <w:ind w:left="1134" w:hanging="1134"/>
      </w:pPr>
      <w:r>
        <w:tab/>
        <w:t>1.</w:t>
      </w:r>
      <w:r>
        <w:tab/>
        <w:t xml:space="preserve">Поддержку муниципалитетов:  сотрудничество в борьбе с бытовым насилием должно в основном развиваться на местном уровне.  В последние годы Министерство юстиции поддержало проекты сотрудничества в более чем 20 муниципалитетах.  Они показывают пример такой практики другим муниципалитетам.  </w:t>
      </w:r>
    </w:p>
    <w:p w:rsidR="00000000" w:rsidRDefault="00000000">
      <w:pPr>
        <w:ind w:left="1134" w:hanging="1134"/>
      </w:pPr>
    </w:p>
    <w:p w:rsidR="00000000" w:rsidRDefault="00000000">
      <w:pPr>
        <w:ind w:left="1134" w:hanging="1134"/>
      </w:pPr>
      <w:r>
        <w:tab/>
        <w:t>2.</w:t>
      </w:r>
      <w:r>
        <w:tab/>
        <w:t>Изучение проблемы бытового насилия в общинах этнических меньшинств:  было проведено широкомасштабное обследование</w:t>
      </w:r>
      <w:r>
        <w:rPr>
          <w:b/>
          <w:bCs/>
          <w:vertAlign w:val="superscript"/>
        </w:rPr>
        <w:t>9</w:t>
      </w:r>
      <w:r>
        <w:t xml:space="preserve"> случаев бытового насилия в общинах этнических меньшинств, в результате которого выяснилось, что насилие такого рода имеет широкую распространенность (26% респондентов указали, что они в то или иное время сталкивались с бытовым насилием), но обсуждать эту проблему открыто чрезвычайно трудно.</w:t>
      </w:r>
    </w:p>
    <w:p w:rsidR="00000000" w:rsidRDefault="00000000">
      <w:pPr>
        <w:ind w:left="1134" w:hanging="1134"/>
      </w:pPr>
    </w:p>
    <w:p w:rsidR="00000000" w:rsidRDefault="00000000">
      <w:pPr>
        <w:ind w:left="1134" w:hanging="1134"/>
      </w:pPr>
      <w:r>
        <w:tab/>
        <w:t>3.</w:t>
      </w:r>
      <w:r>
        <w:tab/>
        <w:t>Выселение нарушителей:  в различных исследованиях была изучена возможность внесения в голландскую правовую систему положений о возможности выселения правонарушителей, совершающих акты бытового насилия.</w:t>
      </w:r>
    </w:p>
    <w:p w:rsidR="00000000" w:rsidRDefault="00000000">
      <w:pPr>
        <w:ind w:left="1134" w:hanging="1134"/>
      </w:pPr>
    </w:p>
    <w:p w:rsidR="00000000" w:rsidRDefault="00000000">
      <w:pPr>
        <w:ind w:left="1134" w:hanging="1134"/>
      </w:pPr>
      <w:r>
        <w:tab/>
        <w:t>4.</w:t>
      </w:r>
      <w:r>
        <w:tab/>
        <w:t>Терапевтическое воздействие на нарушителей:  социальные службы уделяют больше внимания терапевтическому воздействию на правонарушителей, прибегающих к бытовому насилию.  Судебные психиатры разработали формы терапии, эффективно способствующей пресечению циклического повторения актов насилия.  Помимо этого, в настоящее время имеется больше системно ориентированных форм терапии и методов поддержки.</w:t>
      </w:r>
    </w:p>
    <w:p w:rsidR="00000000" w:rsidRDefault="00000000">
      <w:pPr>
        <w:ind w:left="1134" w:hanging="1134"/>
      </w:pPr>
    </w:p>
    <w:p w:rsidR="00000000" w:rsidRDefault="00000000">
      <w:pPr>
        <w:ind w:left="1134" w:hanging="1134"/>
        <w:rPr>
          <w:iCs/>
        </w:rPr>
      </w:pPr>
      <w:r>
        <w:rPr>
          <w:lang w:val="en-US"/>
        </w:rPr>
        <w:tab/>
      </w:r>
      <w:r>
        <w:t>5.</w:t>
      </w:r>
      <w:r>
        <w:tab/>
        <w:t>Дети - свидетели бытового насилия:  социологическое исследование</w:t>
      </w:r>
      <w:r>
        <w:rPr>
          <w:b/>
          <w:bCs/>
          <w:vertAlign w:val="superscript"/>
        </w:rPr>
        <w:t>10</w:t>
      </w:r>
      <w:r>
        <w:t xml:space="preserve"> показало, что примерно 100 000 детей становятся свидетелями насилия в отношениях между их родителями.  Согласно данным этого же исследования, многие из таких детей (примерно 40%), как представляется, сталкиваются с растущей угрозой возникновения у них поведенческих или иных проблем;  некоторые из них даже сами усваивают агрессивные манеры поведения.  В подготовленном Министерством юстиции документе ("Правила политики в области поддержки проектов по предупреждению преступности на 2002 год" </w:t>
      </w:r>
      <w:r>
        <w:rPr>
          <w:iCs/>
        </w:rPr>
        <w:t>(</w:t>
      </w:r>
      <w:proofErr w:type="spellStart"/>
      <w:r>
        <w:rPr>
          <w:iCs/>
          <w:lang w:val="en-GB"/>
        </w:rPr>
        <w:t>Beleidsregels</w:t>
      </w:r>
      <w:proofErr w:type="spellEnd"/>
      <w:r>
        <w:rPr>
          <w:iCs/>
        </w:rPr>
        <w:t xml:space="preserve"> </w:t>
      </w:r>
      <w:proofErr w:type="spellStart"/>
      <w:r>
        <w:rPr>
          <w:iCs/>
          <w:lang w:val="en-GB"/>
        </w:rPr>
        <w:t>voor</w:t>
      </w:r>
      <w:proofErr w:type="spellEnd"/>
      <w:r>
        <w:rPr>
          <w:iCs/>
        </w:rPr>
        <w:t xml:space="preserve"> </w:t>
      </w:r>
      <w:proofErr w:type="spellStart"/>
      <w:r>
        <w:rPr>
          <w:iCs/>
          <w:lang w:val="en-GB"/>
        </w:rPr>
        <w:t>subsidi</w:t>
      </w:r>
      <w:r>
        <w:rPr>
          <w:iCs/>
        </w:rPr>
        <w:t>ë</w:t>
      </w:r>
      <w:proofErr w:type="spellEnd"/>
      <w:r>
        <w:rPr>
          <w:iCs/>
          <w:lang w:val="en-GB"/>
        </w:rPr>
        <w:t>ring</w:t>
      </w:r>
      <w:r>
        <w:rPr>
          <w:iCs/>
        </w:rPr>
        <w:t xml:space="preserve"> </w:t>
      </w:r>
      <w:r>
        <w:rPr>
          <w:iCs/>
          <w:lang w:val="en-GB"/>
        </w:rPr>
        <w:t>van</w:t>
      </w:r>
      <w:r>
        <w:rPr>
          <w:iCs/>
        </w:rPr>
        <w:t xml:space="preserve"> </w:t>
      </w:r>
      <w:proofErr w:type="spellStart"/>
      <w:r>
        <w:rPr>
          <w:iCs/>
          <w:lang w:val="en-GB"/>
        </w:rPr>
        <w:t>projecten</w:t>
      </w:r>
      <w:proofErr w:type="spellEnd"/>
      <w:r>
        <w:rPr>
          <w:iCs/>
        </w:rPr>
        <w:t xml:space="preserve"> </w:t>
      </w:r>
      <w:proofErr w:type="spellStart"/>
      <w:r>
        <w:rPr>
          <w:iCs/>
          <w:lang w:val="en-GB"/>
        </w:rPr>
        <w:t>criminaliteitspreventie</w:t>
      </w:r>
      <w:proofErr w:type="spellEnd"/>
      <w:r>
        <w:rPr>
          <w:iCs/>
        </w:rPr>
        <w:t xml:space="preserve"> 2002) предлагается разрабатывать проекты для охвата детей - свидетелей бытового насилия.</w:t>
      </w:r>
    </w:p>
    <w:p w:rsidR="00000000" w:rsidRDefault="00000000">
      <w:pPr>
        <w:ind w:left="1134" w:hanging="1134"/>
        <w:rPr>
          <w:iCs/>
        </w:rPr>
      </w:pPr>
    </w:p>
    <w:p w:rsidR="00000000" w:rsidRDefault="00000000">
      <w:pPr>
        <w:rPr>
          <w:iCs/>
        </w:rPr>
      </w:pPr>
      <w:r>
        <w:rPr>
          <w:iCs/>
        </w:rPr>
        <w:t>96.</w:t>
      </w:r>
      <w:r>
        <w:rPr>
          <w:iCs/>
        </w:rPr>
        <w:tab/>
        <w:t>В декабре 2002 года Министерство социальных дел и по вопросам занятости опубликовало свой программный документ "Безопасная страна, в которой хотят жить женщины" (</w:t>
      </w:r>
      <w:proofErr w:type="spellStart"/>
      <w:r>
        <w:rPr>
          <w:iCs/>
          <w:lang w:val="en-GB"/>
        </w:rPr>
        <w:t>Een</w:t>
      </w:r>
      <w:proofErr w:type="spellEnd"/>
      <w:r>
        <w:rPr>
          <w:iCs/>
        </w:rPr>
        <w:t xml:space="preserve"> </w:t>
      </w:r>
      <w:proofErr w:type="spellStart"/>
      <w:r>
        <w:rPr>
          <w:iCs/>
          <w:lang w:val="en-GB"/>
        </w:rPr>
        <w:t>veilig</w:t>
      </w:r>
      <w:proofErr w:type="spellEnd"/>
      <w:r>
        <w:rPr>
          <w:iCs/>
        </w:rPr>
        <w:t xml:space="preserve"> </w:t>
      </w:r>
      <w:r>
        <w:rPr>
          <w:iCs/>
          <w:lang w:val="en-GB"/>
        </w:rPr>
        <w:t>land</w:t>
      </w:r>
      <w:r>
        <w:rPr>
          <w:iCs/>
        </w:rPr>
        <w:t xml:space="preserve"> </w:t>
      </w:r>
      <w:proofErr w:type="spellStart"/>
      <w:r>
        <w:rPr>
          <w:iCs/>
          <w:lang w:val="en-GB"/>
        </w:rPr>
        <w:t>waar</w:t>
      </w:r>
      <w:proofErr w:type="spellEnd"/>
      <w:r>
        <w:rPr>
          <w:iCs/>
        </w:rPr>
        <w:t xml:space="preserve"> </w:t>
      </w:r>
      <w:proofErr w:type="spellStart"/>
      <w:r>
        <w:rPr>
          <w:iCs/>
          <w:lang w:val="en-GB"/>
        </w:rPr>
        <w:t>vrouwen</w:t>
      </w:r>
      <w:proofErr w:type="spellEnd"/>
      <w:r>
        <w:rPr>
          <w:iCs/>
        </w:rPr>
        <w:t xml:space="preserve"> </w:t>
      </w:r>
      <w:proofErr w:type="spellStart"/>
      <w:r>
        <w:rPr>
          <w:iCs/>
          <w:lang w:val="en-GB"/>
        </w:rPr>
        <w:t>willen</w:t>
      </w:r>
      <w:proofErr w:type="spellEnd"/>
      <w:r>
        <w:rPr>
          <w:iCs/>
        </w:rPr>
        <w:t xml:space="preserve"> </w:t>
      </w:r>
      <w:proofErr w:type="spellStart"/>
      <w:r>
        <w:rPr>
          <w:iCs/>
          <w:lang w:val="en-GB"/>
        </w:rPr>
        <w:t>wonen</w:t>
      </w:r>
      <w:proofErr w:type="spellEnd"/>
      <w:r>
        <w:rPr>
          <w:iCs/>
        </w:rPr>
        <w:t>), в котором излагаются основы политического реагирования правительства на доклад Нидерландского института по правам человека "Предупреждение и ограничение насилия в отношении женщин" (</w:t>
      </w:r>
      <w:proofErr w:type="spellStart"/>
      <w:r>
        <w:rPr>
          <w:iCs/>
          <w:lang w:val="en-GB"/>
        </w:rPr>
        <w:t>Het</w:t>
      </w:r>
      <w:proofErr w:type="spellEnd"/>
      <w:r>
        <w:rPr>
          <w:iCs/>
        </w:rPr>
        <w:t xml:space="preserve"> </w:t>
      </w:r>
      <w:proofErr w:type="spellStart"/>
      <w:r>
        <w:rPr>
          <w:iCs/>
          <w:lang w:val="en-GB"/>
        </w:rPr>
        <w:t>voorkomen</w:t>
      </w:r>
      <w:proofErr w:type="spellEnd"/>
      <w:r>
        <w:rPr>
          <w:iCs/>
        </w:rPr>
        <w:t xml:space="preserve"> </w:t>
      </w:r>
      <w:r>
        <w:rPr>
          <w:iCs/>
          <w:lang w:val="en-GB"/>
        </w:rPr>
        <w:t>en</w:t>
      </w:r>
      <w:r>
        <w:rPr>
          <w:iCs/>
        </w:rPr>
        <w:t xml:space="preserve"> </w:t>
      </w:r>
      <w:proofErr w:type="spellStart"/>
      <w:r>
        <w:rPr>
          <w:iCs/>
          <w:lang w:val="en-GB"/>
        </w:rPr>
        <w:t>bestrijden</w:t>
      </w:r>
      <w:proofErr w:type="spellEnd"/>
      <w:r>
        <w:rPr>
          <w:iCs/>
        </w:rPr>
        <w:t xml:space="preserve"> </w:t>
      </w:r>
      <w:r>
        <w:rPr>
          <w:iCs/>
          <w:lang w:val="en-GB"/>
        </w:rPr>
        <w:t>van</w:t>
      </w:r>
      <w:r>
        <w:rPr>
          <w:iCs/>
        </w:rPr>
        <w:t xml:space="preserve"> </w:t>
      </w:r>
      <w:proofErr w:type="spellStart"/>
      <w:r>
        <w:rPr>
          <w:iCs/>
          <w:lang w:val="en-GB"/>
        </w:rPr>
        <w:t>geweld</w:t>
      </w:r>
      <w:proofErr w:type="spellEnd"/>
      <w:r>
        <w:rPr>
          <w:iCs/>
        </w:rPr>
        <w:t xml:space="preserve"> </w:t>
      </w:r>
      <w:proofErr w:type="spellStart"/>
      <w:r>
        <w:rPr>
          <w:iCs/>
          <w:lang w:val="en-GB"/>
        </w:rPr>
        <w:t>tegen</w:t>
      </w:r>
      <w:proofErr w:type="spellEnd"/>
      <w:r>
        <w:rPr>
          <w:iCs/>
        </w:rPr>
        <w:t xml:space="preserve"> </w:t>
      </w:r>
      <w:proofErr w:type="spellStart"/>
      <w:r>
        <w:rPr>
          <w:iCs/>
          <w:lang w:val="en-GB"/>
        </w:rPr>
        <w:t>vrouwen</w:t>
      </w:r>
      <w:proofErr w:type="spellEnd"/>
      <w:r>
        <w:rPr>
          <w:iCs/>
        </w:rPr>
        <w:t>).</w:t>
      </w:r>
    </w:p>
    <w:p w:rsidR="00000000" w:rsidRDefault="00000000">
      <w:pPr>
        <w:rPr>
          <w:iCs/>
        </w:rPr>
      </w:pPr>
    </w:p>
    <w:p w:rsidR="00000000" w:rsidRDefault="00000000">
      <w:pPr>
        <w:rPr>
          <w:iCs/>
        </w:rPr>
      </w:pPr>
      <w:r>
        <w:rPr>
          <w:iCs/>
        </w:rPr>
        <w:t>97.</w:t>
      </w:r>
      <w:r>
        <w:rPr>
          <w:iCs/>
        </w:rPr>
        <w:tab/>
        <w:t xml:space="preserve">Политическое реагирование такого рода было предусмотрено в долгосрочном директивном плане по обеспечению равенства возможностей (на 2000-2010 годы), в котором правительство объявило о том, что оно рассмотрит политику в области предупреждения и искоренения насилия в отношении женщин.  В этом директивном документе излагаются рамки политики по борьбе с таким многоаспектным явлением, как "насилие в отношении женщин", и содержатся основные принципы, информация о недавних мероприятиях центрального правительства, общеполитические выводы и возможные методы дальнейшей координации политики по обеспечению равенства возможностей:  стимулирование, обновление и поощрение мер мониторинга с целью предупреждения и искоренения насилия в отношении женщин.  Таким образом, цель состоит не в том, чтобы инициировать отдельные директивные программы для предупреждения и искоренения насилия в отношении женщин </w:t>
      </w:r>
      <w:r>
        <w:rPr>
          <w:i/>
        </w:rPr>
        <w:t xml:space="preserve">наряду </w:t>
      </w:r>
      <w:r>
        <w:rPr>
          <w:iCs/>
        </w:rPr>
        <w:t xml:space="preserve">с существующими проектами в рамках обычной политики учета гендерного фактора в основной деятельности, а в том, чтобы </w:t>
      </w:r>
      <w:r>
        <w:rPr>
          <w:i/>
        </w:rPr>
        <w:t>содействовать</w:t>
      </w:r>
      <w:r>
        <w:rPr>
          <w:iCs/>
        </w:rPr>
        <w:t xml:space="preserve"> осуществляемым в настоящее время инициативам по борьбе с насилием с точки зрения обеспечения равенства возможностей, и в частности таким инициативам, как:</w:t>
      </w:r>
    </w:p>
    <w:p w:rsidR="00000000" w:rsidRDefault="00000000">
      <w:pPr>
        <w:rPr>
          <w:iCs/>
        </w:rPr>
      </w:pPr>
    </w:p>
    <w:p w:rsidR="00000000" w:rsidRDefault="00000000">
      <w:pPr>
        <w:ind w:left="1134" w:hanging="1134"/>
        <w:rPr>
          <w:iCs/>
        </w:rPr>
      </w:pPr>
      <w:r>
        <w:rPr>
          <w:iCs/>
        </w:rPr>
        <w:tab/>
        <w:t>-</w:t>
      </w:r>
      <w:r>
        <w:rPr>
          <w:iCs/>
        </w:rPr>
        <w:tab/>
        <w:t>Национальный план действий по борьбе с сексуальными надругательствами над детьми (</w:t>
      </w:r>
      <w:proofErr w:type="spellStart"/>
      <w:r>
        <w:rPr>
          <w:iCs/>
        </w:rPr>
        <w:t>НПДС</w:t>
      </w:r>
      <w:proofErr w:type="spellEnd"/>
      <w:r>
        <w:rPr>
          <w:iCs/>
        </w:rPr>
        <w:t>);</w:t>
      </w:r>
    </w:p>
    <w:p w:rsidR="00000000" w:rsidRDefault="00000000">
      <w:pPr>
        <w:ind w:left="1134" w:hanging="1134"/>
        <w:rPr>
          <w:iCs/>
        </w:rPr>
      </w:pPr>
    </w:p>
    <w:p w:rsidR="00000000" w:rsidRDefault="00000000">
      <w:pPr>
        <w:ind w:left="1134" w:hanging="1134"/>
        <w:rPr>
          <w:iCs/>
        </w:rPr>
      </w:pPr>
      <w:r>
        <w:rPr>
          <w:iCs/>
        </w:rPr>
        <w:tab/>
        <w:t>-</w:t>
      </w:r>
      <w:r>
        <w:rPr>
          <w:iCs/>
        </w:rPr>
        <w:tab/>
        <w:t>мониторинг положения в области проституции после отмены запрета на публичные дома;</w:t>
      </w:r>
    </w:p>
    <w:p w:rsidR="00000000" w:rsidRDefault="00000000">
      <w:pPr>
        <w:ind w:left="1134" w:hanging="1134"/>
        <w:rPr>
          <w:iCs/>
        </w:rPr>
      </w:pPr>
    </w:p>
    <w:p w:rsidR="00000000" w:rsidRDefault="00000000">
      <w:pPr>
        <w:ind w:left="1134" w:hanging="1134"/>
        <w:rPr>
          <w:iCs/>
        </w:rPr>
      </w:pPr>
      <w:r>
        <w:rPr>
          <w:iCs/>
        </w:rPr>
        <w:tab/>
        <w:t>-</w:t>
      </w:r>
      <w:r>
        <w:rPr>
          <w:iCs/>
        </w:rPr>
        <w:tab/>
        <w:t>деятельность Национального докладчика Нидерландов по вопросу о торговле людьми (</w:t>
      </w:r>
      <w:proofErr w:type="spellStart"/>
      <w:r>
        <w:rPr>
          <w:iCs/>
        </w:rPr>
        <w:t>НДТЛ</w:t>
      </w:r>
      <w:proofErr w:type="spellEnd"/>
      <w:r>
        <w:rPr>
          <w:iCs/>
        </w:rPr>
        <w:t>);</w:t>
      </w:r>
    </w:p>
    <w:p w:rsidR="00000000" w:rsidRDefault="00000000">
      <w:pPr>
        <w:ind w:left="1134" w:hanging="1134"/>
        <w:rPr>
          <w:iCs/>
        </w:rPr>
      </w:pPr>
    </w:p>
    <w:p w:rsidR="00000000" w:rsidRDefault="00000000">
      <w:pPr>
        <w:ind w:left="1134" w:hanging="1134"/>
        <w:rPr>
          <w:iCs/>
        </w:rPr>
      </w:pPr>
      <w:r>
        <w:rPr>
          <w:iCs/>
        </w:rPr>
        <w:tab/>
        <w:t>-</w:t>
      </w:r>
      <w:r>
        <w:rPr>
          <w:iCs/>
        </w:rPr>
        <w:tab/>
        <w:t>политика, направленная на пресечение сексуального насилия;</w:t>
      </w:r>
    </w:p>
    <w:p w:rsidR="00000000" w:rsidRDefault="00000000">
      <w:pPr>
        <w:ind w:left="1134" w:hanging="1134"/>
        <w:rPr>
          <w:iCs/>
        </w:rPr>
      </w:pPr>
    </w:p>
    <w:p w:rsidR="00000000" w:rsidRDefault="00000000">
      <w:pPr>
        <w:ind w:left="1134" w:hanging="1134"/>
        <w:rPr>
          <w:iCs/>
        </w:rPr>
      </w:pPr>
      <w:r>
        <w:rPr>
          <w:iCs/>
        </w:rPr>
        <w:tab/>
        <w:t>-</w:t>
      </w:r>
      <w:r>
        <w:rPr>
          <w:iCs/>
        </w:rPr>
        <w:tab/>
        <w:t>политика по предупреждению калечения женских половых органов;</w:t>
      </w:r>
    </w:p>
    <w:p w:rsidR="00000000" w:rsidRDefault="00000000">
      <w:pPr>
        <w:ind w:left="1134" w:hanging="1134"/>
        <w:rPr>
          <w:iCs/>
        </w:rPr>
      </w:pPr>
    </w:p>
    <w:p w:rsidR="00000000" w:rsidRDefault="00000000">
      <w:pPr>
        <w:ind w:left="1134" w:hanging="1134"/>
        <w:rPr>
          <w:iCs/>
        </w:rPr>
      </w:pPr>
      <w:r>
        <w:rPr>
          <w:iCs/>
        </w:rPr>
        <w:tab/>
        <w:t>-</w:t>
      </w:r>
      <w:r>
        <w:rPr>
          <w:iCs/>
        </w:rPr>
        <w:tab/>
        <w:t>политика по борьбе с сексуальными домогательствами в сфере труда и образования, в секторе здравоохранения и в органах полиции.</w:t>
      </w:r>
    </w:p>
    <w:p w:rsidR="00000000" w:rsidRDefault="00000000">
      <w:pPr>
        <w:ind w:left="1134" w:hanging="1134"/>
        <w:rPr>
          <w:iCs/>
        </w:rPr>
      </w:pPr>
    </w:p>
    <w:p w:rsidR="00000000" w:rsidRDefault="00000000">
      <w:pPr>
        <w:rPr>
          <w:i/>
        </w:rPr>
      </w:pPr>
      <w:r>
        <w:rPr>
          <w:i/>
        </w:rPr>
        <w:t xml:space="preserve">Политика по искоренению практики </w:t>
      </w:r>
      <w:proofErr w:type="spellStart"/>
      <w:r>
        <w:rPr>
          <w:i/>
        </w:rPr>
        <w:t>калечения</w:t>
      </w:r>
      <w:proofErr w:type="spellEnd"/>
      <w:r>
        <w:rPr>
          <w:i/>
        </w:rPr>
        <w:t xml:space="preserve"> женских половых органов</w:t>
      </w:r>
    </w:p>
    <w:p w:rsidR="00000000" w:rsidRDefault="00000000">
      <w:pPr>
        <w:rPr>
          <w:i/>
        </w:rPr>
      </w:pPr>
    </w:p>
    <w:p w:rsidR="00000000" w:rsidRDefault="00000000">
      <w:pPr>
        <w:rPr>
          <w:iCs/>
        </w:rPr>
      </w:pPr>
      <w:r>
        <w:rPr>
          <w:iCs/>
        </w:rPr>
        <w:t>98.</w:t>
      </w:r>
      <w:r>
        <w:rPr>
          <w:iCs/>
        </w:rPr>
        <w:tab/>
        <w:t>В 2001 году министр юстиции направил Палате представителей послание</w:t>
      </w:r>
      <w:r>
        <w:rPr>
          <w:b/>
          <w:bCs/>
          <w:iCs/>
          <w:vertAlign w:val="superscript"/>
        </w:rPr>
        <w:t>11</w:t>
      </w:r>
      <w:r>
        <w:rPr>
          <w:iCs/>
        </w:rPr>
        <w:t>, в котором он разъяснил политику Нидерландов в области предупреждения и искоренения практики женского обрезания и представил краткий обзор всех мероприятий, осуществляемых государственными ведомствами и организациями гражданского общества в области информирования общественности и профессиональной подготовки.  В этой связи были рассмотрены следующие темы:</w:t>
      </w:r>
    </w:p>
    <w:p w:rsidR="00000000" w:rsidRDefault="00000000">
      <w:pPr>
        <w:rPr>
          <w:iCs/>
        </w:rPr>
      </w:pPr>
    </w:p>
    <w:p w:rsidR="00000000" w:rsidRDefault="00000000">
      <w:pPr>
        <w:ind w:left="1134" w:hanging="1134"/>
        <w:rPr>
          <w:iCs/>
        </w:rPr>
      </w:pPr>
      <w:r>
        <w:rPr>
          <w:iCs/>
        </w:rPr>
        <w:tab/>
        <w:t>1.</w:t>
      </w:r>
      <w:r>
        <w:rPr>
          <w:iCs/>
        </w:rPr>
        <w:tab/>
        <w:t>Распространение случаев женского обрезания.</w:t>
      </w:r>
    </w:p>
    <w:p w:rsidR="00000000" w:rsidRDefault="00000000">
      <w:pPr>
        <w:ind w:left="1134" w:hanging="1134"/>
        <w:rPr>
          <w:iCs/>
        </w:rPr>
      </w:pPr>
    </w:p>
    <w:p w:rsidR="00000000" w:rsidRDefault="00000000">
      <w:pPr>
        <w:ind w:left="1134" w:hanging="1134"/>
        <w:rPr>
          <w:iCs/>
        </w:rPr>
      </w:pPr>
      <w:r>
        <w:rPr>
          <w:iCs/>
        </w:rPr>
        <w:tab/>
        <w:t>2.</w:t>
      </w:r>
      <w:r>
        <w:rPr>
          <w:iCs/>
        </w:rPr>
        <w:tab/>
        <w:t>Меры по борьбе с подобной практикой, предусмотренные в законодательстве и дисциплинарном праве.</w:t>
      </w:r>
    </w:p>
    <w:p w:rsidR="00000000" w:rsidRDefault="00000000">
      <w:pPr>
        <w:ind w:left="1134" w:hanging="1134"/>
        <w:rPr>
          <w:iCs/>
        </w:rPr>
      </w:pPr>
    </w:p>
    <w:p w:rsidR="00000000" w:rsidRDefault="00000000">
      <w:pPr>
        <w:ind w:left="1134" w:hanging="1134"/>
        <w:rPr>
          <w:iCs/>
        </w:rPr>
      </w:pPr>
      <w:r>
        <w:rPr>
          <w:iCs/>
        </w:rPr>
        <w:tab/>
        <w:t>3.</w:t>
      </w:r>
      <w:r>
        <w:rPr>
          <w:iCs/>
        </w:rPr>
        <w:tab/>
        <w:t>Соответствующие мероприятия в области информирования общественности и профессиональной подготовки.</w:t>
      </w:r>
    </w:p>
    <w:p w:rsidR="00000000" w:rsidRDefault="00000000">
      <w:pPr>
        <w:ind w:left="1134" w:hanging="1134"/>
        <w:rPr>
          <w:iCs/>
        </w:rPr>
      </w:pPr>
    </w:p>
    <w:p w:rsidR="00000000" w:rsidRDefault="00000000">
      <w:pPr>
        <w:ind w:left="1134" w:hanging="1134"/>
        <w:rPr>
          <w:iCs/>
        </w:rPr>
      </w:pPr>
      <w:r>
        <w:rPr>
          <w:iCs/>
        </w:rPr>
        <w:tab/>
        <w:t>4.</w:t>
      </w:r>
      <w:r>
        <w:rPr>
          <w:iCs/>
        </w:rPr>
        <w:tab/>
        <w:t>Случаи, при которых практика женского обрезания дает основания для предоставления политического убежища.</w:t>
      </w:r>
    </w:p>
    <w:p w:rsidR="00000000" w:rsidRDefault="00000000">
      <w:pPr>
        <w:ind w:left="1134" w:hanging="1134"/>
        <w:rPr>
          <w:iCs/>
        </w:rPr>
      </w:pPr>
    </w:p>
    <w:p w:rsidR="00000000" w:rsidRDefault="00000000">
      <w:pPr>
        <w:ind w:left="1134" w:hanging="1134"/>
        <w:rPr>
          <w:iCs/>
        </w:rPr>
      </w:pPr>
      <w:r>
        <w:rPr>
          <w:iCs/>
        </w:rPr>
        <w:tab/>
        <w:t>5.</w:t>
      </w:r>
      <w:r>
        <w:rPr>
          <w:iCs/>
        </w:rPr>
        <w:tab/>
        <w:t>Выводы и последующие меры по реализации соответствующей политики.</w:t>
      </w:r>
    </w:p>
    <w:p w:rsidR="00000000" w:rsidRDefault="00000000">
      <w:pPr>
        <w:ind w:left="1134" w:hanging="1134"/>
        <w:rPr>
          <w:iCs/>
        </w:rPr>
      </w:pPr>
    </w:p>
    <w:p w:rsidR="00000000" w:rsidRDefault="00000000">
      <w:pPr>
        <w:rPr>
          <w:iCs/>
        </w:rPr>
      </w:pPr>
      <w:r>
        <w:rPr>
          <w:iCs/>
        </w:rPr>
        <w:t>99.</w:t>
      </w:r>
      <w:r>
        <w:rPr>
          <w:iCs/>
        </w:rPr>
        <w:tab/>
        <w:t xml:space="preserve">В вышеупомянутом послании министра юстиции содержится краткое описание проблем, связанных с предупреждением и искоренением практики </w:t>
      </w:r>
      <w:proofErr w:type="spellStart"/>
      <w:r>
        <w:rPr>
          <w:iCs/>
        </w:rPr>
        <w:t>калечения</w:t>
      </w:r>
      <w:proofErr w:type="spellEnd"/>
      <w:r>
        <w:rPr>
          <w:iCs/>
        </w:rPr>
        <w:t xml:space="preserve"> женских половых органов.  С учетом того факта, что в отношении обсуждения этой темы существует табу как в странах происхождения соответствующих групп населения, так и в Нидерландах, какие-либо связанные с ней факты или данные отсутствуют.  Такое положение существует не только в Нидерландах, но и во многих других европейских странах.  В связи с этим Департамент по координации политики в области обеспечения равноправия (ДКР) Министерства социальных дел и по вопросам занятости поручил специалистам осенью 2002 года провести исследование по изучению этой проблемы путем проведения опроса выходцев из ряда стран и представителей разных культур, чьи дочери подверглись обрезанию в стране их происхождения или в любой другой стране, где традиционно практикуется женское обрезание, не запрещенное законом.  </w:t>
      </w:r>
    </w:p>
    <w:p w:rsidR="00000000" w:rsidRDefault="00000000">
      <w:pPr>
        <w:rPr>
          <w:iCs/>
        </w:rPr>
      </w:pPr>
    </w:p>
    <w:p w:rsidR="00000000" w:rsidRDefault="00000000">
      <w:pPr>
        <w:rPr>
          <w:iCs/>
        </w:rPr>
      </w:pPr>
      <w:r>
        <w:rPr>
          <w:iCs/>
        </w:rPr>
        <w:t>100.</w:t>
      </w:r>
      <w:r>
        <w:rPr>
          <w:iCs/>
        </w:rPr>
        <w:tab/>
        <w:t xml:space="preserve">Необходимо рассмотреть вопрос о том, в какой степени внесение поправок в уголовное законодательство Нидерландов, включая отмену требования в отношении "двойной преступности", может стать позитивным вкладом в решение этой проблемы.  Предполагается, что для Нидерландов хорошим примером станут поправки, внесенные в уголовное законодательство Франции и Швеции, и практические последствия этих изменений.  </w:t>
      </w:r>
    </w:p>
    <w:p w:rsidR="00000000" w:rsidRDefault="00000000">
      <w:pPr>
        <w:rPr>
          <w:iCs/>
        </w:rPr>
      </w:pPr>
    </w:p>
    <w:p w:rsidR="00000000" w:rsidRDefault="00000000">
      <w:pPr>
        <w:keepNext/>
        <w:rPr>
          <w:i/>
        </w:rPr>
      </w:pPr>
      <w:r>
        <w:rPr>
          <w:i/>
        </w:rPr>
        <w:t>Опытные исследования для определения индекса безопасности женщин</w:t>
      </w:r>
    </w:p>
    <w:p w:rsidR="00000000" w:rsidRDefault="00000000">
      <w:pPr>
        <w:keepNext/>
        <w:rPr>
          <w:i/>
        </w:rPr>
      </w:pPr>
      <w:r>
        <w:rPr>
          <w:i/>
        </w:rPr>
        <w:t>на местном уровне (</w:t>
      </w:r>
      <w:proofErr w:type="spellStart"/>
      <w:r>
        <w:rPr>
          <w:i/>
        </w:rPr>
        <w:t>ИБЖМ</w:t>
      </w:r>
      <w:proofErr w:type="spellEnd"/>
      <w:r>
        <w:rPr>
          <w:i/>
        </w:rPr>
        <w:t>)</w:t>
      </w:r>
    </w:p>
    <w:p w:rsidR="00000000" w:rsidRDefault="00000000">
      <w:pPr>
        <w:keepNext/>
        <w:rPr>
          <w:i/>
        </w:rPr>
      </w:pPr>
    </w:p>
    <w:p w:rsidR="00000000" w:rsidRDefault="00000000">
      <w:pPr>
        <w:keepNext/>
        <w:rPr>
          <w:iCs/>
        </w:rPr>
      </w:pPr>
      <w:r>
        <w:rPr>
          <w:iCs/>
        </w:rPr>
        <w:t>101.</w:t>
      </w:r>
      <w:r>
        <w:rPr>
          <w:iCs/>
        </w:rPr>
        <w:tab/>
        <w:t>В Нидерландах по</w:t>
      </w:r>
      <w:r>
        <w:rPr>
          <w:iCs/>
        </w:rPr>
        <w:noBreakHyphen/>
        <w:t xml:space="preserve">прежнему существуют резервы для улучшения положения в области борьбы с насилием в отношении женщин, для чего, в частности, необходимо обеспечивать надлежащий мониторинг изменений в характере и масштабах этого явления.  В 2002 году ДКР поручил специалистам провести опытное исследование по отслеживанию положения в области безопасности женщин на местном уровне.  Задачи этого исследования заключаются в определении целесообразности существующих показателей уровня насилия в отношении женщин и в разработке моделей, которые могут  быть использованы в опытных исследованиях на местном уровне.  </w:t>
      </w:r>
    </w:p>
    <w:p w:rsidR="00000000" w:rsidRDefault="00000000">
      <w:pPr>
        <w:rPr>
          <w:iCs/>
        </w:rPr>
      </w:pPr>
    </w:p>
    <w:p w:rsidR="00000000" w:rsidRDefault="00000000">
      <w:pPr>
        <w:rPr>
          <w:i/>
        </w:rPr>
      </w:pPr>
      <w:r>
        <w:rPr>
          <w:i/>
        </w:rPr>
        <w:t>Национальный план действий по борьбе с сексуальными надругательствами</w:t>
      </w:r>
    </w:p>
    <w:p w:rsidR="00000000" w:rsidRDefault="00000000">
      <w:pPr>
        <w:rPr>
          <w:iCs/>
        </w:rPr>
      </w:pPr>
      <w:r>
        <w:rPr>
          <w:i/>
        </w:rPr>
        <w:t>над детьми</w:t>
      </w:r>
    </w:p>
    <w:p w:rsidR="00000000" w:rsidRDefault="00000000">
      <w:pPr>
        <w:rPr>
          <w:iCs/>
        </w:rPr>
      </w:pPr>
    </w:p>
    <w:p w:rsidR="00000000" w:rsidRDefault="00000000">
      <w:pPr>
        <w:rPr>
          <w:iCs/>
        </w:rPr>
      </w:pPr>
      <w:r>
        <w:rPr>
          <w:iCs/>
        </w:rPr>
        <w:t>102.</w:t>
      </w:r>
      <w:r>
        <w:rPr>
          <w:iCs/>
        </w:rPr>
        <w:tab/>
        <w:t xml:space="preserve">В порядке осуществления договоренностей, достигнутых на Всемирном конгрессе по вопросам борьбы с коммерческой эксплуатацией детей, который состоялся в Стокгольме в 1996 году, были разработаны директивный документ и план действий по борьбе с сексуальным насилием в отношении детей.  </w:t>
      </w:r>
    </w:p>
    <w:p w:rsidR="00000000" w:rsidRDefault="00000000">
      <w:pPr>
        <w:rPr>
          <w:iCs/>
        </w:rPr>
      </w:pPr>
    </w:p>
    <w:p w:rsidR="00000000" w:rsidRDefault="00000000">
      <w:pPr>
        <w:rPr>
          <w:iCs/>
        </w:rPr>
      </w:pPr>
      <w:r>
        <w:rPr>
          <w:iCs/>
        </w:rPr>
        <w:t>103.</w:t>
      </w:r>
      <w:r>
        <w:rPr>
          <w:iCs/>
        </w:rPr>
        <w:tab/>
        <w:t>Национальный план действий по борьбе с сексуальными надругательствами над детьми (</w:t>
      </w:r>
      <w:proofErr w:type="spellStart"/>
      <w:r>
        <w:rPr>
          <w:iCs/>
        </w:rPr>
        <w:t>НПДС</w:t>
      </w:r>
      <w:proofErr w:type="spellEnd"/>
      <w:r>
        <w:rPr>
          <w:iCs/>
        </w:rPr>
        <w:t>) был принят в рамках реализации Меморандума 1999</w:t>
      </w:r>
      <w:r>
        <w:rPr>
          <w:iCs/>
          <w:lang w:val="en-US"/>
        </w:rPr>
        <w:t> </w:t>
      </w:r>
      <w:r>
        <w:rPr>
          <w:iCs/>
        </w:rPr>
        <w:t>года "Искоренение сексуального надругательства и сексуального насилия в отношении детей" (</w:t>
      </w:r>
      <w:proofErr w:type="spellStart"/>
      <w:r>
        <w:rPr>
          <w:iCs/>
          <w:lang w:val="en-GB"/>
        </w:rPr>
        <w:t>Aanpak</w:t>
      </w:r>
      <w:proofErr w:type="spellEnd"/>
      <w:r>
        <w:rPr>
          <w:iCs/>
        </w:rPr>
        <w:t xml:space="preserve"> </w:t>
      </w:r>
      <w:proofErr w:type="spellStart"/>
      <w:r>
        <w:rPr>
          <w:iCs/>
          <w:lang w:val="en-GB"/>
        </w:rPr>
        <w:t>Seksueel</w:t>
      </w:r>
      <w:proofErr w:type="spellEnd"/>
      <w:r>
        <w:rPr>
          <w:iCs/>
        </w:rPr>
        <w:t xml:space="preserve"> </w:t>
      </w:r>
      <w:proofErr w:type="spellStart"/>
      <w:r>
        <w:rPr>
          <w:iCs/>
          <w:lang w:val="en-GB"/>
        </w:rPr>
        <w:t>Misbruik</w:t>
      </w:r>
      <w:proofErr w:type="spellEnd"/>
      <w:r>
        <w:rPr>
          <w:iCs/>
        </w:rPr>
        <w:t xml:space="preserve"> </w:t>
      </w:r>
      <w:r>
        <w:rPr>
          <w:iCs/>
          <w:lang w:val="en-GB"/>
        </w:rPr>
        <w:t>van</w:t>
      </w:r>
      <w:r>
        <w:rPr>
          <w:iCs/>
        </w:rPr>
        <w:t xml:space="preserve"> </w:t>
      </w:r>
      <w:r>
        <w:rPr>
          <w:iCs/>
          <w:lang w:val="en-GB"/>
        </w:rPr>
        <w:t>en</w:t>
      </w:r>
      <w:r>
        <w:rPr>
          <w:iCs/>
        </w:rPr>
        <w:t xml:space="preserve"> </w:t>
      </w:r>
      <w:proofErr w:type="spellStart"/>
      <w:r>
        <w:rPr>
          <w:iCs/>
          <w:lang w:val="en-GB"/>
        </w:rPr>
        <w:t>Seksueel</w:t>
      </w:r>
      <w:proofErr w:type="spellEnd"/>
      <w:r>
        <w:rPr>
          <w:iCs/>
        </w:rPr>
        <w:t xml:space="preserve"> </w:t>
      </w:r>
      <w:proofErr w:type="spellStart"/>
      <w:r>
        <w:rPr>
          <w:iCs/>
          <w:lang w:val="en-GB"/>
        </w:rPr>
        <w:t>Geweld</w:t>
      </w:r>
      <w:proofErr w:type="spellEnd"/>
      <w:r>
        <w:rPr>
          <w:iCs/>
        </w:rPr>
        <w:t xml:space="preserve"> </w:t>
      </w:r>
      <w:proofErr w:type="spellStart"/>
      <w:r>
        <w:rPr>
          <w:iCs/>
          <w:lang w:val="en-GB"/>
        </w:rPr>
        <w:t>tegen</w:t>
      </w:r>
      <w:proofErr w:type="spellEnd"/>
      <w:r>
        <w:rPr>
          <w:iCs/>
        </w:rPr>
        <w:t xml:space="preserve"> </w:t>
      </w:r>
      <w:proofErr w:type="spellStart"/>
      <w:r>
        <w:rPr>
          <w:iCs/>
          <w:lang w:val="en-GB"/>
        </w:rPr>
        <w:t>Kinderen</w:t>
      </w:r>
      <w:proofErr w:type="spellEnd"/>
      <w:r>
        <w:rPr>
          <w:iCs/>
        </w:rPr>
        <w:t>) и содержит подробное изложение осуществляемых и планируемых мер.</w:t>
      </w:r>
    </w:p>
    <w:p w:rsidR="00000000" w:rsidRDefault="00000000">
      <w:pPr>
        <w:rPr>
          <w:iCs/>
        </w:rPr>
      </w:pPr>
    </w:p>
    <w:p w:rsidR="00000000" w:rsidRDefault="00000000">
      <w:pPr>
        <w:rPr>
          <w:iCs/>
        </w:rPr>
      </w:pPr>
      <w:r>
        <w:rPr>
          <w:iCs/>
        </w:rPr>
        <w:t>104.</w:t>
      </w:r>
      <w:r>
        <w:rPr>
          <w:iCs/>
        </w:rPr>
        <w:tab/>
        <w:t>В НПДС, который был представлен на рассмотрение Палаты представителей 19 апреля 2000 года, содержится весь комплекс мероприятий, направленных на борьбу со злоупотреблениями такого рода.  Осуществление плана действий контролируется проектной группой в составе представителей правительства и различных организаций гражданского общества.  НПДС был обсужден Палатой представителей на заседании 15 мая 2000 года.  11 декабря 2001 года парламенту был представлен второй доклад о ходе его осуществления.  Проект НПДС был завершен в середине 2002 года.  Новый доклад был препровожден Палате представителей в октябре 2002 года и рассматривался ею 5 декабря на заседании, посвященном обсуждению политики или тематических вопросов.  Заключительный доклад по НПДС был представлен на рассмотрение парламента 11 ноября 2002 года.</w:t>
      </w:r>
    </w:p>
    <w:p w:rsidR="00000000" w:rsidRDefault="00000000"/>
    <w:p w:rsidR="00000000" w:rsidRDefault="00000000">
      <w:r>
        <w:t>105.</w:t>
      </w:r>
      <w:r>
        <w:tab/>
        <w:t xml:space="preserve">Пресечение сексуальных домогательств и сексуального насилия в отношении детей возможно только в случае их выявления на раннем этапе и предоставления соответствующей помощи жертвам.  Вопрос состоит в расширении возможностей детей.  Полиция и служба прокуратуры должны иметь возможность принимать меры на основе соответствующего законодательства;  не менее важной является разработка эффективных методов обращения с лицами, совершившими преступления на сексуальной почве и требующими тщательного надзора после их возвращения в общество.  Предусматривая поэтапный подход такого рода, НПДС позволяет координировать реализацию различных мер, принимаемых министерствами и организациями.  Таким образом, применяемый подход предусматривает участие как правительства, так и учреждений и отдельных лиц, занимающихся поддержкой жертв, профилактикой и пресечением таких правонарушений и обеспечением выполнения соответствующих нормативных актов.  Кроме того, в рамках НПДС уделяется пристальное внимание искоренению детской порнографии в Интернете и </w:t>
      </w:r>
      <w:proofErr w:type="spellStart"/>
      <w:r>
        <w:t>секс-туризма</w:t>
      </w:r>
      <w:proofErr w:type="spellEnd"/>
      <w:r>
        <w:t>, а также проведению исследований и информированию общественности.</w:t>
      </w:r>
    </w:p>
    <w:p w:rsidR="00000000" w:rsidRDefault="00000000"/>
    <w:p w:rsidR="00000000" w:rsidRDefault="00000000">
      <w:pPr>
        <w:jc w:val="center"/>
        <w:rPr>
          <w:b/>
          <w:bCs/>
        </w:rPr>
      </w:pPr>
      <w:r>
        <w:rPr>
          <w:b/>
          <w:bCs/>
        </w:rPr>
        <w:t>1.7</w:t>
      </w:r>
      <w:r>
        <w:rPr>
          <w:b/>
          <w:bCs/>
        </w:rPr>
        <w:tab/>
        <w:t>Закон об оплате школьного образования и обучения на курсах</w:t>
      </w:r>
    </w:p>
    <w:p w:rsidR="00000000" w:rsidRDefault="00000000">
      <w:pPr>
        <w:jc w:val="center"/>
        <w:rPr>
          <w:b/>
          <w:bCs/>
        </w:rPr>
      </w:pPr>
    </w:p>
    <w:p w:rsidR="00000000" w:rsidRDefault="00000000">
      <w:r>
        <w:t>106.</w:t>
      </w:r>
      <w:r>
        <w:tab/>
        <w:t>В Нидерландах родителям учащихся общеобразовательных, профессиональных и специальных средних учебных заведений старше обязательного школьного возраста предлагается оплачивать школьное образование при обучении по полной программе или посещение курсов для обучения по сокращенной программе.  В своих замечаниях по предыдущему докладу (пункты 19 и 29) Комитет по экономическим, социальным и культурным правам выразил обеспокоенность последствиями повышения стоимости образования в Нидерландах для обеспечения равного доступа к образованию всех групп населения с различными доходами.  Основная проблема связана с функционированием системы, в соответствии с которой плата за образование повышается каждые три года.  До 2000 года плата за школьное образование устанавливалась каждые три года на уровне 20% от сметных затрат на оплату труда персонала и материальных расходов в расчете на одного учащегося системы среднего образования.  Это могло привести к существенному повышению платы за образование.  Имелся также вариант пересмотра платы за образование каждые два последующие учебные года на основе устанавливаемого правительством индекса заработной платы гражданских служащих за предыдущий календарный год.  Эта система ежегодного определения размера оплаты школьного обучения была изменена в 2001 году.  В настоящее время плата за школьное обучение ежегодно корректируется с учетом индекса потребительских цен, применяемого для измерения инфляции.  Последнее повышение платы за школьное обучение имело место в 1999 году.  С тех пор она корректировалась только в соответствии с инфляционными изменениями.  Из таблицы 2 явствует, что после 1999</w:t>
      </w:r>
      <w:r>
        <w:rPr>
          <w:lang w:val="en-US"/>
        </w:rPr>
        <w:t> </w:t>
      </w:r>
      <w:r>
        <w:t>года какого-либо значительного роста в оплате школьного обучения не отмечалось.  В результате внедрения новой системы темпы среднего роста платы за образование уменьшились наполовину.  В ходе последней трехгодичной корректировки по старой схеме (1999/2000 год) плата выросла на 21% по сравнению с предыдущим трехлетним периодом (1996/1997 год).  По действующей в настоящее время системе увеличение за трехлетний период составило 10%.  Плата за посещение курсов для обучения по сокращенной программе также ежегодно корректируется с учетом инфляции.</w:t>
      </w:r>
    </w:p>
    <w:p w:rsidR="00000000" w:rsidRDefault="00000000"/>
    <w:p w:rsidR="00000000" w:rsidRDefault="00000000">
      <w:pPr>
        <w:jc w:val="center"/>
        <w:rPr>
          <w:b/>
          <w:bCs/>
        </w:rPr>
      </w:pPr>
      <w:r>
        <w:rPr>
          <w:b/>
          <w:bCs/>
        </w:rPr>
        <w:t>Таблица 2</w:t>
      </w:r>
    </w:p>
    <w:p w:rsidR="00000000" w:rsidRDefault="00000000">
      <w:pPr>
        <w:spacing w:line="216" w:lineRule="auto"/>
        <w:jc w:val="center"/>
        <w:rPr>
          <w:b/>
          <w:bCs/>
        </w:rPr>
      </w:pPr>
    </w:p>
    <w:p w:rsidR="00000000" w:rsidRDefault="00000000">
      <w:pPr>
        <w:spacing w:line="216" w:lineRule="auto"/>
        <w:jc w:val="center"/>
        <w:rPr>
          <w:b/>
          <w:bCs/>
        </w:rPr>
      </w:pPr>
      <w:r>
        <w:rPr>
          <w:b/>
          <w:bCs/>
        </w:rPr>
        <w:t xml:space="preserve">Динамика изменения платы за школьное обучение (в </w:t>
      </w:r>
      <w:proofErr w:type="spellStart"/>
      <w:r>
        <w:rPr>
          <w:b/>
          <w:bCs/>
        </w:rPr>
        <w:t>евро</w:t>
      </w:r>
      <w:proofErr w:type="spellEnd"/>
      <w:r>
        <w:rPr>
          <w:b/>
          <w:bCs/>
        </w:rPr>
        <w:t>)</w:t>
      </w:r>
    </w:p>
    <w:p w:rsidR="00000000" w:rsidRDefault="00000000">
      <w:pPr>
        <w:spacing w:line="216"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3"/>
        <w:gridCol w:w="1044"/>
        <w:gridCol w:w="1044"/>
        <w:gridCol w:w="1043"/>
        <w:gridCol w:w="1043"/>
        <w:gridCol w:w="1043"/>
        <w:gridCol w:w="1043"/>
        <w:gridCol w:w="1043"/>
        <w:gridCol w:w="1044"/>
      </w:tblGrid>
      <w:tr w:rsidR="00000000">
        <w:tblPrEx>
          <w:tblCellMar>
            <w:top w:w="0" w:type="dxa"/>
            <w:bottom w:w="0" w:type="dxa"/>
          </w:tblCellMar>
        </w:tblPrEx>
        <w:tc>
          <w:tcPr>
            <w:tcW w:w="1064" w:type="dxa"/>
          </w:tcPr>
          <w:p w:rsidR="00000000" w:rsidRDefault="00000000">
            <w:pPr>
              <w:spacing w:line="216" w:lineRule="auto"/>
            </w:pPr>
          </w:p>
        </w:tc>
        <w:tc>
          <w:tcPr>
            <w:tcW w:w="1064" w:type="dxa"/>
          </w:tcPr>
          <w:p w:rsidR="00000000" w:rsidRDefault="00000000">
            <w:pPr>
              <w:spacing w:line="216" w:lineRule="auto"/>
            </w:pPr>
            <w:r>
              <w:t>1996/97</w:t>
            </w:r>
          </w:p>
        </w:tc>
        <w:tc>
          <w:tcPr>
            <w:tcW w:w="1064" w:type="dxa"/>
          </w:tcPr>
          <w:p w:rsidR="00000000" w:rsidRDefault="00000000">
            <w:pPr>
              <w:spacing w:line="216" w:lineRule="auto"/>
            </w:pPr>
            <w:r>
              <w:t>1997/98</w:t>
            </w:r>
          </w:p>
        </w:tc>
        <w:tc>
          <w:tcPr>
            <w:tcW w:w="1063" w:type="dxa"/>
          </w:tcPr>
          <w:p w:rsidR="00000000" w:rsidRDefault="00000000">
            <w:pPr>
              <w:spacing w:line="216" w:lineRule="auto"/>
            </w:pPr>
            <w:r>
              <w:t>1998/99</w:t>
            </w:r>
          </w:p>
        </w:tc>
        <w:tc>
          <w:tcPr>
            <w:tcW w:w="1063" w:type="dxa"/>
          </w:tcPr>
          <w:p w:rsidR="00000000" w:rsidRDefault="00000000">
            <w:pPr>
              <w:spacing w:line="216" w:lineRule="auto"/>
            </w:pPr>
            <w:r>
              <w:t>1999/00</w:t>
            </w:r>
          </w:p>
        </w:tc>
        <w:tc>
          <w:tcPr>
            <w:tcW w:w="1063" w:type="dxa"/>
          </w:tcPr>
          <w:p w:rsidR="00000000" w:rsidRDefault="00000000">
            <w:pPr>
              <w:spacing w:line="216" w:lineRule="auto"/>
            </w:pPr>
            <w:r>
              <w:t>2000/01</w:t>
            </w:r>
          </w:p>
        </w:tc>
        <w:tc>
          <w:tcPr>
            <w:tcW w:w="1063" w:type="dxa"/>
          </w:tcPr>
          <w:p w:rsidR="00000000" w:rsidRDefault="00000000">
            <w:pPr>
              <w:spacing w:line="216" w:lineRule="auto"/>
            </w:pPr>
            <w:r>
              <w:t>2001/02</w:t>
            </w:r>
          </w:p>
        </w:tc>
        <w:tc>
          <w:tcPr>
            <w:tcW w:w="1063" w:type="dxa"/>
          </w:tcPr>
          <w:p w:rsidR="00000000" w:rsidRDefault="00000000">
            <w:pPr>
              <w:spacing w:line="216" w:lineRule="auto"/>
            </w:pPr>
            <w:r>
              <w:t>2002/03</w:t>
            </w:r>
          </w:p>
        </w:tc>
        <w:tc>
          <w:tcPr>
            <w:tcW w:w="1064" w:type="dxa"/>
          </w:tcPr>
          <w:p w:rsidR="00000000" w:rsidRDefault="00000000">
            <w:pPr>
              <w:spacing w:line="216" w:lineRule="auto"/>
            </w:pPr>
            <w:r>
              <w:t>2003/04</w:t>
            </w:r>
          </w:p>
        </w:tc>
      </w:tr>
      <w:tr w:rsidR="00000000">
        <w:tblPrEx>
          <w:tblCellMar>
            <w:top w:w="0" w:type="dxa"/>
            <w:bottom w:w="0" w:type="dxa"/>
          </w:tblCellMar>
        </w:tblPrEx>
        <w:tc>
          <w:tcPr>
            <w:tcW w:w="1064" w:type="dxa"/>
          </w:tcPr>
          <w:p w:rsidR="00000000" w:rsidRDefault="00000000">
            <w:pPr>
              <w:spacing w:line="216" w:lineRule="auto"/>
            </w:pPr>
            <w:r>
              <w:t>Плата за школьное обучение</w:t>
            </w:r>
          </w:p>
        </w:tc>
        <w:tc>
          <w:tcPr>
            <w:tcW w:w="1064" w:type="dxa"/>
            <w:vAlign w:val="center"/>
          </w:tcPr>
          <w:p w:rsidR="00000000" w:rsidRDefault="00000000">
            <w:pPr>
              <w:spacing w:line="216" w:lineRule="auto"/>
              <w:jc w:val="center"/>
            </w:pPr>
            <w:r>
              <w:t>663</w:t>
            </w:r>
          </w:p>
        </w:tc>
        <w:tc>
          <w:tcPr>
            <w:tcW w:w="1064" w:type="dxa"/>
            <w:vAlign w:val="center"/>
          </w:tcPr>
          <w:p w:rsidR="00000000" w:rsidRDefault="00000000">
            <w:pPr>
              <w:spacing w:line="216" w:lineRule="auto"/>
              <w:jc w:val="center"/>
            </w:pPr>
            <w:r>
              <w:t>684</w:t>
            </w:r>
          </w:p>
        </w:tc>
        <w:tc>
          <w:tcPr>
            <w:tcW w:w="1063" w:type="dxa"/>
            <w:vAlign w:val="center"/>
          </w:tcPr>
          <w:p w:rsidR="00000000" w:rsidRDefault="00000000">
            <w:pPr>
              <w:spacing w:line="216" w:lineRule="auto"/>
              <w:jc w:val="center"/>
            </w:pPr>
            <w:r>
              <w:t>684</w:t>
            </w:r>
          </w:p>
        </w:tc>
        <w:tc>
          <w:tcPr>
            <w:tcW w:w="1063" w:type="dxa"/>
            <w:vAlign w:val="center"/>
          </w:tcPr>
          <w:p w:rsidR="00000000" w:rsidRDefault="00000000">
            <w:pPr>
              <w:spacing w:line="216" w:lineRule="auto"/>
              <w:jc w:val="center"/>
            </w:pPr>
            <w:r>
              <w:t>805</w:t>
            </w:r>
          </w:p>
        </w:tc>
        <w:tc>
          <w:tcPr>
            <w:tcW w:w="1063" w:type="dxa"/>
            <w:vAlign w:val="center"/>
          </w:tcPr>
          <w:p w:rsidR="00000000" w:rsidRDefault="00000000">
            <w:pPr>
              <w:spacing w:line="216" w:lineRule="auto"/>
              <w:jc w:val="center"/>
            </w:pPr>
            <w:r>
              <w:t>827</w:t>
            </w:r>
          </w:p>
        </w:tc>
        <w:tc>
          <w:tcPr>
            <w:tcW w:w="1063" w:type="dxa"/>
            <w:vAlign w:val="center"/>
          </w:tcPr>
          <w:p w:rsidR="00000000" w:rsidRDefault="00000000">
            <w:pPr>
              <w:spacing w:line="216" w:lineRule="auto"/>
              <w:jc w:val="center"/>
            </w:pPr>
            <w:r>
              <w:t>852</w:t>
            </w:r>
          </w:p>
        </w:tc>
        <w:tc>
          <w:tcPr>
            <w:tcW w:w="1063" w:type="dxa"/>
            <w:vAlign w:val="center"/>
          </w:tcPr>
          <w:p w:rsidR="00000000" w:rsidRDefault="00000000">
            <w:pPr>
              <w:spacing w:line="216" w:lineRule="auto"/>
              <w:jc w:val="center"/>
            </w:pPr>
            <w:r>
              <w:t>885</w:t>
            </w:r>
          </w:p>
        </w:tc>
        <w:tc>
          <w:tcPr>
            <w:tcW w:w="1064" w:type="dxa"/>
            <w:vAlign w:val="center"/>
          </w:tcPr>
          <w:p w:rsidR="00000000" w:rsidRDefault="00000000">
            <w:pPr>
              <w:spacing w:line="216" w:lineRule="auto"/>
              <w:jc w:val="center"/>
            </w:pPr>
            <w:r>
              <w:t>916</w:t>
            </w:r>
          </w:p>
        </w:tc>
      </w:tr>
    </w:tbl>
    <w:p w:rsidR="00000000" w:rsidRDefault="00000000"/>
    <w:p w:rsidR="00000000" w:rsidRDefault="00000000">
      <w:r>
        <w:t>107.</w:t>
      </w:r>
      <w:r>
        <w:tab/>
        <w:t xml:space="preserve">Плату за школьное обучение предлагается вносить родителям учащихся, которым по состоянию на 1 августа исполнилось 16 и больше лет.  Доступ к образованию гарантируется тем, что в случае семей с низким и средним доходом (с ежегодным налогооблагаемым доходом в размере до 27 000 </w:t>
      </w:r>
      <w:proofErr w:type="spellStart"/>
      <w:r>
        <w:t>евро</w:t>
      </w:r>
      <w:proofErr w:type="spellEnd"/>
      <w:r>
        <w:t xml:space="preserve">) производится полная компенсация оплаты в соответствии с Законом о пособиях по оплате и расходам на образование (ЗПОРО).  Действие этой схемы было продлено в 2001/2002 году, вследствие чего в настоящее время право на пособия имеет большее количество родителей.  С 1 августа 2001 года для категории населения с доходом свыше скорректированного совместного дохода в размере 27 983 </w:t>
      </w:r>
      <w:proofErr w:type="spellStart"/>
      <w:r>
        <w:t>евро</w:t>
      </w:r>
      <w:proofErr w:type="spellEnd"/>
      <w:r>
        <w:t xml:space="preserve"> возможна также частичная компенсация в зависимости от уровня дохода и количества детей школьного возраста.  Таким образом, плата за школьное обучение не является препятствием для получения образования детьми из бедных семей.  (Дополнительная информация об этом Законе содержится в пунктах 489-503 раздела 3.8.4.) </w:t>
      </w:r>
    </w:p>
    <w:p w:rsidR="00000000" w:rsidRDefault="00000000"/>
    <w:p w:rsidR="00000000" w:rsidRDefault="00000000">
      <w:pPr>
        <w:jc w:val="center"/>
        <w:rPr>
          <w:b/>
          <w:bCs/>
        </w:rPr>
      </w:pPr>
      <w:r>
        <w:rPr>
          <w:b/>
          <w:bCs/>
        </w:rPr>
        <w:t>1.8</w:t>
      </w:r>
      <w:r>
        <w:rPr>
          <w:b/>
          <w:bCs/>
        </w:rPr>
        <w:tab/>
        <w:t>Выполнение обязательств по Пакту</w:t>
      </w:r>
    </w:p>
    <w:p w:rsidR="00000000" w:rsidRDefault="00000000">
      <w:pPr>
        <w:jc w:val="center"/>
        <w:rPr>
          <w:b/>
          <w:bCs/>
        </w:rPr>
      </w:pPr>
    </w:p>
    <w:p w:rsidR="00000000" w:rsidRDefault="00000000">
      <w:r>
        <w:t>108.</w:t>
      </w:r>
      <w:r>
        <w:tab/>
        <w:t xml:space="preserve">Королевство Нидерландов состоит из трех стран:  </w:t>
      </w:r>
      <w:proofErr w:type="spellStart"/>
      <w:r>
        <w:t>Арубы</w:t>
      </w:r>
      <w:proofErr w:type="spellEnd"/>
      <w:r>
        <w:t xml:space="preserve">, Нидерландских Антильских Островов и Нидерландов.  В каждой из этих стран имеется свое правительство и парламент, избираемый ее собственным народом.  В ряде сфер институты Королевства, такие, как правительство Королевства Нидерландов (в котором представлены все три страны Королевства), осуществляют совместное административное управление.  Эти сферы составляют "дела Королевства" и включают защиту независимости, внешние сношения, гарантирование основных прав и свобод человека, поддержание правопорядка и надлежащее административное управление.  В отношении вопросов, не являющихся "делами Королевства", также осуществляются консультирование и координация, но лишь в той разумной мере, в которой координация служит интересам Королевства в целом.  Помимо этого, три части Королевства относятся с уважением друг к другу и предоставляют друг другу помощь и содействие как в материальном, так и в ином отношении.  Вместе с тем государственное управление в странах осуществляется согласно их собственным пожеланиям и регламентируется только определенными условиями, вытекающими из их пребывания в составе Королевства.  </w:t>
      </w:r>
    </w:p>
    <w:p w:rsidR="00000000" w:rsidRDefault="00000000"/>
    <w:p w:rsidR="00000000" w:rsidRDefault="00000000">
      <w:r>
        <w:t>109.</w:t>
      </w:r>
      <w:r>
        <w:tab/>
        <w:t xml:space="preserve">Ответственность за осуществление положений Пакта в </w:t>
      </w:r>
      <w:proofErr w:type="spellStart"/>
      <w:r>
        <w:t>Арубе</w:t>
      </w:r>
      <w:proofErr w:type="spellEnd"/>
      <w:r>
        <w:t>, Нидерландских Антильских Островах и Нидерландах возлагается прежде всего на соответствующие правительства каждой из этих стран.  Если Комитет полагает, что какая-либо из частей Королевства нарушает Пакт, ему следует обращаться к правительству Королевства Нидерландов.  Если нарушение относится только к одной из трех стран, правительство Королевства Нидерландов рассмотрит такой вопрос совместно с правительством этой страны.</w:t>
      </w:r>
    </w:p>
    <w:p w:rsidR="00000000" w:rsidRDefault="00000000"/>
    <w:p w:rsidR="00000000" w:rsidRDefault="00000000">
      <w:pPr>
        <w:jc w:val="center"/>
        <w:rPr>
          <w:b/>
          <w:bCs/>
        </w:rPr>
      </w:pPr>
      <w:r>
        <w:rPr>
          <w:b/>
          <w:bCs/>
        </w:rPr>
        <w:t>2.</w:t>
      </w:r>
      <w:r>
        <w:rPr>
          <w:b/>
          <w:bCs/>
        </w:rPr>
        <w:tab/>
        <w:t>ОБЩИЕ ПОЛОЖЕНИЯ ПАКТА:  СТАТЬЯ 2</w:t>
      </w:r>
    </w:p>
    <w:p w:rsidR="00000000" w:rsidRDefault="00000000">
      <w:pPr>
        <w:jc w:val="center"/>
        <w:rPr>
          <w:b/>
          <w:bCs/>
        </w:rPr>
      </w:pPr>
    </w:p>
    <w:p w:rsidR="00000000" w:rsidRDefault="00000000">
      <w:pPr>
        <w:jc w:val="center"/>
        <w:rPr>
          <w:b/>
          <w:bCs/>
        </w:rPr>
      </w:pPr>
      <w:r>
        <w:rPr>
          <w:b/>
          <w:bCs/>
        </w:rPr>
        <w:t>2.1</w:t>
      </w:r>
      <w:r>
        <w:rPr>
          <w:b/>
          <w:bCs/>
        </w:rPr>
        <w:tab/>
        <w:t>Права нерезидентов</w:t>
      </w:r>
    </w:p>
    <w:p w:rsidR="00000000" w:rsidRDefault="00000000">
      <w:pPr>
        <w:jc w:val="center"/>
        <w:rPr>
          <w:b/>
          <w:bCs/>
        </w:rPr>
      </w:pPr>
    </w:p>
    <w:p w:rsidR="00000000" w:rsidRDefault="00000000">
      <w:r>
        <w:t>110.</w:t>
      </w:r>
      <w:r>
        <w:tab/>
        <w:t>Закон о праве на льготы (статусе пребывания) (</w:t>
      </w:r>
      <w:proofErr w:type="spellStart"/>
      <w:r>
        <w:rPr>
          <w:i/>
          <w:lang w:val="en-US"/>
        </w:rPr>
        <w:t>Koppelingswet</w:t>
      </w:r>
      <w:proofErr w:type="spellEnd"/>
      <w:r>
        <w:t>) вступил в силу 1 июля 1998 года.  Согласно этому Закону, по решению административного органа иностранцы, не имеющие законного статуса резидента в Нидерландах, не имеют права на получение социальных услуг.  Основное правило состоит в том, что иностранцы имеют право на социальные услуги (при определенных условиях) только в том случае, если они располагают действующим видом на жительство.  Лицо, ожидающее решения в связи с его ходатайством о виде на жительство, таких прав не имеет, за исключением просителей убежища и некоторых других категорий иностранцев.  Без вида на жительство иностранцы могут претендовать только на получение образования, необходимую медицинскую помощь и правовую помощь.  Право мигрантов на труд см. в пунктах 156</w:t>
      </w:r>
      <w:r>
        <w:noBreakHyphen/>
        <w:t>159.</w:t>
      </w:r>
    </w:p>
    <w:p w:rsidR="00000000" w:rsidRDefault="00000000"/>
    <w:p w:rsidR="00000000" w:rsidRDefault="00000000">
      <w:pPr>
        <w:jc w:val="center"/>
        <w:rPr>
          <w:b/>
          <w:bCs/>
        </w:rPr>
      </w:pPr>
      <w:r>
        <w:rPr>
          <w:b/>
          <w:bCs/>
        </w:rPr>
        <w:t>2.2</w:t>
      </w:r>
      <w:r>
        <w:rPr>
          <w:b/>
          <w:bCs/>
        </w:rPr>
        <w:tab/>
        <w:t xml:space="preserve">Поощрение </w:t>
      </w:r>
      <w:r>
        <w:rPr>
          <w:b/>
        </w:rPr>
        <w:t>экономических, социальных и культурных прав на международном уровне</w:t>
      </w:r>
    </w:p>
    <w:p w:rsidR="00000000" w:rsidRDefault="00000000">
      <w:pPr>
        <w:jc w:val="center"/>
        <w:rPr>
          <w:b/>
          <w:bCs/>
        </w:rPr>
      </w:pPr>
    </w:p>
    <w:p w:rsidR="00000000" w:rsidRDefault="00000000">
      <w:r>
        <w:t>111.</w:t>
      </w:r>
      <w:r>
        <w:tab/>
        <w:t>В дополнение к информации, представленной в базовом документе (</w:t>
      </w:r>
      <w:r>
        <w:rPr>
          <w:lang w:val="en-US"/>
        </w:rPr>
        <w:t>HRI</w:t>
      </w:r>
      <w:r>
        <w:t>/</w:t>
      </w:r>
      <w:r>
        <w:rPr>
          <w:lang w:val="en-US"/>
        </w:rPr>
        <w:t>CORE</w:t>
      </w:r>
      <w:r>
        <w:t>/1/</w:t>
      </w:r>
      <w:r>
        <w:rPr>
          <w:lang w:val="en-US"/>
        </w:rPr>
        <w:t>Add</w:t>
      </w:r>
      <w:r>
        <w:t>.66) и касающейся роли международного сотрудничества в осуществлении Международного пакта об</w:t>
      </w:r>
      <w:r>
        <w:rPr>
          <w:bCs/>
        </w:rPr>
        <w:t xml:space="preserve"> </w:t>
      </w:r>
      <w:r>
        <w:t xml:space="preserve">экономических, социальных и культурных правах, необходимо отметить следующее. </w:t>
      </w:r>
    </w:p>
    <w:p w:rsidR="00000000" w:rsidRDefault="00000000"/>
    <w:p w:rsidR="00000000" w:rsidRDefault="00000000">
      <w:r>
        <w:t>112.</w:t>
      </w:r>
      <w:r>
        <w:tab/>
        <w:t>Основным направлением общей политики Нидерландов в области сотрудничества в целях развития является борьба с крайней нищетой.  Реализация политических, экономических, социальных и культурных прав людей является неотъемлемой частью этой политики.  Средоточием этой политики выступают три взаимосвязанных стратегических варианта действий.  Это, во</w:t>
      </w:r>
      <w:r>
        <w:noBreakHyphen/>
        <w:t>первых, инвестирование в развитие человеческого потенциала, особенно малоимущих слоев населения, в целях расширения их способности к производительному труду;  во</w:t>
      </w:r>
      <w:r>
        <w:noBreakHyphen/>
        <w:t xml:space="preserve">вторых, это - дальнейшее удовлетворение основных потребностей;  и, в-третьих, это - более широкое участие малоимущих групп в процессе принятия политических решений.  Общим для этих трех вариантов действий является тот факт, что они предусматривают </w:t>
      </w:r>
      <w:proofErr w:type="spellStart"/>
      <w:r>
        <w:t>уделение</w:t>
      </w:r>
      <w:proofErr w:type="spellEnd"/>
      <w:r>
        <w:t xml:space="preserve"> особого внимания не только распределению дохода (в результате экономического процесса), но и институциональным факторам производства в более широком смысле, таким, как распределение земель, капитала и доступ к образованию, здравоохранению и другим основным услугам, а также сохранение культурной самобытности людей.  Таким образом, Нидерланды в своей политике отдают должное международному консенсусу в отношении того, что нищета является многогранным явлением и включает экономические, социальные, политические, культурные аспекты и аспекты безопасности.  В этой политике находит также свое отражение преобладающее среди крупных международных доноров мнение в отношении того, что для обеспечения устойчивого сокращения масштабов нищеты решающее значение имеет правозащитный подход к развитию.  Содействие соблюдению экономических, социальных и культурных прав в рамках сотрудничества в целях развития тесно связано с политикой Нидерландов, направленной на поощрение осуществления прав человека в целом, поскольку соблюдение гражданских и политических прав является основным требованием для осуществления в долгосрочной перспективе и в полном объеме экономических, социальных и культурных прав, и наоборот.  Таким образом, программа сотрудничества в области развития предусматривает продолжение усилий по реализации гражданских, политических, экономических, социальных и культурных прав как на уровне политического диалога, так и на практике. </w:t>
      </w:r>
    </w:p>
    <w:p w:rsidR="00000000" w:rsidRDefault="00000000"/>
    <w:p w:rsidR="00000000" w:rsidRDefault="00000000">
      <w:pPr>
        <w:pStyle w:val="Header"/>
        <w:keepNext/>
        <w:tabs>
          <w:tab w:val="clear" w:pos="4153"/>
          <w:tab w:val="clear" w:pos="8306"/>
          <w:tab w:val="left" w:pos="0"/>
        </w:tabs>
        <w:jc w:val="center"/>
        <w:rPr>
          <w:b/>
          <w:caps/>
        </w:rPr>
      </w:pPr>
      <w:r>
        <w:rPr>
          <w:b/>
          <w:caps/>
        </w:rPr>
        <w:t>3.</w:t>
      </w:r>
      <w:r>
        <w:rPr>
          <w:b/>
          <w:caps/>
        </w:rPr>
        <w:tab/>
        <w:t>ОСУЩЕСТВЛЕНИЕ КОНКРЕТНЫХ ПРАВ</w:t>
      </w:r>
    </w:p>
    <w:p w:rsidR="00000000" w:rsidRDefault="00000000">
      <w:pPr>
        <w:pStyle w:val="Header"/>
        <w:keepNext/>
        <w:tabs>
          <w:tab w:val="clear" w:pos="4153"/>
          <w:tab w:val="clear" w:pos="8306"/>
          <w:tab w:val="left" w:pos="0"/>
        </w:tabs>
        <w:jc w:val="center"/>
        <w:rPr>
          <w:b/>
          <w:caps/>
        </w:rPr>
      </w:pPr>
    </w:p>
    <w:p w:rsidR="00000000" w:rsidRDefault="00000000">
      <w:pPr>
        <w:pStyle w:val="Header"/>
        <w:keepNext/>
        <w:tabs>
          <w:tab w:val="clear" w:pos="4153"/>
          <w:tab w:val="clear" w:pos="8306"/>
          <w:tab w:val="left" w:pos="0"/>
        </w:tabs>
        <w:jc w:val="center"/>
        <w:rPr>
          <w:b/>
          <w:caps/>
        </w:rPr>
      </w:pPr>
      <w:r>
        <w:rPr>
          <w:b/>
          <w:caps/>
        </w:rPr>
        <w:t>3.1</w:t>
      </w:r>
      <w:r>
        <w:rPr>
          <w:b/>
          <w:caps/>
        </w:rPr>
        <w:tab/>
        <w:t>С</w:t>
      </w:r>
      <w:r>
        <w:rPr>
          <w:b/>
        </w:rPr>
        <w:t xml:space="preserve">татья </w:t>
      </w:r>
      <w:r>
        <w:rPr>
          <w:b/>
          <w:caps/>
        </w:rPr>
        <w:t>6</w:t>
      </w:r>
    </w:p>
    <w:p w:rsidR="00000000" w:rsidRDefault="00000000">
      <w:pPr>
        <w:pStyle w:val="Header"/>
        <w:keepNext/>
        <w:tabs>
          <w:tab w:val="clear" w:pos="4153"/>
          <w:tab w:val="clear" w:pos="8306"/>
          <w:tab w:val="left" w:pos="0"/>
        </w:tabs>
        <w:jc w:val="center"/>
        <w:rPr>
          <w:b/>
          <w:caps/>
        </w:rPr>
      </w:pPr>
    </w:p>
    <w:p w:rsidR="00000000" w:rsidRDefault="00000000">
      <w:pPr>
        <w:pStyle w:val="Header"/>
        <w:keepNext/>
        <w:tabs>
          <w:tab w:val="clear" w:pos="4153"/>
          <w:tab w:val="clear" w:pos="8306"/>
          <w:tab w:val="left" w:pos="0"/>
        </w:tabs>
        <w:jc w:val="center"/>
        <w:rPr>
          <w:b/>
          <w:i/>
        </w:rPr>
      </w:pPr>
      <w:r>
        <w:rPr>
          <w:b/>
        </w:rPr>
        <w:t>3.1.1</w:t>
      </w:r>
      <w:r>
        <w:rPr>
          <w:b/>
        </w:rPr>
        <w:tab/>
        <w:t>Право на труд</w:t>
      </w:r>
    </w:p>
    <w:p w:rsidR="00000000" w:rsidRDefault="00000000">
      <w:pPr>
        <w:pStyle w:val="Header"/>
        <w:keepNext/>
        <w:tabs>
          <w:tab w:val="clear" w:pos="4153"/>
          <w:tab w:val="clear" w:pos="8306"/>
          <w:tab w:val="left" w:pos="0"/>
        </w:tabs>
        <w:jc w:val="center"/>
        <w:rPr>
          <w:b/>
          <w:i/>
        </w:rPr>
      </w:pPr>
    </w:p>
    <w:p w:rsidR="00000000" w:rsidRDefault="00000000">
      <w:pPr>
        <w:pStyle w:val="Header"/>
        <w:keepNext/>
        <w:tabs>
          <w:tab w:val="clear" w:pos="4153"/>
          <w:tab w:val="clear" w:pos="8306"/>
          <w:tab w:val="left" w:pos="0"/>
        </w:tabs>
        <w:jc w:val="center"/>
        <w:rPr>
          <w:b/>
          <w:lang w:val="en-US"/>
        </w:rPr>
      </w:pPr>
      <w:r>
        <w:rPr>
          <w:b/>
        </w:rPr>
        <w:t>3.1.1.1</w:t>
      </w:r>
      <w:r>
        <w:rPr>
          <w:b/>
        </w:rPr>
        <w:tab/>
        <w:t xml:space="preserve">Положение и тенденции в сфере труда и уровень занятости, </w:t>
      </w:r>
    </w:p>
    <w:p w:rsidR="00000000" w:rsidRDefault="00000000">
      <w:pPr>
        <w:pStyle w:val="Header"/>
        <w:keepNext/>
        <w:tabs>
          <w:tab w:val="clear" w:pos="4153"/>
          <w:tab w:val="clear" w:pos="8306"/>
          <w:tab w:val="left" w:pos="0"/>
        </w:tabs>
        <w:jc w:val="center"/>
        <w:rPr>
          <w:b/>
        </w:rPr>
      </w:pPr>
      <w:r>
        <w:rPr>
          <w:b/>
        </w:rPr>
        <w:t>безработицы и неполной занятости</w:t>
      </w:r>
    </w:p>
    <w:p w:rsidR="00000000" w:rsidRDefault="00000000">
      <w:pPr>
        <w:pStyle w:val="Header"/>
        <w:keepNext/>
        <w:tabs>
          <w:tab w:val="clear" w:pos="4153"/>
          <w:tab w:val="clear" w:pos="8306"/>
          <w:tab w:val="left" w:pos="0"/>
        </w:tabs>
        <w:jc w:val="center"/>
        <w:rPr>
          <w:b/>
        </w:rPr>
      </w:pPr>
    </w:p>
    <w:p w:rsidR="00000000" w:rsidRDefault="00000000">
      <w:pPr>
        <w:keepNext/>
      </w:pPr>
      <w:r>
        <w:t>113.</w:t>
      </w:r>
      <w:r>
        <w:tab/>
        <w:t>В таблицах 3 и 4 содержатся сведения о безработице и участии населения в трудовой деятельности в разбивке по целевым группам.</w:t>
      </w:r>
    </w:p>
    <w:p w:rsidR="00000000" w:rsidRDefault="00000000">
      <w:pPr>
        <w:jc w:val="center"/>
        <w:rPr>
          <w:b/>
        </w:rPr>
      </w:pPr>
    </w:p>
    <w:p w:rsidR="00000000" w:rsidRDefault="00000000">
      <w:pPr>
        <w:spacing w:line="216" w:lineRule="auto"/>
        <w:jc w:val="center"/>
        <w:rPr>
          <w:b/>
          <w:caps/>
        </w:rPr>
      </w:pPr>
      <w:r>
        <w:rPr>
          <w:b/>
        </w:rPr>
        <w:t xml:space="preserve">Таблица </w:t>
      </w:r>
      <w:r>
        <w:rPr>
          <w:b/>
          <w:caps/>
        </w:rPr>
        <w:t>3</w:t>
      </w:r>
    </w:p>
    <w:p w:rsidR="00000000" w:rsidRDefault="00000000">
      <w:pPr>
        <w:spacing w:line="216" w:lineRule="auto"/>
        <w:jc w:val="center"/>
        <w:rPr>
          <w:b/>
          <w:caps/>
        </w:rPr>
      </w:pPr>
    </w:p>
    <w:p w:rsidR="00000000" w:rsidRDefault="00000000">
      <w:pPr>
        <w:spacing w:line="216" w:lineRule="auto"/>
        <w:jc w:val="center"/>
        <w:rPr>
          <w:b/>
        </w:rPr>
      </w:pPr>
      <w:r>
        <w:rPr>
          <w:b/>
          <w:caps/>
        </w:rPr>
        <w:t>С</w:t>
      </w:r>
      <w:r>
        <w:rPr>
          <w:b/>
        </w:rPr>
        <w:t>ведения о динамике в области безработицы в разбивке по целевым группам</w:t>
      </w:r>
    </w:p>
    <w:p w:rsidR="00000000" w:rsidRDefault="00000000">
      <w:pPr>
        <w:spacing w:line="216" w:lineRule="auto"/>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1197"/>
        <w:gridCol w:w="1197"/>
        <w:gridCol w:w="1197"/>
        <w:gridCol w:w="1197"/>
      </w:tblGrid>
      <w:tr w:rsidR="00000000">
        <w:tblPrEx>
          <w:tblCellMar>
            <w:top w:w="0" w:type="dxa"/>
            <w:bottom w:w="0" w:type="dxa"/>
          </w:tblCellMar>
        </w:tblPrEx>
        <w:trPr>
          <w:jc w:val="center"/>
        </w:trPr>
        <w:tc>
          <w:tcPr>
            <w:tcW w:w="3369" w:type="dxa"/>
            <w:tcBorders>
              <w:bottom w:val="single" w:sz="4" w:space="0" w:color="auto"/>
            </w:tcBorders>
          </w:tcPr>
          <w:p w:rsidR="00000000" w:rsidRDefault="00000000">
            <w:pPr>
              <w:spacing w:line="216" w:lineRule="auto"/>
              <w:rPr>
                <w:bCs/>
                <w:caps/>
              </w:rPr>
            </w:pPr>
          </w:p>
        </w:tc>
        <w:tc>
          <w:tcPr>
            <w:tcW w:w="1197" w:type="dxa"/>
            <w:tcBorders>
              <w:bottom w:val="single" w:sz="4" w:space="0" w:color="auto"/>
            </w:tcBorders>
          </w:tcPr>
          <w:p w:rsidR="00000000" w:rsidRDefault="00000000">
            <w:pPr>
              <w:spacing w:line="216" w:lineRule="auto"/>
              <w:jc w:val="center"/>
            </w:pPr>
            <w:r>
              <w:t>1990 год</w:t>
            </w:r>
          </w:p>
          <w:p w:rsidR="00000000" w:rsidRDefault="00000000">
            <w:pPr>
              <w:spacing w:line="216" w:lineRule="auto"/>
              <w:jc w:val="center"/>
            </w:pPr>
            <w:r>
              <w:t>в %</w:t>
            </w:r>
          </w:p>
        </w:tc>
        <w:tc>
          <w:tcPr>
            <w:tcW w:w="1197" w:type="dxa"/>
            <w:tcBorders>
              <w:bottom w:val="single" w:sz="4" w:space="0" w:color="auto"/>
            </w:tcBorders>
          </w:tcPr>
          <w:p w:rsidR="00000000" w:rsidRDefault="00000000">
            <w:pPr>
              <w:spacing w:line="216" w:lineRule="auto"/>
              <w:jc w:val="center"/>
            </w:pPr>
            <w:r>
              <w:t xml:space="preserve">1995 год </w:t>
            </w:r>
          </w:p>
          <w:p w:rsidR="00000000" w:rsidRDefault="00000000">
            <w:pPr>
              <w:spacing w:line="216" w:lineRule="auto"/>
              <w:jc w:val="center"/>
            </w:pPr>
            <w:r>
              <w:t>в %</w:t>
            </w:r>
          </w:p>
        </w:tc>
        <w:tc>
          <w:tcPr>
            <w:tcW w:w="1197" w:type="dxa"/>
            <w:tcBorders>
              <w:bottom w:val="single" w:sz="4" w:space="0" w:color="auto"/>
            </w:tcBorders>
          </w:tcPr>
          <w:p w:rsidR="00000000" w:rsidRDefault="00000000">
            <w:pPr>
              <w:spacing w:line="216" w:lineRule="auto"/>
              <w:jc w:val="center"/>
            </w:pPr>
            <w:r>
              <w:t>2001 год</w:t>
            </w:r>
          </w:p>
          <w:p w:rsidR="00000000" w:rsidRDefault="00000000">
            <w:pPr>
              <w:spacing w:line="216" w:lineRule="auto"/>
              <w:jc w:val="center"/>
            </w:pPr>
            <w:r>
              <w:t>в %</w:t>
            </w:r>
          </w:p>
        </w:tc>
        <w:tc>
          <w:tcPr>
            <w:tcW w:w="1197" w:type="dxa"/>
            <w:tcBorders>
              <w:bottom w:val="single" w:sz="4" w:space="0" w:color="auto"/>
            </w:tcBorders>
          </w:tcPr>
          <w:p w:rsidR="00000000" w:rsidRDefault="00000000">
            <w:pPr>
              <w:spacing w:line="216" w:lineRule="auto"/>
              <w:jc w:val="center"/>
            </w:pPr>
            <w:r>
              <w:t>2002 год</w:t>
            </w:r>
          </w:p>
          <w:p w:rsidR="00000000" w:rsidRDefault="00000000">
            <w:pPr>
              <w:spacing w:line="216" w:lineRule="auto"/>
              <w:jc w:val="center"/>
            </w:pPr>
            <w:r>
              <w:t>в %</w:t>
            </w:r>
          </w:p>
        </w:tc>
      </w:tr>
      <w:tr w:rsidR="00000000">
        <w:tblPrEx>
          <w:tblCellMar>
            <w:top w:w="0" w:type="dxa"/>
            <w:bottom w:w="0" w:type="dxa"/>
          </w:tblCellMar>
        </w:tblPrEx>
        <w:trPr>
          <w:jc w:val="center"/>
        </w:trPr>
        <w:tc>
          <w:tcPr>
            <w:tcW w:w="3369" w:type="dxa"/>
            <w:tcBorders>
              <w:bottom w:val="nil"/>
            </w:tcBorders>
          </w:tcPr>
          <w:p w:rsidR="00000000" w:rsidRDefault="00000000">
            <w:pPr>
              <w:spacing w:line="240" w:lineRule="auto"/>
              <w:rPr>
                <w:bCs/>
              </w:rPr>
            </w:pPr>
            <w:r>
              <w:rPr>
                <w:bCs/>
                <w:caps/>
              </w:rPr>
              <w:t>в</w:t>
            </w:r>
            <w:r>
              <w:rPr>
                <w:bCs/>
              </w:rPr>
              <w:t>се население,</w:t>
            </w:r>
          </w:p>
          <w:p w:rsidR="00000000" w:rsidRDefault="00000000">
            <w:pPr>
              <w:spacing w:line="240" w:lineRule="auto"/>
              <w:rPr>
                <w:bCs/>
                <w:caps/>
              </w:rPr>
            </w:pPr>
            <w:r>
              <w:rPr>
                <w:bCs/>
              </w:rPr>
              <w:t>в том числе:</w:t>
            </w:r>
          </w:p>
        </w:tc>
        <w:tc>
          <w:tcPr>
            <w:tcW w:w="1197" w:type="dxa"/>
            <w:tcBorders>
              <w:bottom w:val="nil"/>
            </w:tcBorders>
          </w:tcPr>
          <w:p w:rsidR="00000000" w:rsidRDefault="00000000">
            <w:pPr>
              <w:spacing w:line="240" w:lineRule="auto"/>
              <w:jc w:val="center"/>
            </w:pPr>
            <w:r>
              <w:t>6,9</w:t>
            </w:r>
          </w:p>
        </w:tc>
        <w:tc>
          <w:tcPr>
            <w:tcW w:w="1197" w:type="dxa"/>
            <w:tcBorders>
              <w:bottom w:val="nil"/>
            </w:tcBorders>
          </w:tcPr>
          <w:p w:rsidR="00000000" w:rsidRDefault="00000000">
            <w:pPr>
              <w:spacing w:line="240" w:lineRule="auto"/>
              <w:jc w:val="center"/>
            </w:pPr>
            <w:r>
              <w:t>8,1</w:t>
            </w:r>
          </w:p>
        </w:tc>
        <w:tc>
          <w:tcPr>
            <w:tcW w:w="1197" w:type="dxa"/>
            <w:tcBorders>
              <w:bottom w:val="nil"/>
            </w:tcBorders>
          </w:tcPr>
          <w:p w:rsidR="00000000" w:rsidRDefault="00000000">
            <w:pPr>
              <w:spacing w:line="240" w:lineRule="auto"/>
              <w:jc w:val="center"/>
            </w:pPr>
            <w:r>
              <w:t>3,4</w:t>
            </w:r>
          </w:p>
        </w:tc>
        <w:tc>
          <w:tcPr>
            <w:tcW w:w="1197" w:type="dxa"/>
            <w:tcBorders>
              <w:bottom w:val="nil"/>
            </w:tcBorders>
          </w:tcPr>
          <w:p w:rsidR="00000000" w:rsidRDefault="00000000">
            <w:pPr>
              <w:spacing w:line="240" w:lineRule="auto"/>
              <w:jc w:val="center"/>
            </w:pPr>
            <w:r>
              <w:t>4,1</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женщины</w:t>
            </w:r>
          </w:p>
        </w:tc>
        <w:tc>
          <w:tcPr>
            <w:tcW w:w="1197" w:type="dxa"/>
            <w:tcBorders>
              <w:top w:val="nil"/>
              <w:bottom w:val="nil"/>
            </w:tcBorders>
          </w:tcPr>
          <w:p w:rsidR="00000000" w:rsidRDefault="00000000">
            <w:pPr>
              <w:spacing w:line="240" w:lineRule="auto"/>
              <w:jc w:val="center"/>
            </w:pPr>
            <w:r>
              <w:t>10,9</w:t>
            </w:r>
          </w:p>
        </w:tc>
        <w:tc>
          <w:tcPr>
            <w:tcW w:w="1197" w:type="dxa"/>
            <w:tcBorders>
              <w:top w:val="nil"/>
              <w:bottom w:val="nil"/>
            </w:tcBorders>
          </w:tcPr>
          <w:p w:rsidR="00000000" w:rsidRDefault="00000000">
            <w:pPr>
              <w:spacing w:line="240" w:lineRule="auto"/>
              <w:jc w:val="center"/>
            </w:pPr>
            <w:r>
              <w:t>11,1</w:t>
            </w:r>
          </w:p>
        </w:tc>
        <w:tc>
          <w:tcPr>
            <w:tcW w:w="1197" w:type="dxa"/>
            <w:tcBorders>
              <w:top w:val="nil"/>
              <w:bottom w:val="nil"/>
            </w:tcBorders>
          </w:tcPr>
          <w:p w:rsidR="00000000" w:rsidRDefault="00000000">
            <w:pPr>
              <w:spacing w:line="240" w:lineRule="auto"/>
              <w:jc w:val="center"/>
            </w:pPr>
            <w:r>
              <w:t>4,7</w:t>
            </w:r>
          </w:p>
        </w:tc>
        <w:tc>
          <w:tcPr>
            <w:tcW w:w="1197" w:type="dxa"/>
            <w:tcBorders>
              <w:top w:val="nil"/>
              <w:bottom w:val="nil"/>
            </w:tcBorders>
          </w:tcPr>
          <w:p w:rsidR="00000000" w:rsidRDefault="00000000">
            <w:pPr>
              <w:spacing w:line="240" w:lineRule="auto"/>
              <w:jc w:val="center"/>
            </w:pPr>
            <w:r>
              <w:t>5,0</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молодые лица (15-24 года)</w:t>
            </w:r>
          </w:p>
        </w:tc>
        <w:tc>
          <w:tcPr>
            <w:tcW w:w="1197" w:type="dxa"/>
            <w:tcBorders>
              <w:top w:val="nil"/>
              <w:bottom w:val="nil"/>
            </w:tcBorders>
          </w:tcPr>
          <w:p w:rsidR="00000000" w:rsidRDefault="00000000">
            <w:pPr>
              <w:spacing w:line="240" w:lineRule="auto"/>
              <w:jc w:val="center"/>
            </w:pPr>
            <w:r>
              <w:t>10,3</w:t>
            </w:r>
          </w:p>
        </w:tc>
        <w:tc>
          <w:tcPr>
            <w:tcW w:w="1197" w:type="dxa"/>
            <w:tcBorders>
              <w:top w:val="nil"/>
              <w:bottom w:val="nil"/>
            </w:tcBorders>
          </w:tcPr>
          <w:p w:rsidR="00000000" w:rsidRDefault="00000000">
            <w:pPr>
              <w:spacing w:line="240" w:lineRule="auto"/>
              <w:jc w:val="center"/>
            </w:pPr>
            <w:r>
              <w:t>13,2</w:t>
            </w:r>
          </w:p>
        </w:tc>
        <w:tc>
          <w:tcPr>
            <w:tcW w:w="1197" w:type="dxa"/>
            <w:tcBorders>
              <w:top w:val="nil"/>
              <w:bottom w:val="nil"/>
            </w:tcBorders>
          </w:tcPr>
          <w:p w:rsidR="00000000" w:rsidRDefault="00000000">
            <w:pPr>
              <w:spacing w:line="240" w:lineRule="auto"/>
              <w:jc w:val="center"/>
            </w:pPr>
            <w:r>
              <w:t>7,2</w:t>
            </w:r>
          </w:p>
        </w:tc>
        <w:tc>
          <w:tcPr>
            <w:tcW w:w="1197" w:type="dxa"/>
            <w:tcBorders>
              <w:top w:val="nil"/>
              <w:bottom w:val="nil"/>
            </w:tcBorders>
          </w:tcPr>
          <w:p w:rsidR="00000000" w:rsidRDefault="00000000">
            <w:pPr>
              <w:spacing w:line="240" w:lineRule="auto"/>
              <w:jc w:val="center"/>
            </w:pPr>
            <w:r>
              <w:t>8,5</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престарелые (55-64 года)</w:t>
            </w:r>
          </w:p>
        </w:tc>
        <w:tc>
          <w:tcPr>
            <w:tcW w:w="1197" w:type="dxa"/>
            <w:tcBorders>
              <w:top w:val="nil"/>
              <w:bottom w:val="nil"/>
            </w:tcBorders>
          </w:tcPr>
          <w:p w:rsidR="00000000" w:rsidRDefault="00000000">
            <w:pPr>
              <w:spacing w:line="240" w:lineRule="auto"/>
              <w:jc w:val="center"/>
              <w:rPr>
                <w:lang w:val="en-GB"/>
              </w:rPr>
            </w:pPr>
            <w:r>
              <w:rPr>
                <w:lang w:val="en-GB"/>
              </w:rPr>
              <w:t>4,4</w:t>
            </w:r>
          </w:p>
        </w:tc>
        <w:tc>
          <w:tcPr>
            <w:tcW w:w="1197" w:type="dxa"/>
            <w:tcBorders>
              <w:top w:val="nil"/>
              <w:bottom w:val="nil"/>
            </w:tcBorders>
          </w:tcPr>
          <w:p w:rsidR="00000000" w:rsidRDefault="00000000">
            <w:pPr>
              <w:spacing w:line="240" w:lineRule="auto"/>
              <w:jc w:val="center"/>
              <w:rPr>
                <w:lang w:val="en-GB"/>
              </w:rPr>
            </w:pPr>
            <w:r>
              <w:rPr>
                <w:lang w:val="en-GB"/>
              </w:rPr>
              <w:t>5,1</w:t>
            </w:r>
          </w:p>
        </w:tc>
        <w:tc>
          <w:tcPr>
            <w:tcW w:w="1197" w:type="dxa"/>
            <w:tcBorders>
              <w:top w:val="nil"/>
              <w:bottom w:val="nil"/>
            </w:tcBorders>
          </w:tcPr>
          <w:p w:rsidR="00000000" w:rsidRDefault="00000000">
            <w:pPr>
              <w:spacing w:line="240" w:lineRule="auto"/>
              <w:jc w:val="center"/>
              <w:rPr>
                <w:lang w:val="en-GB"/>
              </w:rPr>
            </w:pPr>
            <w:r>
              <w:rPr>
                <w:lang w:val="en-GB"/>
              </w:rPr>
              <w:t>2,6</w:t>
            </w:r>
          </w:p>
        </w:tc>
        <w:tc>
          <w:tcPr>
            <w:tcW w:w="1197" w:type="dxa"/>
            <w:tcBorders>
              <w:top w:val="nil"/>
              <w:bottom w:val="nil"/>
            </w:tcBorders>
          </w:tcPr>
          <w:p w:rsidR="00000000" w:rsidRDefault="00000000">
            <w:pPr>
              <w:spacing w:line="240" w:lineRule="auto"/>
              <w:jc w:val="center"/>
              <w:rPr>
                <w:lang w:val="en-GB"/>
              </w:rPr>
            </w:pPr>
            <w:r>
              <w:rPr>
                <w:lang w:val="en-GB"/>
              </w:rPr>
              <w:t>3,0</w:t>
            </w:r>
          </w:p>
        </w:tc>
      </w:tr>
      <w:tr w:rsidR="00000000">
        <w:tblPrEx>
          <w:tblCellMar>
            <w:top w:w="0" w:type="dxa"/>
            <w:bottom w:w="0" w:type="dxa"/>
          </w:tblCellMar>
        </w:tblPrEx>
        <w:trPr>
          <w:jc w:val="center"/>
        </w:trPr>
        <w:tc>
          <w:tcPr>
            <w:tcW w:w="3369" w:type="dxa"/>
            <w:tcBorders>
              <w:top w:val="nil"/>
            </w:tcBorders>
          </w:tcPr>
          <w:p w:rsidR="00000000" w:rsidRDefault="00000000">
            <w:pPr>
              <w:tabs>
                <w:tab w:val="clear" w:pos="567"/>
                <w:tab w:val="left" w:pos="392"/>
              </w:tabs>
              <w:spacing w:line="240" w:lineRule="auto"/>
              <w:rPr>
                <w:bCs/>
                <w:caps/>
                <w:lang w:val="en-GB"/>
              </w:rPr>
            </w:pPr>
            <w:r>
              <w:rPr>
                <w:bCs/>
                <w:caps/>
                <w:lang w:val="en-GB"/>
              </w:rPr>
              <w:tab/>
            </w:r>
            <w:r>
              <w:rPr>
                <w:bCs/>
              </w:rPr>
              <w:t>этнические</w:t>
            </w:r>
            <w:r>
              <w:rPr>
                <w:bCs/>
                <w:lang w:val="en-GB"/>
              </w:rPr>
              <w:t xml:space="preserve"> </w:t>
            </w:r>
            <w:r>
              <w:rPr>
                <w:bCs/>
              </w:rPr>
              <w:t>меньшинства</w:t>
            </w:r>
            <w:r>
              <w:rPr>
                <w:b/>
                <w:vertAlign w:val="superscript"/>
                <w:lang w:val="en-GB"/>
              </w:rPr>
              <w:t>1</w:t>
            </w:r>
          </w:p>
        </w:tc>
        <w:tc>
          <w:tcPr>
            <w:tcW w:w="1197" w:type="dxa"/>
            <w:tcBorders>
              <w:top w:val="nil"/>
            </w:tcBorders>
          </w:tcPr>
          <w:p w:rsidR="00000000" w:rsidRDefault="00000000">
            <w:pPr>
              <w:spacing w:line="240" w:lineRule="auto"/>
              <w:jc w:val="center"/>
              <w:rPr>
                <w:lang w:val="en-GB"/>
              </w:rPr>
            </w:pPr>
            <w:r>
              <w:rPr>
                <w:lang w:val="en-GB"/>
              </w:rPr>
              <w:t>26,2</w:t>
            </w:r>
          </w:p>
        </w:tc>
        <w:tc>
          <w:tcPr>
            <w:tcW w:w="1197" w:type="dxa"/>
            <w:tcBorders>
              <w:top w:val="nil"/>
            </w:tcBorders>
          </w:tcPr>
          <w:p w:rsidR="00000000" w:rsidRDefault="00000000">
            <w:pPr>
              <w:spacing w:line="240" w:lineRule="auto"/>
              <w:jc w:val="center"/>
              <w:rPr>
                <w:lang w:val="en-GB"/>
              </w:rPr>
            </w:pPr>
            <w:r>
              <w:rPr>
                <w:lang w:val="en-GB"/>
              </w:rPr>
              <w:t>25,7</w:t>
            </w:r>
          </w:p>
        </w:tc>
        <w:tc>
          <w:tcPr>
            <w:tcW w:w="1197" w:type="dxa"/>
            <w:tcBorders>
              <w:top w:val="nil"/>
            </w:tcBorders>
          </w:tcPr>
          <w:p w:rsidR="00000000" w:rsidRDefault="00000000">
            <w:pPr>
              <w:spacing w:line="240" w:lineRule="auto"/>
              <w:jc w:val="center"/>
              <w:rPr>
                <w:lang w:val="en-GB"/>
              </w:rPr>
            </w:pPr>
            <w:r>
              <w:rPr>
                <w:lang w:val="en-GB"/>
              </w:rPr>
              <w:t>7,7</w:t>
            </w:r>
          </w:p>
        </w:tc>
        <w:tc>
          <w:tcPr>
            <w:tcW w:w="1197" w:type="dxa"/>
            <w:tcBorders>
              <w:top w:val="nil"/>
            </w:tcBorders>
          </w:tcPr>
          <w:p w:rsidR="00000000" w:rsidRDefault="00000000">
            <w:pPr>
              <w:spacing w:line="240" w:lineRule="auto"/>
              <w:jc w:val="center"/>
              <w:rPr>
                <w:lang w:val="en-GB"/>
              </w:rPr>
            </w:pPr>
            <w:r>
              <w:rPr>
                <w:lang w:val="en-GB"/>
              </w:rPr>
              <w:t>8,9</w:t>
            </w:r>
          </w:p>
        </w:tc>
      </w:tr>
    </w:tbl>
    <w:p w:rsidR="00000000" w:rsidRDefault="00000000">
      <w:pPr>
        <w:rPr>
          <w:i/>
        </w:rPr>
      </w:pPr>
    </w:p>
    <w:p w:rsidR="00000000" w:rsidRDefault="00000000">
      <w:pPr>
        <w:spacing w:line="240" w:lineRule="auto"/>
        <w:rPr>
          <w:iCs/>
        </w:rPr>
      </w:pPr>
      <w:r>
        <w:rPr>
          <w:i/>
        </w:rPr>
        <w:tab/>
        <w:t xml:space="preserve">Источник:  </w:t>
      </w:r>
      <w:r>
        <w:rPr>
          <w:iCs/>
        </w:rPr>
        <w:t>Нидерландское статистическое управление (</w:t>
      </w:r>
      <w:proofErr w:type="spellStart"/>
      <w:r>
        <w:rPr>
          <w:iCs/>
        </w:rPr>
        <w:t>НСУ</w:t>
      </w:r>
      <w:proofErr w:type="spellEnd"/>
      <w:r>
        <w:rPr>
          <w:iCs/>
        </w:rPr>
        <w:t>), Обследование рабочей силы (</w:t>
      </w:r>
      <w:proofErr w:type="spellStart"/>
      <w:r>
        <w:rPr>
          <w:i/>
          <w:lang w:val="en-GB"/>
        </w:rPr>
        <w:t>Enqu</w:t>
      </w:r>
      <w:r>
        <w:rPr>
          <w:i/>
        </w:rPr>
        <w:t>ê</w:t>
      </w:r>
      <w:r>
        <w:rPr>
          <w:i/>
          <w:lang w:val="en-GB"/>
        </w:rPr>
        <w:t>te</w:t>
      </w:r>
      <w:proofErr w:type="spellEnd"/>
      <w:r>
        <w:rPr>
          <w:i/>
        </w:rPr>
        <w:t xml:space="preserve"> </w:t>
      </w:r>
      <w:proofErr w:type="spellStart"/>
      <w:r>
        <w:rPr>
          <w:i/>
          <w:lang w:val="en-GB"/>
        </w:rPr>
        <w:t>beroepsbevolking</w:t>
      </w:r>
      <w:proofErr w:type="spellEnd"/>
      <w:r>
        <w:rPr>
          <w:iCs/>
        </w:rPr>
        <w:t>).</w:t>
      </w:r>
    </w:p>
    <w:p w:rsidR="00000000" w:rsidRDefault="00000000">
      <w:pPr>
        <w:spacing w:line="240" w:lineRule="auto"/>
        <w:rPr>
          <w:iCs/>
        </w:rPr>
      </w:pPr>
    </w:p>
    <w:p w:rsidR="00000000" w:rsidRDefault="00000000">
      <w:pPr>
        <w:spacing w:line="240" w:lineRule="auto"/>
        <w:rPr>
          <w:iCs/>
        </w:rPr>
      </w:pPr>
      <w:r>
        <w:rPr>
          <w:b/>
          <w:vertAlign w:val="superscript"/>
        </w:rPr>
        <w:t>1</w:t>
      </w:r>
      <w:r>
        <w:rPr>
          <w:iCs/>
        </w:rPr>
        <w:tab/>
        <w:t xml:space="preserve">Четыре крупнейшие группы меньшинств:  турки, марокканцы, суринамцы и </w:t>
      </w:r>
      <w:proofErr w:type="spellStart"/>
      <w:r>
        <w:rPr>
          <w:iCs/>
        </w:rPr>
        <w:t>антильцы</w:t>
      </w:r>
      <w:proofErr w:type="spellEnd"/>
      <w:r>
        <w:rPr>
          <w:iCs/>
        </w:rPr>
        <w:t>/</w:t>
      </w:r>
      <w:proofErr w:type="spellStart"/>
      <w:r>
        <w:rPr>
          <w:iCs/>
        </w:rPr>
        <w:t>арубцы</w:t>
      </w:r>
      <w:proofErr w:type="spellEnd"/>
      <w:r>
        <w:rPr>
          <w:iCs/>
        </w:rPr>
        <w:t>.</w:t>
      </w:r>
    </w:p>
    <w:p w:rsidR="00000000" w:rsidRDefault="00000000">
      <w:pPr>
        <w:rPr>
          <w:iCs/>
        </w:rPr>
      </w:pPr>
    </w:p>
    <w:p w:rsidR="00000000" w:rsidRDefault="00000000">
      <w:pPr>
        <w:spacing w:line="240" w:lineRule="auto"/>
        <w:jc w:val="center"/>
        <w:rPr>
          <w:b/>
          <w:caps/>
        </w:rPr>
      </w:pPr>
      <w:r>
        <w:rPr>
          <w:b/>
        </w:rPr>
        <w:br w:type="page"/>
        <w:t>Таблица 4</w:t>
      </w:r>
    </w:p>
    <w:p w:rsidR="00000000" w:rsidRDefault="00000000">
      <w:pPr>
        <w:spacing w:line="240" w:lineRule="auto"/>
        <w:jc w:val="center"/>
        <w:rPr>
          <w:b/>
          <w:caps/>
        </w:rPr>
      </w:pPr>
    </w:p>
    <w:p w:rsidR="00000000" w:rsidRDefault="00000000">
      <w:pPr>
        <w:spacing w:line="240" w:lineRule="auto"/>
        <w:jc w:val="center"/>
        <w:rPr>
          <w:b/>
          <w:lang w:val="en-US"/>
        </w:rPr>
      </w:pPr>
      <w:r>
        <w:rPr>
          <w:b/>
          <w:caps/>
        </w:rPr>
        <w:t>Д</w:t>
      </w:r>
      <w:r>
        <w:rPr>
          <w:b/>
        </w:rPr>
        <w:t xml:space="preserve">инамика участия населения в трудовой деятельности в разбивке </w:t>
      </w:r>
    </w:p>
    <w:p w:rsidR="00000000" w:rsidRDefault="00000000">
      <w:pPr>
        <w:spacing w:line="240" w:lineRule="auto"/>
        <w:jc w:val="center"/>
        <w:rPr>
          <w:b/>
        </w:rPr>
      </w:pPr>
      <w:r>
        <w:rPr>
          <w:b/>
        </w:rPr>
        <w:t>по целевым группам</w:t>
      </w:r>
    </w:p>
    <w:p w:rsidR="00000000" w:rsidRDefault="00000000">
      <w:pPr>
        <w:spacing w:line="240" w:lineRule="auto"/>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1249"/>
        <w:gridCol w:w="1250"/>
        <w:gridCol w:w="1249"/>
        <w:gridCol w:w="1250"/>
      </w:tblGrid>
      <w:tr w:rsidR="00000000">
        <w:tblPrEx>
          <w:tblCellMar>
            <w:top w:w="0" w:type="dxa"/>
            <w:bottom w:w="0" w:type="dxa"/>
          </w:tblCellMar>
        </w:tblPrEx>
        <w:trPr>
          <w:jc w:val="center"/>
        </w:trPr>
        <w:tc>
          <w:tcPr>
            <w:tcW w:w="3369" w:type="dxa"/>
            <w:tcBorders>
              <w:bottom w:val="single" w:sz="4" w:space="0" w:color="auto"/>
            </w:tcBorders>
          </w:tcPr>
          <w:p w:rsidR="00000000" w:rsidRDefault="00000000">
            <w:pPr>
              <w:spacing w:line="216" w:lineRule="auto"/>
              <w:rPr>
                <w:bCs/>
                <w:caps/>
              </w:rPr>
            </w:pPr>
          </w:p>
        </w:tc>
        <w:tc>
          <w:tcPr>
            <w:tcW w:w="1249" w:type="dxa"/>
            <w:tcBorders>
              <w:bottom w:val="single" w:sz="4" w:space="0" w:color="auto"/>
            </w:tcBorders>
          </w:tcPr>
          <w:p w:rsidR="00000000" w:rsidRDefault="00000000">
            <w:pPr>
              <w:spacing w:line="216" w:lineRule="auto"/>
              <w:jc w:val="center"/>
            </w:pPr>
            <w:r>
              <w:t>1990 год</w:t>
            </w:r>
          </w:p>
          <w:p w:rsidR="00000000" w:rsidRDefault="00000000">
            <w:pPr>
              <w:spacing w:line="216" w:lineRule="auto"/>
              <w:jc w:val="center"/>
            </w:pPr>
            <w:r>
              <w:t>в %</w:t>
            </w:r>
          </w:p>
        </w:tc>
        <w:tc>
          <w:tcPr>
            <w:tcW w:w="1250" w:type="dxa"/>
            <w:tcBorders>
              <w:bottom w:val="single" w:sz="4" w:space="0" w:color="auto"/>
            </w:tcBorders>
          </w:tcPr>
          <w:p w:rsidR="00000000" w:rsidRDefault="00000000">
            <w:pPr>
              <w:spacing w:line="216" w:lineRule="auto"/>
              <w:jc w:val="center"/>
            </w:pPr>
            <w:r>
              <w:t xml:space="preserve">1995 год </w:t>
            </w:r>
          </w:p>
          <w:p w:rsidR="00000000" w:rsidRDefault="00000000">
            <w:pPr>
              <w:spacing w:line="216" w:lineRule="auto"/>
              <w:jc w:val="center"/>
            </w:pPr>
            <w:r>
              <w:t>в %</w:t>
            </w:r>
          </w:p>
        </w:tc>
        <w:tc>
          <w:tcPr>
            <w:tcW w:w="1249" w:type="dxa"/>
            <w:tcBorders>
              <w:bottom w:val="single" w:sz="4" w:space="0" w:color="auto"/>
            </w:tcBorders>
          </w:tcPr>
          <w:p w:rsidR="00000000" w:rsidRDefault="00000000">
            <w:pPr>
              <w:spacing w:line="216" w:lineRule="auto"/>
              <w:jc w:val="center"/>
            </w:pPr>
            <w:r>
              <w:t>2001 год</w:t>
            </w:r>
          </w:p>
          <w:p w:rsidR="00000000" w:rsidRDefault="00000000">
            <w:pPr>
              <w:spacing w:line="216" w:lineRule="auto"/>
              <w:jc w:val="center"/>
            </w:pPr>
            <w:r>
              <w:t>в %</w:t>
            </w:r>
          </w:p>
        </w:tc>
        <w:tc>
          <w:tcPr>
            <w:tcW w:w="1250" w:type="dxa"/>
            <w:tcBorders>
              <w:bottom w:val="single" w:sz="4" w:space="0" w:color="auto"/>
            </w:tcBorders>
          </w:tcPr>
          <w:p w:rsidR="00000000" w:rsidRDefault="00000000">
            <w:pPr>
              <w:spacing w:line="216" w:lineRule="auto"/>
              <w:jc w:val="center"/>
            </w:pPr>
            <w:r>
              <w:t>2002 год</w:t>
            </w:r>
          </w:p>
          <w:p w:rsidR="00000000" w:rsidRDefault="00000000">
            <w:pPr>
              <w:spacing w:line="216" w:lineRule="auto"/>
              <w:jc w:val="center"/>
            </w:pPr>
            <w:r>
              <w:t>в %</w:t>
            </w:r>
          </w:p>
        </w:tc>
      </w:tr>
      <w:tr w:rsidR="00000000">
        <w:tblPrEx>
          <w:tblCellMar>
            <w:top w:w="0" w:type="dxa"/>
            <w:bottom w:w="0" w:type="dxa"/>
          </w:tblCellMar>
        </w:tblPrEx>
        <w:trPr>
          <w:jc w:val="center"/>
        </w:trPr>
        <w:tc>
          <w:tcPr>
            <w:tcW w:w="3369" w:type="dxa"/>
            <w:tcBorders>
              <w:bottom w:val="nil"/>
            </w:tcBorders>
          </w:tcPr>
          <w:p w:rsidR="00000000" w:rsidRDefault="00000000">
            <w:pPr>
              <w:spacing w:line="240" w:lineRule="auto"/>
              <w:rPr>
                <w:bCs/>
              </w:rPr>
            </w:pPr>
            <w:r>
              <w:rPr>
                <w:bCs/>
                <w:caps/>
              </w:rPr>
              <w:t>в</w:t>
            </w:r>
            <w:r>
              <w:rPr>
                <w:bCs/>
              </w:rPr>
              <w:t>се население,</w:t>
            </w:r>
          </w:p>
          <w:p w:rsidR="00000000" w:rsidRDefault="00000000">
            <w:pPr>
              <w:spacing w:line="240" w:lineRule="auto"/>
              <w:rPr>
                <w:bCs/>
                <w:caps/>
              </w:rPr>
            </w:pPr>
            <w:r>
              <w:rPr>
                <w:bCs/>
              </w:rPr>
              <w:t>в том числе:</w:t>
            </w:r>
          </w:p>
        </w:tc>
        <w:tc>
          <w:tcPr>
            <w:tcW w:w="1249" w:type="dxa"/>
            <w:tcBorders>
              <w:bottom w:val="nil"/>
            </w:tcBorders>
          </w:tcPr>
          <w:p w:rsidR="00000000" w:rsidRDefault="00000000">
            <w:pPr>
              <w:spacing w:line="240" w:lineRule="auto"/>
              <w:jc w:val="center"/>
            </w:pPr>
            <w:r>
              <w:t>55,2</w:t>
            </w:r>
          </w:p>
        </w:tc>
        <w:tc>
          <w:tcPr>
            <w:tcW w:w="1250" w:type="dxa"/>
            <w:tcBorders>
              <w:bottom w:val="nil"/>
            </w:tcBorders>
          </w:tcPr>
          <w:p w:rsidR="00000000" w:rsidRDefault="00000000">
            <w:pPr>
              <w:spacing w:line="240" w:lineRule="auto"/>
              <w:jc w:val="center"/>
            </w:pPr>
            <w:r>
              <w:t>57,8</w:t>
            </w:r>
          </w:p>
        </w:tc>
        <w:tc>
          <w:tcPr>
            <w:tcW w:w="1249" w:type="dxa"/>
            <w:tcBorders>
              <w:bottom w:val="nil"/>
            </w:tcBorders>
          </w:tcPr>
          <w:p w:rsidR="00000000" w:rsidRDefault="00000000">
            <w:pPr>
              <w:spacing w:line="240" w:lineRule="auto"/>
              <w:jc w:val="center"/>
            </w:pPr>
            <w:r>
              <w:t>65,4</w:t>
            </w:r>
          </w:p>
        </w:tc>
        <w:tc>
          <w:tcPr>
            <w:tcW w:w="1250" w:type="dxa"/>
            <w:tcBorders>
              <w:bottom w:val="nil"/>
            </w:tcBorders>
          </w:tcPr>
          <w:p w:rsidR="00000000" w:rsidRDefault="00000000">
            <w:pPr>
              <w:spacing w:line="240" w:lineRule="auto"/>
              <w:jc w:val="center"/>
            </w:pPr>
            <w:r>
              <w:t>65,7</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женщины</w:t>
            </w:r>
          </w:p>
        </w:tc>
        <w:tc>
          <w:tcPr>
            <w:tcW w:w="1249" w:type="dxa"/>
            <w:tcBorders>
              <w:top w:val="nil"/>
              <w:bottom w:val="nil"/>
            </w:tcBorders>
          </w:tcPr>
          <w:p w:rsidR="00000000" w:rsidRDefault="00000000">
            <w:pPr>
              <w:spacing w:line="240" w:lineRule="auto"/>
              <w:jc w:val="center"/>
            </w:pPr>
            <w:r>
              <w:t>38,8</w:t>
            </w:r>
          </w:p>
        </w:tc>
        <w:tc>
          <w:tcPr>
            <w:tcW w:w="1250" w:type="dxa"/>
            <w:tcBorders>
              <w:top w:val="nil"/>
              <w:bottom w:val="nil"/>
            </w:tcBorders>
          </w:tcPr>
          <w:p w:rsidR="00000000" w:rsidRDefault="00000000">
            <w:pPr>
              <w:spacing w:line="240" w:lineRule="auto"/>
              <w:jc w:val="center"/>
            </w:pPr>
            <w:r>
              <w:t>43,5</w:t>
            </w:r>
          </w:p>
        </w:tc>
        <w:tc>
          <w:tcPr>
            <w:tcW w:w="1249" w:type="dxa"/>
            <w:tcBorders>
              <w:top w:val="nil"/>
              <w:bottom w:val="nil"/>
            </w:tcBorders>
          </w:tcPr>
          <w:p w:rsidR="00000000" w:rsidRDefault="00000000">
            <w:pPr>
              <w:spacing w:line="240" w:lineRule="auto"/>
              <w:jc w:val="center"/>
            </w:pPr>
            <w:r>
              <w:t>53,4</w:t>
            </w:r>
          </w:p>
        </w:tc>
        <w:tc>
          <w:tcPr>
            <w:tcW w:w="1250" w:type="dxa"/>
            <w:tcBorders>
              <w:top w:val="nil"/>
              <w:bottom w:val="nil"/>
            </w:tcBorders>
          </w:tcPr>
          <w:p w:rsidR="00000000" w:rsidRDefault="00000000">
            <w:pPr>
              <w:spacing w:line="240" w:lineRule="auto"/>
              <w:jc w:val="center"/>
            </w:pPr>
            <w:r>
              <w:t>54,4</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молодые лица (15-24 года)</w:t>
            </w:r>
          </w:p>
        </w:tc>
        <w:tc>
          <w:tcPr>
            <w:tcW w:w="1249" w:type="dxa"/>
            <w:tcBorders>
              <w:top w:val="nil"/>
              <w:bottom w:val="nil"/>
            </w:tcBorders>
          </w:tcPr>
          <w:p w:rsidR="00000000" w:rsidRDefault="00000000">
            <w:pPr>
              <w:spacing w:line="240" w:lineRule="auto"/>
              <w:jc w:val="center"/>
            </w:pPr>
            <w:r>
              <w:t>42,1</w:t>
            </w:r>
          </w:p>
        </w:tc>
        <w:tc>
          <w:tcPr>
            <w:tcW w:w="1250" w:type="dxa"/>
            <w:tcBorders>
              <w:top w:val="nil"/>
              <w:bottom w:val="nil"/>
            </w:tcBorders>
          </w:tcPr>
          <w:p w:rsidR="00000000" w:rsidRDefault="00000000">
            <w:pPr>
              <w:spacing w:line="240" w:lineRule="auto"/>
              <w:jc w:val="center"/>
            </w:pPr>
            <w:r>
              <w:t>38,6</w:t>
            </w:r>
          </w:p>
        </w:tc>
        <w:tc>
          <w:tcPr>
            <w:tcW w:w="1249" w:type="dxa"/>
            <w:tcBorders>
              <w:top w:val="nil"/>
              <w:bottom w:val="nil"/>
            </w:tcBorders>
          </w:tcPr>
          <w:p w:rsidR="00000000" w:rsidRDefault="00000000">
            <w:pPr>
              <w:spacing w:line="240" w:lineRule="auto"/>
              <w:jc w:val="center"/>
            </w:pPr>
            <w:r>
              <w:t>45,3</w:t>
            </w:r>
          </w:p>
        </w:tc>
        <w:tc>
          <w:tcPr>
            <w:tcW w:w="1250" w:type="dxa"/>
            <w:tcBorders>
              <w:top w:val="nil"/>
              <w:bottom w:val="nil"/>
            </w:tcBorders>
          </w:tcPr>
          <w:p w:rsidR="00000000" w:rsidRDefault="00000000">
            <w:pPr>
              <w:spacing w:line="240" w:lineRule="auto"/>
              <w:jc w:val="center"/>
            </w:pPr>
            <w:r>
              <w:t>44,3</w:t>
            </w:r>
          </w:p>
        </w:tc>
      </w:tr>
      <w:tr w:rsidR="00000000">
        <w:tblPrEx>
          <w:tblCellMar>
            <w:top w:w="0" w:type="dxa"/>
            <w:bottom w:w="0" w:type="dxa"/>
          </w:tblCellMar>
        </w:tblPrEx>
        <w:trPr>
          <w:jc w:val="center"/>
        </w:trPr>
        <w:tc>
          <w:tcPr>
            <w:tcW w:w="3369" w:type="dxa"/>
            <w:tcBorders>
              <w:top w:val="nil"/>
              <w:bottom w:val="nil"/>
            </w:tcBorders>
          </w:tcPr>
          <w:p w:rsidR="00000000" w:rsidRDefault="00000000">
            <w:pPr>
              <w:tabs>
                <w:tab w:val="clear" w:pos="567"/>
                <w:tab w:val="left" w:pos="392"/>
              </w:tabs>
              <w:spacing w:line="240" w:lineRule="auto"/>
              <w:rPr>
                <w:bCs/>
                <w:caps/>
              </w:rPr>
            </w:pPr>
            <w:r>
              <w:rPr>
                <w:bCs/>
                <w:caps/>
              </w:rPr>
              <w:tab/>
            </w:r>
            <w:r>
              <w:rPr>
                <w:bCs/>
              </w:rPr>
              <w:t>престарелые (55-64 года)</w:t>
            </w:r>
          </w:p>
        </w:tc>
        <w:tc>
          <w:tcPr>
            <w:tcW w:w="1249" w:type="dxa"/>
            <w:tcBorders>
              <w:top w:val="nil"/>
              <w:bottom w:val="nil"/>
            </w:tcBorders>
          </w:tcPr>
          <w:p w:rsidR="00000000" w:rsidRDefault="00000000">
            <w:pPr>
              <w:spacing w:line="240" w:lineRule="auto"/>
              <w:jc w:val="center"/>
            </w:pPr>
            <w:r>
              <w:t>35,4</w:t>
            </w:r>
          </w:p>
        </w:tc>
        <w:tc>
          <w:tcPr>
            <w:tcW w:w="1250" w:type="dxa"/>
            <w:tcBorders>
              <w:top w:val="nil"/>
              <w:bottom w:val="nil"/>
            </w:tcBorders>
          </w:tcPr>
          <w:p w:rsidR="00000000" w:rsidRDefault="00000000">
            <w:pPr>
              <w:spacing w:line="240" w:lineRule="auto"/>
              <w:jc w:val="center"/>
            </w:pPr>
            <w:r>
              <w:t>38,6</w:t>
            </w:r>
          </w:p>
        </w:tc>
        <w:tc>
          <w:tcPr>
            <w:tcW w:w="1249" w:type="dxa"/>
            <w:tcBorders>
              <w:top w:val="nil"/>
              <w:bottom w:val="nil"/>
            </w:tcBorders>
          </w:tcPr>
          <w:p w:rsidR="00000000" w:rsidRDefault="00000000">
            <w:pPr>
              <w:spacing w:line="240" w:lineRule="auto"/>
              <w:jc w:val="center"/>
            </w:pPr>
            <w:r>
              <w:t>48,7</w:t>
            </w:r>
          </w:p>
        </w:tc>
        <w:tc>
          <w:tcPr>
            <w:tcW w:w="1250" w:type="dxa"/>
            <w:tcBorders>
              <w:top w:val="nil"/>
              <w:bottom w:val="nil"/>
            </w:tcBorders>
          </w:tcPr>
          <w:p w:rsidR="00000000" w:rsidRDefault="00000000">
            <w:pPr>
              <w:spacing w:line="240" w:lineRule="auto"/>
              <w:jc w:val="center"/>
            </w:pPr>
            <w:r>
              <w:t>50,7</w:t>
            </w:r>
          </w:p>
        </w:tc>
      </w:tr>
      <w:tr w:rsidR="00000000">
        <w:tblPrEx>
          <w:tblCellMar>
            <w:top w:w="0" w:type="dxa"/>
            <w:bottom w:w="0" w:type="dxa"/>
          </w:tblCellMar>
        </w:tblPrEx>
        <w:trPr>
          <w:jc w:val="center"/>
        </w:trPr>
        <w:tc>
          <w:tcPr>
            <w:tcW w:w="3369" w:type="dxa"/>
            <w:tcBorders>
              <w:top w:val="nil"/>
            </w:tcBorders>
          </w:tcPr>
          <w:p w:rsidR="00000000" w:rsidRDefault="00000000">
            <w:pPr>
              <w:tabs>
                <w:tab w:val="clear" w:pos="567"/>
                <w:tab w:val="left" w:pos="392"/>
              </w:tabs>
              <w:spacing w:line="240" w:lineRule="auto"/>
              <w:rPr>
                <w:bCs/>
                <w:caps/>
                <w:lang w:val="en-GB"/>
              </w:rPr>
            </w:pPr>
            <w:r>
              <w:rPr>
                <w:bCs/>
                <w:caps/>
              </w:rPr>
              <w:tab/>
            </w:r>
            <w:r>
              <w:rPr>
                <w:bCs/>
              </w:rPr>
              <w:t>этнические</w:t>
            </w:r>
            <w:r>
              <w:rPr>
                <w:bCs/>
                <w:lang w:val="en-GB"/>
              </w:rPr>
              <w:t xml:space="preserve"> </w:t>
            </w:r>
            <w:r>
              <w:rPr>
                <w:bCs/>
              </w:rPr>
              <w:t>меньшинства</w:t>
            </w:r>
            <w:r>
              <w:rPr>
                <w:b/>
                <w:vertAlign w:val="superscript"/>
                <w:lang w:val="en-GB"/>
              </w:rPr>
              <w:t>1</w:t>
            </w:r>
          </w:p>
        </w:tc>
        <w:tc>
          <w:tcPr>
            <w:tcW w:w="1249" w:type="dxa"/>
            <w:tcBorders>
              <w:top w:val="nil"/>
            </w:tcBorders>
          </w:tcPr>
          <w:p w:rsidR="00000000" w:rsidRDefault="00000000">
            <w:pPr>
              <w:spacing w:line="240" w:lineRule="auto"/>
              <w:jc w:val="center"/>
            </w:pPr>
            <w:r>
              <w:t>35,7</w:t>
            </w:r>
          </w:p>
        </w:tc>
        <w:tc>
          <w:tcPr>
            <w:tcW w:w="1250" w:type="dxa"/>
            <w:tcBorders>
              <w:top w:val="nil"/>
            </w:tcBorders>
          </w:tcPr>
          <w:p w:rsidR="00000000" w:rsidRDefault="00000000">
            <w:pPr>
              <w:spacing w:line="240" w:lineRule="auto"/>
              <w:jc w:val="center"/>
            </w:pPr>
            <w:r>
              <w:t>37,7</w:t>
            </w:r>
          </w:p>
        </w:tc>
        <w:tc>
          <w:tcPr>
            <w:tcW w:w="1249" w:type="dxa"/>
            <w:tcBorders>
              <w:top w:val="nil"/>
            </w:tcBorders>
          </w:tcPr>
          <w:p w:rsidR="00000000" w:rsidRDefault="00000000">
            <w:pPr>
              <w:spacing w:line="240" w:lineRule="auto"/>
              <w:jc w:val="center"/>
            </w:pPr>
            <w:r>
              <w:t>51,7</w:t>
            </w:r>
          </w:p>
        </w:tc>
        <w:tc>
          <w:tcPr>
            <w:tcW w:w="1250" w:type="dxa"/>
            <w:tcBorders>
              <w:top w:val="nil"/>
            </w:tcBorders>
          </w:tcPr>
          <w:p w:rsidR="00000000" w:rsidRDefault="00000000">
            <w:pPr>
              <w:spacing w:line="240" w:lineRule="auto"/>
              <w:jc w:val="center"/>
            </w:pPr>
            <w:r>
              <w:t>52,5</w:t>
            </w:r>
          </w:p>
        </w:tc>
      </w:tr>
    </w:tbl>
    <w:p w:rsidR="00000000" w:rsidRDefault="00000000">
      <w:pPr>
        <w:rPr>
          <w:i/>
        </w:rPr>
      </w:pPr>
    </w:p>
    <w:p w:rsidR="00000000" w:rsidRDefault="00000000">
      <w:pPr>
        <w:spacing w:line="240" w:lineRule="auto"/>
        <w:rPr>
          <w:iCs/>
        </w:rPr>
      </w:pPr>
      <w:r>
        <w:rPr>
          <w:i/>
        </w:rPr>
        <w:tab/>
        <w:t xml:space="preserve">Источник:  </w:t>
      </w:r>
      <w:r>
        <w:rPr>
          <w:iCs/>
        </w:rPr>
        <w:t>Нидерландское статистическое управление (</w:t>
      </w:r>
      <w:proofErr w:type="spellStart"/>
      <w:r>
        <w:rPr>
          <w:iCs/>
        </w:rPr>
        <w:t>НСУ</w:t>
      </w:r>
      <w:proofErr w:type="spellEnd"/>
      <w:r>
        <w:rPr>
          <w:iCs/>
        </w:rPr>
        <w:t>), Обследование рабочей силы (</w:t>
      </w:r>
      <w:proofErr w:type="spellStart"/>
      <w:r>
        <w:rPr>
          <w:i/>
          <w:lang w:val="en-GB"/>
        </w:rPr>
        <w:t>Enqu</w:t>
      </w:r>
      <w:r>
        <w:rPr>
          <w:i/>
        </w:rPr>
        <w:t>ê</w:t>
      </w:r>
      <w:r>
        <w:rPr>
          <w:i/>
          <w:lang w:val="en-GB"/>
        </w:rPr>
        <w:t>te</w:t>
      </w:r>
      <w:proofErr w:type="spellEnd"/>
      <w:r>
        <w:rPr>
          <w:i/>
        </w:rPr>
        <w:t xml:space="preserve"> </w:t>
      </w:r>
      <w:proofErr w:type="spellStart"/>
      <w:r>
        <w:rPr>
          <w:i/>
          <w:lang w:val="en-GB"/>
        </w:rPr>
        <w:t>beroepsbevolking</w:t>
      </w:r>
      <w:proofErr w:type="spellEnd"/>
      <w:r>
        <w:rPr>
          <w:iCs/>
        </w:rPr>
        <w:t>).</w:t>
      </w:r>
    </w:p>
    <w:p w:rsidR="00000000" w:rsidRDefault="00000000">
      <w:pPr>
        <w:spacing w:line="240" w:lineRule="auto"/>
        <w:rPr>
          <w:iCs/>
        </w:rPr>
      </w:pPr>
    </w:p>
    <w:p w:rsidR="00000000" w:rsidRDefault="00000000">
      <w:pPr>
        <w:spacing w:line="240" w:lineRule="auto"/>
        <w:rPr>
          <w:iCs/>
        </w:rPr>
      </w:pPr>
      <w:r>
        <w:rPr>
          <w:b/>
          <w:vertAlign w:val="superscript"/>
        </w:rPr>
        <w:t>1</w:t>
      </w:r>
      <w:r>
        <w:rPr>
          <w:iCs/>
        </w:rPr>
        <w:tab/>
        <w:t xml:space="preserve">Четыре крупнейшие группы меньшинств:  турки, марокканцы, суринамцы и </w:t>
      </w:r>
      <w:proofErr w:type="spellStart"/>
      <w:r>
        <w:rPr>
          <w:iCs/>
        </w:rPr>
        <w:t>антильцы</w:t>
      </w:r>
      <w:proofErr w:type="spellEnd"/>
      <w:r>
        <w:rPr>
          <w:iCs/>
        </w:rPr>
        <w:t>/</w:t>
      </w:r>
      <w:proofErr w:type="spellStart"/>
      <w:r>
        <w:rPr>
          <w:iCs/>
        </w:rPr>
        <w:t>арубцы</w:t>
      </w:r>
      <w:proofErr w:type="spellEnd"/>
      <w:r>
        <w:rPr>
          <w:iCs/>
        </w:rPr>
        <w:t>.</w:t>
      </w:r>
    </w:p>
    <w:p w:rsidR="00000000" w:rsidRDefault="00000000"/>
    <w:p w:rsidR="00000000" w:rsidRDefault="00000000"/>
    <w:p w:rsidR="00000000" w:rsidRDefault="00000000">
      <w:r>
        <w:t>114.</w:t>
      </w:r>
      <w:r>
        <w:tab/>
        <w:t>Значительное оживление мировой торговли во второй половине 1990</w:t>
      </w:r>
      <w:r>
        <w:noBreakHyphen/>
        <w:t>х годов принесло колоссальную пользу нидерландскому рынку труда.  Повышение уровня образования населения, сдерживание роста заработной платы на протяжении 1980</w:t>
      </w:r>
      <w:r>
        <w:noBreakHyphen/>
        <w:t>х годов и большей части 1990</w:t>
      </w:r>
      <w:r>
        <w:noBreakHyphen/>
        <w:t>х годов, а также формирование более гибкого рынка труда привели к существенному сокращению безработицы и расширению занятости.  С 1997 года ставки заработной платы начали резко повышаться, что в основном было обусловлено нехваткой рабочей силы.</w:t>
      </w:r>
    </w:p>
    <w:p w:rsidR="00000000" w:rsidRDefault="00000000"/>
    <w:p w:rsidR="00000000" w:rsidRDefault="00000000">
      <w:r>
        <w:t>115.</w:t>
      </w:r>
      <w:r>
        <w:tab/>
        <w:t>Резкий рост заработной платы в Нидерландах в сочетании с ее сохранением на прежнем уровне за рубежом вызвал трудности в обеспечении конкурентоспособности голландской экономики, в результате чего нынешний экономический спад ощущается в Нидерландах более остро, чем в других странах Европейского союза.  Наблюдаемый в настоящее время спад относительно сильно ударил по некоторым уязвимым группам на рынке труда.  В частности, быстро растет безработица среди молодежи.  Для этого существует несколько причин:</w:t>
      </w:r>
    </w:p>
    <w:p w:rsidR="00000000" w:rsidRDefault="00000000"/>
    <w:p w:rsidR="00000000" w:rsidRDefault="00000000">
      <w:pPr>
        <w:ind w:left="1134" w:hanging="1134"/>
      </w:pPr>
      <w:r>
        <w:tab/>
      </w:r>
      <w:r>
        <w:noBreakHyphen/>
      </w:r>
      <w:r>
        <w:tab/>
        <w:t>многие молодые люди работают по временным трудовым договорам, которые в период экономических трудностей не возобновляются;</w:t>
      </w:r>
    </w:p>
    <w:p w:rsidR="00000000" w:rsidRDefault="00000000">
      <w:pPr>
        <w:ind w:left="1134" w:hanging="1134"/>
      </w:pPr>
    </w:p>
    <w:p w:rsidR="00000000" w:rsidRDefault="00000000">
      <w:pPr>
        <w:ind w:left="1134" w:hanging="1134"/>
      </w:pPr>
      <w:r>
        <w:tab/>
      </w:r>
      <w:r>
        <w:noBreakHyphen/>
      </w:r>
      <w:r>
        <w:tab/>
        <w:t>выпускники школ не могут быстро найти работу в условиях менее благоприятного рынка труда;</w:t>
      </w:r>
    </w:p>
    <w:p w:rsidR="00000000" w:rsidRDefault="00000000">
      <w:pPr>
        <w:ind w:left="1134" w:hanging="1134"/>
      </w:pPr>
    </w:p>
    <w:p w:rsidR="00000000" w:rsidRDefault="00000000">
      <w:pPr>
        <w:ind w:left="1134" w:hanging="1134"/>
      </w:pPr>
      <w:r>
        <w:tab/>
      </w:r>
      <w:r>
        <w:noBreakHyphen/>
      </w:r>
      <w:r>
        <w:tab/>
        <w:t>во время последнего экономического бума многие молодые люди рано оставляли школу, соблазняемые предложением на рынке труда высокой заработной платы.  Сейчас, когда экономическое положение ухудшилось, они, вследствие низкого уровня образования, стали уязвимой группой.</w:t>
      </w:r>
    </w:p>
    <w:p w:rsidR="00000000" w:rsidRDefault="00000000">
      <w:pPr>
        <w:ind w:left="1134" w:hanging="1134"/>
      </w:pPr>
    </w:p>
    <w:p w:rsidR="00000000" w:rsidRDefault="00000000">
      <w:r>
        <w:t>116.</w:t>
      </w:r>
      <w:r>
        <w:tab/>
        <w:t>С учетом роста безработицы среди молодежи в настоящее время разработан план действий, призванный остановить рост показателей безработицы среди молодых лиц.  Цель этого плана действий состоит в том, чтобы в течение шести месяцев каждый молодой безработный вернулся либо к труду, либо к учебе.  На местном уровне договоренности, касающиеся борьбы с безработицей среди молодежи, будут заключаться между работодателями, трудящимися, муниципалитетами, учебными заведениями и другими заинтересованными сторонами.</w:t>
      </w:r>
    </w:p>
    <w:p w:rsidR="00000000" w:rsidRDefault="00000000"/>
    <w:p w:rsidR="00000000" w:rsidRDefault="00000000">
      <w:r>
        <w:t>117.</w:t>
      </w:r>
      <w:r>
        <w:tab/>
        <w:t>Ухудшение положения на рынке труда также непропорционально сильно затронуло группы этнических меньшинств.  Это обусловлено различными причинами:</w:t>
      </w:r>
    </w:p>
    <w:p w:rsidR="00000000" w:rsidRDefault="00000000"/>
    <w:p w:rsidR="00000000" w:rsidRDefault="00000000">
      <w:pPr>
        <w:ind w:left="1134" w:hanging="1134"/>
      </w:pPr>
      <w:r>
        <w:tab/>
      </w:r>
      <w:r>
        <w:noBreakHyphen/>
      </w:r>
      <w:r>
        <w:tab/>
        <w:t>многие работники из числа этнических меньшинств трудятся по договорам, предусматривающим временную или неполную занятость.  В менее благоприятных условиях на рынке труда работодатели зачастую не возобновляют трудовые договоры такого рода;</w:t>
      </w:r>
    </w:p>
    <w:p w:rsidR="00000000" w:rsidRDefault="00000000">
      <w:pPr>
        <w:ind w:left="1134" w:hanging="1134"/>
      </w:pPr>
    </w:p>
    <w:p w:rsidR="00000000" w:rsidRDefault="00000000">
      <w:pPr>
        <w:ind w:left="1134" w:hanging="1134"/>
      </w:pPr>
      <w:r>
        <w:tab/>
        <w:t>-</w:t>
      </w:r>
      <w:r>
        <w:tab/>
        <w:t xml:space="preserve">спрос на </w:t>
      </w:r>
      <w:proofErr w:type="spellStart"/>
      <w:r>
        <w:t>низкоквалифицированный</w:t>
      </w:r>
      <w:proofErr w:type="spellEnd"/>
      <w:r>
        <w:t xml:space="preserve"> труд сокращается.  В Нидерландах многие трудящиеся из числа этнических меньшинств имеют низкую квалификацию, и поэтому безработица среди лиц, относимых к этой группе, растет сравнительно быстро;  </w:t>
      </w:r>
    </w:p>
    <w:p w:rsidR="00000000" w:rsidRDefault="00000000">
      <w:pPr>
        <w:ind w:left="1134" w:hanging="1134"/>
      </w:pPr>
    </w:p>
    <w:p w:rsidR="00000000" w:rsidRDefault="00000000">
      <w:pPr>
        <w:ind w:left="1134" w:hanging="1134"/>
      </w:pPr>
      <w:r>
        <w:tab/>
        <w:t>-</w:t>
      </w:r>
      <w:r>
        <w:tab/>
        <w:t>многим работодателям не позволяет принимать на работу трудящихся из числа этнических меньшинств незнание ими языка, становящееся препятствием для их интеграции на рынке труда.</w:t>
      </w:r>
    </w:p>
    <w:p w:rsidR="00000000" w:rsidRDefault="00000000">
      <w:pPr>
        <w:ind w:left="1134" w:hanging="1134"/>
      </w:pPr>
    </w:p>
    <w:p w:rsidR="00000000" w:rsidRDefault="00000000">
      <w:r>
        <w:t>118.</w:t>
      </w:r>
      <w:r>
        <w:tab/>
        <w:t>За последние десять лет существенно возросло трудовое участие женщин, хотя они все еще отстают в этом отношении от мужчин.  Нидерланды ставят перед собой цель к 2010 году повысить уровень занятости женщин до 65% (на оплачиваемой работе в течение 12 или больше часов в неделю) как по причинам, связанным с обеспечением равенства возможностей (экономической самообеспеченности женщин), так и по экономическим причинам (для компенсации воздействия старения населения).  Предполагается, что этот целевой показатель уровня занятости среди женщин будет достигнут только в том случае, если:</w:t>
      </w:r>
    </w:p>
    <w:p w:rsidR="00000000" w:rsidRDefault="00000000"/>
    <w:p w:rsidR="00000000" w:rsidRDefault="00000000">
      <w:pPr>
        <w:ind w:left="1134" w:hanging="1134"/>
      </w:pPr>
      <w:r>
        <w:tab/>
        <w:t>-</w:t>
      </w:r>
      <w:r>
        <w:tab/>
        <w:t>по</w:t>
      </w:r>
      <w:r>
        <w:noBreakHyphen/>
        <w:t>прежнему будет уделяться внимание расширению охвата и сферы применения существующих мероприятий, позволяющих сочетать труд с выполнением семейных обязанностей.  В частности, женщины с более высокой квалификацией стремятся продолжить трудовую деятельность после рождения детей, хотя и предпочитают трудиться неполный рабочий день;</w:t>
      </w:r>
    </w:p>
    <w:p w:rsidR="00000000" w:rsidRDefault="00000000">
      <w:pPr>
        <w:ind w:left="1134" w:hanging="1134"/>
      </w:pPr>
    </w:p>
    <w:p w:rsidR="00000000" w:rsidRDefault="00000000">
      <w:pPr>
        <w:ind w:left="1134" w:hanging="1134"/>
      </w:pPr>
      <w:r>
        <w:tab/>
        <w:t>-</w:t>
      </w:r>
      <w:r>
        <w:tab/>
        <w:t>в дополнение к этому будет сформулирована политика, направленная на поощрение к поиску работы ряда категорий женщин с низким коэффициентом участия на рынке труда и на обеспечение для них такой возможности, особенно ввиду нынешнего ухудшения экономического положения.</w:t>
      </w:r>
    </w:p>
    <w:p w:rsidR="00000000" w:rsidRDefault="00000000">
      <w:pPr>
        <w:ind w:left="1134" w:hanging="1134"/>
      </w:pPr>
    </w:p>
    <w:p w:rsidR="00000000" w:rsidRDefault="00000000">
      <w:r>
        <w:t>119.</w:t>
      </w:r>
      <w:r>
        <w:tab/>
        <w:t>В последнем случае внимание уделяется женщинам, стремящимся вернуться к трудовой деятельности и не получающим пособия, в частности низкоквалифицированным женщинам, зачастую принадлежащим к этническим меньшинствам.  В этой связи был разработан обновленный план действий по оказанию помощи женщинам в возращении к трудовой деятельности, в котором предусмотрены конкретные меры на период 2003</w:t>
      </w:r>
      <w:r>
        <w:noBreakHyphen/>
        <w:t>2005 годов.  В нем ставится задача к концу 2005 года вернуть к доходному труду 50 000 женщин.  Кроме того, в целях выявления методов и средств, которыми могут воспользоваться муниципалитеты для стимулирования социальной интеграции и участия таких женщин, был создан Комитет по участию женщин из числа этнических меньшинств (КУЖЭМ).</w:t>
      </w:r>
    </w:p>
    <w:p w:rsidR="00000000" w:rsidRDefault="00000000"/>
    <w:p w:rsidR="00000000" w:rsidRDefault="00000000">
      <w:pPr>
        <w:tabs>
          <w:tab w:val="left" w:pos="2835"/>
        </w:tabs>
        <w:jc w:val="center"/>
        <w:rPr>
          <w:b/>
          <w:bCs/>
        </w:rPr>
      </w:pPr>
      <w:r>
        <w:rPr>
          <w:b/>
          <w:bCs/>
        </w:rPr>
        <w:t>3.1.1.2</w:t>
      </w:r>
      <w:r>
        <w:rPr>
          <w:b/>
          <w:bCs/>
        </w:rPr>
        <w:tab/>
        <w:t>Наличие рабочих мест для лиц, ищущих работу</w:t>
      </w:r>
    </w:p>
    <w:p w:rsidR="00000000" w:rsidRDefault="00000000">
      <w:pPr>
        <w:jc w:val="center"/>
        <w:rPr>
          <w:b/>
          <w:bCs/>
        </w:rPr>
      </w:pPr>
    </w:p>
    <w:p w:rsidR="00000000" w:rsidRDefault="00000000">
      <w:r>
        <w:t>120.</w:t>
      </w:r>
      <w:r>
        <w:tab/>
        <w:t>В целях поощрения реинтеграции лиц, ищущих работу, осуществляется ряд следующих долгосрочных мер:</w:t>
      </w:r>
    </w:p>
    <w:p w:rsidR="00000000" w:rsidRDefault="00000000"/>
    <w:p w:rsidR="00000000" w:rsidRDefault="00000000">
      <w:pPr>
        <w:ind w:left="1134" w:hanging="1134"/>
      </w:pPr>
      <w:r>
        <w:tab/>
        <w:t>-</w:t>
      </w:r>
      <w:r>
        <w:tab/>
        <w:t>всеобъемлющая стратегия:  эта стратегия была разработана на европейском уровне для борьбы с безработицей в целом и безработицей среди молодежи и долгосрочной безработицей в частности.  Программа реинтеграции должна быть предложена каждому стремящемуся трудоустроиться лицу в течение 12 месяцев после его регистрации в качестве безработного, а в случае молодых лиц - в течение шести месяцев после такой регистрации.  Это делается для того, чтобы краткосрочная безработица не становилась длительной безработицей, создающей препятствия для процесса реинтеграции;</w:t>
      </w:r>
    </w:p>
    <w:p w:rsidR="00000000" w:rsidRDefault="00000000">
      <w:pPr>
        <w:ind w:left="1134" w:hanging="1134"/>
      </w:pPr>
    </w:p>
    <w:p w:rsidR="00000000" w:rsidRDefault="00000000">
      <w:pPr>
        <w:ind w:left="1134" w:hanging="1134"/>
      </w:pPr>
      <w:r>
        <w:tab/>
        <w:t>-</w:t>
      </w:r>
      <w:r>
        <w:tab/>
        <w:t>зачастую порочный круг бедности возникает из-за того, что труд не всегда является более привлекательным с финансовой точки зрения, чем получение пособий, что отнюдь не побуждает претендующих на пособия лиц к поиску работы.  В этой связи разработаны следующие меры:</w:t>
      </w:r>
    </w:p>
    <w:p w:rsidR="00000000" w:rsidRDefault="00000000">
      <w:pPr>
        <w:ind w:left="1134" w:hanging="1134"/>
      </w:pPr>
    </w:p>
    <w:p w:rsidR="00000000" w:rsidRDefault="00000000">
      <w:pPr>
        <w:ind w:left="1701" w:hanging="1701"/>
      </w:pPr>
      <w:r>
        <w:tab/>
      </w:r>
      <w:r>
        <w:tab/>
        <w:t>1.</w:t>
      </w:r>
      <w:r>
        <w:tab/>
        <w:t>Увеличение налоговой льготы для работающего лица:  для работников действует дополнительная налоговая скидка, с тем чтобы труд стал более привлекательным в финансовом смысле.</w:t>
      </w:r>
    </w:p>
    <w:p w:rsidR="00000000" w:rsidRDefault="00000000">
      <w:pPr>
        <w:ind w:left="1701" w:hanging="1701"/>
      </w:pPr>
    </w:p>
    <w:p w:rsidR="00000000" w:rsidRDefault="00000000">
      <w:pPr>
        <w:ind w:left="1701" w:hanging="1701"/>
      </w:pPr>
      <w:r>
        <w:tab/>
      </w:r>
      <w:r>
        <w:tab/>
        <w:t>2.</w:t>
      </w:r>
      <w:r>
        <w:tab/>
        <w:t>Свертывание мер муниципалитетов, направленных на поддержку дохода.</w:t>
      </w:r>
    </w:p>
    <w:p w:rsidR="00000000" w:rsidRDefault="00000000">
      <w:pPr>
        <w:ind w:left="1701" w:hanging="1701"/>
      </w:pPr>
    </w:p>
    <w:p w:rsidR="00000000" w:rsidRDefault="00000000">
      <w:pPr>
        <w:ind w:left="1701" w:hanging="1701"/>
      </w:pPr>
      <w:r>
        <w:tab/>
      </w:r>
      <w:r>
        <w:tab/>
        <w:t>3.</w:t>
      </w:r>
      <w:r>
        <w:tab/>
        <w:t>Реформирование системы субсидирования жилища:  пособие прогрессивно увеличивается по мере роста дохода;</w:t>
      </w:r>
    </w:p>
    <w:p w:rsidR="00000000" w:rsidRDefault="00000000">
      <w:pPr>
        <w:ind w:left="1701" w:hanging="1701"/>
      </w:pPr>
    </w:p>
    <w:p w:rsidR="00000000" w:rsidRDefault="00000000">
      <w:pPr>
        <w:ind w:left="1134" w:hanging="1134"/>
      </w:pPr>
      <w:r>
        <w:tab/>
        <w:t>-</w:t>
      </w:r>
      <w:r>
        <w:tab/>
        <w:t>неспособность сочетать труд с выполнением семейных обязанностей создает для женщин препятствия, особенно в плане их участия на рынке труда.  Предложение рабочей силы увеличивалось бы, если бы у людей существовали для этого более благоприятные возможности.  Поэтому в Нидерландах применяются различные меры для облегчения сочетания труда с семейными обязанностями:</w:t>
      </w:r>
    </w:p>
    <w:p w:rsidR="00000000" w:rsidRDefault="00000000">
      <w:pPr>
        <w:ind w:left="1134" w:hanging="1134"/>
      </w:pPr>
    </w:p>
    <w:p w:rsidR="00000000" w:rsidRDefault="00000000">
      <w:pPr>
        <w:ind w:left="1701" w:hanging="1701"/>
      </w:pPr>
      <w:r>
        <w:tab/>
      </w:r>
      <w:r>
        <w:tab/>
        <w:t>1.</w:t>
      </w:r>
      <w:r>
        <w:tab/>
        <w:t>Внедрение "пожизненной накопительной схемы":  с 2003 года трудящиеся могут создавать сбережения на случай неоплачиваемого отпуска.</w:t>
      </w:r>
    </w:p>
    <w:p w:rsidR="00000000" w:rsidRDefault="00000000">
      <w:pPr>
        <w:ind w:left="1701" w:hanging="1701"/>
      </w:pPr>
    </w:p>
    <w:p w:rsidR="00000000" w:rsidRDefault="00000000">
      <w:pPr>
        <w:ind w:left="1701" w:hanging="1701"/>
      </w:pPr>
      <w:r>
        <w:tab/>
      </w:r>
      <w:r>
        <w:tab/>
        <w:t>2.</w:t>
      </w:r>
      <w:r>
        <w:tab/>
        <w:t>Внесение поправок в Закон о труде и уходе:  этот Закон предусматривает для трудящихся право на оплачиваемый отпуск по уходу на срок не более десяти дней.</w:t>
      </w:r>
    </w:p>
    <w:p w:rsidR="00000000" w:rsidRDefault="00000000">
      <w:pPr>
        <w:ind w:left="1701" w:hanging="1701"/>
      </w:pPr>
    </w:p>
    <w:p w:rsidR="00000000" w:rsidRDefault="00000000">
      <w:pPr>
        <w:ind w:left="1701" w:hanging="1701"/>
      </w:pPr>
      <w:r>
        <w:tab/>
      </w:r>
      <w:r>
        <w:tab/>
        <w:t>3.</w:t>
      </w:r>
      <w:r>
        <w:tab/>
        <w:t>Принятие Закона об обеспечении основного ухода за детьми:  этот Закон предусматривает упорядочение различных финансовых схем и создание одной единообразной схемы, по которой родители могут получать финансовое пособие по уходу за детьми (субсидирование по потребностям);</w:t>
      </w:r>
    </w:p>
    <w:p w:rsidR="00000000" w:rsidRDefault="00000000">
      <w:pPr>
        <w:ind w:left="1701" w:hanging="1701"/>
      </w:pPr>
    </w:p>
    <w:p w:rsidR="00000000" w:rsidRDefault="00000000">
      <w:pPr>
        <w:ind w:left="1134" w:hanging="1134"/>
      </w:pPr>
      <w:r>
        <w:tab/>
        <w:t>-</w:t>
      </w:r>
      <w:r>
        <w:tab/>
        <w:t xml:space="preserve">эффективная рыночная реинтеграция:  политика реинтеграции предназначена для лиц, которые не могут самостоятельно найти работу.  В этой связи такой политикой охватываются:  </w:t>
      </w:r>
    </w:p>
    <w:p w:rsidR="00000000" w:rsidRDefault="00000000">
      <w:pPr>
        <w:ind w:left="1134" w:hanging="1134"/>
      </w:pPr>
    </w:p>
    <w:p w:rsidR="00000000" w:rsidRDefault="00000000">
      <w:pPr>
        <w:ind w:left="1701" w:hanging="1701"/>
      </w:pPr>
      <w:r>
        <w:tab/>
      </w:r>
      <w:r>
        <w:tab/>
        <w:t>1.</w:t>
      </w:r>
      <w:r>
        <w:tab/>
        <w:t>Лица, претендующие на получение пособий, которые в принципе могут найти работу на основном рынке труда при помощи активных усилий по трудоустройству и соответствующих мер.</w:t>
      </w:r>
    </w:p>
    <w:p w:rsidR="00000000" w:rsidRDefault="00000000">
      <w:pPr>
        <w:ind w:left="1701" w:hanging="1701"/>
      </w:pPr>
    </w:p>
    <w:p w:rsidR="00000000" w:rsidRDefault="00000000">
      <w:pPr>
        <w:ind w:left="1701" w:hanging="1701"/>
      </w:pPr>
      <w:r>
        <w:tab/>
      </w:r>
      <w:r>
        <w:tab/>
        <w:t>2.</w:t>
      </w:r>
      <w:r>
        <w:tab/>
        <w:t>Претендующие на пособия лица, квалификация которых не соответствует спросу на рабочую силу или у которых имеются проблемы в плане трудоспособности.  В частности, для них предусматривается профессиональная подготовка, субсидирование заработной платы и производственная стажировка.</w:t>
      </w:r>
    </w:p>
    <w:p w:rsidR="00000000" w:rsidRDefault="00000000">
      <w:pPr>
        <w:ind w:left="1701" w:hanging="1701"/>
      </w:pPr>
    </w:p>
    <w:p w:rsidR="00000000" w:rsidRDefault="00000000">
      <w:r>
        <w:t xml:space="preserve">Для первой категории существует все еще много возможностей в плане трудоустройства, поскольку имеется 100 000 вакантных рабочих мест.  Более активные усилия по трудоустройству лиц из этой группы безработных предупреждают длительную безработицу.  Такой профилактический подход является наиболее затратоэффективным.  Более активное заполнение существующих вакантных мест должно быстро приносить свои плоды.  В этом деле важно применять такие более эффективные инструменты процесса реинтеграции, как первоначальное собеседование с бенефициаром и предоставление рекомендации по реинтеграции.  Это позволило бы экономить время ЦТД в пользу мер по трудоустройству.  Что касается категории лиц, для которых активных усилий по трудоустройству недостаточно, то в бюджете предусмотрены средства на их реинтеграцию.  Муниципалитетам и Органу по осуществлению программ страхования трудящихся (ОСТ) предоставляются широкие возможности пользоваться бюджетными ассигнованиями на цели реинтеграции по их усмотрению, с тем чтобы они могли находить решения с учетом каждого отдельного случая (т.е. приобретать программы реинтеграции, конкретно отвечающие индивидуальным потребностям клиентов).  В этом случае устраняется различие между разными инструментами, и каждый индивидуальный бюджет включается в один бюджет реинтеграции.  Муниципалитеты могут использовать этот бюджет для приобретения программ реинтеграции на частном реинтеграционном рынке.  Агентства по реинтеграции могут расходовать средства, в частности, на профессиональную подготовку, субсидирование заработной платы и трудоустройство и получают выплаты за каждое трудоустроенное лицо (финансирование по достигнутым результатам).  Осуществление таких широких направлений политики в этой области будет продолжено в ближайшие годы. </w:t>
      </w:r>
    </w:p>
    <w:p w:rsidR="00000000" w:rsidRDefault="00000000"/>
    <w:p w:rsidR="00000000" w:rsidRDefault="00000000">
      <w:pPr>
        <w:jc w:val="center"/>
        <w:rPr>
          <w:b/>
          <w:bCs/>
        </w:rPr>
      </w:pPr>
      <w:r>
        <w:rPr>
          <w:b/>
          <w:bCs/>
        </w:rPr>
        <w:t>3.1.1.3</w:t>
      </w:r>
      <w:r>
        <w:rPr>
          <w:b/>
          <w:bCs/>
        </w:rPr>
        <w:tab/>
        <w:t>Производительность труда</w:t>
      </w:r>
    </w:p>
    <w:p w:rsidR="00000000" w:rsidRDefault="00000000">
      <w:pPr>
        <w:jc w:val="center"/>
        <w:rPr>
          <w:b/>
          <w:bCs/>
        </w:rPr>
      </w:pPr>
    </w:p>
    <w:p w:rsidR="00000000" w:rsidRDefault="00000000">
      <w:r>
        <w:t>121.</w:t>
      </w:r>
      <w:r>
        <w:tab/>
        <w:t>Для роста производительности труда важное значение имеет профессиональная подготовка.  Ответственность за профессиональную подготовку работников возлагается в первую очередь на социальных партнеров, а основные формы ее организации и финансирования предусматриваются коллективными трудовыми договорами.  Голландское правительство поощряет профессиональную подготовку трудящихся, в частности путем применения налоговых льгот и использования ресурсов Европейского социального фонда (</w:t>
      </w:r>
      <w:proofErr w:type="spellStart"/>
      <w:r>
        <w:t>ЕСФ</w:t>
      </w:r>
      <w:proofErr w:type="spellEnd"/>
      <w:r>
        <w:t xml:space="preserve">).  </w:t>
      </w:r>
    </w:p>
    <w:p w:rsidR="00000000" w:rsidRDefault="00000000"/>
    <w:p w:rsidR="00000000" w:rsidRDefault="00000000">
      <w:r>
        <w:t>122.</w:t>
      </w:r>
      <w:r>
        <w:tab/>
        <w:t>Одним из примеров таких льгот является пособие на профессиональную подготовку, когда определенная доля расходов на профессиональную подготовку может вычитаться из налогооблагаемых доходов (для работодателей </w:t>
      </w:r>
      <w:r>
        <w:noBreakHyphen/>
        <w:t xml:space="preserve"> в доходном секторе) или из налогов на заработную плату и взносов по линии социального страхования (для работодателей </w:t>
      </w:r>
      <w:r>
        <w:noBreakHyphen/>
        <w:t xml:space="preserve"> в недоходном секторе).  Еще одним примером является налоговая скидка на цели образования, когда работодатель может вычитать определенную сумму в связи с прохождением работниками профессиональной подготовки на комплексных курсах, сочетающих обучение с работой, или на дневных курсах с отрывом от производства (</w:t>
      </w:r>
      <w:proofErr w:type="spellStart"/>
      <w:r>
        <w:rPr>
          <w:lang w:val="en-US"/>
        </w:rPr>
        <w:t>Beroepsbegeleidende</w:t>
      </w:r>
      <w:proofErr w:type="spellEnd"/>
      <w:r>
        <w:t xml:space="preserve"> </w:t>
      </w:r>
      <w:proofErr w:type="spellStart"/>
      <w:r>
        <w:rPr>
          <w:lang w:val="en-US"/>
        </w:rPr>
        <w:t>leerweg</w:t>
      </w:r>
      <w:proofErr w:type="spellEnd"/>
      <w:r>
        <w:t xml:space="preserve">, </w:t>
      </w:r>
      <w:r>
        <w:rPr>
          <w:lang w:val="en-US"/>
        </w:rPr>
        <w:t>BBL</w:t>
      </w:r>
      <w:r>
        <w:t xml:space="preserve">).  Начиная с 2002 года действие этой скидки распространяется также на бывших безработных в возрасте 23 лет или старше при приобретении ими базовой квалификации.  В 2004 году такое ограничение по возрасту будет отменено.  </w:t>
      </w:r>
    </w:p>
    <w:p w:rsidR="00000000" w:rsidRDefault="00000000"/>
    <w:p w:rsidR="00000000" w:rsidRDefault="00000000">
      <w:r>
        <w:t>123.</w:t>
      </w:r>
      <w:r>
        <w:tab/>
        <w:t>Расходы на профессиональную подготовку подлежат вычету из налогообложения индивидуальных работников.  Закон о временном прекращении трудовой деятельности (финансирование) предусматривает оказание финансовой помощи работникам, берущим отпуск для прохождения обучения или ухода за членами семьи.  В 1994</w:t>
      </w:r>
      <w:r>
        <w:noBreakHyphen/>
        <w:t xml:space="preserve">1999 годах в Нидерландах для профессиональной подготовки трудящихся использовались процедуры в соответствии с Целью 4 </w:t>
      </w:r>
      <w:proofErr w:type="spellStart"/>
      <w:r>
        <w:t>ЕСФ</w:t>
      </w:r>
      <w:proofErr w:type="spellEnd"/>
      <w:r>
        <w:t>, что позволяло им сохранять за собой рабочее место и адаптироваться к изменениям на производстве.  За этот период профессиональную подготовку получили свыше 100 000 трудящихся.  В 2000</w:t>
      </w:r>
      <w:r>
        <w:noBreakHyphen/>
        <w:t xml:space="preserve">2006 годах Нидерланды смогут применять для профессиональной подготовки трудящихся </w:t>
      </w:r>
      <w:proofErr w:type="spellStart"/>
      <w:r>
        <w:t>грант</w:t>
      </w:r>
      <w:proofErr w:type="spellEnd"/>
      <w:r>
        <w:t xml:space="preserve"> </w:t>
      </w:r>
      <w:proofErr w:type="spellStart"/>
      <w:r>
        <w:t>ЕСФ</w:t>
      </w:r>
      <w:proofErr w:type="spellEnd"/>
      <w:r>
        <w:t xml:space="preserve"> в соответствии с его Целью 3.  Это предусматривает профессиональную подготовку трудящихся с целью оказания им помощи в приобретении базовой квалификации, профессиональную подготовку лиц, получивших среднее профессионально-техническое образование (</w:t>
      </w:r>
      <w:proofErr w:type="spellStart"/>
      <w:r>
        <w:t>СПО</w:t>
      </w:r>
      <w:proofErr w:type="spellEnd"/>
      <w:r>
        <w:t xml:space="preserve">), для оказания им помощи в переходе на более высокую должность и тем самым для высвобождения их рабочих мест для лиц с более низкой квалификацией, а также профессиональную подготовку трудящихся, позволяющую им приобретать трудовые навыки в другом секторе.  В этой связи ставится задача расширить профессиональные возможности трудящихся.  </w:t>
      </w:r>
    </w:p>
    <w:p w:rsidR="00000000" w:rsidRDefault="00000000"/>
    <w:p w:rsidR="00000000" w:rsidRDefault="00000000">
      <w:pPr>
        <w:keepNext/>
        <w:jc w:val="center"/>
        <w:rPr>
          <w:b/>
          <w:bCs/>
        </w:rPr>
      </w:pPr>
      <w:r>
        <w:rPr>
          <w:b/>
          <w:bCs/>
        </w:rPr>
        <w:t>3.1.1.4</w:t>
      </w:r>
      <w:r>
        <w:rPr>
          <w:b/>
          <w:bCs/>
        </w:rPr>
        <w:tab/>
        <w:t>Свободный выбор труда</w:t>
      </w:r>
    </w:p>
    <w:p w:rsidR="00000000" w:rsidRDefault="00000000">
      <w:pPr>
        <w:keepNext/>
        <w:jc w:val="center"/>
        <w:rPr>
          <w:b/>
          <w:bCs/>
        </w:rPr>
      </w:pPr>
    </w:p>
    <w:p w:rsidR="00000000" w:rsidRDefault="00000000">
      <w:pPr>
        <w:keepNext/>
      </w:pPr>
      <w:r>
        <w:t>124.</w:t>
      </w:r>
      <w:r>
        <w:tab/>
        <w:t xml:space="preserve">Пункт 3 статьи 19 Конституции Нидерландов предусматривает право каждого гражданина Нидерландов на свободный выбор места работы при условии соблюдения ограничений, установленных Актом парламента или иными актами, изданными на его основе.  Статья 7:653 Гражданского кодекса Нидерландов содержит нормы, касающиеся положения о неконкуренции, которое определяется в рамках соглашения между работодателем и работником, ограничивающего возможности последнего в поисках другой работы по завершении трудового договора.  Как правило, в положении о неконкуренции содержится описание функций, которые не может выполнять работник после прекращения найма, а также определяется географическая сфера действия данного положения, нарушение которого зачастую влечет за собой штраф.  </w:t>
      </w:r>
    </w:p>
    <w:p w:rsidR="00000000" w:rsidRDefault="00000000"/>
    <w:p w:rsidR="00000000" w:rsidRDefault="00000000">
      <w:r>
        <w:t>125.</w:t>
      </w:r>
      <w:r>
        <w:tab/>
        <w:t xml:space="preserve">Статья 7:653 Гражданского кодекса обеспечивает защиту интересов работника, сохраняя при этом возможность работодателя выполнять положение о неконкуренции.  Защита интересов работника может, в частности, обеспечиваться благодаря тому, что положение о неконкуренции действует только при его согласовании между работодателем и работником и письменном закреплении в трудовом договоре.  Помимо этого, положение о неконкуренции не действует, если к моменту его согласования работник не достиг возраста совершеннолетия.  По заявлению работника суд может принимать имеющее обратную силу решение о полной или частичной отмене положения о неконкуренции на тех основаниях, что оно несправедливо ущемляет интересы работника.  Работник может также претендовать на то, чтобы работодатель компенсировал ему утраченный доход за время действия положения о неконкуренции, ограничивающего выполнение им трудовых обязанностей.  Если данное положение в значительной мере препятствует работнику в переходе на другую работу, суд может принять решение о предоставлении соответствующей компенсации.  </w:t>
      </w:r>
    </w:p>
    <w:p w:rsidR="00000000" w:rsidRDefault="00000000"/>
    <w:p w:rsidR="00000000" w:rsidRDefault="00000000">
      <w:r>
        <w:t>126.</w:t>
      </w:r>
      <w:r>
        <w:tab/>
        <w:t>В своем законопроекте об изменении норм, регламентирующих положение о неконкуренции, который все еще находится на рассмотрении парламента, правительство предлагает ряд поправок к действующим нормативным актам с целью обеспечения более полной защиты трудящихся.  По новому закону положение о неконкуренции будет действовать не более одного года, а в случае вступления данного положения в действие по завершении трудового договора работодатель будет обязан выплатить работнику справедливую компенсацию за установленный срок ограничения.  Помимо этого, сумма компенсации, подлежащей выплате работодателем, должна устанавливаться в конкретном размере или в фиксированном проценте от заработной платы работника, а в положении о неконкуренции необходимо указывать географический район и трудовые обязанности, к которым оно применяется.</w:t>
      </w:r>
    </w:p>
    <w:p w:rsidR="00000000" w:rsidRDefault="00000000"/>
    <w:p w:rsidR="00000000" w:rsidRDefault="00000000">
      <w:pPr>
        <w:jc w:val="center"/>
        <w:rPr>
          <w:b/>
          <w:bCs/>
        </w:rPr>
      </w:pPr>
      <w:r>
        <w:rPr>
          <w:b/>
          <w:bCs/>
        </w:rPr>
        <w:t>3.1.1.5</w:t>
      </w:r>
      <w:r>
        <w:rPr>
          <w:b/>
          <w:bCs/>
        </w:rPr>
        <w:tab/>
        <w:t>Профессиональная ориентация и профессионально-</w:t>
      </w:r>
    </w:p>
    <w:p w:rsidR="00000000" w:rsidRDefault="00000000">
      <w:pPr>
        <w:jc w:val="center"/>
        <w:rPr>
          <w:b/>
          <w:bCs/>
        </w:rPr>
      </w:pPr>
      <w:r>
        <w:rPr>
          <w:b/>
          <w:bCs/>
        </w:rPr>
        <w:t>техническая подготовка</w:t>
      </w:r>
    </w:p>
    <w:p w:rsidR="00000000" w:rsidRDefault="00000000">
      <w:pPr>
        <w:jc w:val="center"/>
        <w:rPr>
          <w:b/>
          <w:bCs/>
        </w:rPr>
      </w:pPr>
    </w:p>
    <w:p w:rsidR="00000000" w:rsidRDefault="00000000">
      <w:r>
        <w:t>127.</w:t>
      </w:r>
      <w:r>
        <w:tab/>
        <w:t xml:space="preserve">Как указывалось в пунктах 121-123 раздела 3.1.1.3, обязанность осуществлять профессиональную подготовку трудящихся возлагается, главным образом, на социальных партнеров.  Правительство поддерживает такую деятельность через различные налоговые льготы и </w:t>
      </w:r>
      <w:proofErr w:type="spellStart"/>
      <w:r>
        <w:t>ЕСФ</w:t>
      </w:r>
      <w:proofErr w:type="spellEnd"/>
      <w:r>
        <w:t>.</w:t>
      </w:r>
    </w:p>
    <w:p w:rsidR="00000000" w:rsidRDefault="00000000"/>
    <w:p w:rsidR="00000000" w:rsidRDefault="00000000">
      <w:r>
        <w:t>128.</w:t>
      </w:r>
      <w:r>
        <w:tab/>
        <w:t>Нидерландское статистическое управление (</w:t>
      </w:r>
      <w:proofErr w:type="spellStart"/>
      <w:r>
        <w:t>НСУ</w:t>
      </w:r>
      <w:proofErr w:type="spellEnd"/>
      <w:r>
        <w:t>) опубликовало сведения за 1999 год, касающиеся профессиональной подготовки в компаниях (</w:t>
      </w:r>
      <w:proofErr w:type="spellStart"/>
      <w:r>
        <w:rPr>
          <w:lang w:val="en-US"/>
        </w:rPr>
        <w:t>Statistiek</w:t>
      </w:r>
      <w:proofErr w:type="spellEnd"/>
      <w:r>
        <w:t xml:space="preserve"> </w:t>
      </w:r>
      <w:proofErr w:type="spellStart"/>
      <w:r>
        <w:rPr>
          <w:lang w:val="en-US"/>
        </w:rPr>
        <w:t>Bedrijfsopleidingen</w:t>
      </w:r>
      <w:proofErr w:type="spellEnd"/>
      <w:r>
        <w:t xml:space="preserve">).  Согласно этим статистическим данным, в 1999 году профессиональной подготовкой в компаниях были охвачены четыре из каждых десяти трудящихся, или примерно 500 000 человек.  В этом же году компании затратили 3 млрд. </w:t>
      </w:r>
      <w:proofErr w:type="spellStart"/>
      <w:r>
        <w:t>евро</w:t>
      </w:r>
      <w:proofErr w:type="spellEnd"/>
      <w:r>
        <w:t xml:space="preserve"> на цели такой профессиональной подготовки, что вдвое превышает соответствующие расходы за 1993 год.  Наиболее популярными среди трудящихся являются компьютерные курсы, за которыми по степени привлекательности следуют курсы в области технологии, личных трудовых навыков, по экологическим вопросам и вопросам, связанным с техникой безопасности и гигиеной труда.  </w:t>
      </w:r>
    </w:p>
    <w:p w:rsidR="00000000" w:rsidRDefault="00000000"/>
    <w:p w:rsidR="00000000" w:rsidRDefault="00000000">
      <w:r>
        <w:t>129.</w:t>
      </w:r>
      <w:r>
        <w:tab/>
        <w:t xml:space="preserve">Курсы профессиональной подготовки в компаниях традиционно посещает определенное количество лиц из групп риска:  </w:t>
      </w:r>
      <w:proofErr w:type="spellStart"/>
      <w:r>
        <w:t>низкоквалифицированные</w:t>
      </w:r>
      <w:proofErr w:type="spellEnd"/>
      <w:r>
        <w:t xml:space="preserve"> трудящиеся, женщины, представители этнических меньшинств и пожилые работники, а также лица, работающие в небольших компаниях.  Примечательно, что при сопоставлении участия таких групп в профессиональной подготовке в 1993 и 1999 годах обнаруживается определенное отставание в сфере охвата курсами.</w:t>
      </w:r>
    </w:p>
    <w:p w:rsidR="00000000" w:rsidRDefault="00000000"/>
    <w:p w:rsidR="00000000" w:rsidRDefault="00000000">
      <w:r>
        <w:t>130.</w:t>
      </w:r>
      <w:r>
        <w:tab/>
        <w:t>Правительство несет главную ответственность за финансирование профессиональной подготовки неработающих кандидатов на трудоустройство.  Оно поручило организацию такой профессиональной подготовки посредникам в лице ОСТ и муниципалитетов.  Профессиональная подготовка этой группы трудящихся обеспечивается с помощью ряда инструментов.</w:t>
      </w:r>
    </w:p>
    <w:p w:rsidR="00000000" w:rsidRDefault="00000000"/>
    <w:p w:rsidR="00000000" w:rsidRDefault="00000000">
      <w:r>
        <w:t>131.</w:t>
      </w:r>
      <w:r>
        <w:tab/>
        <w:t>Закон об обеспечении занятости лиц, ищущих работу (</w:t>
      </w:r>
      <w:proofErr w:type="spellStart"/>
      <w:r>
        <w:t>ЗОЗ</w:t>
      </w:r>
      <w:proofErr w:type="spellEnd"/>
      <w:r>
        <w:t xml:space="preserve">), который был принят в 1998 году и осуществляется муниципалитетами, предусматривает комплексное обслуживание молодежи в возрасте до 23 лет.  Этот Закон дает муниципалитетам возможность обеспечивать профессиональную подготовку молодых лиц, которые не могут найти работу собственными силами, и/или предусматривает субсидирование производственной стажировки у обычных работодателей.  Если лицо, получившее профессиональную подготовку и/или прошедшее производственную стажировку, не трудоустраивается в течение 12 месяцев, ему предлагают конкретную работу.  </w:t>
      </w:r>
    </w:p>
    <w:p w:rsidR="00000000" w:rsidRDefault="00000000"/>
    <w:p w:rsidR="00000000" w:rsidRDefault="00000000">
      <w:r>
        <w:t>132.</w:t>
      </w:r>
      <w:r>
        <w:tab/>
        <w:t>Начиная с 1995 года правительство в интересах длительно безработных лиц выделяет средства на создание в государственном и недоходном секторах дополнительных рабочих мест, которые с 1 января 2000 года определяются как перспективные рабочие места, предусматривающие повышение по службе (</w:t>
      </w:r>
      <w:r>
        <w:rPr>
          <w:i/>
          <w:iCs/>
          <w:lang w:val="en-US"/>
        </w:rPr>
        <w:t>ID</w:t>
      </w:r>
      <w:r>
        <w:rPr>
          <w:i/>
          <w:iCs/>
        </w:rPr>
        <w:t>-</w:t>
      </w:r>
      <w:proofErr w:type="spellStart"/>
      <w:r>
        <w:rPr>
          <w:i/>
          <w:iCs/>
          <w:lang w:val="en-US"/>
        </w:rPr>
        <w:t>banen</w:t>
      </w:r>
      <w:proofErr w:type="spellEnd"/>
      <w:r>
        <w:t>).  Средства также выделяются на связанные с этим дополнительные расходы, в частности касающиеся профессиональной подготовки.  С тем чтобы трудящиеся могли более успешно сочетать труд с обучением, им предоставляются более широкие возможности в плане охвата профессиональной подготовкой на перспективных должностях и в рамках Программы обеспечения занятости желающих работать лиц.  Что касается этой Программы, то в настоящее время можно, в частности, сочетать труд с комплексными курсами или занятиями с отрывом от производства (</w:t>
      </w:r>
      <w:proofErr w:type="spellStart"/>
      <w:r>
        <w:t>ККЗ</w:t>
      </w:r>
      <w:proofErr w:type="spellEnd"/>
      <w:r>
        <w:t xml:space="preserve">).  </w:t>
      </w:r>
    </w:p>
    <w:p w:rsidR="00000000" w:rsidRDefault="00000000"/>
    <w:p w:rsidR="00000000" w:rsidRDefault="00000000">
      <w:r>
        <w:t>133.</w:t>
      </w:r>
      <w:r>
        <w:tab/>
        <w:t xml:space="preserve">В формальной системе образования учащиеся, получив начальное образование, занимаются либо по общеобразовательной программе, либо по программе профессионально-технической подготовки, которая охватывает подготовительное среднее профессиональное образование (ПСПО), среднее профессиональное образование (СПО) и высшее техническое образование (ВТО).  На каждом уровне преподается полный курс профессиональной подготовки (экономика, машиностроение и технология, обслуживание, социальные услуги, здравоохранение и сельское хозяйство).  Учащиеся могут начать обучение по программе </w:t>
      </w:r>
      <w:proofErr w:type="spellStart"/>
      <w:r>
        <w:t>ПСПО</w:t>
      </w:r>
      <w:proofErr w:type="spellEnd"/>
      <w:r>
        <w:t xml:space="preserve"> с 12 лет.</w:t>
      </w:r>
    </w:p>
    <w:p w:rsidR="00000000" w:rsidRDefault="00000000"/>
    <w:p w:rsidR="00000000" w:rsidRDefault="00000000">
      <w:r>
        <w:t>134.</w:t>
      </w:r>
      <w:r>
        <w:tab/>
        <w:t>В порядке поощрения обучения на протяжении всей жизни в Нидерландах принимаются меры для признания ранее полученной подготовки (</w:t>
      </w:r>
      <w:proofErr w:type="spellStart"/>
      <w:r>
        <w:t>ППО</w:t>
      </w:r>
      <w:proofErr w:type="spellEnd"/>
      <w:r>
        <w:t>, на голландском языке </w:t>
      </w:r>
      <w:r>
        <w:noBreakHyphen/>
        <w:t xml:space="preserve"> </w:t>
      </w:r>
      <w:proofErr w:type="spellStart"/>
      <w:r>
        <w:rPr>
          <w:lang w:val="en-US"/>
        </w:rPr>
        <w:t>EVC</w:t>
      </w:r>
      <w:proofErr w:type="spellEnd"/>
      <w:r>
        <w:t xml:space="preserve">).  </w:t>
      </w:r>
      <w:proofErr w:type="spellStart"/>
      <w:r>
        <w:t>ППО</w:t>
      </w:r>
      <w:proofErr w:type="spellEnd"/>
      <w:r>
        <w:t xml:space="preserve"> определяет квалификацию, полученную кандидатом (например, на рабочем месте или в системе образования), в частности путем изучения личного дела или проверки квалификации соответствующего лица.  Имеющаяся квалификация сопоставляется с нормативными требованиями (в частности, путем определения уровня квалификации для профессионально-технического образования).  При необходимости признание квалификации может закрепляться посредством выдачи нидерландского диплома.  Однако в большинстве случаев для получения такого диплома необходимо пройти дополнительную подготовку.  </w:t>
      </w:r>
    </w:p>
    <w:p w:rsidR="00000000" w:rsidRDefault="00000000"/>
    <w:p w:rsidR="00000000" w:rsidRDefault="00000000">
      <w:r>
        <w:t>135.</w:t>
      </w:r>
      <w:r>
        <w:tab/>
        <w:t xml:space="preserve">На период 2001-2004 годов при государственном финансировании был открыт Центр знаний ППО.  Этот Центр собирает, обрабатывает и распространяет информацию о ППО.  В целях охвата системой ППО нетрадиционных целевых групп (кандидатов на трудоустройство, лиц, возвращающихся к трудовой деятельности, беженцев, иммигрантов и частично нетрудоспособных лиц) был создан Центр </w:t>
      </w:r>
      <w:proofErr w:type="spellStart"/>
      <w:r>
        <w:t>ППО</w:t>
      </w:r>
      <w:proofErr w:type="spellEnd"/>
      <w:r>
        <w:t xml:space="preserve"> по расширению возможностей, который действует совместно с Центром знаний ППО.  </w:t>
      </w:r>
    </w:p>
    <w:p w:rsidR="00000000" w:rsidRDefault="00000000"/>
    <w:p w:rsidR="00000000" w:rsidRDefault="00000000">
      <w:pPr>
        <w:jc w:val="center"/>
        <w:rPr>
          <w:b/>
          <w:bCs/>
        </w:rPr>
      </w:pPr>
      <w:r>
        <w:rPr>
          <w:b/>
          <w:bCs/>
        </w:rPr>
        <w:t>3.1.1.6</w:t>
      </w:r>
      <w:r>
        <w:rPr>
          <w:b/>
          <w:bCs/>
        </w:rPr>
        <w:tab/>
        <w:t>Трудности, связанные с выполнением этих задач</w:t>
      </w:r>
    </w:p>
    <w:p w:rsidR="00000000" w:rsidRDefault="00000000">
      <w:pPr>
        <w:jc w:val="center"/>
        <w:rPr>
          <w:b/>
          <w:bCs/>
        </w:rPr>
      </w:pPr>
    </w:p>
    <w:p w:rsidR="00000000" w:rsidRDefault="00000000">
      <w:r>
        <w:t>136.</w:t>
      </w:r>
      <w:r>
        <w:tab/>
        <w:t xml:space="preserve">Увеличение количества рабочих мест в период 1996-2001 годов привело к быстрому росту занятости среди населения.  Уровень трудового участия увеличился до более чем 70%.  Вместе с тем уровень занятости обеспечивается неравномерно.  По-прежнему необходимо уделять особое внимание трудоустройству длительно безработных лиц, женщин, этнических меньшинств, пожилых лиц (55-64 года) и инвалидов.  Для расширения участия этих групп в трудовой деятельности используется ряд инструментов.  Они включают профессиональную подготовку и производственную стажировку, а также меры по борьбе с порочным кругом нищеты и по содействию лицам в деле сочетания трудовой деятельности с выполнением семейных обязанностей (см. также пункты 11-79 раздела 1.3 и пункт 120 раздела 3.1.1.2).  </w:t>
      </w:r>
    </w:p>
    <w:p w:rsidR="00000000" w:rsidRDefault="00000000"/>
    <w:p w:rsidR="00000000" w:rsidRDefault="00000000">
      <w:pPr>
        <w:tabs>
          <w:tab w:val="left" w:pos="2835"/>
        </w:tabs>
        <w:jc w:val="center"/>
        <w:rPr>
          <w:b/>
          <w:bCs/>
        </w:rPr>
      </w:pPr>
      <w:r>
        <w:rPr>
          <w:b/>
          <w:bCs/>
        </w:rPr>
        <w:t>3.1.2</w:t>
      </w:r>
      <w:r>
        <w:rPr>
          <w:b/>
          <w:bCs/>
        </w:rPr>
        <w:tab/>
      </w:r>
      <w:r>
        <w:rPr>
          <w:b/>
          <w:bCs/>
        </w:rPr>
        <w:tab/>
        <w:t>Равные возможности на рынке труда</w:t>
      </w:r>
    </w:p>
    <w:p w:rsidR="00000000" w:rsidRDefault="00000000">
      <w:pPr>
        <w:jc w:val="center"/>
        <w:rPr>
          <w:b/>
          <w:bCs/>
        </w:rPr>
      </w:pPr>
    </w:p>
    <w:p w:rsidR="00000000" w:rsidRDefault="00000000">
      <w:pPr>
        <w:rPr>
          <w:b/>
          <w:bCs/>
        </w:rPr>
      </w:pPr>
      <w:r>
        <w:rPr>
          <w:b/>
          <w:bCs/>
        </w:rPr>
        <w:t>Действующее законодательство</w:t>
      </w:r>
    </w:p>
    <w:p w:rsidR="00000000" w:rsidRDefault="00000000">
      <w:pPr>
        <w:rPr>
          <w:b/>
          <w:bCs/>
        </w:rPr>
      </w:pPr>
    </w:p>
    <w:p w:rsidR="00000000" w:rsidRDefault="00000000">
      <w:r>
        <w:t>137.</w:t>
      </w:r>
      <w:r>
        <w:tab/>
        <w:t>В 1995-2003 годах в законодательство были внесены различные поправки, призванные обеспечить трудящимся равные возможности на рынке труда.</w:t>
      </w:r>
    </w:p>
    <w:p w:rsidR="00000000" w:rsidRDefault="00000000"/>
    <w:p w:rsidR="00000000" w:rsidRDefault="00000000">
      <w:r>
        <w:t>138.</w:t>
      </w:r>
      <w:r>
        <w:tab/>
        <w:t>Что касается Закона о равных возможностях, то в него были внесены следующие две поправки:</w:t>
      </w:r>
    </w:p>
    <w:p w:rsidR="00000000" w:rsidRDefault="00000000"/>
    <w:p w:rsidR="00000000" w:rsidRDefault="00000000">
      <w:pPr>
        <w:numPr>
          <w:ilvl w:val="0"/>
          <w:numId w:val="190"/>
        </w:numPr>
        <w:tabs>
          <w:tab w:val="clear" w:pos="720"/>
        </w:tabs>
        <w:ind w:left="1134" w:hanging="567"/>
      </w:pPr>
      <w:r>
        <w:t>раздел, предусматривающий равное обращение в пенсионном обеспечении в дополнение к государственной системе социального обеспечения:  в порядке осуществления "Директивы Барбера" (Директива 96/97/ЕС Совета) в марте 1998 года к Закону о равных возможностях был добавлен раздел, озаглавленный "Равное обращение в связи с пенсионными программами".  В частности, статья 12 b) запрещает дискриминацию между мужчинами и женщинами в отношении определения возможных бенефициаров пенсионной программы, содержания такой программы или порядка ее осуществления;</w:t>
      </w:r>
    </w:p>
    <w:p w:rsidR="00000000" w:rsidRDefault="00000000">
      <w:pPr>
        <w:ind w:left="1134" w:hanging="567"/>
      </w:pPr>
    </w:p>
    <w:p w:rsidR="00000000" w:rsidRDefault="00000000">
      <w:pPr>
        <w:numPr>
          <w:ilvl w:val="0"/>
          <w:numId w:val="190"/>
        </w:numPr>
        <w:tabs>
          <w:tab w:val="clear" w:pos="720"/>
        </w:tabs>
        <w:ind w:left="1134" w:hanging="567"/>
      </w:pPr>
      <w:r>
        <w:t xml:space="preserve">специальная норма о бремени </w:t>
      </w:r>
      <w:proofErr w:type="spellStart"/>
      <w:r>
        <w:t>доказывания</w:t>
      </w:r>
      <w:proofErr w:type="spellEnd"/>
      <w:r>
        <w:t xml:space="preserve"> от 1 января 2001 года:  в соответствии с этой нормой бремя </w:t>
      </w:r>
      <w:proofErr w:type="spellStart"/>
      <w:r>
        <w:t>доказывания</w:t>
      </w:r>
      <w:proofErr w:type="spellEnd"/>
      <w:r>
        <w:t xml:space="preserve"> по процедурному праву возлагается на другую сторону, что укрепляет положение стороны, которая, по ее словам, подвергается дискриминации.  Новая норма гласит следующее:  "Если лицо, считающее, что оно подвергается дискриминации по признакам, упомянутым в настоящем Законе, предъявляет юридически обоснованные доказательства, позволяющие предположить, что акт дискриминации действительно имел место, обязанность доказывать отсутствие нарушения настоящего Закона возлагается на другую сторону".  Это новое положение воспроизводит в голландском праве содержание Директивы 97/80/ЕС Совета, касающейся бремени доказывания в случаях дискриминации по признаку пола.  Устранение препятствий в связи с бременем доказывания повышает эффективность действующего национального законодательства в области обеспечения равного обращения.  Впоследствии, вероятно к концу 2003 года или к началу 2004 года, эта новая норма будет также распространяться на случаи дискриминации по другим признакам (в том числе признакам расы, гражданства, сексуальной ориентации, религии, убеждений, возраста, инвалидности или хронической болезни).</w:t>
      </w:r>
    </w:p>
    <w:p w:rsidR="00000000" w:rsidRDefault="00000000"/>
    <w:p w:rsidR="00000000" w:rsidRDefault="00000000">
      <w:pPr>
        <w:rPr>
          <w:b/>
          <w:bCs/>
        </w:rPr>
      </w:pPr>
      <w:r>
        <w:rPr>
          <w:b/>
          <w:bCs/>
        </w:rPr>
        <w:t>Новое законодательство</w:t>
      </w:r>
    </w:p>
    <w:p w:rsidR="00000000" w:rsidRDefault="00000000">
      <w:pPr>
        <w:rPr>
          <w:b/>
          <w:bCs/>
        </w:rPr>
      </w:pPr>
    </w:p>
    <w:p w:rsidR="00000000" w:rsidRDefault="00000000">
      <w:r>
        <w:t>139.</w:t>
      </w:r>
      <w:r>
        <w:tab/>
        <w:t xml:space="preserve">Закон о равном обращении в связи с рабочими графиками вступил в силу 1 ноября 1996 года и предусматривает равное обращение с трудящимися государственного и частного секторов, которые работают по разным графикам.  Этот Закон вносит поправку в статью 7:648 Гражданского кодекса Нидерландов, запрещающую работодателям проводить дискриминационное различие в условиях труда между работниками, занятыми полный и неполный рабочий день, при заключении, продлении или истечении трудового договора, кроме случаев, когда такие различия объективно обоснованы.  Эта статья применяется также к другим лицам, работающим по найму.  Закон вносит поправку и в соответствующее положение, касающееся государственных служащих, а именно в статью 125 </w:t>
      </w:r>
      <w:proofErr w:type="spellStart"/>
      <w:r>
        <w:t>g</w:t>
      </w:r>
      <w:proofErr w:type="spellEnd"/>
      <w:r>
        <w:t>) Закона о служащих центральных и местных органов власти, в соответствии с которой трудящиеся, занятые неполный рабочий день, имеют право на пропорциональную оплату труда, такие же премии и такое же количество выходных дней.  Статья также касается приобретения пенсионных прав.</w:t>
      </w:r>
    </w:p>
    <w:p w:rsidR="00000000" w:rsidRDefault="00000000"/>
    <w:p w:rsidR="00000000" w:rsidRDefault="00000000">
      <w:r>
        <w:t>140.</w:t>
      </w:r>
      <w:r>
        <w:tab/>
        <w:t xml:space="preserve">Особенно важное значение Закон о равном обращении в связи с рабочими графиками имеет для женщин, поскольку все большее количество женщин хотят трудиться неполный рабочий день.  Для того чтобы оспорить акты неравного обращения, проще сослаться на положения этого Закона, касающиеся выполнения трудовых обязанностей неполный рабочий день, чем на запрещение косвенной дискриминации по признаку пола.  Согласно новому Закону, отпадает необходимость собирать сведения о количестве мужчин и женщин, занятых полный и неполный рабочий день в той или иной компании.  </w:t>
      </w:r>
    </w:p>
    <w:p w:rsidR="00000000" w:rsidRDefault="00000000"/>
    <w:p w:rsidR="00000000" w:rsidRDefault="00000000">
      <w:r>
        <w:t>141.</w:t>
      </w:r>
      <w:r>
        <w:tab/>
        <w:t xml:space="preserve">Контролем за соблюдением данного Закона занимается Комиссия по равному обращению (КРО).  Эта Комиссия по письменному заявлению или по собственной инициативе может рассматривать случаи предполагаемой дискриминации по смыслу статьи 7:648 Гражданского кодекса или статьи 125 </w:t>
      </w:r>
      <w:r>
        <w:rPr>
          <w:lang w:val="en-US"/>
        </w:rPr>
        <w:t>g</w:t>
      </w:r>
      <w:r>
        <w:t>) Закона о служащих центральных и местных органов власти.  Решения Комиссии не имеют обязательной правовой силы.</w:t>
      </w:r>
    </w:p>
    <w:p w:rsidR="00000000" w:rsidRDefault="00000000"/>
    <w:p w:rsidR="00000000" w:rsidRDefault="00000000">
      <w:r>
        <w:t>142.</w:t>
      </w:r>
      <w:r>
        <w:tab/>
        <w:t>Закон о равном обращении в связи с временными или постоянными трудовыми договорами (ЗРОВПТД) вступил в силу 22 ноября 2002 года.  В соответствии с этим Законом работодатели не могут проводить дискриминацию между трудящимися, работающими по постоянному договору, и лицами на временных договорах, если для этого не существуют объективные основания.  Действие нового Закона не распространяется на временных сотрудников учреждений.  Закон имеет особое значение для трудящихся с временными трудовыми договорами.  К ним, как правило, чаще относятся женщины и работники из числа этнических меньшинств.  Соблюдение этого Закона контролирует Комиссия по равному обращению.</w:t>
      </w:r>
    </w:p>
    <w:p w:rsidR="00000000" w:rsidRDefault="00000000"/>
    <w:p w:rsidR="00000000" w:rsidRDefault="00000000">
      <w:r>
        <w:rPr>
          <w:b/>
          <w:bCs/>
        </w:rPr>
        <w:t>Запланированное к принятию законодательство</w:t>
      </w:r>
    </w:p>
    <w:p w:rsidR="00000000" w:rsidRDefault="00000000"/>
    <w:p w:rsidR="00000000" w:rsidRDefault="00000000">
      <w:r>
        <w:t>143.</w:t>
      </w:r>
      <w:r>
        <w:tab/>
        <w:t>Закон о равном обращении в сфере труда (дискриминация по возрасту) и Закон о равном обращении с инвалидами и хронически больными лицами должны вступить в силу 1 декабря 2003 года.</w:t>
      </w:r>
    </w:p>
    <w:p w:rsidR="00000000" w:rsidRDefault="00000000"/>
    <w:p w:rsidR="00000000" w:rsidRDefault="00000000">
      <w:r>
        <w:t>144.</w:t>
      </w:r>
      <w:r>
        <w:tab/>
        <w:t>В соответствии с законопроектом, запрещающим дискриминационное обращение в сфере труда по возрасту, такое обращение будет допускаться только при наличии объективных оснований для введения ограничения по возрасту.  Запрещение дискриминации по возрасту будет применяться ко всем аспектам занятости - от найма, отбора и трудоустройства и до условий труда и прекращения действия договора.  Оно также будет применяться к профессиональной подготовке, профессиональной ориентации, планированию служебного роста и членству в ассоциациях работодателей или трудящихся и в профессиональных ассоциациях.  Законопроект обретет силу закона 1 декабря 2003 года.</w:t>
      </w:r>
    </w:p>
    <w:p w:rsidR="00000000" w:rsidRDefault="00000000"/>
    <w:p w:rsidR="00000000" w:rsidRDefault="00000000">
      <w:r>
        <w:t>145.</w:t>
      </w:r>
      <w:r>
        <w:tab/>
        <w:t>Законопроект о равном обращении с инвалидами и хронически больными лицами предусматривает право лиц с инвалидностью или хроническим заболеванием на меры эффективной адаптации, позволяющей им полноценно участвовать в жизни общества.  Вначале он будет касаться сфер труда, профессиональной подготовки и общественного транспорта.  Впоследствии будущие меры будут распространены и на другие сферы, такие, как права на жилище и доступ к товарам и услугам.</w:t>
      </w:r>
    </w:p>
    <w:p w:rsidR="00000000" w:rsidRDefault="00000000"/>
    <w:p w:rsidR="00000000" w:rsidRDefault="00000000">
      <w:r>
        <w:t>146.</w:t>
      </w:r>
      <w:r>
        <w:tab/>
        <w:t>Государственные органы, предприятия и учреждения будут обязаны принимать необходимые меры для адаптации физической среды при поступлении соответствующих просьб от инвалидов и хронически больных лиц.  Однако это не предусматривает возложения какого-либо несоразмерного бремени на стороны, обязанные принимать такие меры.  Эффективные меры адаптации определяются как меры, которые целесообразны и необходимы в целях создания для инвалидов и хронически больных лиц условий для полноценного участия в жизни общества.  Эта концепция будет более подробно определена в прецедентном праве.  Кроме того, законопроект запрещает необоснованную дискриминацию по признакам инвалидности или хронического заболевания.</w:t>
      </w:r>
    </w:p>
    <w:p w:rsidR="00000000" w:rsidRDefault="00000000"/>
    <w:p w:rsidR="00000000" w:rsidRDefault="00000000">
      <w:r>
        <w:t>147.</w:t>
      </w:r>
      <w:r>
        <w:tab/>
        <w:t>У инвалидов и хронически больных лиц появится также возможность обращаться с жалобами в Комиссию по равному обращению, например в случае непринятия запрашиваемых мер адаптации.  Это касается также положений Закона о равном обращении в связи с временными и постоянными договорами (ЗРОВПТД).</w:t>
      </w:r>
    </w:p>
    <w:p w:rsidR="00000000" w:rsidRDefault="00000000"/>
    <w:p w:rsidR="00000000" w:rsidRDefault="00000000">
      <w:r>
        <w:rPr>
          <w:b/>
          <w:bCs/>
        </w:rPr>
        <w:t>Директивные меры</w:t>
      </w:r>
    </w:p>
    <w:p w:rsidR="00000000" w:rsidRDefault="00000000"/>
    <w:p w:rsidR="00000000" w:rsidRDefault="00000000">
      <w:r>
        <w:t>148.</w:t>
      </w:r>
      <w:r>
        <w:tab/>
        <w:t>В этой связи одного лишь законодательства недостаточно - необходимо также проводить соответствующую политику.  Хотя принцип равного обращения прочно закреплен в законодательстве, на практике все еще происходят случаи дискриминации на рабочем месте.  Исследования показали, что, несмотря на общую поддержку принципа равного обращения, работодатели и работники все еще не знакомы с законодательством в этой области.  Поэтому Министерство социальных дел и по вопросам занятости приступило к осуществлению проекта, направленного на обеспечение осуществления и поддержки в полном объеме принципа равного обращения на рабочем месте.  Как известно, в 2002 году был начат "Проект по статье 13", который будет осуществляться до 2004 года и предусматривать тесное сотрудничество с ассоциациями работодателей и трудящихся, Комиссией по равному обращению и различными неправительственными организациями.</w:t>
      </w:r>
    </w:p>
    <w:p w:rsidR="00000000" w:rsidRDefault="00000000"/>
    <w:p w:rsidR="00000000" w:rsidRDefault="00000000">
      <w:r>
        <w:t>149.</w:t>
      </w:r>
      <w:r>
        <w:tab/>
        <w:t>Этот Проект охватывает все признаки дискриминации, упомянутые в Законе о равном обращении, а именно признаки пола, расы, гражданства, религии, гражданского состояния, сексуальной ориентации, убеждений и политических мнений, помимо положений, касающихся временного/постоянного трудового договора и рабочих графиков.  Разумеется, Проект будет распространяться также на новые признаки, касающиеся возраста, инвалидности и хронического заболевания.</w:t>
      </w:r>
    </w:p>
    <w:p w:rsidR="00000000" w:rsidRDefault="00000000"/>
    <w:p w:rsidR="00000000" w:rsidRDefault="00000000">
      <w:pPr>
        <w:keepNext/>
      </w:pPr>
      <w:r>
        <w:t>150.</w:t>
      </w:r>
      <w:r>
        <w:tab/>
        <w:t>Первоначально Проект включает следующие элементы:</w:t>
      </w:r>
    </w:p>
    <w:p w:rsidR="00000000" w:rsidRDefault="00000000"/>
    <w:p w:rsidR="00000000" w:rsidRDefault="00000000">
      <w:pPr>
        <w:ind w:left="1134" w:hanging="1134"/>
      </w:pPr>
      <w:r>
        <w:tab/>
        <w:t>-</w:t>
      </w:r>
      <w:r>
        <w:tab/>
        <w:t>равное обращение в повестке дня трудовых советов;</w:t>
      </w:r>
    </w:p>
    <w:p w:rsidR="00000000" w:rsidRDefault="00000000">
      <w:pPr>
        <w:ind w:left="1134" w:hanging="1134"/>
      </w:pPr>
    </w:p>
    <w:p w:rsidR="00000000" w:rsidRDefault="00000000">
      <w:pPr>
        <w:ind w:left="1134" w:hanging="1134"/>
      </w:pPr>
      <w:r>
        <w:tab/>
        <w:t>-</w:t>
      </w:r>
      <w:r>
        <w:tab/>
        <w:t>равное обращение и малые предприятия;</w:t>
      </w:r>
    </w:p>
    <w:p w:rsidR="00000000" w:rsidRDefault="00000000">
      <w:pPr>
        <w:ind w:left="1134" w:hanging="1134"/>
      </w:pPr>
    </w:p>
    <w:p w:rsidR="00000000" w:rsidRDefault="00000000">
      <w:pPr>
        <w:ind w:left="1134" w:hanging="1134"/>
      </w:pPr>
      <w:r>
        <w:tab/>
        <w:t>-</w:t>
      </w:r>
      <w:r>
        <w:tab/>
        <w:t>совещание экспертов по равному обращению;</w:t>
      </w:r>
    </w:p>
    <w:p w:rsidR="00000000" w:rsidRDefault="00000000">
      <w:pPr>
        <w:ind w:left="1134" w:hanging="1134"/>
      </w:pPr>
    </w:p>
    <w:p w:rsidR="00000000" w:rsidRDefault="00000000">
      <w:pPr>
        <w:ind w:left="1134" w:hanging="1134"/>
      </w:pPr>
      <w:r>
        <w:tab/>
        <w:t>-</w:t>
      </w:r>
      <w:r>
        <w:tab/>
        <w:t>информирование общества в целом и публикации специалистов.</w:t>
      </w:r>
    </w:p>
    <w:p w:rsidR="00000000" w:rsidRDefault="00000000">
      <w:pPr>
        <w:ind w:left="1134" w:hanging="1134"/>
      </w:pPr>
    </w:p>
    <w:p w:rsidR="00000000" w:rsidRDefault="00000000">
      <w:r>
        <w:rPr>
          <w:b/>
          <w:bCs/>
        </w:rPr>
        <w:t>Равное обращение в повестке дня трудовых советов</w:t>
      </w:r>
    </w:p>
    <w:p w:rsidR="00000000" w:rsidRDefault="00000000"/>
    <w:p w:rsidR="00000000" w:rsidRDefault="00000000">
      <w:r>
        <w:t>151.</w:t>
      </w:r>
      <w:r>
        <w:tab/>
        <w:t>Для специалистов, занимающихся подготовкой членов трудовых советов, разработан специальный учебный комплекс.  Этот комплекс является учебным модулем по равному обращению, который может использоваться целиком или по частям и связан с темами, представляющими интерес для трудовых советов, такими, как кадровая или финансовая политика компании.</w:t>
      </w:r>
    </w:p>
    <w:p w:rsidR="00000000" w:rsidRDefault="00000000"/>
    <w:p w:rsidR="00000000" w:rsidRDefault="00000000">
      <w:r>
        <w:rPr>
          <w:b/>
          <w:bCs/>
        </w:rPr>
        <w:t>Равное обращение и малые предприятия</w:t>
      </w:r>
    </w:p>
    <w:p w:rsidR="00000000" w:rsidRDefault="00000000"/>
    <w:p w:rsidR="00000000" w:rsidRDefault="00000000">
      <w:r>
        <w:t>152.</w:t>
      </w:r>
      <w:r>
        <w:tab/>
        <w:t>Этот Проект предусматривает тесное сотрудничество с организацией работодателей Ассоциация МСП Нидерландов или с одним из ее отделений и уже принес определенные результаты.  Ассоциация МСП Нидерландов подготовила специальное руководство по равному обращению, которое было распространено среди всех ее членов.  По указанию Министерства социальных дел и по вопросам занятости Центр обслуживания малых и средних предприятий на рынке труда создал вебсайт на тему равного обращения.  Эта же тема конкретно рассматривается консультантами МСП и фирмой МСП, занимающейся организацией курсов и профессиональной подготовкой.  Эта фирма включила различные аспекты проблемы равного обращения в учебный материал для работодателей.  Консультанты МСП включили вопросы о равном обращении в разработанное ими пособие по проведению краткого обзора, которое может использоваться работодателями для изучения экономического положения, кадровой политики и т.д. в той или иной компании.</w:t>
      </w:r>
    </w:p>
    <w:p w:rsidR="00000000" w:rsidRDefault="00000000"/>
    <w:p w:rsidR="00000000" w:rsidRDefault="00000000">
      <w:r>
        <w:rPr>
          <w:b/>
          <w:bCs/>
        </w:rPr>
        <w:t>Совещание экспертов по вопросам равного обращения</w:t>
      </w:r>
    </w:p>
    <w:p w:rsidR="00000000" w:rsidRDefault="00000000"/>
    <w:p w:rsidR="00000000" w:rsidRDefault="00000000">
      <w:r>
        <w:t>153.</w:t>
      </w:r>
      <w:r>
        <w:tab/>
        <w:t>В ноябре 2003 года организуется международное совещание экспертов для обсуждения ряда правовых и других аспектов действия принципа равного обращения.  Одним из пунктов повестки дня является поощрение соблюдения и обеспечения выполнения законодательства о равном обращении.  В пунктах 185-192 раздела 3.2.1.2 рассматриваются директивные меры, направленные на обеспечение равной оплаты труда.</w:t>
      </w:r>
    </w:p>
    <w:p w:rsidR="00000000" w:rsidRDefault="00000000"/>
    <w:p w:rsidR="00000000" w:rsidRDefault="00000000">
      <w:r>
        <w:rPr>
          <w:b/>
          <w:bCs/>
        </w:rPr>
        <w:t>Закон о медицинском обследовании</w:t>
      </w:r>
    </w:p>
    <w:p w:rsidR="00000000" w:rsidRDefault="00000000"/>
    <w:p w:rsidR="00000000" w:rsidRDefault="00000000">
      <w:r>
        <w:t>154.</w:t>
      </w:r>
      <w:r>
        <w:tab/>
        <w:t>Закон о медицинском обследовании (ЗМО) вводит ограничения на проведение медицинских обследований в процессе трудоустройства.  В принципе в Нидерландах работодатель не может проверять состояние физического здоровья кандидата на трудоустройство.  Такая проверка разрешается только в том случае, если медицинское обследование необходимо для соблюдения связанных с работой требований, чтобы не создавать угрозы для здоровья кандидата и здоровья других лиц.  Такое обследование может проводиться после отбора кандидата на трудоустройство.  Кандидату заблаговременно предоставляется письменная информация об обследовании, и его первым информируют о результатах обследования.  Затем он решает, может ли врач, проводивший обследование, передавать результаты в распоряжение будущего работодателя.  Если кандидат не согласен с результатами, он имеет право на повторное обследование.  Во время медицинского обследования кандидатам на трудоустройство нельзя задавать вопросы относительно беременности.  В этой связи применяются следующие правила:</w:t>
      </w:r>
    </w:p>
    <w:p w:rsidR="00000000" w:rsidRDefault="00000000"/>
    <w:p w:rsidR="00000000" w:rsidRDefault="00000000">
      <w:pPr>
        <w:ind w:left="1134" w:hanging="1134"/>
      </w:pPr>
      <w:r>
        <w:tab/>
        <w:t>1.</w:t>
      </w:r>
      <w:r>
        <w:tab/>
        <w:t>В ходе собеседования с кандидатом во время трудоустройства ему нельзя задавать вопросы о его здоровье.  Кроме того, будущий работодатель кандидата не может запрашивать у его бывшего работодателя информацию относительно отпусков по болезни кандидата.</w:t>
      </w:r>
    </w:p>
    <w:p w:rsidR="00000000" w:rsidRDefault="00000000">
      <w:pPr>
        <w:ind w:left="1134" w:hanging="1134"/>
      </w:pPr>
    </w:p>
    <w:p w:rsidR="00000000" w:rsidRDefault="00000000">
      <w:pPr>
        <w:ind w:left="1134" w:hanging="1134"/>
      </w:pPr>
      <w:r>
        <w:tab/>
        <w:t>2.</w:t>
      </w:r>
      <w:r>
        <w:tab/>
        <w:t>Предшествующее трудоустройству медицинское обследование может проводиться только сотрудником службы гигиены труда.</w:t>
      </w:r>
    </w:p>
    <w:p w:rsidR="00000000" w:rsidRDefault="00000000">
      <w:pPr>
        <w:ind w:left="1134" w:hanging="1134"/>
      </w:pPr>
    </w:p>
    <w:p w:rsidR="00000000" w:rsidRDefault="00000000">
      <w:r>
        <w:t>Закон о медицинском обследовании способствует укреплению положения кандидата на трудоустройство и обеспечивает его защиту от угрозы возможного несправедливого отклонения его кандидатуры по признаку здоровья.</w:t>
      </w:r>
    </w:p>
    <w:p w:rsidR="00000000" w:rsidRDefault="00000000"/>
    <w:p w:rsidR="00000000" w:rsidRDefault="00000000">
      <w:pPr>
        <w:rPr>
          <w:b/>
          <w:bCs/>
        </w:rPr>
      </w:pPr>
      <w:r>
        <w:rPr>
          <w:b/>
          <w:bCs/>
        </w:rPr>
        <w:t>Комитет по приему жалоб на результаты медицинских обследований,</w:t>
      </w:r>
    </w:p>
    <w:p w:rsidR="00000000" w:rsidRDefault="00000000">
      <w:r>
        <w:rPr>
          <w:b/>
          <w:bCs/>
        </w:rPr>
        <w:t>проводимых до устройства на работу</w:t>
      </w:r>
    </w:p>
    <w:p w:rsidR="00000000" w:rsidRDefault="00000000"/>
    <w:p w:rsidR="00000000" w:rsidRDefault="00000000">
      <w:r>
        <w:t>155.</w:t>
      </w:r>
      <w:r>
        <w:tab/>
        <w:t>Закон и механизм его осуществления имеют одинаково важное значение.  В 2002 году на основании Закона о медицинском обследовании был создан Комитет по приему жалоб на результаты медицинских обследований в процессе устройства на работу.  Этот независимый орган рассматривает жалобы в отношении медицинских обследований во время процедуры найма и представляет свое заключение.  Заключение Комитета не имеет обязательной силы.  Однако в том случае, если, по мнению Комитета медицинское обследование было проведено в нарушение закона, кандидату проще доказать этот факт в гражданском суде.</w:t>
      </w:r>
    </w:p>
    <w:p w:rsidR="00000000" w:rsidRDefault="00000000"/>
    <w:p w:rsidR="00000000" w:rsidRDefault="00000000">
      <w:r>
        <w:rPr>
          <w:b/>
          <w:bCs/>
        </w:rPr>
        <w:t>Мигранты и право на труд</w:t>
      </w:r>
    </w:p>
    <w:p w:rsidR="00000000" w:rsidRDefault="00000000"/>
    <w:p w:rsidR="00000000" w:rsidRDefault="00000000">
      <w:r>
        <w:t>156.</w:t>
      </w:r>
      <w:r>
        <w:tab/>
        <w:t>С октября 1998 года любое лицо, прибывающее из страны, не являющейся членом Европейского союза, и желающее находиться в Нидерландах свыше трех месяцев, должно иметь разрешение на временное пребывание (</w:t>
      </w:r>
      <w:proofErr w:type="spellStart"/>
      <w:r>
        <w:t>РВП</w:t>
      </w:r>
      <w:proofErr w:type="spellEnd"/>
      <w:r>
        <w:t>) (</w:t>
      </w:r>
      <w:proofErr w:type="spellStart"/>
      <w:r>
        <w:rPr>
          <w:lang w:val="en-US"/>
        </w:rPr>
        <w:t>machtiging</w:t>
      </w:r>
      <w:proofErr w:type="spellEnd"/>
      <w:r>
        <w:t xml:space="preserve"> </w:t>
      </w:r>
      <w:r>
        <w:rPr>
          <w:lang w:val="en-US"/>
        </w:rPr>
        <w:t>tot</w:t>
      </w:r>
      <w:r>
        <w:t xml:space="preserve"> </w:t>
      </w:r>
      <w:proofErr w:type="spellStart"/>
      <w:r>
        <w:rPr>
          <w:lang w:val="en-US"/>
        </w:rPr>
        <w:t>voorlopig</w:t>
      </w:r>
      <w:proofErr w:type="spellEnd"/>
      <w:r>
        <w:t xml:space="preserve"> </w:t>
      </w:r>
      <w:proofErr w:type="spellStart"/>
      <w:r>
        <w:rPr>
          <w:lang w:val="en-US"/>
        </w:rPr>
        <w:t>verblijf</w:t>
      </w:r>
      <w:proofErr w:type="spellEnd"/>
      <w:r>
        <w:t xml:space="preserve">, </w:t>
      </w:r>
      <w:proofErr w:type="spellStart"/>
      <w:r>
        <w:rPr>
          <w:lang w:val="en-US"/>
        </w:rPr>
        <w:t>MVV</w:t>
      </w:r>
      <w:proofErr w:type="spellEnd"/>
      <w:r>
        <w:t xml:space="preserve">).  Заявления на получение РВП могут направляться в дипломатическое или консульское представительство Нидерландов.  Лица, не являющиеся гражданами стран ЕС и желающие работать в Нидерландах, в том случае если они намереваются оставаться в стране свыше трех месяцев, нуждаются в виде на жительство и разрешении на работу.  Решение о выдаче вида на жительство принимается Службой иммиграции и натурализации (СИН), тогда как разрешения на работу выдаются Центрами по труду и доходу (ЦТД).  </w:t>
      </w:r>
    </w:p>
    <w:p w:rsidR="00000000" w:rsidRDefault="00000000"/>
    <w:p w:rsidR="00000000" w:rsidRDefault="00000000">
      <w:r>
        <w:t>157.</w:t>
      </w:r>
      <w:r>
        <w:tab/>
        <w:t>С 1 января 2003 года в СИН работает отдел, занимающийся вопросами трудовой иммиграции, куда работодатели могут обращаться с заявлениями для получения РВП в целях трудовой деятельности (включая оплачиваемую производственную стажировку и практическую профессиональную подготовку) и где они могут запрашивать информацию относительно установленной процедуры.  Эта система предназначена в основном для ускорения и упорядочения процедуры рассмотрения заявлений.  Как правило, в течение четырех недель после принятия ЦТД постановления о выдаче разрешения на работу работодатели получают от СИН ответ, в котором указывается, имеются ли какие-либо возражения в отношении выдачи РВП.</w:t>
      </w:r>
    </w:p>
    <w:p w:rsidR="00000000" w:rsidRDefault="00000000"/>
    <w:p w:rsidR="00000000" w:rsidRDefault="00000000">
      <w:r>
        <w:t>158.</w:t>
      </w:r>
      <w:r>
        <w:tab/>
        <w:t>Мигранты, на законных основаниях проживающие в Нидерландах, имеют такие же права и обязанности в сфере труда, как и граждане Нидерландов.  Таким образом, законно проживающие в стране иностранцы во всех отношениях пользуются одинаковым обращением в сфере труда, включая условия труда.  Закон 1994 года о равном обращении (ЗРО) запрещает дискриминацию по признакам расы в вопросах труда (наем и отбор, положения трудового договора и условия труда, профессиональная подготовка без отрыва от работы или в период до трудоустройства и повышение по службе).  Законопроект об осуществлении директив ЕС, касающихся равного обращения, будет запрещать дискриминацию по всем признакам, включая расу, а также в вопросах членства или участия в работе ассоциаций работодателей или трудящихся или профессиональных ассоциаций.</w:t>
      </w:r>
    </w:p>
    <w:p w:rsidR="00000000" w:rsidRDefault="00000000"/>
    <w:p w:rsidR="00000000" w:rsidRDefault="00000000">
      <w:r>
        <w:t>159.</w:t>
      </w:r>
      <w:r>
        <w:tab/>
        <w:t xml:space="preserve">Что касается налогообложения, то положение иностранных рабочих и их семей в Нидерландах не отличается от положения голландских трудящихся и членов их семей.  Никакого разграничения по признаку гражданства не проводится.  Согласно Закону 2001 года о подоходном налоге (ЗПД) налогоплательщики-нерезиденты (налогоплательщики, не рассматриваемые в Нидерландах в качестве резидентов для целей налогообложения), получающие доход в Нидерландах, могут выбирать такой же режим налогообложения, как и налогоплательщики-резиденты (налогоплательщики, которые считаются в Нидерландах резидентами для целей налогообложения).  Если они не делают выбор в пользу такого режима, они, как указывалось в предыдущем докладе (июль 1982 года), подпадают под действие режима для налогоплательщиков-нерезидентов.  Конвенции о двойном налогообложении, заключенные с Бельгией и Германией, содержат специальные положения в этой связи.  Согласно положениям конвенции, заключенной с Бельгией и действовавшей до 31 декабря 2002 года, резиденты Бельгии имеют право на такие же отчисления и пособия по причине их гражданского статуса или состава семьи, как и резиденты Нидерландов.  Конвенция о двойном налогообложении, заключенная с Германией, содержит положение, согласно которому Нидерланды при определенных условиях обязаны предоставлять ряд льгот резидентам Германии в том случае, если в Нидерландах подлежат налогообложению не менее </w:t>
      </w:r>
      <w:proofErr w:type="spellStart"/>
      <w:r>
        <w:t>90%</w:t>
      </w:r>
      <w:proofErr w:type="spellEnd"/>
      <w:r>
        <w:t xml:space="preserve"> их общего как индивидуального, так и - в случае заключения брака - семейного дохода.  </w:t>
      </w:r>
    </w:p>
    <w:p w:rsidR="00000000" w:rsidRDefault="00000000"/>
    <w:p w:rsidR="00000000" w:rsidRDefault="00000000">
      <w:pPr>
        <w:jc w:val="center"/>
      </w:pPr>
      <w:r>
        <w:rPr>
          <w:b/>
          <w:bCs/>
        </w:rPr>
        <w:t>3.1.2.1</w:t>
      </w:r>
      <w:r>
        <w:rPr>
          <w:b/>
          <w:bCs/>
        </w:rPr>
        <w:tab/>
        <w:t>Профессиональная ориентация</w:t>
      </w:r>
    </w:p>
    <w:p w:rsidR="00000000" w:rsidRDefault="00000000">
      <w:pPr>
        <w:jc w:val="center"/>
      </w:pPr>
    </w:p>
    <w:p w:rsidR="00000000" w:rsidRDefault="00000000">
      <w:r>
        <w:t>160.</w:t>
      </w:r>
      <w:r>
        <w:tab/>
        <w:t>После принятия в 1995 году Закона об образовании взрослых и профессионально-техническом образовании (ЗОВПТО) и внесения изменений в Закон о среднем образовании (ЗСО) ответственность за профессиональное консультирование и ориентацию была возложена на учебные заведения.  В этой связи финансирование организаций-посредников было прекращено.  Учебные заведения отвечают за качество, наличие и доступность таких услуг.  В силу самостоятельности учебных заведений системы предоставления услуг и степень учета ими особенностей учебных программ являются различными в разных учебных заведениях.  Правительство обеспечивает финансирование каждого отдельного учебного заведения посредством разовых выплат.  Учебные заведения вправе самостоятельно определять целесообразность приобретения таких услуг у третьих сторон или их предоставления собственными силами.</w:t>
      </w:r>
    </w:p>
    <w:p w:rsidR="00000000" w:rsidRDefault="00000000"/>
    <w:p w:rsidR="00000000" w:rsidRDefault="00000000">
      <w:r>
        <w:t>161.</w:t>
      </w:r>
      <w:r>
        <w:tab/>
        <w:t>С 2002 года введена новая организационная структура, занимающаяся вопросами предоставления услуг в области трудоустройства и социального обеспечения.  Одним из важных аспектов этой деятельности является создание 131 Центра по вопросам труда и дохода (ЦТД), которые предоставляют информацию и оказывают консультационные услуги в сфере труда и дохода, включая информацию и консультирование по вопросам профессионального роста.  Такая информация предоставляется бесплатно как лицам, ищущим работу, так и трудоустроенным лицам.</w:t>
      </w:r>
    </w:p>
    <w:p w:rsidR="00000000" w:rsidRDefault="00000000"/>
    <w:p w:rsidR="00000000" w:rsidRDefault="00000000">
      <w:r>
        <w:t>162.</w:t>
      </w:r>
      <w:r>
        <w:tab/>
        <w:t>Были заключены 35 коллективных трудовых соглашений, позволяющих трудящимся получать консультативные услуги в области профессиональной ориентации или профессионального роста.  В восьми из таких соглашений, содержащих положения о консультировании в отношении профессионального роста, конкретно предусматривается выделение средств для этой цели.</w:t>
      </w:r>
    </w:p>
    <w:p w:rsidR="00000000" w:rsidRDefault="00000000"/>
    <w:p w:rsidR="00000000" w:rsidRDefault="00000000">
      <w:pPr>
        <w:spacing w:line="216" w:lineRule="auto"/>
      </w:pPr>
      <w:r>
        <w:t>163.</w:t>
      </w:r>
      <w:r>
        <w:tab/>
        <w:t>В таблице 5 приводится информация о работающем населении.</w:t>
      </w:r>
    </w:p>
    <w:p w:rsidR="00000000" w:rsidRDefault="00000000">
      <w:pPr>
        <w:spacing w:line="216" w:lineRule="auto"/>
        <w:jc w:val="center"/>
        <w:rPr>
          <w:b/>
          <w:bCs/>
          <w:lang w:val="en-US"/>
        </w:rPr>
      </w:pPr>
    </w:p>
    <w:p w:rsidR="00000000" w:rsidRDefault="00000000">
      <w:pPr>
        <w:spacing w:line="216" w:lineRule="auto"/>
        <w:jc w:val="center"/>
        <w:rPr>
          <w:b/>
          <w:bCs/>
        </w:rPr>
      </w:pPr>
      <w:r>
        <w:rPr>
          <w:b/>
          <w:bCs/>
        </w:rPr>
        <w:t>Таблица 5</w:t>
      </w:r>
    </w:p>
    <w:p w:rsidR="00000000" w:rsidRDefault="00000000">
      <w:pPr>
        <w:spacing w:line="216" w:lineRule="auto"/>
        <w:jc w:val="center"/>
        <w:rPr>
          <w:b/>
          <w:bCs/>
        </w:rPr>
      </w:pPr>
    </w:p>
    <w:p w:rsidR="00000000" w:rsidRDefault="00000000">
      <w:pPr>
        <w:spacing w:line="216" w:lineRule="auto"/>
        <w:jc w:val="center"/>
      </w:pPr>
      <w:r>
        <w:rPr>
          <w:b/>
          <w:bCs/>
        </w:rPr>
        <w:t>Работающее население в возрасте 15-64 года в разбивке по полу, возрасту, этническому происхождению и уровню образования в 1990-2002 годах (среднегодовые данные)</w:t>
      </w:r>
    </w:p>
    <w:p w:rsidR="00000000" w:rsidRDefault="00000000">
      <w:pPr>
        <w:spacing w:line="216"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62"/>
        <w:gridCol w:w="770"/>
        <w:gridCol w:w="784"/>
        <w:gridCol w:w="798"/>
        <w:gridCol w:w="812"/>
        <w:gridCol w:w="699"/>
        <w:gridCol w:w="798"/>
        <w:gridCol w:w="812"/>
        <w:gridCol w:w="700"/>
        <w:gridCol w:w="784"/>
        <w:gridCol w:w="592"/>
      </w:tblGrid>
      <w:tr w:rsidR="00000000">
        <w:tblPrEx>
          <w:tblCellMar>
            <w:top w:w="0" w:type="dxa"/>
            <w:bottom w:w="0" w:type="dxa"/>
          </w:tblCellMar>
        </w:tblPrEx>
        <w:trPr>
          <w:cantSplit/>
        </w:trPr>
        <w:tc>
          <w:tcPr>
            <w:tcW w:w="1862" w:type="dxa"/>
            <w:vMerge w:val="restart"/>
          </w:tcPr>
          <w:p w:rsidR="00000000" w:rsidRDefault="00000000">
            <w:pPr>
              <w:spacing w:line="240" w:lineRule="auto"/>
              <w:rPr>
                <w:sz w:val="20"/>
              </w:rPr>
            </w:pPr>
          </w:p>
        </w:tc>
        <w:tc>
          <w:tcPr>
            <w:tcW w:w="770" w:type="dxa"/>
          </w:tcPr>
          <w:p w:rsidR="00000000" w:rsidRDefault="00000000">
            <w:pPr>
              <w:spacing w:line="240" w:lineRule="auto"/>
              <w:jc w:val="center"/>
              <w:rPr>
                <w:sz w:val="20"/>
                <w:lang w:val="en-US"/>
              </w:rPr>
            </w:pPr>
            <w:r>
              <w:rPr>
                <w:sz w:val="20"/>
                <w:lang w:val="en-US"/>
              </w:rPr>
              <w:t>1990</w:t>
            </w:r>
          </w:p>
        </w:tc>
        <w:tc>
          <w:tcPr>
            <w:tcW w:w="784" w:type="dxa"/>
          </w:tcPr>
          <w:p w:rsidR="00000000" w:rsidRDefault="00000000">
            <w:pPr>
              <w:spacing w:line="240" w:lineRule="auto"/>
              <w:jc w:val="center"/>
              <w:rPr>
                <w:sz w:val="20"/>
                <w:lang w:val="en-US"/>
              </w:rPr>
            </w:pPr>
            <w:r>
              <w:rPr>
                <w:sz w:val="20"/>
                <w:lang w:val="en-US"/>
              </w:rPr>
              <w:t>1995</w:t>
            </w:r>
          </w:p>
        </w:tc>
        <w:tc>
          <w:tcPr>
            <w:tcW w:w="798" w:type="dxa"/>
          </w:tcPr>
          <w:p w:rsidR="00000000" w:rsidRDefault="00000000">
            <w:pPr>
              <w:spacing w:line="240" w:lineRule="auto"/>
              <w:jc w:val="center"/>
              <w:rPr>
                <w:sz w:val="20"/>
                <w:lang w:val="en-US"/>
              </w:rPr>
            </w:pPr>
            <w:r>
              <w:rPr>
                <w:sz w:val="20"/>
                <w:lang w:val="en-US"/>
              </w:rPr>
              <w:t>2000</w:t>
            </w:r>
          </w:p>
        </w:tc>
        <w:tc>
          <w:tcPr>
            <w:tcW w:w="812" w:type="dxa"/>
          </w:tcPr>
          <w:p w:rsidR="00000000" w:rsidRDefault="00000000">
            <w:pPr>
              <w:spacing w:line="240" w:lineRule="auto"/>
              <w:jc w:val="center"/>
              <w:rPr>
                <w:sz w:val="20"/>
                <w:lang w:val="en-US"/>
              </w:rPr>
            </w:pPr>
            <w:r>
              <w:rPr>
                <w:sz w:val="20"/>
                <w:lang w:val="en-US"/>
              </w:rPr>
              <w:t>2001</w:t>
            </w:r>
          </w:p>
        </w:tc>
        <w:tc>
          <w:tcPr>
            <w:tcW w:w="699" w:type="dxa"/>
          </w:tcPr>
          <w:p w:rsidR="00000000" w:rsidRDefault="00000000">
            <w:pPr>
              <w:spacing w:line="240" w:lineRule="auto"/>
              <w:jc w:val="center"/>
              <w:rPr>
                <w:sz w:val="20"/>
                <w:lang w:val="en-US"/>
              </w:rPr>
            </w:pPr>
            <w:r>
              <w:rPr>
                <w:sz w:val="20"/>
                <w:lang w:val="en-US"/>
              </w:rPr>
              <w:t>2002</w:t>
            </w:r>
          </w:p>
        </w:tc>
        <w:tc>
          <w:tcPr>
            <w:tcW w:w="798" w:type="dxa"/>
          </w:tcPr>
          <w:p w:rsidR="00000000" w:rsidRDefault="00000000">
            <w:pPr>
              <w:spacing w:line="240" w:lineRule="auto"/>
              <w:jc w:val="center"/>
              <w:rPr>
                <w:sz w:val="20"/>
                <w:lang w:val="en-US"/>
              </w:rPr>
            </w:pPr>
            <w:r>
              <w:rPr>
                <w:sz w:val="20"/>
                <w:lang w:val="en-US"/>
              </w:rPr>
              <w:t>1990</w:t>
            </w:r>
          </w:p>
        </w:tc>
        <w:tc>
          <w:tcPr>
            <w:tcW w:w="812" w:type="dxa"/>
          </w:tcPr>
          <w:p w:rsidR="00000000" w:rsidRDefault="00000000">
            <w:pPr>
              <w:spacing w:line="240" w:lineRule="auto"/>
              <w:jc w:val="center"/>
              <w:rPr>
                <w:sz w:val="20"/>
                <w:lang w:val="en-US"/>
              </w:rPr>
            </w:pPr>
            <w:r>
              <w:rPr>
                <w:sz w:val="20"/>
                <w:lang w:val="en-US"/>
              </w:rPr>
              <w:t>1995</w:t>
            </w:r>
          </w:p>
        </w:tc>
        <w:tc>
          <w:tcPr>
            <w:tcW w:w="700" w:type="dxa"/>
          </w:tcPr>
          <w:p w:rsidR="00000000" w:rsidRDefault="00000000">
            <w:pPr>
              <w:spacing w:line="240" w:lineRule="auto"/>
              <w:jc w:val="center"/>
              <w:rPr>
                <w:sz w:val="20"/>
                <w:lang w:val="en-US"/>
              </w:rPr>
            </w:pPr>
            <w:r>
              <w:rPr>
                <w:sz w:val="20"/>
                <w:lang w:val="en-US"/>
              </w:rPr>
              <w:t>2000</w:t>
            </w:r>
          </w:p>
        </w:tc>
        <w:tc>
          <w:tcPr>
            <w:tcW w:w="784" w:type="dxa"/>
          </w:tcPr>
          <w:p w:rsidR="00000000" w:rsidRDefault="00000000">
            <w:pPr>
              <w:spacing w:line="240" w:lineRule="auto"/>
              <w:jc w:val="center"/>
              <w:rPr>
                <w:sz w:val="20"/>
                <w:lang w:val="en-US"/>
              </w:rPr>
            </w:pPr>
            <w:r>
              <w:rPr>
                <w:sz w:val="20"/>
                <w:lang w:val="en-US"/>
              </w:rPr>
              <w:t>2001</w:t>
            </w:r>
          </w:p>
        </w:tc>
        <w:tc>
          <w:tcPr>
            <w:tcW w:w="592" w:type="dxa"/>
          </w:tcPr>
          <w:p w:rsidR="00000000" w:rsidRDefault="00000000">
            <w:pPr>
              <w:spacing w:line="240" w:lineRule="auto"/>
              <w:jc w:val="center"/>
              <w:rPr>
                <w:sz w:val="20"/>
                <w:lang w:val="en-US"/>
              </w:rPr>
            </w:pPr>
            <w:r>
              <w:rPr>
                <w:sz w:val="20"/>
                <w:lang w:val="en-US"/>
              </w:rPr>
              <w:t>2001</w:t>
            </w:r>
          </w:p>
        </w:tc>
      </w:tr>
      <w:tr w:rsidR="00000000">
        <w:tblPrEx>
          <w:tblCellMar>
            <w:top w:w="0" w:type="dxa"/>
            <w:bottom w:w="0" w:type="dxa"/>
          </w:tblCellMar>
        </w:tblPrEx>
        <w:trPr>
          <w:cantSplit/>
        </w:trPr>
        <w:tc>
          <w:tcPr>
            <w:tcW w:w="1862" w:type="dxa"/>
            <w:vMerge/>
          </w:tcPr>
          <w:p w:rsidR="00000000" w:rsidRDefault="00000000">
            <w:pPr>
              <w:spacing w:line="240" w:lineRule="auto"/>
              <w:rPr>
                <w:sz w:val="20"/>
              </w:rPr>
            </w:pPr>
          </w:p>
        </w:tc>
        <w:tc>
          <w:tcPr>
            <w:tcW w:w="3863" w:type="dxa"/>
            <w:gridSpan w:val="5"/>
          </w:tcPr>
          <w:p w:rsidR="00000000" w:rsidRDefault="00000000">
            <w:pPr>
              <w:spacing w:line="240" w:lineRule="auto"/>
              <w:jc w:val="center"/>
              <w:rPr>
                <w:sz w:val="18"/>
              </w:rPr>
            </w:pPr>
            <w:r>
              <w:rPr>
                <w:sz w:val="18"/>
              </w:rPr>
              <w:t>в тыс. человек</w:t>
            </w:r>
          </w:p>
        </w:tc>
        <w:tc>
          <w:tcPr>
            <w:tcW w:w="3686" w:type="dxa"/>
            <w:gridSpan w:val="5"/>
          </w:tcPr>
          <w:p w:rsidR="00000000" w:rsidRDefault="00000000">
            <w:pPr>
              <w:spacing w:line="240" w:lineRule="auto"/>
              <w:jc w:val="center"/>
              <w:rPr>
                <w:sz w:val="18"/>
              </w:rPr>
            </w:pPr>
            <w:r>
              <w:rPr>
                <w:sz w:val="18"/>
              </w:rPr>
              <w:t>в процентах от соответствующей группы населения</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Всего</w:t>
            </w:r>
          </w:p>
        </w:tc>
        <w:tc>
          <w:tcPr>
            <w:tcW w:w="770" w:type="dxa"/>
          </w:tcPr>
          <w:p w:rsidR="00000000" w:rsidRDefault="00000000">
            <w:pPr>
              <w:spacing w:line="240" w:lineRule="auto"/>
              <w:jc w:val="right"/>
              <w:rPr>
                <w:sz w:val="20"/>
                <w:lang w:val="en-US"/>
              </w:rPr>
            </w:pPr>
            <w:r>
              <w:rPr>
                <w:sz w:val="20"/>
                <w:lang w:val="en-US"/>
              </w:rPr>
              <w:t>5 644</w:t>
            </w:r>
          </w:p>
        </w:tc>
        <w:tc>
          <w:tcPr>
            <w:tcW w:w="784" w:type="dxa"/>
          </w:tcPr>
          <w:p w:rsidR="00000000" w:rsidRDefault="00000000">
            <w:pPr>
              <w:spacing w:line="240" w:lineRule="auto"/>
              <w:jc w:val="right"/>
              <w:rPr>
                <w:sz w:val="20"/>
                <w:lang w:val="en-US"/>
              </w:rPr>
            </w:pPr>
            <w:r>
              <w:rPr>
                <w:sz w:val="20"/>
                <w:lang w:val="en-US"/>
              </w:rPr>
              <w:t>6 063</w:t>
            </w:r>
          </w:p>
        </w:tc>
        <w:tc>
          <w:tcPr>
            <w:tcW w:w="798" w:type="dxa"/>
          </w:tcPr>
          <w:p w:rsidR="00000000" w:rsidRDefault="00000000">
            <w:pPr>
              <w:spacing w:line="240" w:lineRule="auto"/>
              <w:jc w:val="right"/>
              <w:rPr>
                <w:sz w:val="20"/>
                <w:lang w:val="en-US"/>
              </w:rPr>
            </w:pPr>
            <w:r>
              <w:rPr>
                <w:sz w:val="20"/>
                <w:lang w:val="en-US"/>
              </w:rPr>
              <w:t>6 917</w:t>
            </w:r>
          </w:p>
        </w:tc>
        <w:tc>
          <w:tcPr>
            <w:tcW w:w="812" w:type="dxa"/>
          </w:tcPr>
          <w:p w:rsidR="00000000" w:rsidRDefault="00000000">
            <w:pPr>
              <w:spacing w:line="240" w:lineRule="auto"/>
              <w:jc w:val="right"/>
              <w:rPr>
                <w:sz w:val="20"/>
                <w:lang w:val="en-US"/>
              </w:rPr>
            </w:pPr>
            <w:r>
              <w:rPr>
                <w:sz w:val="20"/>
                <w:lang w:val="en-US"/>
              </w:rPr>
              <w:t>7 064</w:t>
            </w:r>
          </w:p>
        </w:tc>
        <w:tc>
          <w:tcPr>
            <w:tcW w:w="699" w:type="dxa"/>
          </w:tcPr>
          <w:p w:rsidR="00000000" w:rsidRDefault="00000000">
            <w:pPr>
              <w:spacing w:line="240" w:lineRule="auto"/>
              <w:jc w:val="right"/>
              <w:rPr>
                <w:sz w:val="20"/>
                <w:lang w:val="en-US"/>
              </w:rPr>
            </w:pPr>
            <w:r>
              <w:rPr>
                <w:sz w:val="20"/>
                <w:lang w:val="en-US"/>
              </w:rPr>
              <w:t>7 141</w:t>
            </w:r>
          </w:p>
        </w:tc>
        <w:tc>
          <w:tcPr>
            <w:tcW w:w="798" w:type="dxa"/>
          </w:tcPr>
          <w:p w:rsidR="00000000" w:rsidRDefault="00000000">
            <w:pPr>
              <w:spacing w:line="240" w:lineRule="auto"/>
              <w:jc w:val="center"/>
              <w:rPr>
                <w:sz w:val="20"/>
                <w:lang w:val="en-US"/>
              </w:rPr>
            </w:pPr>
            <w:r>
              <w:rPr>
                <w:sz w:val="20"/>
                <w:lang w:val="en-US"/>
              </w:rPr>
              <w:t>55</w:t>
            </w:r>
          </w:p>
        </w:tc>
        <w:tc>
          <w:tcPr>
            <w:tcW w:w="812" w:type="dxa"/>
          </w:tcPr>
          <w:p w:rsidR="00000000" w:rsidRDefault="00000000">
            <w:pPr>
              <w:spacing w:line="240" w:lineRule="auto"/>
              <w:jc w:val="center"/>
              <w:rPr>
                <w:sz w:val="20"/>
                <w:lang w:val="en-US"/>
              </w:rPr>
            </w:pPr>
            <w:r>
              <w:rPr>
                <w:sz w:val="20"/>
                <w:lang w:val="en-US"/>
              </w:rPr>
              <w:t>58</w:t>
            </w:r>
          </w:p>
        </w:tc>
        <w:tc>
          <w:tcPr>
            <w:tcW w:w="700" w:type="dxa"/>
          </w:tcPr>
          <w:p w:rsidR="00000000" w:rsidRDefault="00000000">
            <w:pPr>
              <w:spacing w:line="240" w:lineRule="auto"/>
              <w:jc w:val="center"/>
              <w:rPr>
                <w:sz w:val="20"/>
                <w:lang w:val="en-US"/>
              </w:rPr>
            </w:pPr>
            <w:r>
              <w:rPr>
                <w:sz w:val="20"/>
                <w:lang w:val="en-US"/>
              </w:rPr>
              <w:t>65</w:t>
            </w:r>
          </w:p>
        </w:tc>
        <w:tc>
          <w:tcPr>
            <w:tcW w:w="784" w:type="dxa"/>
          </w:tcPr>
          <w:p w:rsidR="00000000" w:rsidRDefault="00000000">
            <w:pPr>
              <w:spacing w:line="240" w:lineRule="auto"/>
              <w:jc w:val="center"/>
              <w:rPr>
                <w:sz w:val="20"/>
                <w:lang w:val="en-US"/>
              </w:rPr>
            </w:pPr>
            <w:r>
              <w:rPr>
                <w:sz w:val="20"/>
                <w:lang w:val="en-US"/>
              </w:rPr>
              <w:t>65</w:t>
            </w:r>
          </w:p>
        </w:tc>
        <w:tc>
          <w:tcPr>
            <w:tcW w:w="592" w:type="dxa"/>
          </w:tcPr>
          <w:p w:rsidR="00000000" w:rsidRDefault="00000000">
            <w:pPr>
              <w:spacing w:line="240" w:lineRule="auto"/>
              <w:jc w:val="center"/>
              <w:rPr>
                <w:sz w:val="20"/>
                <w:lang w:val="en-US"/>
              </w:rPr>
            </w:pPr>
            <w:r>
              <w:rPr>
                <w:sz w:val="20"/>
                <w:lang w:val="en-US"/>
              </w:rPr>
              <w:t>66</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Мужчины</w:t>
            </w:r>
          </w:p>
        </w:tc>
        <w:tc>
          <w:tcPr>
            <w:tcW w:w="770" w:type="dxa"/>
          </w:tcPr>
          <w:p w:rsidR="00000000" w:rsidRDefault="00000000">
            <w:pPr>
              <w:spacing w:line="240" w:lineRule="auto"/>
              <w:jc w:val="right"/>
              <w:rPr>
                <w:sz w:val="20"/>
                <w:lang w:val="en-US"/>
              </w:rPr>
            </w:pPr>
            <w:r>
              <w:rPr>
                <w:sz w:val="20"/>
                <w:lang w:val="en-US"/>
              </w:rPr>
              <w:t>3 686</w:t>
            </w:r>
          </w:p>
        </w:tc>
        <w:tc>
          <w:tcPr>
            <w:tcW w:w="784" w:type="dxa"/>
          </w:tcPr>
          <w:p w:rsidR="00000000" w:rsidRDefault="00000000">
            <w:pPr>
              <w:spacing w:line="240" w:lineRule="auto"/>
              <w:jc w:val="right"/>
              <w:rPr>
                <w:sz w:val="20"/>
                <w:lang w:val="en-US"/>
              </w:rPr>
            </w:pPr>
            <w:r>
              <w:rPr>
                <w:sz w:val="20"/>
                <w:lang w:val="en-US"/>
              </w:rPr>
              <w:t>3 814</w:t>
            </w:r>
          </w:p>
        </w:tc>
        <w:tc>
          <w:tcPr>
            <w:tcW w:w="798" w:type="dxa"/>
          </w:tcPr>
          <w:p w:rsidR="00000000" w:rsidRDefault="00000000">
            <w:pPr>
              <w:spacing w:line="240" w:lineRule="auto"/>
              <w:jc w:val="right"/>
              <w:rPr>
                <w:sz w:val="20"/>
                <w:lang w:val="en-US"/>
              </w:rPr>
            </w:pPr>
            <w:r>
              <w:rPr>
                <w:sz w:val="20"/>
                <w:lang w:val="en-US"/>
              </w:rPr>
              <w:t>4 164</w:t>
            </w:r>
          </w:p>
        </w:tc>
        <w:tc>
          <w:tcPr>
            <w:tcW w:w="812" w:type="dxa"/>
          </w:tcPr>
          <w:p w:rsidR="00000000" w:rsidRDefault="00000000">
            <w:pPr>
              <w:spacing w:line="240" w:lineRule="auto"/>
              <w:jc w:val="right"/>
              <w:rPr>
                <w:sz w:val="20"/>
                <w:lang w:val="en-US"/>
              </w:rPr>
            </w:pPr>
            <w:r>
              <w:rPr>
                <w:sz w:val="20"/>
                <w:lang w:val="en-US"/>
              </w:rPr>
              <w:t>4 209</w:t>
            </w:r>
          </w:p>
        </w:tc>
        <w:tc>
          <w:tcPr>
            <w:tcW w:w="699" w:type="dxa"/>
          </w:tcPr>
          <w:p w:rsidR="00000000" w:rsidRDefault="00000000">
            <w:pPr>
              <w:spacing w:line="240" w:lineRule="auto"/>
              <w:jc w:val="right"/>
              <w:rPr>
                <w:sz w:val="20"/>
                <w:lang w:val="en-US"/>
              </w:rPr>
            </w:pPr>
            <w:r>
              <w:rPr>
                <w:sz w:val="20"/>
                <w:lang w:val="en-US"/>
              </w:rPr>
              <w:t>4 219</w:t>
            </w:r>
          </w:p>
        </w:tc>
        <w:tc>
          <w:tcPr>
            <w:tcW w:w="798" w:type="dxa"/>
          </w:tcPr>
          <w:p w:rsidR="00000000" w:rsidRDefault="00000000">
            <w:pPr>
              <w:spacing w:line="240" w:lineRule="auto"/>
              <w:jc w:val="center"/>
              <w:rPr>
                <w:sz w:val="20"/>
                <w:lang w:val="en-US"/>
              </w:rPr>
            </w:pPr>
            <w:r>
              <w:rPr>
                <w:sz w:val="20"/>
                <w:lang w:val="en-US"/>
              </w:rPr>
              <w:t>71</w:t>
            </w:r>
          </w:p>
        </w:tc>
        <w:tc>
          <w:tcPr>
            <w:tcW w:w="812" w:type="dxa"/>
          </w:tcPr>
          <w:p w:rsidR="00000000" w:rsidRDefault="00000000">
            <w:pPr>
              <w:spacing w:line="240" w:lineRule="auto"/>
              <w:jc w:val="center"/>
              <w:rPr>
                <w:sz w:val="20"/>
                <w:lang w:val="en-US"/>
              </w:rPr>
            </w:pPr>
            <w:r>
              <w:rPr>
                <w:sz w:val="20"/>
                <w:lang w:val="en-US"/>
              </w:rPr>
              <w:t>72</w:t>
            </w:r>
          </w:p>
        </w:tc>
        <w:tc>
          <w:tcPr>
            <w:tcW w:w="700" w:type="dxa"/>
          </w:tcPr>
          <w:p w:rsidR="00000000" w:rsidRDefault="00000000">
            <w:pPr>
              <w:spacing w:line="240" w:lineRule="auto"/>
              <w:jc w:val="center"/>
              <w:rPr>
                <w:sz w:val="20"/>
                <w:lang w:val="en-US"/>
              </w:rPr>
            </w:pPr>
            <w:r>
              <w:rPr>
                <w:sz w:val="20"/>
                <w:lang w:val="en-US"/>
              </w:rPr>
              <w:t>77</w:t>
            </w:r>
          </w:p>
        </w:tc>
        <w:tc>
          <w:tcPr>
            <w:tcW w:w="784" w:type="dxa"/>
          </w:tcPr>
          <w:p w:rsidR="00000000" w:rsidRDefault="00000000">
            <w:pPr>
              <w:spacing w:line="240" w:lineRule="auto"/>
              <w:jc w:val="center"/>
              <w:rPr>
                <w:sz w:val="20"/>
                <w:lang w:val="en-US"/>
              </w:rPr>
            </w:pPr>
            <w:r>
              <w:rPr>
                <w:sz w:val="20"/>
                <w:lang w:val="en-US"/>
              </w:rPr>
              <w:t>77</w:t>
            </w:r>
          </w:p>
        </w:tc>
        <w:tc>
          <w:tcPr>
            <w:tcW w:w="592" w:type="dxa"/>
          </w:tcPr>
          <w:p w:rsidR="00000000" w:rsidRDefault="00000000">
            <w:pPr>
              <w:spacing w:line="240" w:lineRule="auto"/>
              <w:jc w:val="center"/>
              <w:rPr>
                <w:sz w:val="20"/>
                <w:lang w:val="en-US"/>
              </w:rPr>
            </w:pPr>
            <w:r>
              <w:rPr>
                <w:sz w:val="20"/>
                <w:lang w:val="en-US"/>
              </w:rPr>
              <w:t>77</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Женщины</w:t>
            </w:r>
          </w:p>
        </w:tc>
        <w:tc>
          <w:tcPr>
            <w:tcW w:w="770" w:type="dxa"/>
          </w:tcPr>
          <w:p w:rsidR="00000000" w:rsidRDefault="00000000">
            <w:pPr>
              <w:spacing w:line="240" w:lineRule="auto"/>
              <w:jc w:val="right"/>
              <w:rPr>
                <w:sz w:val="20"/>
                <w:lang w:val="en-US"/>
              </w:rPr>
            </w:pPr>
            <w:r>
              <w:rPr>
                <w:sz w:val="20"/>
                <w:lang w:val="en-US"/>
              </w:rPr>
              <w:t>1 958</w:t>
            </w:r>
          </w:p>
        </w:tc>
        <w:tc>
          <w:tcPr>
            <w:tcW w:w="784" w:type="dxa"/>
          </w:tcPr>
          <w:p w:rsidR="00000000" w:rsidRDefault="00000000">
            <w:pPr>
              <w:spacing w:line="240" w:lineRule="auto"/>
              <w:jc w:val="right"/>
              <w:rPr>
                <w:sz w:val="20"/>
                <w:lang w:val="en-US"/>
              </w:rPr>
            </w:pPr>
            <w:r>
              <w:rPr>
                <w:sz w:val="20"/>
                <w:lang w:val="en-US"/>
              </w:rPr>
              <w:t>2 249</w:t>
            </w:r>
          </w:p>
        </w:tc>
        <w:tc>
          <w:tcPr>
            <w:tcW w:w="798" w:type="dxa"/>
          </w:tcPr>
          <w:p w:rsidR="00000000" w:rsidRDefault="00000000">
            <w:pPr>
              <w:spacing w:line="240" w:lineRule="auto"/>
              <w:jc w:val="right"/>
              <w:rPr>
                <w:sz w:val="20"/>
                <w:lang w:val="en-US"/>
              </w:rPr>
            </w:pPr>
            <w:r>
              <w:rPr>
                <w:sz w:val="20"/>
                <w:lang w:val="en-US"/>
              </w:rPr>
              <w:t>2 755</w:t>
            </w:r>
          </w:p>
        </w:tc>
        <w:tc>
          <w:tcPr>
            <w:tcW w:w="812" w:type="dxa"/>
          </w:tcPr>
          <w:p w:rsidR="00000000" w:rsidRDefault="00000000">
            <w:pPr>
              <w:spacing w:line="240" w:lineRule="auto"/>
              <w:jc w:val="right"/>
              <w:rPr>
                <w:sz w:val="20"/>
                <w:lang w:val="en-US"/>
              </w:rPr>
            </w:pPr>
            <w:r>
              <w:rPr>
                <w:sz w:val="20"/>
                <w:lang w:val="en-US"/>
              </w:rPr>
              <w:t>2 856</w:t>
            </w:r>
          </w:p>
        </w:tc>
        <w:tc>
          <w:tcPr>
            <w:tcW w:w="699" w:type="dxa"/>
          </w:tcPr>
          <w:p w:rsidR="00000000" w:rsidRDefault="00000000">
            <w:pPr>
              <w:spacing w:line="240" w:lineRule="auto"/>
              <w:jc w:val="right"/>
              <w:rPr>
                <w:sz w:val="20"/>
                <w:lang w:val="en-US"/>
              </w:rPr>
            </w:pPr>
            <w:r>
              <w:rPr>
                <w:sz w:val="20"/>
                <w:lang w:val="en-US"/>
              </w:rPr>
              <w:t>2 922</w:t>
            </w:r>
          </w:p>
        </w:tc>
        <w:tc>
          <w:tcPr>
            <w:tcW w:w="798" w:type="dxa"/>
          </w:tcPr>
          <w:p w:rsidR="00000000" w:rsidRDefault="00000000">
            <w:pPr>
              <w:spacing w:line="240" w:lineRule="auto"/>
              <w:jc w:val="center"/>
              <w:rPr>
                <w:sz w:val="20"/>
                <w:lang w:val="en-US"/>
              </w:rPr>
            </w:pPr>
            <w:r>
              <w:rPr>
                <w:sz w:val="20"/>
                <w:lang w:val="en-US"/>
              </w:rPr>
              <w:t>39</w:t>
            </w:r>
          </w:p>
        </w:tc>
        <w:tc>
          <w:tcPr>
            <w:tcW w:w="812" w:type="dxa"/>
          </w:tcPr>
          <w:p w:rsidR="00000000" w:rsidRDefault="00000000">
            <w:pPr>
              <w:spacing w:line="240" w:lineRule="auto"/>
              <w:jc w:val="center"/>
              <w:rPr>
                <w:sz w:val="20"/>
                <w:lang w:val="en-US"/>
              </w:rPr>
            </w:pPr>
            <w:r>
              <w:rPr>
                <w:sz w:val="20"/>
                <w:lang w:val="en-US"/>
              </w:rPr>
              <w:t>44</w:t>
            </w:r>
          </w:p>
        </w:tc>
        <w:tc>
          <w:tcPr>
            <w:tcW w:w="700" w:type="dxa"/>
          </w:tcPr>
          <w:p w:rsidR="00000000" w:rsidRDefault="00000000">
            <w:pPr>
              <w:spacing w:line="240" w:lineRule="auto"/>
              <w:jc w:val="center"/>
              <w:rPr>
                <w:sz w:val="20"/>
                <w:lang w:val="en-US"/>
              </w:rPr>
            </w:pPr>
            <w:r>
              <w:rPr>
                <w:sz w:val="20"/>
                <w:lang w:val="en-US"/>
              </w:rPr>
              <w:t>52</w:t>
            </w:r>
          </w:p>
        </w:tc>
        <w:tc>
          <w:tcPr>
            <w:tcW w:w="784" w:type="dxa"/>
          </w:tcPr>
          <w:p w:rsidR="00000000" w:rsidRDefault="00000000">
            <w:pPr>
              <w:spacing w:line="240" w:lineRule="auto"/>
              <w:jc w:val="center"/>
              <w:rPr>
                <w:sz w:val="20"/>
                <w:lang w:val="en-US"/>
              </w:rPr>
            </w:pPr>
            <w:r>
              <w:rPr>
                <w:sz w:val="20"/>
                <w:lang w:val="en-US"/>
              </w:rPr>
              <w:t>54</w:t>
            </w:r>
          </w:p>
        </w:tc>
        <w:tc>
          <w:tcPr>
            <w:tcW w:w="592" w:type="dxa"/>
          </w:tcPr>
          <w:p w:rsidR="00000000" w:rsidRDefault="00000000">
            <w:pPr>
              <w:spacing w:line="240" w:lineRule="auto"/>
              <w:jc w:val="center"/>
              <w:rPr>
                <w:sz w:val="20"/>
                <w:lang w:val="en-US"/>
              </w:rPr>
            </w:pPr>
            <w:r>
              <w:rPr>
                <w:sz w:val="20"/>
                <w:lang w:val="en-US"/>
              </w:rPr>
              <w:t>54</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15-24 года</w:t>
            </w:r>
          </w:p>
        </w:tc>
        <w:tc>
          <w:tcPr>
            <w:tcW w:w="770" w:type="dxa"/>
          </w:tcPr>
          <w:p w:rsidR="00000000" w:rsidRDefault="00000000">
            <w:pPr>
              <w:spacing w:line="240" w:lineRule="auto"/>
              <w:jc w:val="right"/>
              <w:rPr>
                <w:sz w:val="20"/>
                <w:lang w:val="en-US"/>
              </w:rPr>
            </w:pPr>
            <w:r>
              <w:rPr>
                <w:sz w:val="20"/>
                <w:lang w:val="en-US"/>
              </w:rPr>
              <w:t>973</w:t>
            </w:r>
          </w:p>
        </w:tc>
        <w:tc>
          <w:tcPr>
            <w:tcW w:w="784" w:type="dxa"/>
          </w:tcPr>
          <w:p w:rsidR="00000000" w:rsidRDefault="00000000">
            <w:pPr>
              <w:spacing w:line="240" w:lineRule="auto"/>
              <w:jc w:val="right"/>
              <w:rPr>
                <w:sz w:val="20"/>
                <w:lang w:val="en-US"/>
              </w:rPr>
            </w:pPr>
            <w:r>
              <w:rPr>
                <w:sz w:val="20"/>
                <w:lang w:val="en-US"/>
              </w:rPr>
              <w:t>776</w:t>
            </w:r>
          </w:p>
        </w:tc>
        <w:tc>
          <w:tcPr>
            <w:tcW w:w="798" w:type="dxa"/>
          </w:tcPr>
          <w:p w:rsidR="00000000" w:rsidRDefault="00000000">
            <w:pPr>
              <w:spacing w:line="240" w:lineRule="auto"/>
              <w:jc w:val="right"/>
              <w:rPr>
                <w:sz w:val="20"/>
                <w:lang w:val="en-US"/>
              </w:rPr>
            </w:pPr>
            <w:r>
              <w:rPr>
                <w:sz w:val="20"/>
                <w:lang w:val="en-US"/>
              </w:rPr>
              <w:t>821</w:t>
            </w:r>
          </w:p>
        </w:tc>
        <w:tc>
          <w:tcPr>
            <w:tcW w:w="812" w:type="dxa"/>
          </w:tcPr>
          <w:p w:rsidR="00000000" w:rsidRDefault="00000000">
            <w:pPr>
              <w:spacing w:line="240" w:lineRule="auto"/>
              <w:jc w:val="right"/>
              <w:rPr>
                <w:sz w:val="20"/>
                <w:lang w:val="en-US"/>
              </w:rPr>
            </w:pPr>
            <w:r>
              <w:rPr>
                <w:sz w:val="20"/>
                <w:lang w:val="en-US"/>
              </w:rPr>
              <w:t>854</w:t>
            </w:r>
          </w:p>
        </w:tc>
        <w:tc>
          <w:tcPr>
            <w:tcW w:w="699" w:type="dxa"/>
          </w:tcPr>
          <w:p w:rsidR="00000000" w:rsidRDefault="00000000">
            <w:pPr>
              <w:spacing w:line="240" w:lineRule="auto"/>
              <w:jc w:val="right"/>
              <w:rPr>
                <w:sz w:val="20"/>
                <w:lang w:val="en-US"/>
              </w:rPr>
            </w:pPr>
            <w:r>
              <w:rPr>
                <w:sz w:val="20"/>
                <w:lang w:val="en-US"/>
              </w:rPr>
              <w:t>838</w:t>
            </w:r>
          </w:p>
        </w:tc>
        <w:tc>
          <w:tcPr>
            <w:tcW w:w="798" w:type="dxa"/>
          </w:tcPr>
          <w:p w:rsidR="00000000" w:rsidRDefault="00000000">
            <w:pPr>
              <w:spacing w:line="240" w:lineRule="auto"/>
              <w:jc w:val="center"/>
              <w:rPr>
                <w:sz w:val="20"/>
                <w:lang w:val="en-US"/>
              </w:rPr>
            </w:pPr>
            <w:r>
              <w:rPr>
                <w:sz w:val="20"/>
                <w:lang w:val="en-US"/>
              </w:rPr>
              <w:t>42</w:t>
            </w:r>
          </w:p>
        </w:tc>
        <w:tc>
          <w:tcPr>
            <w:tcW w:w="812" w:type="dxa"/>
          </w:tcPr>
          <w:p w:rsidR="00000000" w:rsidRDefault="00000000">
            <w:pPr>
              <w:spacing w:line="240" w:lineRule="auto"/>
              <w:jc w:val="center"/>
              <w:rPr>
                <w:sz w:val="20"/>
                <w:lang w:val="en-US"/>
              </w:rPr>
            </w:pPr>
            <w:r>
              <w:rPr>
                <w:sz w:val="20"/>
                <w:lang w:val="en-US"/>
              </w:rPr>
              <w:t>39</w:t>
            </w:r>
          </w:p>
        </w:tc>
        <w:tc>
          <w:tcPr>
            <w:tcW w:w="700" w:type="dxa"/>
          </w:tcPr>
          <w:p w:rsidR="00000000" w:rsidRDefault="00000000">
            <w:pPr>
              <w:spacing w:line="240" w:lineRule="auto"/>
              <w:jc w:val="center"/>
              <w:rPr>
                <w:sz w:val="20"/>
                <w:lang w:val="en-US"/>
              </w:rPr>
            </w:pPr>
            <w:r>
              <w:rPr>
                <w:sz w:val="20"/>
                <w:lang w:val="en-US"/>
              </w:rPr>
              <w:t>44</w:t>
            </w:r>
          </w:p>
        </w:tc>
        <w:tc>
          <w:tcPr>
            <w:tcW w:w="784" w:type="dxa"/>
          </w:tcPr>
          <w:p w:rsidR="00000000" w:rsidRDefault="00000000">
            <w:pPr>
              <w:spacing w:line="240" w:lineRule="auto"/>
              <w:jc w:val="center"/>
              <w:rPr>
                <w:sz w:val="20"/>
                <w:lang w:val="en-US"/>
              </w:rPr>
            </w:pPr>
            <w:r>
              <w:rPr>
                <w:sz w:val="20"/>
                <w:lang w:val="en-US"/>
              </w:rPr>
              <w:t>45</w:t>
            </w:r>
          </w:p>
        </w:tc>
        <w:tc>
          <w:tcPr>
            <w:tcW w:w="592" w:type="dxa"/>
          </w:tcPr>
          <w:p w:rsidR="00000000" w:rsidRDefault="00000000">
            <w:pPr>
              <w:spacing w:line="240" w:lineRule="auto"/>
              <w:jc w:val="center"/>
              <w:rPr>
                <w:sz w:val="20"/>
                <w:lang w:val="en-US"/>
              </w:rPr>
            </w:pPr>
            <w:r>
              <w:rPr>
                <w:sz w:val="20"/>
                <w:lang w:val="en-US"/>
              </w:rPr>
              <w:t>44</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25-49 лет</w:t>
            </w:r>
          </w:p>
        </w:tc>
        <w:tc>
          <w:tcPr>
            <w:tcW w:w="770" w:type="dxa"/>
          </w:tcPr>
          <w:p w:rsidR="00000000" w:rsidRDefault="00000000">
            <w:pPr>
              <w:spacing w:line="240" w:lineRule="auto"/>
              <w:jc w:val="right"/>
              <w:rPr>
                <w:sz w:val="20"/>
                <w:lang w:val="en-US"/>
              </w:rPr>
            </w:pPr>
            <w:r>
              <w:rPr>
                <w:sz w:val="20"/>
                <w:lang w:val="en-US"/>
              </w:rPr>
              <w:t>3 902</w:t>
            </w:r>
          </w:p>
        </w:tc>
        <w:tc>
          <w:tcPr>
            <w:tcW w:w="784" w:type="dxa"/>
          </w:tcPr>
          <w:p w:rsidR="00000000" w:rsidRDefault="00000000">
            <w:pPr>
              <w:spacing w:line="240" w:lineRule="auto"/>
              <w:jc w:val="right"/>
              <w:rPr>
                <w:sz w:val="20"/>
                <w:lang w:val="en-US"/>
              </w:rPr>
            </w:pPr>
            <w:r>
              <w:rPr>
                <w:sz w:val="20"/>
                <w:lang w:val="en-US"/>
              </w:rPr>
              <w:t>4 387</w:t>
            </w:r>
          </w:p>
        </w:tc>
        <w:tc>
          <w:tcPr>
            <w:tcW w:w="798" w:type="dxa"/>
          </w:tcPr>
          <w:p w:rsidR="00000000" w:rsidRDefault="00000000">
            <w:pPr>
              <w:spacing w:line="240" w:lineRule="auto"/>
              <w:jc w:val="right"/>
              <w:rPr>
                <w:sz w:val="20"/>
                <w:lang w:val="en-US"/>
              </w:rPr>
            </w:pPr>
            <w:r>
              <w:rPr>
                <w:sz w:val="20"/>
                <w:lang w:val="en-US"/>
              </w:rPr>
              <w:t>4 792</w:t>
            </w:r>
          </w:p>
        </w:tc>
        <w:tc>
          <w:tcPr>
            <w:tcW w:w="812" w:type="dxa"/>
          </w:tcPr>
          <w:p w:rsidR="00000000" w:rsidRDefault="00000000">
            <w:pPr>
              <w:spacing w:line="240" w:lineRule="auto"/>
              <w:jc w:val="right"/>
              <w:rPr>
                <w:sz w:val="20"/>
                <w:lang w:val="en-US"/>
              </w:rPr>
            </w:pPr>
            <w:r>
              <w:rPr>
                <w:sz w:val="20"/>
                <w:lang w:val="en-US"/>
              </w:rPr>
              <w:t>4 839</w:t>
            </w:r>
          </w:p>
        </w:tc>
        <w:tc>
          <w:tcPr>
            <w:tcW w:w="699" w:type="dxa"/>
          </w:tcPr>
          <w:p w:rsidR="00000000" w:rsidRDefault="00000000">
            <w:pPr>
              <w:spacing w:line="240" w:lineRule="auto"/>
              <w:jc w:val="right"/>
              <w:rPr>
                <w:sz w:val="20"/>
                <w:lang w:val="en-US"/>
              </w:rPr>
            </w:pPr>
            <w:r>
              <w:rPr>
                <w:sz w:val="20"/>
                <w:lang w:val="en-US"/>
              </w:rPr>
              <w:t>4 839</w:t>
            </w:r>
          </w:p>
        </w:tc>
        <w:tc>
          <w:tcPr>
            <w:tcW w:w="798" w:type="dxa"/>
          </w:tcPr>
          <w:p w:rsidR="00000000" w:rsidRDefault="00000000">
            <w:pPr>
              <w:spacing w:line="240" w:lineRule="auto"/>
              <w:jc w:val="center"/>
              <w:rPr>
                <w:sz w:val="20"/>
                <w:lang w:val="en-US"/>
              </w:rPr>
            </w:pPr>
            <w:r>
              <w:rPr>
                <w:sz w:val="20"/>
                <w:lang w:val="en-US"/>
              </w:rPr>
              <w:t>68</w:t>
            </w:r>
          </w:p>
        </w:tc>
        <w:tc>
          <w:tcPr>
            <w:tcW w:w="812" w:type="dxa"/>
          </w:tcPr>
          <w:p w:rsidR="00000000" w:rsidRDefault="00000000">
            <w:pPr>
              <w:spacing w:line="240" w:lineRule="auto"/>
              <w:jc w:val="center"/>
              <w:rPr>
                <w:sz w:val="20"/>
                <w:lang w:val="en-US"/>
              </w:rPr>
            </w:pPr>
            <w:r>
              <w:rPr>
                <w:sz w:val="20"/>
                <w:lang w:val="en-US"/>
              </w:rPr>
              <w:t>71</w:t>
            </w:r>
          </w:p>
        </w:tc>
        <w:tc>
          <w:tcPr>
            <w:tcW w:w="700" w:type="dxa"/>
          </w:tcPr>
          <w:p w:rsidR="00000000" w:rsidRDefault="00000000">
            <w:pPr>
              <w:spacing w:line="240" w:lineRule="auto"/>
              <w:jc w:val="center"/>
              <w:rPr>
                <w:sz w:val="20"/>
                <w:lang w:val="en-US"/>
              </w:rPr>
            </w:pPr>
            <w:r>
              <w:rPr>
                <w:sz w:val="20"/>
                <w:lang w:val="en-US"/>
              </w:rPr>
              <w:t>78</w:t>
            </w:r>
          </w:p>
        </w:tc>
        <w:tc>
          <w:tcPr>
            <w:tcW w:w="784" w:type="dxa"/>
          </w:tcPr>
          <w:p w:rsidR="00000000" w:rsidRDefault="00000000">
            <w:pPr>
              <w:spacing w:line="240" w:lineRule="auto"/>
              <w:jc w:val="center"/>
              <w:rPr>
                <w:sz w:val="20"/>
                <w:lang w:val="en-US"/>
              </w:rPr>
            </w:pPr>
            <w:r>
              <w:rPr>
                <w:sz w:val="20"/>
                <w:lang w:val="en-US"/>
              </w:rPr>
              <w:t>79</w:t>
            </w:r>
          </w:p>
        </w:tc>
        <w:tc>
          <w:tcPr>
            <w:tcW w:w="592" w:type="dxa"/>
          </w:tcPr>
          <w:p w:rsidR="00000000" w:rsidRDefault="00000000">
            <w:pPr>
              <w:spacing w:line="240" w:lineRule="auto"/>
              <w:jc w:val="center"/>
              <w:rPr>
                <w:sz w:val="20"/>
                <w:lang w:val="en-US"/>
              </w:rPr>
            </w:pPr>
            <w:r>
              <w:rPr>
                <w:sz w:val="20"/>
                <w:lang w:val="en-US"/>
              </w:rPr>
              <w:t>79</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50-64 года</w:t>
            </w:r>
          </w:p>
        </w:tc>
        <w:tc>
          <w:tcPr>
            <w:tcW w:w="770" w:type="dxa"/>
          </w:tcPr>
          <w:p w:rsidR="00000000" w:rsidRDefault="00000000">
            <w:pPr>
              <w:spacing w:line="240" w:lineRule="auto"/>
              <w:jc w:val="right"/>
              <w:rPr>
                <w:sz w:val="20"/>
                <w:lang w:val="en-US"/>
              </w:rPr>
            </w:pPr>
            <w:r>
              <w:rPr>
                <w:sz w:val="20"/>
                <w:lang w:val="en-US"/>
              </w:rPr>
              <w:t>769</w:t>
            </w:r>
          </w:p>
        </w:tc>
        <w:tc>
          <w:tcPr>
            <w:tcW w:w="784" w:type="dxa"/>
          </w:tcPr>
          <w:p w:rsidR="00000000" w:rsidRDefault="00000000">
            <w:pPr>
              <w:spacing w:line="240" w:lineRule="auto"/>
              <w:jc w:val="right"/>
              <w:rPr>
                <w:sz w:val="20"/>
                <w:lang w:val="en-US"/>
              </w:rPr>
            </w:pPr>
            <w:r>
              <w:rPr>
                <w:sz w:val="20"/>
                <w:lang w:val="en-US"/>
              </w:rPr>
              <w:t>900</w:t>
            </w:r>
          </w:p>
        </w:tc>
        <w:tc>
          <w:tcPr>
            <w:tcW w:w="798" w:type="dxa"/>
          </w:tcPr>
          <w:p w:rsidR="00000000" w:rsidRDefault="00000000">
            <w:pPr>
              <w:spacing w:line="240" w:lineRule="auto"/>
              <w:jc w:val="right"/>
              <w:rPr>
                <w:sz w:val="20"/>
                <w:lang w:val="en-US"/>
              </w:rPr>
            </w:pPr>
            <w:r>
              <w:rPr>
                <w:sz w:val="20"/>
                <w:lang w:val="en-US"/>
              </w:rPr>
              <w:t>1 305</w:t>
            </w:r>
          </w:p>
        </w:tc>
        <w:tc>
          <w:tcPr>
            <w:tcW w:w="812" w:type="dxa"/>
          </w:tcPr>
          <w:p w:rsidR="00000000" w:rsidRDefault="00000000">
            <w:pPr>
              <w:spacing w:line="240" w:lineRule="auto"/>
              <w:jc w:val="right"/>
              <w:rPr>
                <w:sz w:val="20"/>
                <w:lang w:val="en-US"/>
              </w:rPr>
            </w:pPr>
            <w:r>
              <w:rPr>
                <w:sz w:val="20"/>
                <w:lang w:val="en-US"/>
              </w:rPr>
              <w:t>1 372</w:t>
            </w:r>
          </w:p>
        </w:tc>
        <w:tc>
          <w:tcPr>
            <w:tcW w:w="699" w:type="dxa"/>
          </w:tcPr>
          <w:p w:rsidR="00000000" w:rsidRDefault="00000000">
            <w:pPr>
              <w:spacing w:line="240" w:lineRule="auto"/>
              <w:jc w:val="right"/>
              <w:rPr>
                <w:sz w:val="20"/>
                <w:lang w:val="en-US"/>
              </w:rPr>
            </w:pPr>
            <w:r>
              <w:rPr>
                <w:sz w:val="20"/>
                <w:lang w:val="en-US"/>
              </w:rPr>
              <w:t>1 464</w:t>
            </w:r>
          </w:p>
        </w:tc>
        <w:tc>
          <w:tcPr>
            <w:tcW w:w="798" w:type="dxa"/>
          </w:tcPr>
          <w:p w:rsidR="00000000" w:rsidRDefault="00000000">
            <w:pPr>
              <w:spacing w:line="240" w:lineRule="auto"/>
              <w:jc w:val="center"/>
              <w:rPr>
                <w:sz w:val="20"/>
                <w:lang w:val="en-US"/>
              </w:rPr>
            </w:pPr>
            <w:r>
              <w:rPr>
                <w:sz w:val="20"/>
                <w:lang w:val="en-US"/>
              </w:rPr>
              <w:t>35</w:t>
            </w:r>
          </w:p>
        </w:tc>
        <w:tc>
          <w:tcPr>
            <w:tcW w:w="812" w:type="dxa"/>
          </w:tcPr>
          <w:p w:rsidR="00000000" w:rsidRDefault="00000000">
            <w:pPr>
              <w:spacing w:line="240" w:lineRule="auto"/>
              <w:jc w:val="center"/>
              <w:rPr>
                <w:sz w:val="20"/>
                <w:lang w:val="en-US"/>
              </w:rPr>
            </w:pPr>
            <w:r>
              <w:rPr>
                <w:sz w:val="20"/>
                <w:lang w:val="en-US"/>
              </w:rPr>
              <w:t>39</w:t>
            </w:r>
          </w:p>
        </w:tc>
        <w:tc>
          <w:tcPr>
            <w:tcW w:w="700" w:type="dxa"/>
          </w:tcPr>
          <w:p w:rsidR="00000000" w:rsidRDefault="00000000">
            <w:pPr>
              <w:spacing w:line="240" w:lineRule="auto"/>
              <w:jc w:val="center"/>
              <w:rPr>
                <w:sz w:val="20"/>
                <w:lang w:val="en-US"/>
              </w:rPr>
            </w:pPr>
            <w:r>
              <w:rPr>
                <w:sz w:val="20"/>
                <w:lang w:val="en-US"/>
              </w:rPr>
              <w:t>48</w:t>
            </w:r>
          </w:p>
        </w:tc>
        <w:tc>
          <w:tcPr>
            <w:tcW w:w="784" w:type="dxa"/>
          </w:tcPr>
          <w:p w:rsidR="00000000" w:rsidRDefault="00000000">
            <w:pPr>
              <w:spacing w:line="240" w:lineRule="auto"/>
              <w:jc w:val="center"/>
              <w:rPr>
                <w:sz w:val="20"/>
                <w:lang w:val="en-US"/>
              </w:rPr>
            </w:pPr>
            <w:r>
              <w:rPr>
                <w:sz w:val="20"/>
                <w:lang w:val="en-US"/>
              </w:rPr>
              <w:t>49</w:t>
            </w:r>
          </w:p>
        </w:tc>
        <w:tc>
          <w:tcPr>
            <w:tcW w:w="592" w:type="dxa"/>
          </w:tcPr>
          <w:p w:rsidR="00000000" w:rsidRDefault="00000000">
            <w:pPr>
              <w:spacing w:line="240" w:lineRule="auto"/>
              <w:jc w:val="center"/>
              <w:rPr>
                <w:sz w:val="20"/>
                <w:lang w:val="en-US"/>
              </w:rPr>
            </w:pPr>
            <w:r>
              <w:rPr>
                <w:sz w:val="20"/>
                <w:lang w:val="en-US"/>
              </w:rPr>
              <w:t>51</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Коренные голландцы</w:t>
            </w:r>
          </w:p>
        </w:tc>
        <w:tc>
          <w:tcPr>
            <w:tcW w:w="770" w:type="dxa"/>
          </w:tcPr>
          <w:p w:rsidR="00000000" w:rsidRDefault="00000000">
            <w:pPr>
              <w:spacing w:line="240" w:lineRule="auto"/>
              <w:jc w:val="center"/>
              <w:rPr>
                <w:sz w:val="20"/>
              </w:rPr>
            </w:pPr>
            <w:r>
              <w:rPr>
                <w:sz w:val="20"/>
              </w:rPr>
              <w:t>-</w:t>
            </w:r>
          </w:p>
        </w:tc>
        <w:tc>
          <w:tcPr>
            <w:tcW w:w="784" w:type="dxa"/>
          </w:tcPr>
          <w:p w:rsidR="00000000" w:rsidRDefault="00000000">
            <w:pPr>
              <w:spacing w:line="240" w:lineRule="auto"/>
              <w:jc w:val="center"/>
              <w:rPr>
                <w:sz w:val="20"/>
              </w:rPr>
            </w:pPr>
            <w:r>
              <w:rPr>
                <w:sz w:val="20"/>
              </w:rPr>
              <w:t>-</w:t>
            </w:r>
          </w:p>
        </w:tc>
        <w:tc>
          <w:tcPr>
            <w:tcW w:w="798" w:type="dxa"/>
          </w:tcPr>
          <w:p w:rsidR="00000000" w:rsidRDefault="00000000">
            <w:pPr>
              <w:spacing w:line="240" w:lineRule="auto"/>
              <w:jc w:val="right"/>
              <w:rPr>
                <w:sz w:val="20"/>
                <w:lang w:val="en-US"/>
              </w:rPr>
            </w:pPr>
            <w:r>
              <w:rPr>
                <w:sz w:val="20"/>
                <w:lang w:val="en-US"/>
              </w:rPr>
              <w:t>5 835</w:t>
            </w:r>
          </w:p>
        </w:tc>
        <w:tc>
          <w:tcPr>
            <w:tcW w:w="812" w:type="dxa"/>
          </w:tcPr>
          <w:p w:rsidR="00000000" w:rsidRDefault="00000000">
            <w:pPr>
              <w:spacing w:line="240" w:lineRule="auto"/>
              <w:jc w:val="right"/>
              <w:rPr>
                <w:sz w:val="20"/>
                <w:lang w:val="en-US"/>
              </w:rPr>
            </w:pPr>
            <w:r>
              <w:rPr>
                <w:sz w:val="20"/>
                <w:lang w:val="en-US"/>
              </w:rPr>
              <w:t>5 912</w:t>
            </w:r>
          </w:p>
        </w:tc>
        <w:tc>
          <w:tcPr>
            <w:tcW w:w="699" w:type="dxa"/>
          </w:tcPr>
          <w:p w:rsidR="00000000" w:rsidRDefault="00000000">
            <w:pPr>
              <w:spacing w:line="240" w:lineRule="auto"/>
              <w:jc w:val="right"/>
              <w:rPr>
                <w:sz w:val="20"/>
                <w:lang w:val="en-US"/>
              </w:rPr>
            </w:pPr>
            <w:r>
              <w:rPr>
                <w:sz w:val="20"/>
                <w:lang w:val="en-US"/>
              </w:rPr>
              <w:t>5 961</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67</w:t>
            </w:r>
          </w:p>
        </w:tc>
        <w:tc>
          <w:tcPr>
            <w:tcW w:w="784" w:type="dxa"/>
          </w:tcPr>
          <w:p w:rsidR="00000000" w:rsidRDefault="00000000">
            <w:pPr>
              <w:spacing w:line="240" w:lineRule="auto"/>
              <w:jc w:val="center"/>
              <w:rPr>
                <w:sz w:val="20"/>
                <w:lang w:val="en-US"/>
              </w:rPr>
            </w:pPr>
            <w:r>
              <w:rPr>
                <w:sz w:val="20"/>
                <w:lang w:val="en-US"/>
              </w:rPr>
              <w:t>67</w:t>
            </w:r>
          </w:p>
        </w:tc>
        <w:tc>
          <w:tcPr>
            <w:tcW w:w="592" w:type="dxa"/>
          </w:tcPr>
          <w:p w:rsidR="00000000" w:rsidRDefault="00000000">
            <w:pPr>
              <w:spacing w:line="240" w:lineRule="auto"/>
              <w:jc w:val="center"/>
              <w:rPr>
                <w:sz w:val="20"/>
                <w:lang w:val="en-US"/>
              </w:rPr>
            </w:pPr>
            <w:r>
              <w:rPr>
                <w:sz w:val="20"/>
                <w:lang w:val="en-US"/>
              </w:rPr>
              <w:t>68</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Этнические меньшинства</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457</w:t>
            </w:r>
          </w:p>
        </w:tc>
        <w:tc>
          <w:tcPr>
            <w:tcW w:w="812" w:type="dxa"/>
          </w:tcPr>
          <w:p w:rsidR="00000000" w:rsidRDefault="00000000">
            <w:pPr>
              <w:spacing w:line="240" w:lineRule="auto"/>
              <w:jc w:val="right"/>
              <w:rPr>
                <w:sz w:val="20"/>
                <w:lang w:val="en-US"/>
              </w:rPr>
            </w:pPr>
            <w:r>
              <w:rPr>
                <w:sz w:val="20"/>
                <w:lang w:val="en-US"/>
              </w:rPr>
              <w:t>511</w:t>
            </w:r>
          </w:p>
        </w:tc>
        <w:tc>
          <w:tcPr>
            <w:tcW w:w="699" w:type="dxa"/>
          </w:tcPr>
          <w:p w:rsidR="00000000" w:rsidRDefault="00000000">
            <w:pPr>
              <w:spacing w:line="240" w:lineRule="auto"/>
              <w:jc w:val="right"/>
              <w:rPr>
                <w:sz w:val="20"/>
                <w:lang w:val="en-US"/>
              </w:rPr>
            </w:pPr>
            <w:r>
              <w:rPr>
                <w:sz w:val="20"/>
                <w:lang w:val="en-US"/>
              </w:rPr>
              <w:t>572</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48</w:t>
            </w:r>
          </w:p>
        </w:tc>
        <w:tc>
          <w:tcPr>
            <w:tcW w:w="784" w:type="dxa"/>
          </w:tcPr>
          <w:p w:rsidR="00000000" w:rsidRDefault="00000000">
            <w:pPr>
              <w:spacing w:line="240" w:lineRule="auto"/>
              <w:jc w:val="center"/>
              <w:rPr>
                <w:sz w:val="20"/>
                <w:lang w:val="en-US"/>
              </w:rPr>
            </w:pPr>
            <w:r>
              <w:rPr>
                <w:sz w:val="20"/>
                <w:lang w:val="en-US"/>
              </w:rPr>
              <w:t>50</w:t>
            </w:r>
          </w:p>
        </w:tc>
        <w:tc>
          <w:tcPr>
            <w:tcW w:w="592" w:type="dxa"/>
          </w:tcPr>
          <w:p w:rsidR="00000000" w:rsidRDefault="00000000">
            <w:pPr>
              <w:spacing w:line="240" w:lineRule="auto"/>
              <w:jc w:val="center"/>
              <w:rPr>
                <w:sz w:val="20"/>
                <w:lang w:val="en-US"/>
              </w:rPr>
            </w:pPr>
            <w:r>
              <w:rPr>
                <w:sz w:val="20"/>
                <w:lang w:val="en-US"/>
              </w:rPr>
              <w:t>50</w:t>
            </w:r>
          </w:p>
        </w:tc>
      </w:tr>
      <w:tr w:rsidR="00000000">
        <w:tblPrEx>
          <w:tblCellMar>
            <w:top w:w="0" w:type="dxa"/>
            <w:bottom w:w="0" w:type="dxa"/>
          </w:tblCellMar>
        </w:tblPrEx>
        <w:trPr>
          <w:cantSplit/>
        </w:trPr>
        <w:tc>
          <w:tcPr>
            <w:tcW w:w="1862" w:type="dxa"/>
          </w:tcPr>
          <w:p w:rsidR="00000000" w:rsidRDefault="00000000">
            <w:pPr>
              <w:tabs>
                <w:tab w:val="left" w:pos="266"/>
              </w:tabs>
              <w:spacing w:line="240" w:lineRule="auto"/>
              <w:rPr>
                <w:sz w:val="20"/>
              </w:rPr>
            </w:pPr>
            <w:r>
              <w:rPr>
                <w:sz w:val="20"/>
              </w:rPr>
              <w:tab/>
              <w:t>турки</w:t>
            </w:r>
          </w:p>
        </w:tc>
        <w:tc>
          <w:tcPr>
            <w:tcW w:w="770" w:type="dxa"/>
          </w:tcPr>
          <w:p w:rsidR="00000000" w:rsidRDefault="00000000">
            <w:pPr>
              <w:spacing w:line="240" w:lineRule="auto"/>
              <w:jc w:val="center"/>
              <w:rPr>
                <w:sz w:val="20"/>
              </w:rPr>
            </w:pPr>
            <w:r>
              <w:rPr>
                <w:sz w:val="20"/>
              </w:rPr>
              <w:t>-</w:t>
            </w:r>
          </w:p>
        </w:tc>
        <w:tc>
          <w:tcPr>
            <w:tcW w:w="784" w:type="dxa"/>
          </w:tcPr>
          <w:p w:rsidR="00000000" w:rsidRDefault="00000000">
            <w:pPr>
              <w:spacing w:line="240" w:lineRule="auto"/>
              <w:jc w:val="center"/>
              <w:rPr>
                <w:sz w:val="20"/>
              </w:rPr>
            </w:pPr>
            <w:r>
              <w:rPr>
                <w:sz w:val="20"/>
              </w:rPr>
              <w:t>-</w:t>
            </w:r>
          </w:p>
        </w:tc>
        <w:tc>
          <w:tcPr>
            <w:tcW w:w="798" w:type="dxa"/>
          </w:tcPr>
          <w:p w:rsidR="00000000" w:rsidRDefault="00000000">
            <w:pPr>
              <w:spacing w:line="240" w:lineRule="auto"/>
              <w:jc w:val="right"/>
              <w:rPr>
                <w:sz w:val="20"/>
              </w:rPr>
            </w:pPr>
            <w:r>
              <w:rPr>
                <w:sz w:val="20"/>
              </w:rPr>
              <w:t>91</w:t>
            </w:r>
          </w:p>
        </w:tc>
        <w:tc>
          <w:tcPr>
            <w:tcW w:w="812" w:type="dxa"/>
          </w:tcPr>
          <w:p w:rsidR="00000000" w:rsidRDefault="00000000">
            <w:pPr>
              <w:spacing w:line="240" w:lineRule="auto"/>
              <w:jc w:val="right"/>
              <w:rPr>
                <w:sz w:val="20"/>
              </w:rPr>
            </w:pPr>
            <w:r>
              <w:rPr>
                <w:sz w:val="20"/>
              </w:rPr>
              <w:t>103</w:t>
            </w:r>
          </w:p>
        </w:tc>
        <w:tc>
          <w:tcPr>
            <w:tcW w:w="699" w:type="dxa"/>
          </w:tcPr>
          <w:p w:rsidR="00000000" w:rsidRDefault="00000000">
            <w:pPr>
              <w:spacing w:line="240" w:lineRule="auto"/>
              <w:jc w:val="right"/>
              <w:rPr>
                <w:sz w:val="20"/>
                <w:lang w:val="en-US"/>
              </w:rPr>
            </w:pPr>
            <w:r>
              <w:rPr>
                <w:sz w:val="20"/>
                <w:lang w:val="en-US"/>
              </w:rPr>
              <w:t>103</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44</w:t>
            </w:r>
          </w:p>
        </w:tc>
        <w:tc>
          <w:tcPr>
            <w:tcW w:w="784" w:type="dxa"/>
          </w:tcPr>
          <w:p w:rsidR="00000000" w:rsidRDefault="00000000">
            <w:pPr>
              <w:spacing w:line="240" w:lineRule="auto"/>
              <w:jc w:val="center"/>
              <w:rPr>
                <w:sz w:val="20"/>
                <w:lang w:val="en-US"/>
              </w:rPr>
            </w:pPr>
            <w:r>
              <w:rPr>
                <w:sz w:val="20"/>
                <w:lang w:val="en-US"/>
              </w:rPr>
              <w:t>48</w:t>
            </w:r>
          </w:p>
        </w:tc>
        <w:tc>
          <w:tcPr>
            <w:tcW w:w="592" w:type="dxa"/>
          </w:tcPr>
          <w:p w:rsidR="00000000" w:rsidRDefault="00000000">
            <w:pPr>
              <w:spacing w:line="240" w:lineRule="auto"/>
              <w:jc w:val="center"/>
              <w:rPr>
                <w:sz w:val="20"/>
                <w:lang w:val="en-US"/>
              </w:rPr>
            </w:pPr>
            <w:r>
              <w:rPr>
                <w:sz w:val="20"/>
                <w:lang w:val="en-US"/>
              </w:rPr>
              <w:t>46</w:t>
            </w:r>
          </w:p>
        </w:tc>
      </w:tr>
      <w:tr w:rsidR="00000000">
        <w:tblPrEx>
          <w:tblCellMar>
            <w:top w:w="0" w:type="dxa"/>
            <w:bottom w:w="0" w:type="dxa"/>
          </w:tblCellMar>
        </w:tblPrEx>
        <w:trPr>
          <w:cantSplit/>
        </w:trPr>
        <w:tc>
          <w:tcPr>
            <w:tcW w:w="1862" w:type="dxa"/>
          </w:tcPr>
          <w:p w:rsidR="00000000" w:rsidRDefault="00000000">
            <w:pPr>
              <w:tabs>
                <w:tab w:val="left" w:pos="266"/>
              </w:tabs>
              <w:spacing w:line="240" w:lineRule="auto"/>
              <w:rPr>
                <w:sz w:val="20"/>
              </w:rPr>
            </w:pPr>
            <w:r>
              <w:rPr>
                <w:sz w:val="20"/>
              </w:rPr>
              <w:tab/>
              <w:t>марокканцы</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58</w:t>
            </w:r>
          </w:p>
        </w:tc>
        <w:tc>
          <w:tcPr>
            <w:tcW w:w="812" w:type="dxa"/>
          </w:tcPr>
          <w:p w:rsidR="00000000" w:rsidRDefault="00000000">
            <w:pPr>
              <w:spacing w:line="240" w:lineRule="auto"/>
              <w:jc w:val="right"/>
              <w:rPr>
                <w:sz w:val="20"/>
                <w:lang w:val="en-US"/>
              </w:rPr>
            </w:pPr>
            <w:r>
              <w:rPr>
                <w:sz w:val="20"/>
                <w:lang w:val="en-US"/>
              </w:rPr>
              <w:t>75</w:t>
            </w:r>
          </w:p>
        </w:tc>
        <w:tc>
          <w:tcPr>
            <w:tcW w:w="699" w:type="dxa"/>
          </w:tcPr>
          <w:p w:rsidR="00000000" w:rsidRDefault="00000000">
            <w:pPr>
              <w:spacing w:line="240" w:lineRule="auto"/>
              <w:jc w:val="right"/>
              <w:rPr>
                <w:sz w:val="20"/>
                <w:lang w:val="en-US"/>
              </w:rPr>
            </w:pPr>
            <w:r>
              <w:rPr>
                <w:sz w:val="20"/>
                <w:lang w:val="en-US"/>
              </w:rPr>
              <w:t>84</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34</w:t>
            </w:r>
          </w:p>
        </w:tc>
        <w:tc>
          <w:tcPr>
            <w:tcW w:w="784" w:type="dxa"/>
          </w:tcPr>
          <w:p w:rsidR="00000000" w:rsidRDefault="00000000">
            <w:pPr>
              <w:spacing w:line="240" w:lineRule="auto"/>
              <w:jc w:val="center"/>
              <w:rPr>
                <w:sz w:val="20"/>
                <w:lang w:val="en-US"/>
              </w:rPr>
            </w:pPr>
            <w:r>
              <w:rPr>
                <w:sz w:val="20"/>
                <w:lang w:val="en-US"/>
              </w:rPr>
              <w:t>42</w:t>
            </w:r>
          </w:p>
        </w:tc>
        <w:tc>
          <w:tcPr>
            <w:tcW w:w="592" w:type="dxa"/>
          </w:tcPr>
          <w:p w:rsidR="00000000" w:rsidRDefault="00000000">
            <w:pPr>
              <w:spacing w:line="240" w:lineRule="auto"/>
              <w:jc w:val="center"/>
              <w:rPr>
                <w:sz w:val="20"/>
                <w:lang w:val="en-US"/>
              </w:rPr>
            </w:pPr>
            <w:r>
              <w:rPr>
                <w:sz w:val="20"/>
                <w:lang w:val="en-US"/>
              </w:rPr>
              <w:t>46</w:t>
            </w:r>
          </w:p>
        </w:tc>
      </w:tr>
      <w:tr w:rsidR="00000000">
        <w:tblPrEx>
          <w:tblCellMar>
            <w:top w:w="0" w:type="dxa"/>
            <w:bottom w:w="0" w:type="dxa"/>
          </w:tblCellMar>
        </w:tblPrEx>
        <w:trPr>
          <w:cantSplit/>
        </w:trPr>
        <w:tc>
          <w:tcPr>
            <w:tcW w:w="1862" w:type="dxa"/>
          </w:tcPr>
          <w:p w:rsidR="00000000" w:rsidRDefault="00000000">
            <w:pPr>
              <w:tabs>
                <w:tab w:val="left" w:pos="266"/>
              </w:tabs>
              <w:spacing w:line="240" w:lineRule="auto"/>
              <w:rPr>
                <w:sz w:val="20"/>
              </w:rPr>
            </w:pPr>
            <w:r>
              <w:rPr>
                <w:sz w:val="20"/>
              </w:rPr>
              <w:tab/>
              <w:t>суринамцы</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134</w:t>
            </w:r>
          </w:p>
        </w:tc>
        <w:tc>
          <w:tcPr>
            <w:tcW w:w="812" w:type="dxa"/>
          </w:tcPr>
          <w:p w:rsidR="00000000" w:rsidRDefault="00000000">
            <w:pPr>
              <w:spacing w:line="240" w:lineRule="auto"/>
              <w:jc w:val="right"/>
              <w:rPr>
                <w:sz w:val="20"/>
                <w:lang w:val="en-US"/>
              </w:rPr>
            </w:pPr>
            <w:r>
              <w:rPr>
                <w:sz w:val="20"/>
                <w:lang w:val="en-US"/>
              </w:rPr>
              <w:t>138</w:t>
            </w:r>
          </w:p>
        </w:tc>
        <w:tc>
          <w:tcPr>
            <w:tcW w:w="699" w:type="dxa"/>
          </w:tcPr>
          <w:p w:rsidR="00000000" w:rsidRDefault="00000000">
            <w:pPr>
              <w:spacing w:line="240" w:lineRule="auto"/>
              <w:jc w:val="right"/>
              <w:rPr>
                <w:sz w:val="20"/>
                <w:lang w:val="en-US"/>
              </w:rPr>
            </w:pPr>
            <w:r>
              <w:rPr>
                <w:sz w:val="20"/>
                <w:lang w:val="en-US"/>
              </w:rPr>
              <w:t>138</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63</w:t>
            </w:r>
          </w:p>
        </w:tc>
        <w:tc>
          <w:tcPr>
            <w:tcW w:w="784" w:type="dxa"/>
          </w:tcPr>
          <w:p w:rsidR="00000000" w:rsidRDefault="00000000">
            <w:pPr>
              <w:spacing w:line="240" w:lineRule="auto"/>
              <w:jc w:val="center"/>
              <w:rPr>
                <w:sz w:val="20"/>
                <w:lang w:val="en-US"/>
              </w:rPr>
            </w:pPr>
            <w:r>
              <w:rPr>
                <w:sz w:val="20"/>
                <w:lang w:val="en-US"/>
              </w:rPr>
              <w:t>62</w:t>
            </w:r>
          </w:p>
        </w:tc>
        <w:tc>
          <w:tcPr>
            <w:tcW w:w="592" w:type="dxa"/>
          </w:tcPr>
          <w:p w:rsidR="00000000" w:rsidRDefault="00000000">
            <w:pPr>
              <w:spacing w:line="240" w:lineRule="auto"/>
              <w:jc w:val="center"/>
              <w:rPr>
                <w:sz w:val="20"/>
                <w:lang w:val="en-US"/>
              </w:rPr>
            </w:pPr>
            <w:r>
              <w:rPr>
                <w:sz w:val="20"/>
                <w:lang w:val="en-US"/>
              </w:rPr>
              <w:t>61</w:t>
            </w:r>
          </w:p>
        </w:tc>
      </w:tr>
      <w:tr w:rsidR="00000000">
        <w:tblPrEx>
          <w:tblCellMar>
            <w:top w:w="0" w:type="dxa"/>
            <w:bottom w:w="0" w:type="dxa"/>
          </w:tblCellMar>
        </w:tblPrEx>
        <w:trPr>
          <w:cantSplit/>
        </w:trPr>
        <w:tc>
          <w:tcPr>
            <w:tcW w:w="1862" w:type="dxa"/>
          </w:tcPr>
          <w:p w:rsidR="00000000" w:rsidRDefault="00000000">
            <w:pPr>
              <w:tabs>
                <w:tab w:val="left" w:pos="266"/>
              </w:tabs>
              <w:spacing w:line="240" w:lineRule="auto"/>
              <w:rPr>
                <w:sz w:val="20"/>
              </w:rPr>
            </w:pPr>
            <w:r>
              <w:rPr>
                <w:sz w:val="20"/>
              </w:rPr>
              <w:tab/>
              <w:t>антильцы/арубцы</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41</w:t>
            </w:r>
          </w:p>
        </w:tc>
        <w:tc>
          <w:tcPr>
            <w:tcW w:w="812" w:type="dxa"/>
          </w:tcPr>
          <w:p w:rsidR="00000000" w:rsidRDefault="00000000">
            <w:pPr>
              <w:spacing w:line="240" w:lineRule="auto"/>
              <w:jc w:val="right"/>
              <w:rPr>
                <w:sz w:val="20"/>
                <w:lang w:val="en-US"/>
              </w:rPr>
            </w:pPr>
            <w:r>
              <w:rPr>
                <w:sz w:val="20"/>
                <w:lang w:val="en-US"/>
              </w:rPr>
              <w:t>44</w:t>
            </w:r>
          </w:p>
        </w:tc>
        <w:tc>
          <w:tcPr>
            <w:tcW w:w="699" w:type="dxa"/>
          </w:tcPr>
          <w:p w:rsidR="00000000" w:rsidRDefault="00000000">
            <w:pPr>
              <w:spacing w:line="240" w:lineRule="auto"/>
              <w:jc w:val="right"/>
              <w:rPr>
                <w:sz w:val="20"/>
                <w:lang w:val="en-US"/>
              </w:rPr>
            </w:pPr>
            <w:r>
              <w:rPr>
                <w:sz w:val="20"/>
                <w:lang w:val="en-US"/>
              </w:rPr>
              <w:t>51</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55</w:t>
            </w:r>
          </w:p>
        </w:tc>
        <w:tc>
          <w:tcPr>
            <w:tcW w:w="784" w:type="dxa"/>
          </w:tcPr>
          <w:p w:rsidR="00000000" w:rsidRDefault="00000000">
            <w:pPr>
              <w:spacing w:line="240" w:lineRule="auto"/>
              <w:jc w:val="center"/>
              <w:rPr>
                <w:sz w:val="20"/>
                <w:lang w:val="en-US"/>
              </w:rPr>
            </w:pPr>
            <w:r>
              <w:rPr>
                <w:sz w:val="20"/>
                <w:lang w:val="en-US"/>
              </w:rPr>
              <w:t>54</w:t>
            </w:r>
          </w:p>
        </w:tc>
        <w:tc>
          <w:tcPr>
            <w:tcW w:w="592" w:type="dxa"/>
          </w:tcPr>
          <w:p w:rsidR="00000000" w:rsidRDefault="00000000">
            <w:pPr>
              <w:spacing w:line="240" w:lineRule="auto"/>
              <w:jc w:val="center"/>
              <w:rPr>
                <w:sz w:val="20"/>
                <w:lang w:val="en-US"/>
              </w:rPr>
            </w:pPr>
            <w:r>
              <w:rPr>
                <w:sz w:val="20"/>
                <w:lang w:val="en-US"/>
              </w:rPr>
              <w:t>57</w:t>
            </w:r>
          </w:p>
        </w:tc>
      </w:tr>
      <w:tr w:rsidR="00000000">
        <w:tblPrEx>
          <w:tblCellMar>
            <w:top w:w="0" w:type="dxa"/>
            <w:bottom w:w="0" w:type="dxa"/>
          </w:tblCellMar>
        </w:tblPrEx>
        <w:trPr>
          <w:cantSplit/>
        </w:trPr>
        <w:tc>
          <w:tcPr>
            <w:tcW w:w="1862" w:type="dxa"/>
          </w:tcPr>
          <w:p w:rsidR="00000000" w:rsidRDefault="00000000">
            <w:pPr>
              <w:tabs>
                <w:tab w:val="left" w:pos="266"/>
              </w:tabs>
              <w:spacing w:line="240" w:lineRule="auto"/>
              <w:rPr>
                <w:sz w:val="20"/>
              </w:rPr>
            </w:pPr>
            <w:r>
              <w:rPr>
                <w:sz w:val="20"/>
              </w:rPr>
              <w:tab/>
              <w:t>другие</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132</w:t>
            </w:r>
          </w:p>
        </w:tc>
        <w:tc>
          <w:tcPr>
            <w:tcW w:w="812" w:type="dxa"/>
          </w:tcPr>
          <w:p w:rsidR="00000000" w:rsidRDefault="00000000">
            <w:pPr>
              <w:spacing w:line="240" w:lineRule="auto"/>
              <w:jc w:val="right"/>
              <w:rPr>
                <w:sz w:val="20"/>
                <w:lang w:val="en-US"/>
              </w:rPr>
            </w:pPr>
            <w:r>
              <w:rPr>
                <w:sz w:val="20"/>
                <w:lang w:val="en-US"/>
              </w:rPr>
              <w:t>151</w:t>
            </w:r>
          </w:p>
        </w:tc>
        <w:tc>
          <w:tcPr>
            <w:tcW w:w="699" w:type="dxa"/>
          </w:tcPr>
          <w:p w:rsidR="00000000" w:rsidRDefault="00000000">
            <w:pPr>
              <w:spacing w:line="240" w:lineRule="auto"/>
              <w:jc w:val="right"/>
              <w:rPr>
                <w:sz w:val="20"/>
                <w:lang w:val="en-US"/>
              </w:rPr>
            </w:pPr>
            <w:r>
              <w:rPr>
                <w:sz w:val="20"/>
                <w:lang w:val="en-US"/>
              </w:rPr>
              <w:t>196</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45</w:t>
            </w:r>
          </w:p>
        </w:tc>
        <w:tc>
          <w:tcPr>
            <w:tcW w:w="784" w:type="dxa"/>
          </w:tcPr>
          <w:p w:rsidR="00000000" w:rsidRDefault="00000000">
            <w:pPr>
              <w:spacing w:line="240" w:lineRule="auto"/>
              <w:jc w:val="center"/>
              <w:rPr>
                <w:sz w:val="20"/>
                <w:lang w:val="en-US"/>
              </w:rPr>
            </w:pPr>
            <w:r>
              <w:rPr>
                <w:sz w:val="20"/>
                <w:lang w:val="en-US"/>
              </w:rPr>
              <w:t>47</w:t>
            </w:r>
          </w:p>
        </w:tc>
        <w:tc>
          <w:tcPr>
            <w:tcW w:w="592" w:type="dxa"/>
          </w:tcPr>
          <w:p w:rsidR="00000000" w:rsidRDefault="00000000">
            <w:pPr>
              <w:spacing w:line="240" w:lineRule="auto"/>
              <w:jc w:val="center"/>
              <w:rPr>
                <w:sz w:val="20"/>
                <w:lang w:val="en-US"/>
              </w:rPr>
            </w:pPr>
            <w:r>
              <w:rPr>
                <w:sz w:val="20"/>
                <w:lang w:val="en-US"/>
              </w:rPr>
              <w:t>47</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Другие иностранцы</w:t>
            </w:r>
          </w:p>
        </w:tc>
        <w:tc>
          <w:tcPr>
            <w:tcW w:w="770" w:type="dxa"/>
          </w:tcPr>
          <w:p w:rsidR="00000000" w:rsidRDefault="00000000">
            <w:pPr>
              <w:spacing w:line="240" w:lineRule="auto"/>
              <w:jc w:val="center"/>
              <w:rPr>
                <w:sz w:val="20"/>
                <w:lang w:val="en-US"/>
              </w:rPr>
            </w:pPr>
            <w:r>
              <w:rPr>
                <w:sz w:val="20"/>
                <w:lang w:val="en-US"/>
              </w:rPr>
              <w:t>-</w:t>
            </w:r>
          </w:p>
        </w:tc>
        <w:tc>
          <w:tcPr>
            <w:tcW w:w="784" w:type="dxa"/>
          </w:tcPr>
          <w:p w:rsidR="00000000" w:rsidRDefault="00000000">
            <w:pPr>
              <w:spacing w:line="240" w:lineRule="auto"/>
              <w:jc w:val="center"/>
              <w:rPr>
                <w:sz w:val="20"/>
                <w:lang w:val="en-US"/>
              </w:rPr>
            </w:pPr>
            <w:r>
              <w:rPr>
                <w:sz w:val="20"/>
                <w:lang w:val="en-US"/>
              </w:rPr>
              <w:t>-</w:t>
            </w:r>
          </w:p>
        </w:tc>
        <w:tc>
          <w:tcPr>
            <w:tcW w:w="798" w:type="dxa"/>
          </w:tcPr>
          <w:p w:rsidR="00000000" w:rsidRDefault="00000000">
            <w:pPr>
              <w:spacing w:line="240" w:lineRule="auto"/>
              <w:jc w:val="right"/>
              <w:rPr>
                <w:sz w:val="20"/>
                <w:lang w:val="en-US"/>
              </w:rPr>
            </w:pPr>
            <w:r>
              <w:rPr>
                <w:sz w:val="20"/>
                <w:lang w:val="en-US"/>
              </w:rPr>
              <w:t>626</w:t>
            </w:r>
          </w:p>
        </w:tc>
        <w:tc>
          <w:tcPr>
            <w:tcW w:w="812" w:type="dxa"/>
          </w:tcPr>
          <w:p w:rsidR="00000000" w:rsidRDefault="00000000">
            <w:pPr>
              <w:spacing w:line="240" w:lineRule="auto"/>
              <w:jc w:val="right"/>
              <w:rPr>
                <w:sz w:val="20"/>
                <w:lang w:val="en-US"/>
              </w:rPr>
            </w:pPr>
            <w:r>
              <w:rPr>
                <w:sz w:val="20"/>
                <w:lang w:val="en-US"/>
              </w:rPr>
              <w:t>642</w:t>
            </w:r>
          </w:p>
        </w:tc>
        <w:tc>
          <w:tcPr>
            <w:tcW w:w="699" w:type="dxa"/>
          </w:tcPr>
          <w:p w:rsidR="00000000" w:rsidRDefault="00000000">
            <w:pPr>
              <w:spacing w:line="240" w:lineRule="auto"/>
              <w:jc w:val="right"/>
              <w:rPr>
                <w:sz w:val="20"/>
                <w:lang w:val="en-US"/>
              </w:rPr>
            </w:pPr>
            <w:r>
              <w:rPr>
                <w:sz w:val="20"/>
                <w:lang w:val="en-US"/>
              </w:rPr>
              <w:t>608</w:t>
            </w:r>
          </w:p>
        </w:tc>
        <w:tc>
          <w:tcPr>
            <w:tcW w:w="798" w:type="dxa"/>
          </w:tcPr>
          <w:p w:rsidR="00000000" w:rsidRDefault="00000000">
            <w:pPr>
              <w:spacing w:line="240" w:lineRule="auto"/>
              <w:jc w:val="center"/>
              <w:rPr>
                <w:sz w:val="20"/>
                <w:lang w:val="en-US"/>
              </w:rPr>
            </w:pPr>
            <w:r>
              <w:rPr>
                <w:sz w:val="20"/>
                <w:lang w:val="en-US"/>
              </w:rPr>
              <w:t>-</w:t>
            </w:r>
          </w:p>
        </w:tc>
        <w:tc>
          <w:tcPr>
            <w:tcW w:w="812" w:type="dxa"/>
          </w:tcPr>
          <w:p w:rsidR="00000000" w:rsidRDefault="00000000">
            <w:pPr>
              <w:spacing w:line="240" w:lineRule="auto"/>
              <w:jc w:val="center"/>
              <w:rPr>
                <w:sz w:val="20"/>
                <w:lang w:val="en-US"/>
              </w:rPr>
            </w:pPr>
            <w:r>
              <w:rPr>
                <w:sz w:val="20"/>
                <w:lang w:val="en-US"/>
              </w:rPr>
              <w:t>-</w:t>
            </w:r>
          </w:p>
        </w:tc>
        <w:tc>
          <w:tcPr>
            <w:tcW w:w="700" w:type="dxa"/>
          </w:tcPr>
          <w:p w:rsidR="00000000" w:rsidRDefault="00000000">
            <w:pPr>
              <w:spacing w:line="240" w:lineRule="auto"/>
              <w:jc w:val="center"/>
              <w:rPr>
                <w:sz w:val="20"/>
                <w:lang w:val="en-US"/>
              </w:rPr>
            </w:pPr>
            <w:r>
              <w:rPr>
                <w:sz w:val="20"/>
                <w:lang w:val="en-US"/>
              </w:rPr>
              <w:t>63</w:t>
            </w:r>
          </w:p>
        </w:tc>
        <w:tc>
          <w:tcPr>
            <w:tcW w:w="784" w:type="dxa"/>
          </w:tcPr>
          <w:p w:rsidR="00000000" w:rsidRDefault="00000000">
            <w:pPr>
              <w:spacing w:line="240" w:lineRule="auto"/>
              <w:jc w:val="center"/>
              <w:rPr>
                <w:sz w:val="20"/>
                <w:lang w:val="en-US"/>
              </w:rPr>
            </w:pPr>
            <w:r>
              <w:rPr>
                <w:sz w:val="20"/>
                <w:lang w:val="en-US"/>
              </w:rPr>
              <w:t>63</w:t>
            </w:r>
          </w:p>
        </w:tc>
        <w:tc>
          <w:tcPr>
            <w:tcW w:w="592" w:type="dxa"/>
          </w:tcPr>
          <w:p w:rsidR="00000000" w:rsidRDefault="00000000">
            <w:pPr>
              <w:spacing w:line="240" w:lineRule="auto"/>
              <w:jc w:val="center"/>
              <w:rPr>
                <w:sz w:val="20"/>
                <w:lang w:val="en-US"/>
              </w:rPr>
            </w:pPr>
            <w:r>
              <w:rPr>
                <w:sz w:val="20"/>
                <w:lang w:val="en-US"/>
              </w:rPr>
              <w:t>64</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Начальное образование</w:t>
            </w:r>
          </w:p>
        </w:tc>
        <w:tc>
          <w:tcPr>
            <w:tcW w:w="770" w:type="dxa"/>
          </w:tcPr>
          <w:p w:rsidR="00000000" w:rsidRDefault="00000000">
            <w:pPr>
              <w:spacing w:line="240" w:lineRule="auto"/>
              <w:jc w:val="right"/>
              <w:rPr>
                <w:sz w:val="20"/>
                <w:lang w:val="en-US"/>
              </w:rPr>
            </w:pPr>
            <w:r>
              <w:rPr>
                <w:sz w:val="20"/>
                <w:lang w:val="en-US"/>
              </w:rPr>
              <w:t>610</w:t>
            </w:r>
          </w:p>
        </w:tc>
        <w:tc>
          <w:tcPr>
            <w:tcW w:w="784" w:type="dxa"/>
          </w:tcPr>
          <w:p w:rsidR="00000000" w:rsidRDefault="00000000">
            <w:pPr>
              <w:spacing w:line="240" w:lineRule="auto"/>
              <w:jc w:val="right"/>
              <w:rPr>
                <w:sz w:val="20"/>
                <w:lang w:val="en-US"/>
              </w:rPr>
            </w:pPr>
            <w:r>
              <w:rPr>
                <w:sz w:val="20"/>
                <w:lang w:val="en-US"/>
              </w:rPr>
              <w:t>491</w:t>
            </w:r>
          </w:p>
        </w:tc>
        <w:tc>
          <w:tcPr>
            <w:tcW w:w="798" w:type="dxa"/>
          </w:tcPr>
          <w:p w:rsidR="00000000" w:rsidRDefault="00000000">
            <w:pPr>
              <w:spacing w:line="240" w:lineRule="auto"/>
              <w:jc w:val="right"/>
              <w:rPr>
                <w:sz w:val="20"/>
                <w:lang w:val="en-US"/>
              </w:rPr>
            </w:pPr>
            <w:r>
              <w:rPr>
                <w:sz w:val="20"/>
                <w:lang w:val="en-US"/>
              </w:rPr>
              <w:t>584</w:t>
            </w:r>
          </w:p>
        </w:tc>
        <w:tc>
          <w:tcPr>
            <w:tcW w:w="812" w:type="dxa"/>
          </w:tcPr>
          <w:p w:rsidR="00000000" w:rsidRDefault="00000000">
            <w:pPr>
              <w:spacing w:line="240" w:lineRule="auto"/>
              <w:jc w:val="right"/>
              <w:rPr>
                <w:sz w:val="20"/>
                <w:lang w:val="en-US"/>
              </w:rPr>
            </w:pPr>
            <w:r>
              <w:rPr>
                <w:sz w:val="20"/>
                <w:lang w:val="en-US"/>
              </w:rPr>
              <w:t>590</w:t>
            </w:r>
          </w:p>
        </w:tc>
        <w:tc>
          <w:tcPr>
            <w:tcW w:w="699" w:type="dxa"/>
          </w:tcPr>
          <w:p w:rsidR="00000000" w:rsidRDefault="00000000">
            <w:pPr>
              <w:spacing w:line="240" w:lineRule="auto"/>
              <w:jc w:val="right"/>
              <w:rPr>
                <w:sz w:val="20"/>
                <w:lang w:val="en-US"/>
              </w:rPr>
            </w:pPr>
            <w:r>
              <w:rPr>
                <w:sz w:val="20"/>
                <w:lang w:val="en-US"/>
              </w:rPr>
              <w:t>530</w:t>
            </w:r>
          </w:p>
        </w:tc>
        <w:tc>
          <w:tcPr>
            <w:tcW w:w="798" w:type="dxa"/>
          </w:tcPr>
          <w:p w:rsidR="00000000" w:rsidRDefault="00000000">
            <w:pPr>
              <w:spacing w:line="240" w:lineRule="auto"/>
              <w:jc w:val="center"/>
              <w:rPr>
                <w:sz w:val="20"/>
                <w:lang w:val="en-US"/>
              </w:rPr>
            </w:pPr>
            <w:r>
              <w:rPr>
                <w:sz w:val="20"/>
                <w:lang w:val="en-US"/>
              </w:rPr>
              <w:t>32</w:t>
            </w:r>
          </w:p>
        </w:tc>
        <w:tc>
          <w:tcPr>
            <w:tcW w:w="812" w:type="dxa"/>
          </w:tcPr>
          <w:p w:rsidR="00000000" w:rsidRDefault="00000000">
            <w:pPr>
              <w:spacing w:line="240" w:lineRule="auto"/>
              <w:jc w:val="center"/>
              <w:rPr>
                <w:sz w:val="20"/>
                <w:lang w:val="en-US"/>
              </w:rPr>
            </w:pPr>
            <w:r>
              <w:rPr>
                <w:sz w:val="20"/>
                <w:lang w:val="en-US"/>
              </w:rPr>
              <w:t>32</w:t>
            </w:r>
          </w:p>
        </w:tc>
        <w:tc>
          <w:tcPr>
            <w:tcW w:w="700" w:type="dxa"/>
          </w:tcPr>
          <w:p w:rsidR="00000000" w:rsidRDefault="00000000">
            <w:pPr>
              <w:spacing w:line="240" w:lineRule="auto"/>
              <w:jc w:val="center"/>
              <w:rPr>
                <w:sz w:val="20"/>
                <w:lang w:val="en-US"/>
              </w:rPr>
            </w:pPr>
            <w:r>
              <w:rPr>
                <w:sz w:val="20"/>
                <w:lang w:val="en-US"/>
              </w:rPr>
              <w:t>38</w:t>
            </w:r>
          </w:p>
        </w:tc>
        <w:tc>
          <w:tcPr>
            <w:tcW w:w="784" w:type="dxa"/>
          </w:tcPr>
          <w:p w:rsidR="00000000" w:rsidRDefault="00000000">
            <w:pPr>
              <w:spacing w:line="240" w:lineRule="auto"/>
              <w:jc w:val="center"/>
              <w:rPr>
                <w:sz w:val="20"/>
                <w:lang w:val="en-US"/>
              </w:rPr>
            </w:pPr>
            <w:r>
              <w:rPr>
                <w:sz w:val="20"/>
                <w:lang w:val="en-US"/>
              </w:rPr>
              <w:t>39</w:t>
            </w:r>
          </w:p>
        </w:tc>
        <w:tc>
          <w:tcPr>
            <w:tcW w:w="592" w:type="dxa"/>
          </w:tcPr>
          <w:p w:rsidR="00000000" w:rsidRDefault="00000000">
            <w:pPr>
              <w:spacing w:line="240" w:lineRule="auto"/>
              <w:jc w:val="center"/>
              <w:rPr>
                <w:sz w:val="20"/>
                <w:lang w:val="en-US"/>
              </w:rPr>
            </w:pPr>
            <w:r>
              <w:rPr>
                <w:sz w:val="20"/>
                <w:lang w:val="en-US"/>
              </w:rPr>
              <w:t>38</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НСОО</w:t>
            </w:r>
          </w:p>
        </w:tc>
        <w:tc>
          <w:tcPr>
            <w:tcW w:w="770" w:type="dxa"/>
          </w:tcPr>
          <w:p w:rsidR="00000000" w:rsidRDefault="00000000">
            <w:pPr>
              <w:spacing w:line="240" w:lineRule="auto"/>
              <w:jc w:val="right"/>
              <w:rPr>
                <w:sz w:val="20"/>
                <w:lang w:val="en-US"/>
              </w:rPr>
            </w:pPr>
            <w:r>
              <w:rPr>
                <w:sz w:val="20"/>
                <w:lang w:val="en-US"/>
              </w:rPr>
              <w:t>383</w:t>
            </w:r>
          </w:p>
        </w:tc>
        <w:tc>
          <w:tcPr>
            <w:tcW w:w="784" w:type="dxa"/>
          </w:tcPr>
          <w:p w:rsidR="00000000" w:rsidRDefault="00000000">
            <w:pPr>
              <w:spacing w:line="240" w:lineRule="auto"/>
              <w:jc w:val="right"/>
              <w:rPr>
                <w:sz w:val="20"/>
                <w:lang w:val="en-US"/>
              </w:rPr>
            </w:pPr>
            <w:r>
              <w:rPr>
                <w:sz w:val="20"/>
                <w:lang w:val="en-US"/>
              </w:rPr>
              <w:t>413</w:t>
            </w:r>
          </w:p>
        </w:tc>
        <w:tc>
          <w:tcPr>
            <w:tcW w:w="798" w:type="dxa"/>
          </w:tcPr>
          <w:p w:rsidR="00000000" w:rsidRDefault="00000000">
            <w:pPr>
              <w:spacing w:line="240" w:lineRule="auto"/>
              <w:jc w:val="right"/>
              <w:rPr>
                <w:sz w:val="20"/>
                <w:lang w:val="en-US"/>
              </w:rPr>
            </w:pPr>
            <w:r>
              <w:rPr>
                <w:sz w:val="20"/>
                <w:lang w:val="en-US"/>
              </w:rPr>
              <w:t>446</w:t>
            </w:r>
          </w:p>
        </w:tc>
        <w:tc>
          <w:tcPr>
            <w:tcW w:w="812" w:type="dxa"/>
          </w:tcPr>
          <w:p w:rsidR="00000000" w:rsidRDefault="00000000">
            <w:pPr>
              <w:spacing w:line="240" w:lineRule="auto"/>
              <w:jc w:val="right"/>
              <w:rPr>
                <w:sz w:val="20"/>
                <w:lang w:val="en-US"/>
              </w:rPr>
            </w:pPr>
            <w:r>
              <w:rPr>
                <w:sz w:val="20"/>
                <w:lang w:val="en-US"/>
              </w:rPr>
              <w:t>468</w:t>
            </w:r>
          </w:p>
        </w:tc>
        <w:tc>
          <w:tcPr>
            <w:tcW w:w="699" w:type="dxa"/>
          </w:tcPr>
          <w:p w:rsidR="00000000" w:rsidRDefault="00000000">
            <w:pPr>
              <w:spacing w:line="240" w:lineRule="auto"/>
              <w:jc w:val="right"/>
              <w:rPr>
                <w:sz w:val="20"/>
                <w:lang w:val="en-US"/>
              </w:rPr>
            </w:pPr>
            <w:r>
              <w:rPr>
                <w:sz w:val="20"/>
                <w:lang w:val="en-US"/>
              </w:rPr>
              <w:t>458</w:t>
            </w:r>
          </w:p>
        </w:tc>
        <w:tc>
          <w:tcPr>
            <w:tcW w:w="798" w:type="dxa"/>
          </w:tcPr>
          <w:p w:rsidR="00000000" w:rsidRDefault="00000000">
            <w:pPr>
              <w:spacing w:line="240" w:lineRule="auto"/>
              <w:jc w:val="center"/>
              <w:rPr>
                <w:sz w:val="20"/>
                <w:lang w:val="en-US"/>
              </w:rPr>
            </w:pPr>
            <w:r>
              <w:rPr>
                <w:sz w:val="20"/>
                <w:lang w:val="en-US"/>
              </w:rPr>
              <w:t>35</w:t>
            </w:r>
          </w:p>
        </w:tc>
        <w:tc>
          <w:tcPr>
            <w:tcW w:w="812" w:type="dxa"/>
          </w:tcPr>
          <w:p w:rsidR="00000000" w:rsidRDefault="00000000">
            <w:pPr>
              <w:spacing w:line="240" w:lineRule="auto"/>
              <w:jc w:val="center"/>
              <w:rPr>
                <w:sz w:val="20"/>
                <w:lang w:val="en-US"/>
              </w:rPr>
            </w:pPr>
            <w:r>
              <w:rPr>
                <w:sz w:val="20"/>
                <w:lang w:val="en-US"/>
              </w:rPr>
              <w:t>37</w:t>
            </w:r>
          </w:p>
        </w:tc>
        <w:tc>
          <w:tcPr>
            <w:tcW w:w="700" w:type="dxa"/>
          </w:tcPr>
          <w:p w:rsidR="00000000" w:rsidRDefault="00000000">
            <w:pPr>
              <w:spacing w:line="240" w:lineRule="auto"/>
              <w:jc w:val="center"/>
              <w:rPr>
                <w:sz w:val="20"/>
                <w:lang w:val="en-US"/>
              </w:rPr>
            </w:pPr>
            <w:r>
              <w:rPr>
                <w:sz w:val="20"/>
                <w:lang w:val="en-US"/>
              </w:rPr>
              <w:t>45</w:t>
            </w:r>
          </w:p>
        </w:tc>
        <w:tc>
          <w:tcPr>
            <w:tcW w:w="784" w:type="dxa"/>
          </w:tcPr>
          <w:p w:rsidR="00000000" w:rsidRDefault="00000000">
            <w:pPr>
              <w:spacing w:line="240" w:lineRule="auto"/>
              <w:jc w:val="center"/>
              <w:rPr>
                <w:sz w:val="20"/>
                <w:lang w:val="en-US"/>
              </w:rPr>
            </w:pPr>
            <w:r>
              <w:rPr>
                <w:sz w:val="20"/>
                <w:lang w:val="en-US"/>
              </w:rPr>
              <w:t>46</w:t>
            </w:r>
          </w:p>
        </w:tc>
        <w:tc>
          <w:tcPr>
            <w:tcW w:w="592" w:type="dxa"/>
          </w:tcPr>
          <w:p w:rsidR="00000000" w:rsidRDefault="00000000">
            <w:pPr>
              <w:spacing w:line="240" w:lineRule="auto"/>
              <w:jc w:val="center"/>
              <w:rPr>
                <w:sz w:val="20"/>
                <w:lang w:val="en-US"/>
              </w:rPr>
            </w:pPr>
            <w:r>
              <w:rPr>
                <w:sz w:val="20"/>
                <w:lang w:val="en-US"/>
              </w:rPr>
              <w:t>43</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ППО</w:t>
            </w:r>
          </w:p>
        </w:tc>
        <w:tc>
          <w:tcPr>
            <w:tcW w:w="770" w:type="dxa"/>
          </w:tcPr>
          <w:p w:rsidR="00000000" w:rsidRDefault="00000000">
            <w:pPr>
              <w:spacing w:line="240" w:lineRule="auto"/>
              <w:jc w:val="right"/>
              <w:rPr>
                <w:sz w:val="20"/>
                <w:lang w:val="en-US"/>
              </w:rPr>
            </w:pPr>
            <w:r>
              <w:rPr>
                <w:sz w:val="20"/>
                <w:lang w:val="en-US"/>
              </w:rPr>
              <w:t>1 023</w:t>
            </w:r>
          </w:p>
        </w:tc>
        <w:tc>
          <w:tcPr>
            <w:tcW w:w="784" w:type="dxa"/>
          </w:tcPr>
          <w:p w:rsidR="00000000" w:rsidRDefault="00000000">
            <w:pPr>
              <w:spacing w:line="240" w:lineRule="auto"/>
              <w:jc w:val="right"/>
              <w:rPr>
                <w:sz w:val="20"/>
                <w:lang w:val="en-US"/>
              </w:rPr>
            </w:pPr>
            <w:r>
              <w:rPr>
                <w:sz w:val="20"/>
                <w:lang w:val="en-US"/>
              </w:rPr>
              <w:t>916</w:t>
            </w:r>
          </w:p>
        </w:tc>
        <w:tc>
          <w:tcPr>
            <w:tcW w:w="798" w:type="dxa"/>
          </w:tcPr>
          <w:p w:rsidR="00000000" w:rsidRDefault="00000000">
            <w:pPr>
              <w:spacing w:line="240" w:lineRule="auto"/>
              <w:jc w:val="right"/>
              <w:rPr>
                <w:sz w:val="20"/>
                <w:lang w:val="en-US"/>
              </w:rPr>
            </w:pPr>
            <w:r>
              <w:rPr>
                <w:sz w:val="20"/>
                <w:lang w:val="en-US"/>
              </w:rPr>
              <w:t>937</w:t>
            </w:r>
          </w:p>
        </w:tc>
        <w:tc>
          <w:tcPr>
            <w:tcW w:w="812" w:type="dxa"/>
          </w:tcPr>
          <w:p w:rsidR="00000000" w:rsidRDefault="00000000">
            <w:pPr>
              <w:spacing w:line="240" w:lineRule="auto"/>
              <w:jc w:val="right"/>
              <w:rPr>
                <w:sz w:val="20"/>
                <w:lang w:val="en-US"/>
              </w:rPr>
            </w:pPr>
            <w:r>
              <w:rPr>
                <w:sz w:val="20"/>
                <w:lang w:val="en-US"/>
              </w:rPr>
              <w:t>973</w:t>
            </w:r>
          </w:p>
        </w:tc>
        <w:tc>
          <w:tcPr>
            <w:tcW w:w="699" w:type="dxa"/>
          </w:tcPr>
          <w:p w:rsidR="00000000" w:rsidRDefault="00000000">
            <w:pPr>
              <w:spacing w:line="240" w:lineRule="auto"/>
              <w:jc w:val="right"/>
              <w:rPr>
                <w:sz w:val="20"/>
                <w:lang w:val="en-US"/>
              </w:rPr>
            </w:pPr>
            <w:r>
              <w:rPr>
                <w:sz w:val="20"/>
                <w:lang w:val="en-US"/>
              </w:rPr>
              <w:t>958</w:t>
            </w:r>
          </w:p>
        </w:tc>
        <w:tc>
          <w:tcPr>
            <w:tcW w:w="798" w:type="dxa"/>
          </w:tcPr>
          <w:p w:rsidR="00000000" w:rsidRDefault="00000000">
            <w:pPr>
              <w:spacing w:line="240" w:lineRule="auto"/>
              <w:jc w:val="center"/>
              <w:rPr>
                <w:sz w:val="20"/>
                <w:lang w:val="en-US"/>
              </w:rPr>
            </w:pPr>
            <w:r>
              <w:rPr>
                <w:sz w:val="20"/>
                <w:lang w:val="en-US"/>
              </w:rPr>
              <w:t>54</w:t>
            </w:r>
          </w:p>
        </w:tc>
        <w:tc>
          <w:tcPr>
            <w:tcW w:w="812" w:type="dxa"/>
          </w:tcPr>
          <w:p w:rsidR="00000000" w:rsidRDefault="00000000">
            <w:pPr>
              <w:spacing w:line="240" w:lineRule="auto"/>
              <w:jc w:val="center"/>
              <w:rPr>
                <w:sz w:val="20"/>
                <w:lang w:val="en-US"/>
              </w:rPr>
            </w:pPr>
            <w:r>
              <w:rPr>
                <w:sz w:val="20"/>
                <w:lang w:val="en-US"/>
              </w:rPr>
              <w:t>53</w:t>
            </w:r>
          </w:p>
        </w:tc>
        <w:tc>
          <w:tcPr>
            <w:tcW w:w="700" w:type="dxa"/>
          </w:tcPr>
          <w:p w:rsidR="00000000" w:rsidRDefault="00000000">
            <w:pPr>
              <w:spacing w:line="240" w:lineRule="auto"/>
              <w:jc w:val="center"/>
              <w:rPr>
                <w:sz w:val="20"/>
                <w:lang w:val="en-US"/>
              </w:rPr>
            </w:pPr>
            <w:r>
              <w:rPr>
                <w:sz w:val="20"/>
                <w:lang w:val="en-US"/>
              </w:rPr>
              <w:t>58</w:t>
            </w:r>
          </w:p>
        </w:tc>
        <w:tc>
          <w:tcPr>
            <w:tcW w:w="784" w:type="dxa"/>
          </w:tcPr>
          <w:p w:rsidR="00000000" w:rsidRDefault="00000000">
            <w:pPr>
              <w:spacing w:line="240" w:lineRule="auto"/>
              <w:jc w:val="center"/>
              <w:rPr>
                <w:sz w:val="20"/>
                <w:lang w:val="en-US"/>
              </w:rPr>
            </w:pPr>
            <w:r>
              <w:rPr>
                <w:sz w:val="20"/>
                <w:lang w:val="en-US"/>
              </w:rPr>
              <w:t>60</w:t>
            </w:r>
          </w:p>
        </w:tc>
        <w:tc>
          <w:tcPr>
            <w:tcW w:w="592" w:type="dxa"/>
          </w:tcPr>
          <w:p w:rsidR="00000000" w:rsidRDefault="00000000">
            <w:pPr>
              <w:spacing w:line="240" w:lineRule="auto"/>
              <w:jc w:val="center"/>
              <w:rPr>
                <w:sz w:val="20"/>
                <w:lang w:val="en-US"/>
              </w:rPr>
            </w:pPr>
            <w:r>
              <w:rPr>
                <w:sz w:val="20"/>
                <w:lang w:val="en-US"/>
              </w:rPr>
              <w:t>60</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ПСОО/ПУО</w:t>
            </w:r>
          </w:p>
        </w:tc>
        <w:tc>
          <w:tcPr>
            <w:tcW w:w="770" w:type="dxa"/>
          </w:tcPr>
          <w:p w:rsidR="00000000" w:rsidRDefault="00000000">
            <w:pPr>
              <w:spacing w:line="240" w:lineRule="auto"/>
              <w:jc w:val="right"/>
              <w:rPr>
                <w:sz w:val="20"/>
                <w:lang w:val="en-US"/>
              </w:rPr>
            </w:pPr>
            <w:r>
              <w:rPr>
                <w:sz w:val="20"/>
                <w:lang w:val="en-US"/>
              </w:rPr>
              <w:t>256</w:t>
            </w:r>
          </w:p>
        </w:tc>
        <w:tc>
          <w:tcPr>
            <w:tcW w:w="784" w:type="dxa"/>
          </w:tcPr>
          <w:p w:rsidR="00000000" w:rsidRDefault="00000000">
            <w:pPr>
              <w:spacing w:line="240" w:lineRule="auto"/>
              <w:jc w:val="right"/>
              <w:rPr>
                <w:sz w:val="20"/>
                <w:lang w:val="en-US"/>
              </w:rPr>
            </w:pPr>
            <w:r>
              <w:rPr>
                <w:sz w:val="20"/>
                <w:lang w:val="en-US"/>
              </w:rPr>
              <w:t>307</w:t>
            </w:r>
          </w:p>
        </w:tc>
        <w:tc>
          <w:tcPr>
            <w:tcW w:w="798" w:type="dxa"/>
          </w:tcPr>
          <w:p w:rsidR="00000000" w:rsidRDefault="00000000">
            <w:pPr>
              <w:spacing w:line="240" w:lineRule="auto"/>
              <w:jc w:val="right"/>
              <w:rPr>
                <w:sz w:val="20"/>
                <w:lang w:val="en-US"/>
              </w:rPr>
            </w:pPr>
            <w:r>
              <w:rPr>
                <w:sz w:val="20"/>
                <w:lang w:val="en-US"/>
              </w:rPr>
              <w:t>408</w:t>
            </w:r>
          </w:p>
        </w:tc>
        <w:tc>
          <w:tcPr>
            <w:tcW w:w="812" w:type="dxa"/>
          </w:tcPr>
          <w:p w:rsidR="00000000" w:rsidRDefault="00000000">
            <w:pPr>
              <w:spacing w:line="240" w:lineRule="auto"/>
              <w:jc w:val="right"/>
              <w:rPr>
                <w:sz w:val="20"/>
                <w:lang w:val="en-US"/>
              </w:rPr>
            </w:pPr>
            <w:r>
              <w:rPr>
                <w:sz w:val="20"/>
                <w:lang w:val="en-US"/>
              </w:rPr>
              <w:t>401</w:t>
            </w:r>
          </w:p>
        </w:tc>
        <w:tc>
          <w:tcPr>
            <w:tcW w:w="699" w:type="dxa"/>
          </w:tcPr>
          <w:p w:rsidR="00000000" w:rsidRDefault="00000000">
            <w:pPr>
              <w:spacing w:line="240" w:lineRule="auto"/>
              <w:jc w:val="right"/>
              <w:rPr>
                <w:sz w:val="20"/>
                <w:lang w:val="en-US"/>
              </w:rPr>
            </w:pPr>
            <w:r>
              <w:rPr>
                <w:sz w:val="20"/>
                <w:lang w:val="en-US"/>
              </w:rPr>
              <w:t>396</w:t>
            </w:r>
          </w:p>
        </w:tc>
        <w:tc>
          <w:tcPr>
            <w:tcW w:w="798" w:type="dxa"/>
          </w:tcPr>
          <w:p w:rsidR="00000000" w:rsidRDefault="00000000">
            <w:pPr>
              <w:spacing w:line="240" w:lineRule="auto"/>
              <w:jc w:val="center"/>
              <w:rPr>
                <w:sz w:val="20"/>
                <w:lang w:val="en-US"/>
              </w:rPr>
            </w:pPr>
            <w:r>
              <w:rPr>
                <w:sz w:val="20"/>
                <w:lang w:val="en-US"/>
              </w:rPr>
              <w:t>38</w:t>
            </w:r>
          </w:p>
        </w:tc>
        <w:tc>
          <w:tcPr>
            <w:tcW w:w="812" w:type="dxa"/>
          </w:tcPr>
          <w:p w:rsidR="00000000" w:rsidRDefault="00000000">
            <w:pPr>
              <w:spacing w:line="240" w:lineRule="auto"/>
              <w:jc w:val="center"/>
              <w:rPr>
                <w:sz w:val="20"/>
                <w:lang w:val="en-US"/>
              </w:rPr>
            </w:pPr>
            <w:r>
              <w:rPr>
                <w:sz w:val="20"/>
                <w:lang w:val="en-US"/>
              </w:rPr>
              <w:t>46</w:t>
            </w:r>
          </w:p>
        </w:tc>
        <w:tc>
          <w:tcPr>
            <w:tcW w:w="700" w:type="dxa"/>
          </w:tcPr>
          <w:p w:rsidR="00000000" w:rsidRDefault="00000000">
            <w:pPr>
              <w:spacing w:line="240" w:lineRule="auto"/>
              <w:jc w:val="center"/>
              <w:rPr>
                <w:sz w:val="20"/>
                <w:lang w:val="en-US"/>
              </w:rPr>
            </w:pPr>
            <w:r>
              <w:rPr>
                <w:sz w:val="20"/>
                <w:lang w:val="en-US"/>
              </w:rPr>
              <w:t>54</w:t>
            </w:r>
          </w:p>
        </w:tc>
        <w:tc>
          <w:tcPr>
            <w:tcW w:w="784" w:type="dxa"/>
          </w:tcPr>
          <w:p w:rsidR="00000000" w:rsidRDefault="00000000">
            <w:pPr>
              <w:spacing w:line="240" w:lineRule="auto"/>
              <w:jc w:val="center"/>
              <w:rPr>
                <w:sz w:val="20"/>
                <w:lang w:val="en-US"/>
              </w:rPr>
            </w:pPr>
            <w:r>
              <w:rPr>
                <w:sz w:val="20"/>
                <w:lang w:val="en-US"/>
              </w:rPr>
              <w:t>52</w:t>
            </w:r>
          </w:p>
        </w:tc>
        <w:tc>
          <w:tcPr>
            <w:tcW w:w="592" w:type="dxa"/>
          </w:tcPr>
          <w:p w:rsidR="00000000" w:rsidRDefault="00000000">
            <w:pPr>
              <w:spacing w:line="240" w:lineRule="auto"/>
              <w:jc w:val="center"/>
              <w:rPr>
                <w:sz w:val="20"/>
                <w:lang w:val="en-US"/>
              </w:rPr>
            </w:pPr>
            <w:r>
              <w:rPr>
                <w:sz w:val="20"/>
                <w:lang w:val="en-US"/>
              </w:rPr>
              <w:t>56</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СПТО</w:t>
            </w:r>
          </w:p>
        </w:tc>
        <w:tc>
          <w:tcPr>
            <w:tcW w:w="770" w:type="dxa"/>
          </w:tcPr>
          <w:p w:rsidR="00000000" w:rsidRDefault="00000000">
            <w:pPr>
              <w:spacing w:line="240" w:lineRule="auto"/>
              <w:jc w:val="right"/>
              <w:rPr>
                <w:sz w:val="20"/>
                <w:lang w:val="en-US"/>
              </w:rPr>
            </w:pPr>
            <w:r>
              <w:rPr>
                <w:sz w:val="20"/>
                <w:lang w:val="en-US"/>
              </w:rPr>
              <w:t>2 109</w:t>
            </w:r>
          </w:p>
        </w:tc>
        <w:tc>
          <w:tcPr>
            <w:tcW w:w="784" w:type="dxa"/>
          </w:tcPr>
          <w:p w:rsidR="00000000" w:rsidRDefault="00000000">
            <w:pPr>
              <w:spacing w:line="240" w:lineRule="auto"/>
              <w:jc w:val="right"/>
              <w:rPr>
                <w:sz w:val="20"/>
                <w:lang w:val="en-US"/>
              </w:rPr>
            </w:pPr>
            <w:r>
              <w:rPr>
                <w:sz w:val="20"/>
                <w:lang w:val="en-US"/>
              </w:rPr>
              <w:t>2 388</w:t>
            </w:r>
          </w:p>
        </w:tc>
        <w:tc>
          <w:tcPr>
            <w:tcW w:w="798" w:type="dxa"/>
          </w:tcPr>
          <w:p w:rsidR="00000000" w:rsidRDefault="00000000">
            <w:pPr>
              <w:spacing w:line="240" w:lineRule="auto"/>
              <w:jc w:val="right"/>
              <w:rPr>
                <w:sz w:val="20"/>
                <w:lang w:val="en-US"/>
              </w:rPr>
            </w:pPr>
            <w:r>
              <w:rPr>
                <w:sz w:val="20"/>
                <w:lang w:val="en-US"/>
              </w:rPr>
              <w:t>2 592</w:t>
            </w:r>
          </w:p>
        </w:tc>
        <w:tc>
          <w:tcPr>
            <w:tcW w:w="812" w:type="dxa"/>
          </w:tcPr>
          <w:p w:rsidR="00000000" w:rsidRDefault="00000000">
            <w:pPr>
              <w:spacing w:line="240" w:lineRule="auto"/>
              <w:jc w:val="right"/>
              <w:rPr>
                <w:sz w:val="20"/>
                <w:lang w:val="en-US"/>
              </w:rPr>
            </w:pPr>
            <w:r>
              <w:rPr>
                <w:sz w:val="20"/>
                <w:lang w:val="en-US"/>
              </w:rPr>
              <w:t>2 674</w:t>
            </w:r>
          </w:p>
        </w:tc>
        <w:tc>
          <w:tcPr>
            <w:tcW w:w="699" w:type="dxa"/>
          </w:tcPr>
          <w:p w:rsidR="00000000" w:rsidRDefault="00000000">
            <w:pPr>
              <w:spacing w:line="240" w:lineRule="auto"/>
              <w:jc w:val="right"/>
              <w:rPr>
                <w:sz w:val="20"/>
                <w:lang w:val="en-US"/>
              </w:rPr>
            </w:pPr>
            <w:r>
              <w:rPr>
                <w:sz w:val="20"/>
                <w:lang w:val="en-US"/>
              </w:rPr>
              <w:t>2 710</w:t>
            </w:r>
          </w:p>
        </w:tc>
        <w:tc>
          <w:tcPr>
            <w:tcW w:w="798" w:type="dxa"/>
          </w:tcPr>
          <w:p w:rsidR="00000000" w:rsidRDefault="00000000">
            <w:pPr>
              <w:spacing w:line="240" w:lineRule="auto"/>
              <w:jc w:val="center"/>
              <w:rPr>
                <w:sz w:val="20"/>
                <w:lang w:val="en-US"/>
              </w:rPr>
            </w:pPr>
            <w:r>
              <w:rPr>
                <w:sz w:val="20"/>
                <w:lang w:val="en-US"/>
              </w:rPr>
              <w:t>70</w:t>
            </w:r>
          </w:p>
        </w:tc>
        <w:tc>
          <w:tcPr>
            <w:tcW w:w="812" w:type="dxa"/>
          </w:tcPr>
          <w:p w:rsidR="00000000" w:rsidRDefault="00000000">
            <w:pPr>
              <w:spacing w:line="240" w:lineRule="auto"/>
              <w:jc w:val="center"/>
              <w:rPr>
                <w:sz w:val="20"/>
                <w:lang w:val="en-US"/>
              </w:rPr>
            </w:pPr>
            <w:r>
              <w:rPr>
                <w:sz w:val="20"/>
                <w:lang w:val="en-US"/>
              </w:rPr>
              <w:t>70</w:t>
            </w:r>
          </w:p>
        </w:tc>
        <w:tc>
          <w:tcPr>
            <w:tcW w:w="700" w:type="dxa"/>
          </w:tcPr>
          <w:p w:rsidR="00000000" w:rsidRDefault="00000000">
            <w:pPr>
              <w:spacing w:line="240" w:lineRule="auto"/>
              <w:jc w:val="center"/>
              <w:rPr>
                <w:sz w:val="20"/>
                <w:lang w:val="en-US"/>
              </w:rPr>
            </w:pPr>
            <w:r>
              <w:rPr>
                <w:sz w:val="20"/>
                <w:lang w:val="en-US"/>
              </w:rPr>
              <w:t>76</w:t>
            </w:r>
          </w:p>
        </w:tc>
        <w:tc>
          <w:tcPr>
            <w:tcW w:w="784" w:type="dxa"/>
          </w:tcPr>
          <w:p w:rsidR="00000000" w:rsidRDefault="00000000">
            <w:pPr>
              <w:spacing w:line="240" w:lineRule="auto"/>
              <w:jc w:val="center"/>
              <w:rPr>
                <w:sz w:val="20"/>
                <w:lang w:val="en-US"/>
              </w:rPr>
            </w:pPr>
            <w:r>
              <w:rPr>
                <w:sz w:val="20"/>
                <w:lang w:val="en-US"/>
              </w:rPr>
              <w:t>77</w:t>
            </w:r>
          </w:p>
        </w:tc>
        <w:tc>
          <w:tcPr>
            <w:tcW w:w="592" w:type="dxa"/>
          </w:tcPr>
          <w:p w:rsidR="00000000" w:rsidRDefault="00000000">
            <w:pPr>
              <w:spacing w:line="240" w:lineRule="auto"/>
              <w:jc w:val="center"/>
              <w:rPr>
                <w:sz w:val="20"/>
                <w:lang w:val="en-US"/>
              </w:rPr>
            </w:pPr>
            <w:r>
              <w:rPr>
                <w:sz w:val="20"/>
                <w:lang w:val="en-US"/>
              </w:rPr>
              <w:t>76</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ВТО</w:t>
            </w:r>
          </w:p>
        </w:tc>
        <w:tc>
          <w:tcPr>
            <w:tcW w:w="770" w:type="dxa"/>
          </w:tcPr>
          <w:p w:rsidR="00000000" w:rsidRDefault="00000000">
            <w:pPr>
              <w:spacing w:line="240" w:lineRule="auto"/>
              <w:jc w:val="right"/>
              <w:rPr>
                <w:sz w:val="20"/>
                <w:lang w:val="en-US"/>
              </w:rPr>
            </w:pPr>
            <w:r>
              <w:rPr>
                <w:sz w:val="20"/>
                <w:lang w:val="en-US"/>
              </w:rPr>
              <w:t>844</w:t>
            </w:r>
          </w:p>
        </w:tc>
        <w:tc>
          <w:tcPr>
            <w:tcW w:w="784" w:type="dxa"/>
          </w:tcPr>
          <w:p w:rsidR="00000000" w:rsidRDefault="00000000">
            <w:pPr>
              <w:spacing w:line="240" w:lineRule="auto"/>
              <w:jc w:val="right"/>
              <w:rPr>
                <w:sz w:val="20"/>
                <w:lang w:val="en-US"/>
              </w:rPr>
            </w:pPr>
            <w:r>
              <w:rPr>
                <w:sz w:val="20"/>
                <w:lang w:val="en-US"/>
              </w:rPr>
              <w:t>1 055</w:t>
            </w:r>
          </w:p>
        </w:tc>
        <w:tc>
          <w:tcPr>
            <w:tcW w:w="798" w:type="dxa"/>
          </w:tcPr>
          <w:p w:rsidR="00000000" w:rsidRDefault="00000000">
            <w:pPr>
              <w:spacing w:line="240" w:lineRule="auto"/>
              <w:jc w:val="right"/>
              <w:rPr>
                <w:sz w:val="20"/>
                <w:lang w:val="en-US"/>
              </w:rPr>
            </w:pPr>
            <w:r>
              <w:rPr>
                <w:sz w:val="20"/>
                <w:lang w:val="en-US"/>
              </w:rPr>
              <w:t>1 296</w:t>
            </w:r>
          </w:p>
        </w:tc>
        <w:tc>
          <w:tcPr>
            <w:tcW w:w="812" w:type="dxa"/>
          </w:tcPr>
          <w:p w:rsidR="00000000" w:rsidRDefault="00000000">
            <w:pPr>
              <w:spacing w:line="240" w:lineRule="auto"/>
              <w:jc w:val="right"/>
              <w:rPr>
                <w:sz w:val="20"/>
                <w:lang w:val="en-US"/>
              </w:rPr>
            </w:pPr>
            <w:r>
              <w:rPr>
                <w:sz w:val="20"/>
                <w:lang w:val="en-US"/>
              </w:rPr>
              <w:t>1 301</w:t>
            </w:r>
          </w:p>
        </w:tc>
        <w:tc>
          <w:tcPr>
            <w:tcW w:w="699" w:type="dxa"/>
          </w:tcPr>
          <w:p w:rsidR="00000000" w:rsidRDefault="00000000">
            <w:pPr>
              <w:spacing w:line="240" w:lineRule="auto"/>
              <w:jc w:val="right"/>
              <w:rPr>
                <w:sz w:val="20"/>
                <w:lang w:val="en-US"/>
              </w:rPr>
            </w:pPr>
            <w:r>
              <w:rPr>
                <w:sz w:val="20"/>
                <w:lang w:val="en-US"/>
              </w:rPr>
              <w:t>1 399</w:t>
            </w:r>
          </w:p>
        </w:tc>
        <w:tc>
          <w:tcPr>
            <w:tcW w:w="798" w:type="dxa"/>
          </w:tcPr>
          <w:p w:rsidR="00000000" w:rsidRDefault="00000000">
            <w:pPr>
              <w:spacing w:line="240" w:lineRule="auto"/>
              <w:jc w:val="center"/>
              <w:rPr>
                <w:sz w:val="20"/>
                <w:lang w:val="en-US"/>
              </w:rPr>
            </w:pPr>
            <w:r>
              <w:rPr>
                <w:sz w:val="20"/>
                <w:lang w:val="en-US"/>
              </w:rPr>
              <w:t>75</w:t>
            </w:r>
          </w:p>
        </w:tc>
        <w:tc>
          <w:tcPr>
            <w:tcW w:w="812" w:type="dxa"/>
          </w:tcPr>
          <w:p w:rsidR="00000000" w:rsidRDefault="00000000">
            <w:pPr>
              <w:spacing w:line="240" w:lineRule="auto"/>
              <w:jc w:val="center"/>
              <w:rPr>
                <w:sz w:val="20"/>
                <w:lang w:val="en-US"/>
              </w:rPr>
            </w:pPr>
            <w:r>
              <w:rPr>
                <w:sz w:val="20"/>
                <w:lang w:val="en-US"/>
              </w:rPr>
              <w:t>73</w:t>
            </w:r>
          </w:p>
        </w:tc>
        <w:tc>
          <w:tcPr>
            <w:tcW w:w="700" w:type="dxa"/>
          </w:tcPr>
          <w:p w:rsidR="00000000" w:rsidRDefault="00000000">
            <w:pPr>
              <w:spacing w:line="240" w:lineRule="auto"/>
              <w:jc w:val="center"/>
              <w:rPr>
                <w:sz w:val="20"/>
                <w:lang w:val="en-US"/>
              </w:rPr>
            </w:pPr>
            <w:r>
              <w:rPr>
                <w:sz w:val="20"/>
                <w:lang w:val="en-US"/>
              </w:rPr>
              <w:t>79</w:t>
            </w:r>
          </w:p>
        </w:tc>
        <w:tc>
          <w:tcPr>
            <w:tcW w:w="784" w:type="dxa"/>
          </w:tcPr>
          <w:p w:rsidR="00000000" w:rsidRDefault="00000000">
            <w:pPr>
              <w:spacing w:line="240" w:lineRule="auto"/>
              <w:jc w:val="center"/>
              <w:rPr>
                <w:sz w:val="20"/>
                <w:lang w:val="en-US"/>
              </w:rPr>
            </w:pPr>
            <w:r>
              <w:rPr>
                <w:sz w:val="20"/>
                <w:lang w:val="en-US"/>
              </w:rPr>
              <w:t>79</w:t>
            </w:r>
          </w:p>
        </w:tc>
        <w:tc>
          <w:tcPr>
            <w:tcW w:w="592" w:type="dxa"/>
          </w:tcPr>
          <w:p w:rsidR="00000000" w:rsidRDefault="00000000">
            <w:pPr>
              <w:spacing w:line="240" w:lineRule="auto"/>
              <w:jc w:val="center"/>
              <w:rPr>
                <w:sz w:val="20"/>
                <w:lang w:val="en-US"/>
              </w:rPr>
            </w:pPr>
            <w:r>
              <w:rPr>
                <w:sz w:val="20"/>
                <w:lang w:val="en-US"/>
              </w:rPr>
              <w:t>80</w:t>
            </w:r>
          </w:p>
        </w:tc>
      </w:tr>
      <w:tr w:rsidR="00000000">
        <w:tblPrEx>
          <w:tblCellMar>
            <w:top w:w="0" w:type="dxa"/>
            <w:bottom w:w="0" w:type="dxa"/>
          </w:tblCellMar>
        </w:tblPrEx>
        <w:trPr>
          <w:cantSplit/>
        </w:trPr>
        <w:tc>
          <w:tcPr>
            <w:tcW w:w="1862" w:type="dxa"/>
          </w:tcPr>
          <w:p w:rsidR="00000000" w:rsidRDefault="00000000">
            <w:pPr>
              <w:spacing w:line="240" w:lineRule="auto"/>
              <w:rPr>
                <w:sz w:val="20"/>
              </w:rPr>
            </w:pPr>
            <w:r>
              <w:rPr>
                <w:sz w:val="20"/>
              </w:rPr>
              <w:t>УО</w:t>
            </w:r>
          </w:p>
        </w:tc>
        <w:tc>
          <w:tcPr>
            <w:tcW w:w="770" w:type="dxa"/>
          </w:tcPr>
          <w:p w:rsidR="00000000" w:rsidRDefault="00000000">
            <w:pPr>
              <w:spacing w:line="240" w:lineRule="auto"/>
              <w:jc w:val="right"/>
              <w:rPr>
                <w:sz w:val="20"/>
                <w:lang w:val="en-US"/>
              </w:rPr>
            </w:pPr>
            <w:r>
              <w:rPr>
                <w:sz w:val="20"/>
                <w:lang w:val="en-US"/>
              </w:rPr>
              <w:t>388</w:t>
            </w:r>
          </w:p>
        </w:tc>
        <w:tc>
          <w:tcPr>
            <w:tcW w:w="784" w:type="dxa"/>
          </w:tcPr>
          <w:p w:rsidR="00000000" w:rsidRDefault="00000000">
            <w:pPr>
              <w:spacing w:line="240" w:lineRule="auto"/>
              <w:jc w:val="right"/>
              <w:rPr>
                <w:sz w:val="20"/>
                <w:lang w:val="en-US"/>
              </w:rPr>
            </w:pPr>
            <w:r>
              <w:rPr>
                <w:sz w:val="20"/>
                <w:lang w:val="en-US"/>
              </w:rPr>
              <w:t>481</w:t>
            </w:r>
          </w:p>
        </w:tc>
        <w:tc>
          <w:tcPr>
            <w:tcW w:w="798" w:type="dxa"/>
          </w:tcPr>
          <w:p w:rsidR="00000000" w:rsidRDefault="00000000">
            <w:pPr>
              <w:spacing w:line="240" w:lineRule="auto"/>
              <w:jc w:val="right"/>
              <w:rPr>
                <w:sz w:val="20"/>
                <w:lang w:val="en-US"/>
              </w:rPr>
            </w:pPr>
            <w:r>
              <w:rPr>
                <w:sz w:val="20"/>
                <w:lang w:val="en-US"/>
              </w:rPr>
              <w:t>653</w:t>
            </w:r>
          </w:p>
        </w:tc>
        <w:tc>
          <w:tcPr>
            <w:tcW w:w="812" w:type="dxa"/>
          </w:tcPr>
          <w:p w:rsidR="00000000" w:rsidRDefault="00000000">
            <w:pPr>
              <w:spacing w:line="240" w:lineRule="auto"/>
              <w:jc w:val="right"/>
              <w:rPr>
                <w:sz w:val="20"/>
                <w:lang w:val="en-US"/>
              </w:rPr>
            </w:pPr>
            <w:r>
              <w:rPr>
                <w:sz w:val="20"/>
                <w:lang w:val="en-US"/>
              </w:rPr>
              <w:t>653</w:t>
            </w:r>
          </w:p>
        </w:tc>
        <w:tc>
          <w:tcPr>
            <w:tcW w:w="699" w:type="dxa"/>
          </w:tcPr>
          <w:p w:rsidR="00000000" w:rsidRDefault="00000000">
            <w:pPr>
              <w:spacing w:line="240" w:lineRule="auto"/>
              <w:jc w:val="right"/>
              <w:rPr>
                <w:sz w:val="20"/>
                <w:lang w:val="en-US"/>
              </w:rPr>
            </w:pPr>
            <w:r>
              <w:rPr>
                <w:sz w:val="20"/>
                <w:lang w:val="en-US"/>
              </w:rPr>
              <w:t>687</w:t>
            </w:r>
          </w:p>
        </w:tc>
        <w:tc>
          <w:tcPr>
            <w:tcW w:w="798" w:type="dxa"/>
          </w:tcPr>
          <w:p w:rsidR="00000000" w:rsidRDefault="00000000">
            <w:pPr>
              <w:spacing w:line="240" w:lineRule="auto"/>
              <w:jc w:val="center"/>
              <w:rPr>
                <w:sz w:val="20"/>
                <w:lang w:val="en-US"/>
              </w:rPr>
            </w:pPr>
            <w:r>
              <w:rPr>
                <w:sz w:val="20"/>
                <w:lang w:val="en-US"/>
              </w:rPr>
              <w:t>82</w:t>
            </w:r>
          </w:p>
        </w:tc>
        <w:tc>
          <w:tcPr>
            <w:tcW w:w="812" w:type="dxa"/>
          </w:tcPr>
          <w:p w:rsidR="00000000" w:rsidRDefault="00000000">
            <w:pPr>
              <w:spacing w:line="240" w:lineRule="auto"/>
              <w:jc w:val="center"/>
              <w:rPr>
                <w:sz w:val="20"/>
                <w:lang w:val="en-US"/>
              </w:rPr>
            </w:pPr>
            <w:r>
              <w:rPr>
                <w:sz w:val="20"/>
                <w:lang w:val="en-US"/>
              </w:rPr>
              <w:t>81</w:t>
            </w:r>
          </w:p>
        </w:tc>
        <w:tc>
          <w:tcPr>
            <w:tcW w:w="700" w:type="dxa"/>
          </w:tcPr>
          <w:p w:rsidR="00000000" w:rsidRDefault="00000000">
            <w:pPr>
              <w:spacing w:line="240" w:lineRule="auto"/>
              <w:jc w:val="center"/>
              <w:rPr>
                <w:sz w:val="20"/>
                <w:lang w:val="en-US"/>
              </w:rPr>
            </w:pPr>
            <w:r>
              <w:rPr>
                <w:sz w:val="20"/>
                <w:lang w:val="en-US"/>
              </w:rPr>
              <w:t>88</w:t>
            </w:r>
          </w:p>
        </w:tc>
        <w:tc>
          <w:tcPr>
            <w:tcW w:w="784" w:type="dxa"/>
          </w:tcPr>
          <w:p w:rsidR="00000000" w:rsidRDefault="00000000">
            <w:pPr>
              <w:spacing w:line="240" w:lineRule="auto"/>
              <w:jc w:val="center"/>
              <w:rPr>
                <w:sz w:val="20"/>
                <w:lang w:val="en-US"/>
              </w:rPr>
            </w:pPr>
            <w:r>
              <w:rPr>
                <w:sz w:val="20"/>
                <w:lang w:val="en-US"/>
              </w:rPr>
              <w:t>87</w:t>
            </w:r>
          </w:p>
        </w:tc>
        <w:tc>
          <w:tcPr>
            <w:tcW w:w="592" w:type="dxa"/>
          </w:tcPr>
          <w:p w:rsidR="00000000" w:rsidRDefault="00000000">
            <w:pPr>
              <w:spacing w:line="240" w:lineRule="auto"/>
              <w:jc w:val="center"/>
              <w:rPr>
                <w:sz w:val="20"/>
                <w:lang w:val="en-US"/>
              </w:rPr>
            </w:pPr>
            <w:r>
              <w:rPr>
                <w:sz w:val="20"/>
                <w:lang w:val="en-US"/>
              </w:rPr>
              <w:t>86</w:t>
            </w:r>
          </w:p>
        </w:tc>
      </w:tr>
    </w:tbl>
    <w:p w:rsidR="00000000" w:rsidRDefault="00000000">
      <w:pPr>
        <w:spacing w:line="216" w:lineRule="auto"/>
      </w:pPr>
    </w:p>
    <w:p w:rsidR="00000000" w:rsidRDefault="00000000">
      <w:pPr>
        <w:spacing w:line="240" w:lineRule="auto"/>
      </w:pPr>
      <w:r>
        <w:rPr>
          <w:lang w:val="en-US"/>
        </w:rPr>
        <w:tab/>
      </w:r>
      <w:r>
        <w:rPr>
          <w:i/>
          <w:iCs/>
        </w:rPr>
        <w:t>Источник:</w:t>
      </w:r>
      <w:r>
        <w:t xml:space="preserve">  НСУ, Обследование рабочей силы (</w:t>
      </w:r>
      <w:r>
        <w:rPr>
          <w:lang w:val="en-US"/>
        </w:rPr>
        <w:t>Enqu</w:t>
      </w:r>
      <w:r>
        <w:t>ê</w:t>
      </w:r>
      <w:r>
        <w:rPr>
          <w:lang w:val="en-US"/>
        </w:rPr>
        <w:t>te</w:t>
      </w:r>
      <w:r>
        <w:t xml:space="preserve"> </w:t>
      </w:r>
      <w:r>
        <w:rPr>
          <w:lang w:val="en-US"/>
        </w:rPr>
        <w:t>beroepsbevolking</w:t>
      </w:r>
      <w:r>
        <w:t>).</w:t>
      </w:r>
    </w:p>
    <w:p w:rsidR="00000000" w:rsidRDefault="00000000">
      <w:pPr>
        <w:spacing w:line="216" w:lineRule="auto"/>
      </w:pPr>
    </w:p>
    <w:p w:rsidR="00000000" w:rsidRDefault="00000000">
      <w:pPr>
        <w:tabs>
          <w:tab w:val="left" w:pos="3388"/>
          <w:tab w:val="left" w:pos="3906"/>
        </w:tabs>
        <w:spacing w:line="240" w:lineRule="auto"/>
        <w:ind w:left="3906" w:hanging="3906"/>
      </w:pPr>
      <w:r>
        <w:tab/>
        <w:t>Коренные голландцы</w:t>
      </w:r>
      <w:r>
        <w:tab/>
        <w:t>=</w:t>
      </w:r>
      <w:r>
        <w:tab/>
        <w:t>Лица, оба родителя которых родились в Нидерландах.</w:t>
      </w:r>
    </w:p>
    <w:p w:rsidR="00000000" w:rsidRDefault="00000000">
      <w:pPr>
        <w:tabs>
          <w:tab w:val="left" w:pos="3388"/>
          <w:tab w:val="left" w:pos="3906"/>
        </w:tabs>
        <w:spacing w:line="240" w:lineRule="auto"/>
        <w:ind w:left="3906" w:hanging="3906"/>
      </w:pPr>
    </w:p>
    <w:p w:rsidR="00000000" w:rsidRDefault="00000000">
      <w:pPr>
        <w:tabs>
          <w:tab w:val="left" w:pos="3388"/>
          <w:tab w:val="left" w:pos="3906"/>
        </w:tabs>
        <w:spacing w:line="240" w:lineRule="auto"/>
      </w:pPr>
      <w:r>
        <w:tab/>
        <w:t>Этнические меньшинства</w:t>
      </w:r>
      <w:r>
        <w:tab/>
        <w:t>=</w:t>
      </w:r>
      <w:r>
        <w:tab/>
        <w:t>Лица, у которых один или оба родителя родились в</w:t>
      </w:r>
    </w:p>
    <w:p w:rsidR="00000000" w:rsidRDefault="00000000">
      <w:pPr>
        <w:tabs>
          <w:tab w:val="left" w:pos="3388"/>
          <w:tab w:val="left" w:pos="3906"/>
        </w:tabs>
        <w:spacing w:line="240" w:lineRule="auto"/>
        <w:ind w:left="3906" w:hanging="3906"/>
      </w:pPr>
      <w:r>
        <w:tab/>
      </w:r>
      <w:r>
        <w:tab/>
      </w:r>
      <w:r>
        <w:tab/>
      </w:r>
      <w:r>
        <w:tab/>
      </w:r>
      <w:r>
        <w:tab/>
      </w:r>
      <w:r>
        <w:tab/>
        <w:t>бывшей Югославии или в странах Центральной и Южной Америки, Африки или Азии, за исключением Японии и бывшей нидерландской Вест-Индии.</w:t>
      </w:r>
    </w:p>
    <w:p w:rsidR="00000000" w:rsidRDefault="00000000">
      <w:pPr>
        <w:tabs>
          <w:tab w:val="left" w:pos="3388"/>
          <w:tab w:val="left" w:pos="3906"/>
        </w:tabs>
        <w:spacing w:line="240" w:lineRule="auto"/>
        <w:ind w:left="3906" w:hanging="3906"/>
      </w:pPr>
    </w:p>
    <w:p w:rsidR="00000000" w:rsidRDefault="00000000">
      <w:pPr>
        <w:tabs>
          <w:tab w:val="left" w:pos="3388"/>
          <w:tab w:val="left" w:pos="3906"/>
        </w:tabs>
        <w:ind w:left="3906" w:hanging="3906"/>
      </w:pPr>
      <w:r>
        <w:tab/>
        <w:t>Пояснение сокращений, используемых для обозначения видов образования:</w:t>
      </w:r>
    </w:p>
    <w:p w:rsidR="00000000" w:rsidRDefault="00000000">
      <w:pPr>
        <w:tabs>
          <w:tab w:val="left" w:pos="3388"/>
          <w:tab w:val="left" w:pos="3906"/>
        </w:tabs>
        <w:ind w:left="3906" w:hanging="3906"/>
      </w:pPr>
    </w:p>
    <w:p w:rsidR="00000000" w:rsidRDefault="00000000">
      <w:pPr>
        <w:tabs>
          <w:tab w:val="left" w:pos="3388"/>
          <w:tab w:val="left" w:pos="3906"/>
        </w:tabs>
      </w:pPr>
      <w:r>
        <w:tab/>
        <w:t>НСОО:  неполное среднее общее образование;  ППО - подготовительное профессиональное образование;  ПСОО/ПОО - полное среднее общее образование/подготовка к университетскому образованию;  СПТО - среднее профессионально-техническое образование;  ВТО - высшее техническое образование;  УО - университетское образование.</w:t>
      </w:r>
    </w:p>
    <w:p w:rsidR="00000000" w:rsidRDefault="00000000">
      <w:pPr>
        <w:tabs>
          <w:tab w:val="left" w:pos="3388"/>
          <w:tab w:val="left" w:pos="3906"/>
        </w:tabs>
      </w:pPr>
    </w:p>
    <w:p w:rsidR="00000000" w:rsidRDefault="00000000">
      <w:pPr>
        <w:tabs>
          <w:tab w:val="left" w:pos="3388"/>
          <w:tab w:val="left" w:pos="3906"/>
        </w:tabs>
        <w:jc w:val="center"/>
        <w:rPr>
          <w:b/>
          <w:bCs/>
        </w:rPr>
      </w:pPr>
      <w:r>
        <w:rPr>
          <w:b/>
          <w:bCs/>
        </w:rPr>
        <w:t>3.1.2.2</w:t>
      </w:r>
      <w:r>
        <w:rPr>
          <w:b/>
          <w:bCs/>
        </w:rPr>
        <w:tab/>
        <w:t xml:space="preserve">Исключения:  исследование о </w:t>
      </w:r>
      <w:proofErr w:type="spellStart"/>
      <w:r>
        <w:rPr>
          <w:b/>
          <w:bCs/>
        </w:rPr>
        <w:t>гендерно-специфических</w:t>
      </w:r>
      <w:proofErr w:type="spellEnd"/>
      <w:r>
        <w:rPr>
          <w:b/>
          <w:bCs/>
        </w:rPr>
        <w:t xml:space="preserve"> </w:t>
      </w:r>
    </w:p>
    <w:p w:rsidR="00000000" w:rsidRDefault="00000000">
      <w:pPr>
        <w:tabs>
          <w:tab w:val="left" w:pos="3388"/>
          <w:tab w:val="left" w:pos="3906"/>
        </w:tabs>
        <w:jc w:val="center"/>
      </w:pPr>
      <w:r>
        <w:rPr>
          <w:b/>
          <w:bCs/>
        </w:rPr>
        <w:t>профессиях</w:t>
      </w:r>
    </w:p>
    <w:p w:rsidR="00000000" w:rsidRDefault="00000000">
      <w:pPr>
        <w:tabs>
          <w:tab w:val="left" w:pos="3388"/>
          <w:tab w:val="left" w:pos="3906"/>
        </w:tabs>
        <w:jc w:val="center"/>
      </w:pPr>
    </w:p>
    <w:p w:rsidR="00000000" w:rsidRDefault="00000000">
      <w:pPr>
        <w:tabs>
          <w:tab w:val="left" w:pos="3388"/>
          <w:tab w:val="left" w:pos="3906"/>
        </w:tabs>
      </w:pPr>
      <w:r>
        <w:t>164.</w:t>
      </w:r>
      <w:r>
        <w:tab/>
        <w:t>В соответствии с обязательством относительно представления докладов, закрепленным во второй Директиве Совета об осуществлении принципа равного обращения с мужчинами и женщинами в плане доступа к труду, профессионально-технической подготовке, продвижению по службе и условий труда, Министерство социальных дел и по вопросам занятости в 2002 году поручило группе специалистов провести исследование для выяснения того, действуют ли в условиях новых социальных тенденций предусмотренные в законодательстве Нидерландов исключения относительно гендерно-специфических профессий.</w:t>
      </w:r>
    </w:p>
    <w:p w:rsidR="00000000" w:rsidRDefault="00000000">
      <w:pPr>
        <w:tabs>
          <w:tab w:val="left" w:pos="3388"/>
          <w:tab w:val="left" w:pos="3906"/>
        </w:tabs>
      </w:pPr>
    </w:p>
    <w:p w:rsidR="00000000" w:rsidRDefault="00000000">
      <w:pPr>
        <w:tabs>
          <w:tab w:val="left" w:pos="3388"/>
          <w:tab w:val="left" w:pos="3906"/>
        </w:tabs>
      </w:pPr>
      <w:r>
        <w:t>165.</w:t>
      </w:r>
      <w:r>
        <w:tab/>
        <w:t>Исследование показало, что большинство существующих исключений в отношении гендерно-специфических профессий все еще необходимы и соответствуют прецедентному праву Суда Европейских сообществ и второй Директиве с внесенными в нее поправками.</w:t>
      </w:r>
    </w:p>
    <w:p w:rsidR="00000000" w:rsidRDefault="00000000">
      <w:pPr>
        <w:tabs>
          <w:tab w:val="left" w:pos="3388"/>
          <w:tab w:val="left" w:pos="3906"/>
        </w:tabs>
      </w:pPr>
    </w:p>
    <w:p w:rsidR="00000000" w:rsidRDefault="00000000">
      <w:pPr>
        <w:tabs>
          <w:tab w:val="left" w:pos="3388"/>
          <w:tab w:val="left" w:pos="3906"/>
        </w:tabs>
      </w:pPr>
      <w:r>
        <w:t>166.</w:t>
      </w:r>
      <w:r>
        <w:tab/>
        <w:t>Вместе с тем в Постановление, касающееся таких исключений, было внесено несколько поправок.  Эти поправки состоят в следующем:</w:t>
      </w:r>
    </w:p>
    <w:p w:rsidR="00000000" w:rsidRDefault="00000000">
      <w:pPr>
        <w:tabs>
          <w:tab w:val="left" w:pos="3388"/>
          <w:tab w:val="left" w:pos="3906"/>
        </w:tabs>
      </w:pPr>
    </w:p>
    <w:p w:rsidR="00000000" w:rsidRDefault="00000000">
      <w:pPr>
        <w:numPr>
          <w:ilvl w:val="0"/>
          <w:numId w:val="192"/>
        </w:numPr>
        <w:tabs>
          <w:tab w:val="clear" w:pos="567"/>
          <w:tab w:val="clear" w:pos="720"/>
          <w:tab w:val="left" w:pos="3388"/>
          <w:tab w:val="left" w:pos="3906"/>
        </w:tabs>
        <w:ind w:left="1134" w:hanging="567"/>
      </w:pPr>
      <w:r>
        <w:t>следует изменить положение об исключении, касающемся трудовой деятельности за пределами юрисдикционной территории Нидерландов.  В этом пункте Постановления устанавливается, что при определенных условиях некоторые виды трудовой деятельности в других государствах - членах ЕС и странах, не являющихся членами ЕС, могут закрепляться за лицами конкретного пола.  В настоящее время, когда исключения, касающиеся гендерно-специфических профессий, согласованы в большинстве стран ЕС, первый пункт можно удалить как излишний.  Второй пункт следует сохранить, поскольку Нидерланды, ЕС и государства - члены ЕС не оказывают влияния на законодательство стран, упомянутых в положении об этом исключении;</w:t>
      </w:r>
    </w:p>
    <w:p w:rsidR="00000000" w:rsidRDefault="00000000">
      <w:pPr>
        <w:tabs>
          <w:tab w:val="clear" w:pos="567"/>
          <w:tab w:val="left" w:pos="3388"/>
          <w:tab w:val="left" w:pos="3906"/>
        </w:tabs>
        <w:ind w:left="1134" w:hanging="567"/>
      </w:pPr>
    </w:p>
    <w:p w:rsidR="00000000" w:rsidRDefault="00000000">
      <w:pPr>
        <w:numPr>
          <w:ilvl w:val="0"/>
          <w:numId w:val="192"/>
        </w:numPr>
        <w:tabs>
          <w:tab w:val="clear" w:pos="567"/>
          <w:tab w:val="clear" w:pos="720"/>
          <w:tab w:val="left" w:pos="3388"/>
          <w:tab w:val="left" w:pos="3906"/>
        </w:tabs>
        <w:ind w:left="1134" w:hanging="567"/>
      </w:pPr>
      <w:r>
        <w:t xml:space="preserve">следует сузить нынешнее весьма широкое исключение в отношении вооруженных сил (при этом может быть удалена фраза "профессиональные функции военнослужащих вооруженных сил определяются министром обороны").  Пункт i) статьи 1 Постановления о гендерно-специфических профессиях предоставляет министру обороны полномочия (не оговариваемые какими-либо специальными положениями) определять, какие именно  профессиональные функции военнослужащих вооруженных сил имеют гендерно-специфический характер.  Исследователи считают, что такие широкие полномочия являются нецелесообразными.  Вместе с тем они подтверждают, что министр обороны на практике осмотрительно применял эти полномочия и фактически воспользовался ими только в отношении двух профессиональных категорий - военнослужащих морской пехоты Нидерландов и подводного флота Нидерландов.  Это никоим образом не противоречит Директиве 76/207/ЕЕС Совета.  В этой связи исследователи рекомендуют изменить пункт </w:t>
      </w:r>
      <w:r>
        <w:rPr>
          <w:lang w:val="en-US"/>
        </w:rPr>
        <w:t>i</w:t>
      </w:r>
      <w:r>
        <w:t>) статьи 1 и ограничить применение данного исключения вышеупомянутыми должностями.</w:t>
      </w:r>
    </w:p>
    <w:p w:rsidR="00000000" w:rsidRDefault="00000000">
      <w:pPr>
        <w:tabs>
          <w:tab w:val="left" w:pos="3388"/>
          <w:tab w:val="left" w:pos="3906"/>
        </w:tabs>
        <w:ind w:left="214"/>
      </w:pPr>
    </w:p>
    <w:p w:rsidR="00000000" w:rsidRDefault="00000000">
      <w:pPr>
        <w:tabs>
          <w:tab w:val="left" w:pos="3388"/>
          <w:tab w:val="left" w:pos="3906"/>
        </w:tabs>
      </w:pPr>
      <w:r>
        <w:t>167.</w:t>
      </w:r>
      <w:r>
        <w:tab/>
        <w:t xml:space="preserve">Рекомендация специалистов будет принята, и в данное положение об исключении будут внесены соответствующие поправки.  В пункт </w:t>
      </w:r>
      <w:r>
        <w:rPr>
          <w:lang w:val="en-US"/>
        </w:rPr>
        <w:t>i</w:t>
      </w:r>
      <w:r>
        <w:t>) статьи 1 будут внесены изменения, касающиеся "профессиональных функций, выполняемых военнослужащими в морской пехоте и подводном флоте Нидерландов".  В этой связи утверждается, что служба в морской пехоте сопряжена с повышенными требованиями к кандидатам в отношении физической подготовки.  Вероятность соответствия женщин таким требованиям настолько мала, что лишь немногие из них могли бы пройти процедуру отбора.  Это подтверждается проверками способности женщин выполнять физически трудную работу на других должностях в вооруженных силах.  Присутствие среди военнослужащих даже небольшого количества женщин, особенно с учетом того, что условия оперативной обстановки исключают возможность каких-либо специальных удобств для женщин, может создавать острую стрессовую ситуацию, при которой возможно снижение боеспособности подразделения.</w:t>
      </w:r>
    </w:p>
    <w:p w:rsidR="00000000" w:rsidRDefault="00000000">
      <w:pPr>
        <w:tabs>
          <w:tab w:val="left" w:pos="3388"/>
          <w:tab w:val="left" w:pos="3906"/>
        </w:tabs>
      </w:pPr>
    </w:p>
    <w:p w:rsidR="00000000" w:rsidRDefault="00000000">
      <w:r>
        <w:t>168.</w:t>
      </w:r>
      <w:r>
        <w:tab/>
        <w:t>Аналогичным образом в подводном флоте Нидерландов отсутствие таких удобств в сочетании с необходимостью длительное время находиться в ограниченном по площади пространстве может негативно влиять на оперативно-тактические возможности личного состава.  Создание отдельных удобств было бы сопряжено со значительными расходами.</w:t>
      </w:r>
    </w:p>
    <w:p w:rsidR="00000000" w:rsidRDefault="00000000"/>
    <w:p w:rsidR="00000000" w:rsidRDefault="00000000">
      <w:pPr>
        <w:jc w:val="center"/>
        <w:rPr>
          <w:b/>
          <w:bCs/>
        </w:rPr>
      </w:pPr>
      <w:r>
        <w:rPr>
          <w:b/>
          <w:bCs/>
        </w:rPr>
        <w:t>3.1.3</w:t>
      </w:r>
      <w:r>
        <w:rPr>
          <w:b/>
          <w:bCs/>
        </w:rPr>
        <w:tab/>
        <w:t xml:space="preserve">  Трудящиеся, совмещающие занятость полный рабочий день</w:t>
      </w:r>
    </w:p>
    <w:p w:rsidR="00000000" w:rsidRDefault="00000000">
      <w:pPr>
        <w:jc w:val="center"/>
      </w:pPr>
      <w:r>
        <w:rPr>
          <w:b/>
          <w:bCs/>
        </w:rPr>
        <w:t>с другой работой</w:t>
      </w:r>
    </w:p>
    <w:p w:rsidR="00000000" w:rsidRDefault="00000000">
      <w:pPr>
        <w:jc w:val="center"/>
      </w:pPr>
    </w:p>
    <w:p w:rsidR="00000000" w:rsidRDefault="00000000">
      <w:r>
        <w:t>169.</w:t>
      </w:r>
      <w:r>
        <w:tab/>
        <w:t>В Нидерландах у трудящихся нет необходимости совмещать труд в течение полного рабочего дня с другой работой в целях поддержания надлежащего уровня жизни для себя и своих семей.  Нормативная минимальная заработная плата и голландская система социального обеспечения предоставляют достаточный доход, позволяющий гарантировать надлежащий жизненный уровень.</w:t>
      </w:r>
    </w:p>
    <w:p w:rsidR="00000000" w:rsidRDefault="00000000"/>
    <w:p w:rsidR="00000000" w:rsidRDefault="00000000">
      <w:pPr>
        <w:jc w:val="center"/>
        <w:rPr>
          <w:b/>
          <w:bCs/>
        </w:rPr>
      </w:pPr>
      <w:r>
        <w:rPr>
          <w:b/>
          <w:bCs/>
        </w:rPr>
        <w:t>3.2</w:t>
      </w:r>
      <w:r>
        <w:rPr>
          <w:b/>
          <w:bCs/>
        </w:rPr>
        <w:tab/>
        <w:t>Статья 7</w:t>
      </w:r>
    </w:p>
    <w:p w:rsidR="00000000" w:rsidRDefault="00000000">
      <w:pPr>
        <w:jc w:val="center"/>
        <w:rPr>
          <w:b/>
          <w:bCs/>
        </w:rPr>
      </w:pPr>
    </w:p>
    <w:p w:rsidR="00000000" w:rsidRDefault="00000000">
      <w:pPr>
        <w:jc w:val="center"/>
      </w:pPr>
      <w:r>
        <w:rPr>
          <w:b/>
          <w:bCs/>
        </w:rPr>
        <w:t>3.2.1</w:t>
      </w:r>
      <w:r>
        <w:rPr>
          <w:b/>
          <w:bCs/>
        </w:rPr>
        <w:tab/>
        <w:t xml:space="preserve">   Общая методика определения ставок заработной платы</w:t>
      </w:r>
    </w:p>
    <w:p w:rsidR="00000000" w:rsidRDefault="00000000">
      <w:pPr>
        <w:jc w:val="center"/>
      </w:pPr>
    </w:p>
    <w:p w:rsidR="00000000" w:rsidRDefault="00000000">
      <w:r>
        <w:t>170.</w:t>
      </w:r>
      <w:r>
        <w:tab/>
        <w:t>В Нидерландах действует система свободного определения ставок заработной платы.  Согласно статье 10 Закона о ставках заработной платы (</w:t>
      </w:r>
      <w:r>
        <w:rPr>
          <w:i/>
          <w:iCs/>
          <w:lang w:val="en-US"/>
        </w:rPr>
        <w:t>Wet</w:t>
      </w:r>
      <w:r>
        <w:rPr>
          <w:i/>
          <w:iCs/>
        </w:rPr>
        <w:t xml:space="preserve"> </w:t>
      </w:r>
      <w:r>
        <w:rPr>
          <w:i/>
          <w:iCs/>
          <w:lang w:val="en-US"/>
        </w:rPr>
        <w:t>op</w:t>
      </w:r>
      <w:r>
        <w:rPr>
          <w:i/>
          <w:iCs/>
        </w:rPr>
        <w:t xml:space="preserve"> </w:t>
      </w:r>
      <w:r>
        <w:rPr>
          <w:i/>
          <w:iCs/>
          <w:lang w:val="en-US"/>
        </w:rPr>
        <w:t>de</w:t>
      </w:r>
      <w:r>
        <w:rPr>
          <w:i/>
          <w:iCs/>
        </w:rPr>
        <w:t xml:space="preserve"> </w:t>
      </w:r>
      <w:r>
        <w:rPr>
          <w:i/>
          <w:iCs/>
          <w:lang w:val="en-US"/>
        </w:rPr>
        <w:t>Loonvorming</w:t>
      </w:r>
      <w:r>
        <w:t>), министр социальных дел и по вопросам занятости может в исключительных обстоятельствах и на ограниченный период времени устанавливать общие правила определения ставок заработной платы и других условий труда, измеряемых в денежном выражении.  За период, охватываемый настоящим докладом, министр не применял каких-либо мер в отношении заработной платы в соответствии со статьей 10 этого Закона.</w:t>
      </w:r>
    </w:p>
    <w:p w:rsidR="00000000" w:rsidRDefault="00000000"/>
    <w:p w:rsidR="00000000" w:rsidRDefault="00000000">
      <w:pPr>
        <w:jc w:val="center"/>
      </w:pPr>
      <w:r>
        <w:rPr>
          <w:b/>
          <w:bCs/>
        </w:rPr>
        <w:t>3.2.1.1   Минимальный доход</w:t>
      </w:r>
    </w:p>
    <w:p w:rsidR="00000000" w:rsidRDefault="00000000">
      <w:pPr>
        <w:jc w:val="center"/>
      </w:pPr>
    </w:p>
    <w:p w:rsidR="00000000" w:rsidRDefault="00000000">
      <w:r>
        <w:rPr>
          <w:b/>
          <w:bCs/>
        </w:rPr>
        <w:t>Минимальная заработная плата</w:t>
      </w:r>
    </w:p>
    <w:p w:rsidR="00000000" w:rsidRDefault="00000000"/>
    <w:p w:rsidR="00000000" w:rsidRDefault="00000000">
      <w:r>
        <w:t>171.</w:t>
      </w:r>
      <w:r>
        <w:tab/>
        <w:t>Информация, касающаяся определения размера минимальной заработной платы и ее увязки со средним увеличением согласованных на коллективной основе ставок оплаты труда (на основе примерно 130 основных коллективных трудовых соглашений), содержится в докладе о применении положений Конвенции 1970 года об установлении минимальной заработной платы (Конвенция МОТ № 131) (см. Добавление 1).  Согласно действующим нормам, увеличение ставок заработной платы осуществляется по согласованию сторон коллективных трудовых соглашений и применяется ко всем трудящимся.</w:t>
      </w:r>
    </w:p>
    <w:p w:rsidR="00000000" w:rsidRDefault="00000000"/>
    <w:p w:rsidR="00000000" w:rsidRDefault="00000000">
      <w:r>
        <w:t>172.</w:t>
      </w:r>
      <w:r>
        <w:tab/>
        <w:t>В последнем докладе об осуществлении этой Конвенции приводятся результаты проведенного в 1998 году исследования о минимальной заработной плате в Нидерландах.  В нем также сообщается, что в начале 2003 года запланировано новое исследование на эту тему.  В дополнение к докладу, представленному МОТ, можно отметить, что это новое исследование о нормативной минимальной заработной плате в частном секторе Нидерландов было завершено Трудовой инспекцией в марте 2003 года</w:t>
      </w:r>
      <w:r>
        <w:rPr>
          <w:b/>
          <w:bCs/>
          <w:vertAlign w:val="superscript"/>
        </w:rPr>
        <w:t>12</w:t>
      </w:r>
      <w:r>
        <w:t>.</w:t>
      </w:r>
    </w:p>
    <w:p w:rsidR="00000000" w:rsidRDefault="00000000"/>
    <w:p w:rsidR="00000000" w:rsidRDefault="00000000">
      <w:r>
        <w:t>173.</w:t>
      </w:r>
      <w:r>
        <w:tab/>
        <w:t>Исследование показывает, что оклад в размере ниже нормативной минимальной заработной платы в голландским частном секторе получают примерно 68 000 трудящихся в возрасте 15-65 лет, или 1,1% всех трудящихся в Нидерландах.  Заработная плата до вычетов примерно 130 000 трудящихся, или 2,1% всех трудящихся в Нидерландах, соответствует размеру нормативной минимальной заработной платы.</w:t>
      </w:r>
    </w:p>
    <w:p w:rsidR="00000000" w:rsidRDefault="00000000"/>
    <w:p w:rsidR="00000000" w:rsidRDefault="00000000">
      <w:r>
        <w:t>174.</w:t>
      </w:r>
      <w:r>
        <w:tab/>
        <w:t>Как правило, к числу трудящихся с заработной платой, которая является меньше установленной минимальной ставки или равна ей, относятся женщины и молодые лица, работающие неполный рабочий день.  Зачастую речь идет о младшем обслуживающем персонале, который работает на малых предприятиях в секторах розничной торговли, гостиничного хозяйства и общественного питания или сельского хозяйства.  Выплата низкой заработной платы необязательно предполагает нежелание работодателя надлежащим образом вознаграждать труд работников.  Исследование показывает, что во многих случаях это обусловлено неправильным расчетом размера минимальной заработной платы.</w:t>
      </w:r>
    </w:p>
    <w:p w:rsidR="00000000" w:rsidRDefault="00000000"/>
    <w:p w:rsidR="00000000" w:rsidRDefault="00000000">
      <w:r>
        <w:t>175.</w:t>
      </w:r>
      <w:r>
        <w:tab/>
        <w:t>Количество лиц, получающих заработную плату ниже установленного размера, со времени проведения предыдущего исследования увеличилось (с 36 000 до 68 000 человек).  По данным Трудовой инспекции, это увеличение в абсолютном выражении может в основном объясняться увеличением занятости с примерно 4,9 млн. до 6,1 млн. трудящихся.</w:t>
      </w:r>
    </w:p>
    <w:p w:rsidR="00000000" w:rsidRDefault="00000000"/>
    <w:p w:rsidR="00000000" w:rsidRDefault="00000000">
      <w:r>
        <w:rPr>
          <w:b/>
          <w:bCs/>
        </w:rPr>
        <w:t>Выполнение Закона о минимальной заработной плате и минимальной ставке пособия по выходным</w:t>
      </w:r>
    </w:p>
    <w:p w:rsidR="00000000" w:rsidRDefault="00000000"/>
    <w:p w:rsidR="00000000" w:rsidRDefault="00000000">
      <w:r>
        <w:t>176.</w:t>
      </w:r>
      <w:r>
        <w:tab/>
        <w:t>Что касается Закона о минимальной заработной плате и минимальной ставке пособия по выходным (ЗМЗПВ), то какая-либо информация об изменениях в этой связи отсутствует.  Положения этого Закона являются частью законодательства, регламентирующего заключение трудовых соглашений, и поэтому они относятся к сфере частного права.  Трудящиеся, получающие заработную плату меньше установленного размера, могут возбудить гражданский иск против работодателя и потребовать соответствующую компенсацию, а также имеют возможность вначале направить жалобу в Трудовую инспекцию.</w:t>
      </w:r>
    </w:p>
    <w:p w:rsidR="00000000" w:rsidRDefault="00000000"/>
    <w:p w:rsidR="00000000" w:rsidRDefault="00000000">
      <w:pPr>
        <w:keepNext/>
      </w:pPr>
      <w:r>
        <w:rPr>
          <w:b/>
          <w:bCs/>
        </w:rPr>
        <w:t>Динамика дохода</w:t>
      </w:r>
    </w:p>
    <w:p w:rsidR="00000000" w:rsidRDefault="00000000">
      <w:pPr>
        <w:keepNext/>
      </w:pPr>
    </w:p>
    <w:p w:rsidR="00000000" w:rsidRDefault="00000000">
      <w:pPr>
        <w:keepNext/>
      </w:pPr>
      <w:r>
        <w:t>177.</w:t>
      </w:r>
      <w:r>
        <w:tab/>
        <w:t>В таблице ниже приводятся сведения о динамике дохода за период 1993-2003 годов и о различии в размере минимальной заработной платы в государственном и частном секторах.</w:t>
      </w:r>
    </w:p>
    <w:p w:rsidR="00000000" w:rsidRDefault="00000000">
      <w:pPr>
        <w:spacing w:line="240" w:lineRule="auto"/>
      </w:pPr>
    </w:p>
    <w:p w:rsidR="00000000" w:rsidRDefault="00000000">
      <w:pPr>
        <w:spacing w:line="240" w:lineRule="auto"/>
        <w:jc w:val="center"/>
        <w:rPr>
          <w:b/>
          <w:bCs/>
        </w:rPr>
      </w:pPr>
      <w:r>
        <w:rPr>
          <w:b/>
          <w:bCs/>
        </w:rPr>
        <w:t>Таблица 6</w:t>
      </w:r>
    </w:p>
    <w:p w:rsidR="00000000" w:rsidRDefault="00000000">
      <w:pPr>
        <w:spacing w:line="240" w:lineRule="auto"/>
        <w:jc w:val="center"/>
        <w:rPr>
          <w:b/>
          <w:bCs/>
        </w:rPr>
      </w:pPr>
    </w:p>
    <w:p w:rsidR="00000000" w:rsidRDefault="00000000">
      <w:pPr>
        <w:spacing w:line="240" w:lineRule="auto"/>
        <w:jc w:val="center"/>
        <w:rPr>
          <w:b/>
          <w:bCs/>
        </w:rPr>
      </w:pPr>
      <w:r>
        <w:rPr>
          <w:b/>
          <w:bCs/>
        </w:rPr>
        <w:t>Реальные тенденции в покупательной способности в 1993-2003 годах</w:t>
      </w:r>
    </w:p>
    <w:p w:rsidR="00000000" w:rsidRDefault="00000000">
      <w:pPr>
        <w:spacing w:line="240" w:lineRule="auto"/>
        <w:jc w:val="cente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740"/>
        <w:gridCol w:w="1444"/>
        <w:gridCol w:w="1445"/>
        <w:gridCol w:w="1444"/>
        <w:gridCol w:w="1445"/>
        <w:gridCol w:w="1444"/>
        <w:gridCol w:w="1445"/>
      </w:tblGrid>
      <w:tr w:rsidR="00000000">
        <w:tblPrEx>
          <w:tblCellMar>
            <w:top w:w="0" w:type="dxa"/>
            <w:bottom w:w="0" w:type="dxa"/>
          </w:tblCellMar>
        </w:tblPrEx>
        <w:trPr>
          <w:trHeight w:val="255"/>
        </w:trPr>
        <w:tc>
          <w:tcPr>
            <w:tcW w:w="740" w:type="dxa"/>
            <w:vAlign w:val="bottom"/>
          </w:tcPr>
          <w:p w:rsidR="00000000" w:rsidRDefault="00000000">
            <w:pPr>
              <w:spacing w:line="240" w:lineRule="auto"/>
              <w:jc w:val="center"/>
              <w:rPr>
                <w:bCs/>
                <w:sz w:val="22"/>
              </w:rPr>
            </w:pPr>
          </w:p>
        </w:tc>
        <w:tc>
          <w:tcPr>
            <w:tcW w:w="2889" w:type="dxa"/>
            <w:gridSpan w:val="2"/>
            <w:vAlign w:val="bottom"/>
          </w:tcPr>
          <w:p w:rsidR="00000000" w:rsidRDefault="00000000">
            <w:pPr>
              <w:spacing w:line="240" w:lineRule="auto"/>
              <w:jc w:val="center"/>
              <w:rPr>
                <w:bCs/>
                <w:sz w:val="22"/>
              </w:rPr>
            </w:pPr>
            <w:r>
              <w:rPr>
                <w:bCs/>
                <w:sz w:val="22"/>
              </w:rPr>
              <w:t>Минимальная заработная плата</w:t>
            </w:r>
          </w:p>
        </w:tc>
        <w:tc>
          <w:tcPr>
            <w:tcW w:w="2889" w:type="dxa"/>
            <w:gridSpan w:val="2"/>
            <w:vAlign w:val="bottom"/>
          </w:tcPr>
          <w:p w:rsidR="00000000" w:rsidRDefault="00000000">
            <w:pPr>
              <w:spacing w:line="240" w:lineRule="auto"/>
              <w:jc w:val="center"/>
              <w:rPr>
                <w:bCs/>
                <w:sz w:val="22"/>
              </w:rPr>
            </w:pPr>
            <w:r>
              <w:rPr>
                <w:bCs/>
                <w:sz w:val="22"/>
              </w:rPr>
              <w:t>Усредненные данные по частному сектору</w:t>
            </w:r>
          </w:p>
        </w:tc>
        <w:tc>
          <w:tcPr>
            <w:tcW w:w="2889" w:type="dxa"/>
            <w:gridSpan w:val="2"/>
            <w:vAlign w:val="bottom"/>
          </w:tcPr>
          <w:p w:rsidR="00000000" w:rsidRDefault="00000000">
            <w:pPr>
              <w:spacing w:line="240" w:lineRule="auto"/>
              <w:jc w:val="center"/>
              <w:rPr>
                <w:bCs/>
                <w:sz w:val="22"/>
              </w:rPr>
            </w:pPr>
            <w:r>
              <w:rPr>
                <w:bCs/>
                <w:sz w:val="22"/>
              </w:rPr>
              <w:t>Усредненные данные по государственном сектору</w:t>
            </w:r>
          </w:p>
        </w:tc>
      </w:tr>
      <w:tr w:rsidR="00000000">
        <w:tblPrEx>
          <w:tblCellMar>
            <w:top w:w="0" w:type="dxa"/>
            <w:bottom w:w="0" w:type="dxa"/>
          </w:tblCellMar>
        </w:tblPrEx>
        <w:trPr>
          <w:trHeight w:val="270"/>
        </w:trPr>
        <w:tc>
          <w:tcPr>
            <w:tcW w:w="740" w:type="dxa"/>
            <w:tcBorders>
              <w:bottom w:val="single" w:sz="4" w:space="0" w:color="auto"/>
            </w:tcBorders>
          </w:tcPr>
          <w:p w:rsidR="00000000" w:rsidRDefault="00000000">
            <w:pPr>
              <w:spacing w:line="240" w:lineRule="auto"/>
              <w:jc w:val="center"/>
              <w:rPr>
                <w:sz w:val="22"/>
              </w:rPr>
            </w:pPr>
            <w:r>
              <w:rPr>
                <w:sz w:val="22"/>
              </w:rPr>
              <w:t>Год</w:t>
            </w:r>
          </w:p>
        </w:tc>
        <w:tc>
          <w:tcPr>
            <w:tcW w:w="1444" w:type="dxa"/>
            <w:tcBorders>
              <w:bottom w:val="single" w:sz="4" w:space="0" w:color="auto"/>
            </w:tcBorders>
          </w:tcPr>
          <w:p w:rsidR="00000000" w:rsidRDefault="00000000">
            <w:pPr>
              <w:spacing w:line="240" w:lineRule="auto"/>
              <w:jc w:val="center"/>
              <w:rPr>
                <w:sz w:val="22"/>
              </w:rPr>
            </w:pPr>
            <w:r>
              <w:rPr>
                <w:sz w:val="22"/>
              </w:rPr>
              <w:t>(1973=100)</w:t>
            </w:r>
          </w:p>
        </w:tc>
        <w:tc>
          <w:tcPr>
            <w:tcW w:w="1445" w:type="dxa"/>
            <w:tcBorders>
              <w:bottom w:val="single" w:sz="4" w:space="0" w:color="auto"/>
            </w:tcBorders>
            <w:vAlign w:val="bottom"/>
          </w:tcPr>
          <w:p w:rsidR="00000000" w:rsidRDefault="00000000">
            <w:pPr>
              <w:spacing w:line="240" w:lineRule="auto"/>
              <w:jc w:val="center"/>
              <w:rPr>
                <w:sz w:val="22"/>
              </w:rPr>
            </w:pPr>
            <w:r>
              <w:rPr>
                <w:sz w:val="22"/>
              </w:rPr>
              <w:t>(Изменение за год в %)</w:t>
            </w:r>
          </w:p>
        </w:tc>
        <w:tc>
          <w:tcPr>
            <w:tcW w:w="1444" w:type="dxa"/>
            <w:tcBorders>
              <w:bottom w:val="single" w:sz="4" w:space="0" w:color="auto"/>
            </w:tcBorders>
          </w:tcPr>
          <w:p w:rsidR="00000000" w:rsidRDefault="00000000">
            <w:pPr>
              <w:spacing w:line="240" w:lineRule="auto"/>
              <w:jc w:val="center"/>
              <w:rPr>
                <w:sz w:val="22"/>
              </w:rPr>
            </w:pPr>
            <w:r>
              <w:rPr>
                <w:sz w:val="22"/>
              </w:rPr>
              <w:t>(1973=100)</w:t>
            </w:r>
          </w:p>
        </w:tc>
        <w:tc>
          <w:tcPr>
            <w:tcW w:w="1445" w:type="dxa"/>
            <w:tcBorders>
              <w:bottom w:val="single" w:sz="4" w:space="0" w:color="auto"/>
            </w:tcBorders>
            <w:vAlign w:val="bottom"/>
          </w:tcPr>
          <w:p w:rsidR="00000000" w:rsidRDefault="00000000">
            <w:pPr>
              <w:spacing w:line="240" w:lineRule="auto"/>
              <w:jc w:val="center"/>
              <w:rPr>
                <w:sz w:val="22"/>
              </w:rPr>
            </w:pPr>
            <w:r>
              <w:rPr>
                <w:sz w:val="22"/>
              </w:rPr>
              <w:t>(Изменение за год в %)</w:t>
            </w:r>
          </w:p>
        </w:tc>
        <w:tc>
          <w:tcPr>
            <w:tcW w:w="1444" w:type="dxa"/>
            <w:tcBorders>
              <w:bottom w:val="single" w:sz="4" w:space="0" w:color="auto"/>
            </w:tcBorders>
          </w:tcPr>
          <w:p w:rsidR="00000000" w:rsidRDefault="00000000">
            <w:pPr>
              <w:spacing w:line="240" w:lineRule="auto"/>
              <w:jc w:val="center"/>
              <w:rPr>
                <w:sz w:val="22"/>
              </w:rPr>
            </w:pPr>
            <w:r>
              <w:rPr>
                <w:sz w:val="22"/>
              </w:rPr>
              <w:t>(1973=100)</w:t>
            </w:r>
          </w:p>
        </w:tc>
        <w:tc>
          <w:tcPr>
            <w:tcW w:w="1445" w:type="dxa"/>
            <w:tcBorders>
              <w:bottom w:val="single" w:sz="4" w:space="0" w:color="auto"/>
            </w:tcBorders>
            <w:vAlign w:val="bottom"/>
          </w:tcPr>
          <w:p w:rsidR="00000000" w:rsidRDefault="00000000">
            <w:pPr>
              <w:spacing w:line="240" w:lineRule="auto"/>
              <w:jc w:val="center"/>
              <w:rPr>
                <w:sz w:val="22"/>
              </w:rPr>
            </w:pPr>
            <w:r>
              <w:rPr>
                <w:sz w:val="22"/>
              </w:rPr>
              <w:t>(Изменение за год в %)</w:t>
            </w:r>
          </w:p>
        </w:tc>
      </w:tr>
      <w:tr w:rsidR="00000000">
        <w:tblPrEx>
          <w:tblCellMar>
            <w:top w:w="0" w:type="dxa"/>
            <w:bottom w:w="0" w:type="dxa"/>
          </w:tblCellMar>
        </w:tblPrEx>
        <w:trPr>
          <w:trHeight w:val="270"/>
        </w:trPr>
        <w:tc>
          <w:tcPr>
            <w:tcW w:w="740" w:type="dxa"/>
            <w:tcBorders>
              <w:bottom w:val="nil"/>
            </w:tcBorders>
            <w:vAlign w:val="bottom"/>
          </w:tcPr>
          <w:p w:rsidR="00000000" w:rsidRDefault="00000000">
            <w:pPr>
              <w:spacing w:line="240" w:lineRule="auto"/>
              <w:jc w:val="center"/>
              <w:rPr>
                <w:sz w:val="22"/>
              </w:rPr>
            </w:pPr>
            <w:r>
              <w:rPr>
                <w:sz w:val="22"/>
              </w:rPr>
              <w:t>1993</w:t>
            </w:r>
          </w:p>
        </w:tc>
        <w:tc>
          <w:tcPr>
            <w:tcW w:w="1444" w:type="dxa"/>
            <w:tcBorders>
              <w:bottom w:val="nil"/>
            </w:tcBorders>
            <w:vAlign w:val="bottom"/>
          </w:tcPr>
          <w:p w:rsidR="00000000" w:rsidRDefault="00000000">
            <w:pPr>
              <w:spacing w:line="240" w:lineRule="auto"/>
              <w:jc w:val="center"/>
              <w:rPr>
                <w:sz w:val="22"/>
              </w:rPr>
            </w:pPr>
            <w:r>
              <w:rPr>
                <w:sz w:val="22"/>
              </w:rPr>
              <w:t>108,8</w:t>
            </w:r>
          </w:p>
        </w:tc>
        <w:tc>
          <w:tcPr>
            <w:tcW w:w="1445" w:type="dxa"/>
            <w:tcBorders>
              <w:bottom w:val="nil"/>
            </w:tcBorders>
            <w:vAlign w:val="bottom"/>
          </w:tcPr>
          <w:p w:rsidR="00000000" w:rsidRDefault="00000000">
            <w:pPr>
              <w:spacing w:line="240" w:lineRule="auto"/>
              <w:jc w:val="center"/>
              <w:rPr>
                <w:sz w:val="22"/>
              </w:rPr>
            </w:pPr>
            <w:r>
              <w:rPr>
                <w:sz w:val="22"/>
              </w:rPr>
              <w:t>-0,60%</w:t>
            </w:r>
          </w:p>
        </w:tc>
        <w:tc>
          <w:tcPr>
            <w:tcW w:w="1444" w:type="dxa"/>
            <w:tcBorders>
              <w:bottom w:val="nil"/>
            </w:tcBorders>
            <w:vAlign w:val="bottom"/>
          </w:tcPr>
          <w:p w:rsidR="00000000" w:rsidRDefault="00000000">
            <w:pPr>
              <w:spacing w:line="240" w:lineRule="auto"/>
              <w:jc w:val="center"/>
              <w:rPr>
                <w:sz w:val="22"/>
              </w:rPr>
            </w:pPr>
            <w:r>
              <w:rPr>
                <w:sz w:val="22"/>
              </w:rPr>
              <w:t>108,2</w:t>
            </w:r>
          </w:p>
        </w:tc>
        <w:tc>
          <w:tcPr>
            <w:tcW w:w="1445" w:type="dxa"/>
            <w:tcBorders>
              <w:bottom w:val="nil"/>
            </w:tcBorders>
            <w:vAlign w:val="bottom"/>
          </w:tcPr>
          <w:p w:rsidR="00000000" w:rsidRDefault="00000000">
            <w:pPr>
              <w:tabs>
                <w:tab w:val="clear" w:pos="1134"/>
              </w:tabs>
              <w:spacing w:line="240" w:lineRule="auto"/>
              <w:ind w:right="483"/>
              <w:jc w:val="right"/>
              <w:rPr>
                <w:sz w:val="22"/>
              </w:rPr>
            </w:pPr>
            <w:r>
              <w:rPr>
                <w:sz w:val="22"/>
              </w:rPr>
              <w:t>0,6%</w:t>
            </w:r>
          </w:p>
        </w:tc>
        <w:tc>
          <w:tcPr>
            <w:tcW w:w="1444" w:type="dxa"/>
            <w:tcBorders>
              <w:bottom w:val="nil"/>
            </w:tcBorders>
            <w:vAlign w:val="bottom"/>
          </w:tcPr>
          <w:p w:rsidR="00000000" w:rsidRDefault="00000000">
            <w:pPr>
              <w:tabs>
                <w:tab w:val="clear" w:pos="1134"/>
              </w:tabs>
              <w:spacing w:line="240" w:lineRule="auto"/>
              <w:ind w:right="483"/>
              <w:jc w:val="right"/>
              <w:rPr>
                <w:sz w:val="22"/>
              </w:rPr>
            </w:pPr>
            <w:r>
              <w:rPr>
                <w:sz w:val="22"/>
              </w:rPr>
              <w:t>95</w:t>
            </w:r>
          </w:p>
        </w:tc>
        <w:tc>
          <w:tcPr>
            <w:tcW w:w="1445" w:type="dxa"/>
            <w:tcBorders>
              <w:bottom w:val="nil"/>
            </w:tcBorders>
            <w:vAlign w:val="bottom"/>
          </w:tcPr>
          <w:p w:rsidR="00000000" w:rsidRDefault="00000000">
            <w:pPr>
              <w:tabs>
                <w:tab w:val="clear" w:pos="567"/>
                <w:tab w:val="clear" w:pos="1134"/>
              </w:tabs>
              <w:spacing w:line="240" w:lineRule="auto"/>
              <w:ind w:right="483"/>
              <w:jc w:val="right"/>
              <w:rPr>
                <w:sz w:val="22"/>
              </w:rPr>
            </w:pPr>
            <w:r>
              <w:rPr>
                <w:sz w:val="22"/>
              </w:rPr>
              <w:t>-0,7%</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1994</w:t>
            </w:r>
          </w:p>
        </w:tc>
        <w:tc>
          <w:tcPr>
            <w:tcW w:w="1444" w:type="dxa"/>
            <w:tcBorders>
              <w:top w:val="nil"/>
              <w:bottom w:val="nil"/>
            </w:tcBorders>
            <w:vAlign w:val="bottom"/>
          </w:tcPr>
          <w:p w:rsidR="00000000" w:rsidRDefault="00000000">
            <w:pPr>
              <w:spacing w:line="240" w:lineRule="auto"/>
              <w:jc w:val="center"/>
              <w:rPr>
                <w:sz w:val="22"/>
              </w:rPr>
            </w:pPr>
            <w:r>
              <w:rPr>
                <w:sz w:val="22"/>
              </w:rPr>
              <w:t>107,0</w:t>
            </w:r>
          </w:p>
        </w:tc>
        <w:tc>
          <w:tcPr>
            <w:tcW w:w="1445" w:type="dxa"/>
            <w:tcBorders>
              <w:top w:val="nil"/>
              <w:bottom w:val="nil"/>
            </w:tcBorders>
            <w:vAlign w:val="bottom"/>
          </w:tcPr>
          <w:p w:rsidR="00000000" w:rsidRDefault="00000000">
            <w:pPr>
              <w:spacing w:line="240" w:lineRule="auto"/>
              <w:jc w:val="center"/>
              <w:rPr>
                <w:sz w:val="22"/>
              </w:rPr>
            </w:pPr>
            <w:r>
              <w:rPr>
                <w:sz w:val="22"/>
              </w:rPr>
              <w:t>-1,70%</w:t>
            </w:r>
          </w:p>
        </w:tc>
        <w:tc>
          <w:tcPr>
            <w:tcW w:w="1444" w:type="dxa"/>
            <w:tcBorders>
              <w:top w:val="nil"/>
              <w:bottom w:val="nil"/>
            </w:tcBorders>
            <w:vAlign w:val="bottom"/>
          </w:tcPr>
          <w:p w:rsidR="00000000" w:rsidRDefault="00000000">
            <w:pPr>
              <w:spacing w:line="240" w:lineRule="auto"/>
              <w:jc w:val="center"/>
              <w:rPr>
                <w:sz w:val="22"/>
              </w:rPr>
            </w:pPr>
            <w:r>
              <w:rPr>
                <w:sz w:val="22"/>
              </w:rPr>
              <w:t>107,7</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-0,4%</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93,5</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-1,5%</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1995</w:t>
            </w:r>
          </w:p>
        </w:tc>
        <w:tc>
          <w:tcPr>
            <w:tcW w:w="1444" w:type="dxa"/>
            <w:tcBorders>
              <w:top w:val="nil"/>
              <w:bottom w:val="nil"/>
            </w:tcBorders>
            <w:vAlign w:val="bottom"/>
          </w:tcPr>
          <w:p w:rsidR="00000000" w:rsidRDefault="00000000">
            <w:pPr>
              <w:spacing w:line="240" w:lineRule="auto"/>
              <w:jc w:val="center"/>
              <w:rPr>
                <w:sz w:val="22"/>
              </w:rPr>
            </w:pPr>
            <w:r>
              <w:rPr>
                <w:sz w:val="22"/>
              </w:rPr>
              <w:t>106,7</w:t>
            </w:r>
          </w:p>
        </w:tc>
        <w:tc>
          <w:tcPr>
            <w:tcW w:w="1445" w:type="dxa"/>
            <w:tcBorders>
              <w:top w:val="nil"/>
              <w:bottom w:val="nil"/>
            </w:tcBorders>
            <w:vAlign w:val="bottom"/>
          </w:tcPr>
          <w:p w:rsidR="00000000" w:rsidRDefault="00000000">
            <w:pPr>
              <w:spacing w:line="240" w:lineRule="auto"/>
              <w:jc w:val="center"/>
              <w:rPr>
                <w:sz w:val="22"/>
              </w:rPr>
            </w:pPr>
            <w:r>
              <w:rPr>
                <w:sz w:val="22"/>
              </w:rPr>
              <w:t>-0,30%</w:t>
            </w:r>
          </w:p>
        </w:tc>
        <w:tc>
          <w:tcPr>
            <w:tcW w:w="1444" w:type="dxa"/>
            <w:tcBorders>
              <w:top w:val="nil"/>
              <w:bottom w:val="nil"/>
            </w:tcBorders>
            <w:vAlign w:val="bottom"/>
          </w:tcPr>
          <w:p w:rsidR="00000000" w:rsidRDefault="00000000">
            <w:pPr>
              <w:spacing w:line="240" w:lineRule="auto"/>
              <w:jc w:val="center"/>
              <w:rPr>
                <w:sz w:val="22"/>
              </w:rPr>
            </w:pPr>
            <w:r>
              <w:rPr>
                <w:sz w:val="22"/>
              </w:rPr>
              <w:t>108,5</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0,7%</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92,6</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-1,0%</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1996</w:t>
            </w:r>
          </w:p>
        </w:tc>
        <w:tc>
          <w:tcPr>
            <w:tcW w:w="1444" w:type="dxa"/>
            <w:tcBorders>
              <w:top w:val="nil"/>
              <w:bottom w:val="nil"/>
            </w:tcBorders>
            <w:vAlign w:val="bottom"/>
          </w:tcPr>
          <w:p w:rsidR="00000000" w:rsidRDefault="00000000">
            <w:pPr>
              <w:spacing w:line="240" w:lineRule="auto"/>
              <w:jc w:val="center"/>
              <w:rPr>
                <w:sz w:val="22"/>
              </w:rPr>
            </w:pPr>
            <w:r>
              <w:rPr>
                <w:sz w:val="22"/>
              </w:rPr>
              <w:t>106,9</w:t>
            </w:r>
          </w:p>
        </w:tc>
        <w:tc>
          <w:tcPr>
            <w:tcW w:w="1445" w:type="dxa"/>
            <w:tcBorders>
              <w:top w:val="nil"/>
              <w:bottom w:val="nil"/>
            </w:tcBorders>
            <w:vAlign w:val="bottom"/>
          </w:tcPr>
          <w:p w:rsidR="00000000" w:rsidRDefault="00000000">
            <w:pPr>
              <w:spacing w:line="240" w:lineRule="auto"/>
              <w:jc w:val="center"/>
              <w:rPr>
                <w:sz w:val="22"/>
              </w:rPr>
            </w:pPr>
            <w:r>
              <w:rPr>
                <w:sz w:val="22"/>
              </w:rPr>
              <w:t>0,20%</w:t>
            </w:r>
          </w:p>
        </w:tc>
        <w:tc>
          <w:tcPr>
            <w:tcW w:w="1444" w:type="dxa"/>
            <w:tcBorders>
              <w:top w:val="nil"/>
              <w:bottom w:val="nil"/>
            </w:tcBorders>
            <w:vAlign w:val="bottom"/>
          </w:tcPr>
          <w:p w:rsidR="00000000" w:rsidRDefault="00000000">
            <w:pPr>
              <w:spacing w:line="240" w:lineRule="auto"/>
              <w:jc w:val="center"/>
              <w:rPr>
                <w:sz w:val="22"/>
              </w:rPr>
            </w:pPr>
            <w:r>
              <w:rPr>
                <w:sz w:val="22"/>
              </w:rPr>
              <w:t>108,9</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0,4%</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94,2</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1,7%</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1997</w:t>
            </w:r>
          </w:p>
        </w:tc>
        <w:tc>
          <w:tcPr>
            <w:tcW w:w="1444" w:type="dxa"/>
            <w:tcBorders>
              <w:top w:val="nil"/>
              <w:bottom w:val="nil"/>
            </w:tcBorders>
            <w:vAlign w:val="bottom"/>
          </w:tcPr>
          <w:p w:rsidR="00000000" w:rsidRDefault="00000000">
            <w:pPr>
              <w:spacing w:line="240" w:lineRule="auto"/>
              <w:jc w:val="center"/>
              <w:rPr>
                <w:sz w:val="22"/>
              </w:rPr>
            </w:pPr>
            <w:r>
              <w:rPr>
                <w:sz w:val="22"/>
              </w:rPr>
              <w:t>106,9</w:t>
            </w:r>
          </w:p>
        </w:tc>
        <w:tc>
          <w:tcPr>
            <w:tcW w:w="1445" w:type="dxa"/>
            <w:tcBorders>
              <w:top w:val="nil"/>
              <w:bottom w:val="nil"/>
            </w:tcBorders>
            <w:vAlign w:val="bottom"/>
          </w:tcPr>
          <w:p w:rsidR="00000000" w:rsidRDefault="00000000">
            <w:pPr>
              <w:spacing w:line="240" w:lineRule="auto"/>
              <w:jc w:val="center"/>
              <w:rPr>
                <w:sz w:val="22"/>
              </w:rPr>
            </w:pPr>
            <w:r>
              <w:rPr>
                <w:sz w:val="22"/>
              </w:rPr>
              <w:t>0,00%</w:t>
            </w:r>
          </w:p>
        </w:tc>
        <w:tc>
          <w:tcPr>
            <w:tcW w:w="1444" w:type="dxa"/>
            <w:tcBorders>
              <w:top w:val="nil"/>
              <w:bottom w:val="nil"/>
            </w:tcBorders>
            <w:vAlign w:val="bottom"/>
          </w:tcPr>
          <w:p w:rsidR="00000000" w:rsidRDefault="00000000">
            <w:pPr>
              <w:spacing w:line="240" w:lineRule="auto"/>
              <w:jc w:val="center"/>
              <w:rPr>
                <w:sz w:val="22"/>
              </w:rPr>
            </w:pPr>
            <w:r>
              <w:rPr>
                <w:sz w:val="22"/>
              </w:rPr>
              <w:t>109,1</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0,2%</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93,1</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-1,2%</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1998</w:t>
            </w:r>
          </w:p>
        </w:tc>
        <w:tc>
          <w:tcPr>
            <w:tcW w:w="1444" w:type="dxa"/>
            <w:tcBorders>
              <w:top w:val="nil"/>
              <w:bottom w:val="nil"/>
            </w:tcBorders>
            <w:vAlign w:val="bottom"/>
          </w:tcPr>
          <w:p w:rsidR="00000000" w:rsidRDefault="00000000">
            <w:pPr>
              <w:spacing w:line="240" w:lineRule="auto"/>
              <w:jc w:val="center"/>
              <w:rPr>
                <w:sz w:val="22"/>
              </w:rPr>
            </w:pPr>
            <w:r>
              <w:rPr>
                <w:sz w:val="22"/>
              </w:rPr>
              <w:t>109,5</w:t>
            </w:r>
          </w:p>
        </w:tc>
        <w:tc>
          <w:tcPr>
            <w:tcW w:w="1445" w:type="dxa"/>
            <w:tcBorders>
              <w:top w:val="nil"/>
              <w:bottom w:val="nil"/>
            </w:tcBorders>
            <w:vAlign w:val="bottom"/>
          </w:tcPr>
          <w:p w:rsidR="00000000" w:rsidRDefault="00000000">
            <w:pPr>
              <w:spacing w:line="240" w:lineRule="auto"/>
              <w:jc w:val="center"/>
              <w:rPr>
                <w:sz w:val="22"/>
              </w:rPr>
            </w:pPr>
            <w:r>
              <w:rPr>
                <w:sz w:val="22"/>
              </w:rPr>
              <w:t>2,40%</w:t>
            </w:r>
          </w:p>
        </w:tc>
        <w:tc>
          <w:tcPr>
            <w:tcW w:w="1444" w:type="dxa"/>
            <w:tcBorders>
              <w:top w:val="nil"/>
              <w:bottom w:val="nil"/>
            </w:tcBorders>
            <w:vAlign w:val="bottom"/>
          </w:tcPr>
          <w:p w:rsidR="00000000" w:rsidRDefault="00000000">
            <w:pPr>
              <w:spacing w:line="240" w:lineRule="auto"/>
              <w:jc w:val="center"/>
              <w:rPr>
                <w:sz w:val="22"/>
              </w:rPr>
            </w:pPr>
            <w:r>
              <w:rPr>
                <w:sz w:val="22"/>
              </w:rPr>
              <w:t>110,9</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1,6%</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93,9</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0,9%</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1999</w:t>
            </w:r>
          </w:p>
        </w:tc>
        <w:tc>
          <w:tcPr>
            <w:tcW w:w="1444" w:type="dxa"/>
            <w:tcBorders>
              <w:top w:val="nil"/>
              <w:bottom w:val="nil"/>
            </w:tcBorders>
            <w:vAlign w:val="bottom"/>
          </w:tcPr>
          <w:p w:rsidR="00000000" w:rsidRDefault="00000000">
            <w:pPr>
              <w:spacing w:line="240" w:lineRule="auto"/>
              <w:jc w:val="center"/>
              <w:rPr>
                <w:sz w:val="22"/>
              </w:rPr>
            </w:pPr>
            <w:r>
              <w:rPr>
                <w:sz w:val="22"/>
              </w:rPr>
              <w:t>109,6</w:t>
            </w:r>
          </w:p>
        </w:tc>
        <w:tc>
          <w:tcPr>
            <w:tcW w:w="1445" w:type="dxa"/>
            <w:tcBorders>
              <w:top w:val="nil"/>
              <w:bottom w:val="nil"/>
            </w:tcBorders>
            <w:vAlign w:val="bottom"/>
          </w:tcPr>
          <w:p w:rsidR="00000000" w:rsidRDefault="00000000">
            <w:pPr>
              <w:spacing w:line="240" w:lineRule="auto"/>
              <w:jc w:val="center"/>
              <w:rPr>
                <w:sz w:val="22"/>
              </w:rPr>
            </w:pPr>
            <w:r>
              <w:rPr>
                <w:sz w:val="22"/>
              </w:rPr>
              <w:t>0,10%</w:t>
            </w:r>
          </w:p>
        </w:tc>
        <w:tc>
          <w:tcPr>
            <w:tcW w:w="1444" w:type="dxa"/>
            <w:tcBorders>
              <w:top w:val="nil"/>
              <w:bottom w:val="nil"/>
            </w:tcBorders>
            <w:vAlign w:val="bottom"/>
          </w:tcPr>
          <w:p w:rsidR="00000000" w:rsidRDefault="00000000">
            <w:pPr>
              <w:spacing w:line="240" w:lineRule="auto"/>
              <w:jc w:val="center"/>
              <w:rPr>
                <w:sz w:val="22"/>
              </w:rPr>
            </w:pPr>
            <w:r>
              <w:rPr>
                <w:sz w:val="22"/>
              </w:rPr>
              <w:t>110,7</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-0,2%</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94,4</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0,5%</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2000</w:t>
            </w:r>
          </w:p>
        </w:tc>
        <w:tc>
          <w:tcPr>
            <w:tcW w:w="1444" w:type="dxa"/>
            <w:tcBorders>
              <w:top w:val="nil"/>
              <w:bottom w:val="nil"/>
            </w:tcBorders>
            <w:vAlign w:val="bottom"/>
          </w:tcPr>
          <w:p w:rsidR="00000000" w:rsidRDefault="00000000">
            <w:pPr>
              <w:spacing w:line="240" w:lineRule="auto"/>
              <w:jc w:val="center"/>
              <w:rPr>
                <w:sz w:val="22"/>
              </w:rPr>
            </w:pPr>
            <w:r>
              <w:rPr>
                <w:sz w:val="22"/>
              </w:rPr>
              <w:t>111,4</w:t>
            </w:r>
          </w:p>
        </w:tc>
        <w:tc>
          <w:tcPr>
            <w:tcW w:w="1445" w:type="dxa"/>
            <w:tcBorders>
              <w:top w:val="nil"/>
              <w:bottom w:val="nil"/>
            </w:tcBorders>
            <w:vAlign w:val="bottom"/>
          </w:tcPr>
          <w:p w:rsidR="00000000" w:rsidRDefault="00000000">
            <w:pPr>
              <w:spacing w:line="240" w:lineRule="auto"/>
              <w:jc w:val="center"/>
              <w:rPr>
                <w:sz w:val="22"/>
              </w:rPr>
            </w:pPr>
            <w:r>
              <w:rPr>
                <w:sz w:val="22"/>
              </w:rPr>
              <w:t>1,70%</w:t>
            </w:r>
          </w:p>
        </w:tc>
        <w:tc>
          <w:tcPr>
            <w:tcW w:w="1444" w:type="dxa"/>
            <w:tcBorders>
              <w:top w:val="nil"/>
              <w:bottom w:val="nil"/>
            </w:tcBorders>
            <w:vAlign w:val="bottom"/>
          </w:tcPr>
          <w:p w:rsidR="00000000" w:rsidRDefault="00000000">
            <w:pPr>
              <w:spacing w:line="240" w:lineRule="auto"/>
              <w:jc w:val="center"/>
              <w:rPr>
                <w:sz w:val="22"/>
              </w:rPr>
            </w:pPr>
            <w:r>
              <w:rPr>
                <w:sz w:val="22"/>
              </w:rPr>
              <w:t>111,8</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1,0%</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95,5</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1,2%</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2001</w:t>
            </w:r>
          </w:p>
        </w:tc>
        <w:tc>
          <w:tcPr>
            <w:tcW w:w="1444" w:type="dxa"/>
            <w:tcBorders>
              <w:top w:val="nil"/>
              <w:bottom w:val="nil"/>
            </w:tcBorders>
            <w:vAlign w:val="bottom"/>
          </w:tcPr>
          <w:p w:rsidR="00000000" w:rsidRDefault="00000000">
            <w:pPr>
              <w:spacing w:line="240" w:lineRule="auto"/>
              <w:jc w:val="center"/>
              <w:rPr>
                <w:sz w:val="22"/>
              </w:rPr>
            </w:pPr>
            <w:r>
              <w:rPr>
                <w:sz w:val="22"/>
              </w:rPr>
              <w:t>121,6</w:t>
            </w:r>
          </w:p>
        </w:tc>
        <w:tc>
          <w:tcPr>
            <w:tcW w:w="1445" w:type="dxa"/>
            <w:tcBorders>
              <w:top w:val="nil"/>
              <w:bottom w:val="nil"/>
            </w:tcBorders>
            <w:vAlign w:val="bottom"/>
          </w:tcPr>
          <w:p w:rsidR="00000000" w:rsidRDefault="00000000">
            <w:pPr>
              <w:spacing w:line="240" w:lineRule="auto"/>
              <w:jc w:val="center"/>
              <w:rPr>
                <w:sz w:val="22"/>
              </w:rPr>
            </w:pPr>
            <w:r>
              <w:rPr>
                <w:sz w:val="22"/>
              </w:rPr>
              <w:t>9,10%</w:t>
            </w:r>
          </w:p>
        </w:tc>
        <w:tc>
          <w:tcPr>
            <w:tcW w:w="1444" w:type="dxa"/>
            <w:tcBorders>
              <w:top w:val="nil"/>
              <w:bottom w:val="nil"/>
            </w:tcBorders>
            <w:vAlign w:val="bottom"/>
          </w:tcPr>
          <w:p w:rsidR="00000000" w:rsidRDefault="00000000">
            <w:pPr>
              <w:spacing w:line="240" w:lineRule="auto"/>
              <w:jc w:val="center"/>
              <w:rPr>
                <w:sz w:val="22"/>
              </w:rPr>
            </w:pPr>
            <w:r>
              <w:rPr>
                <w:sz w:val="22"/>
              </w:rPr>
              <w:t>119,4</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6,8%</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99,5</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4,2%</w:t>
            </w:r>
          </w:p>
        </w:tc>
      </w:tr>
      <w:tr w:rsidR="00000000">
        <w:tblPrEx>
          <w:tblCellMar>
            <w:top w:w="0" w:type="dxa"/>
            <w:bottom w:w="0" w:type="dxa"/>
          </w:tblCellMar>
        </w:tblPrEx>
        <w:trPr>
          <w:trHeight w:val="255"/>
        </w:trPr>
        <w:tc>
          <w:tcPr>
            <w:tcW w:w="740" w:type="dxa"/>
            <w:tcBorders>
              <w:top w:val="nil"/>
              <w:bottom w:val="nil"/>
            </w:tcBorders>
            <w:vAlign w:val="bottom"/>
          </w:tcPr>
          <w:p w:rsidR="00000000" w:rsidRDefault="00000000">
            <w:pPr>
              <w:spacing w:line="240" w:lineRule="auto"/>
              <w:jc w:val="center"/>
              <w:rPr>
                <w:sz w:val="22"/>
              </w:rPr>
            </w:pPr>
            <w:r>
              <w:rPr>
                <w:sz w:val="22"/>
              </w:rPr>
              <w:t>2002*</w:t>
            </w:r>
          </w:p>
        </w:tc>
        <w:tc>
          <w:tcPr>
            <w:tcW w:w="1444" w:type="dxa"/>
            <w:tcBorders>
              <w:top w:val="nil"/>
              <w:bottom w:val="nil"/>
            </w:tcBorders>
            <w:vAlign w:val="bottom"/>
          </w:tcPr>
          <w:p w:rsidR="00000000" w:rsidRDefault="00000000">
            <w:pPr>
              <w:spacing w:line="240" w:lineRule="auto"/>
              <w:jc w:val="center"/>
              <w:rPr>
                <w:sz w:val="22"/>
              </w:rPr>
            </w:pPr>
            <w:r>
              <w:rPr>
                <w:sz w:val="22"/>
              </w:rPr>
              <w:t>124,3</w:t>
            </w:r>
          </w:p>
        </w:tc>
        <w:tc>
          <w:tcPr>
            <w:tcW w:w="1445" w:type="dxa"/>
            <w:tcBorders>
              <w:top w:val="nil"/>
              <w:bottom w:val="nil"/>
            </w:tcBorders>
            <w:vAlign w:val="bottom"/>
          </w:tcPr>
          <w:p w:rsidR="00000000" w:rsidRDefault="00000000">
            <w:pPr>
              <w:spacing w:line="240" w:lineRule="auto"/>
              <w:jc w:val="center"/>
              <w:rPr>
                <w:sz w:val="22"/>
              </w:rPr>
            </w:pPr>
            <w:r>
              <w:rPr>
                <w:sz w:val="22"/>
              </w:rPr>
              <w:t>2,20%</w:t>
            </w:r>
          </w:p>
        </w:tc>
        <w:tc>
          <w:tcPr>
            <w:tcW w:w="1444" w:type="dxa"/>
            <w:tcBorders>
              <w:top w:val="nil"/>
              <w:bottom w:val="nil"/>
            </w:tcBorders>
            <w:vAlign w:val="bottom"/>
          </w:tcPr>
          <w:p w:rsidR="00000000" w:rsidRDefault="00000000">
            <w:pPr>
              <w:spacing w:line="240" w:lineRule="auto"/>
              <w:jc w:val="center"/>
              <w:rPr>
                <w:sz w:val="22"/>
              </w:rPr>
            </w:pPr>
            <w:r>
              <w:rPr>
                <w:sz w:val="22"/>
              </w:rPr>
              <w:t>119,6</w:t>
            </w:r>
          </w:p>
        </w:tc>
        <w:tc>
          <w:tcPr>
            <w:tcW w:w="1445" w:type="dxa"/>
            <w:tcBorders>
              <w:top w:val="nil"/>
              <w:bottom w:val="nil"/>
            </w:tcBorders>
            <w:vAlign w:val="bottom"/>
          </w:tcPr>
          <w:p w:rsidR="00000000" w:rsidRDefault="00000000">
            <w:pPr>
              <w:tabs>
                <w:tab w:val="clear" w:pos="1134"/>
              </w:tabs>
              <w:spacing w:line="240" w:lineRule="auto"/>
              <w:ind w:right="483"/>
              <w:jc w:val="right"/>
              <w:rPr>
                <w:sz w:val="22"/>
              </w:rPr>
            </w:pPr>
            <w:r>
              <w:rPr>
                <w:sz w:val="22"/>
              </w:rPr>
              <w:t>0,2%</w:t>
            </w:r>
          </w:p>
        </w:tc>
        <w:tc>
          <w:tcPr>
            <w:tcW w:w="1444"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99,3</w:t>
            </w:r>
          </w:p>
        </w:tc>
        <w:tc>
          <w:tcPr>
            <w:tcW w:w="1445" w:type="dxa"/>
            <w:tcBorders>
              <w:top w:val="nil"/>
              <w:bottom w:val="nil"/>
            </w:tcBorders>
            <w:vAlign w:val="bottom"/>
          </w:tcPr>
          <w:p w:rsidR="00000000" w:rsidRDefault="00000000">
            <w:pPr>
              <w:tabs>
                <w:tab w:val="clear" w:pos="567"/>
                <w:tab w:val="clear" w:pos="1134"/>
              </w:tabs>
              <w:spacing w:line="240" w:lineRule="auto"/>
              <w:ind w:right="483"/>
              <w:jc w:val="right"/>
              <w:rPr>
                <w:sz w:val="22"/>
              </w:rPr>
            </w:pPr>
            <w:r>
              <w:rPr>
                <w:sz w:val="22"/>
              </w:rPr>
              <w:t>-0,2%</w:t>
            </w:r>
          </w:p>
        </w:tc>
      </w:tr>
      <w:tr w:rsidR="00000000">
        <w:tblPrEx>
          <w:tblCellMar>
            <w:top w:w="0" w:type="dxa"/>
            <w:bottom w:w="0" w:type="dxa"/>
          </w:tblCellMar>
        </w:tblPrEx>
        <w:trPr>
          <w:trHeight w:val="270"/>
        </w:trPr>
        <w:tc>
          <w:tcPr>
            <w:tcW w:w="740" w:type="dxa"/>
            <w:tcBorders>
              <w:top w:val="nil"/>
            </w:tcBorders>
            <w:vAlign w:val="bottom"/>
          </w:tcPr>
          <w:p w:rsidR="00000000" w:rsidRDefault="00000000">
            <w:pPr>
              <w:spacing w:line="240" w:lineRule="auto"/>
              <w:jc w:val="center"/>
              <w:rPr>
                <w:sz w:val="22"/>
              </w:rPr>
            </w:pPr>
            <w:r>
              <w:rPr>
                <w:sz w:val="22"/>
              </w:rPr>
              <w:t>2003*</w:t>
            </w:r>
          </w:p>
        </w:tc>
        <w:tc>
          <w:tcPr>
            <w:tcW w:w="1444" w:type="dxa"/>
            <w:tcBorders>
              <w:top w:val="nil"/>
            </w:tcBorders>
            <w:vAlign w:val="bottom"/>
          </w:tcPr>
          <w:p w:rsidR="00000000" w:rsidRDefault="00000000">
            <w:pPr>
              <w:spacing w:line="240" w:lineRule="auto"/>
              <w:jc w:val="center"/>
              <w:rPr>
                <w:sz w:val="22"/>
              </w:rPr>
            </w:pPr>
            <w:r>
              <w:rPr>
                <w:sz w:val="22"/>
              </w:rPr>
              <w:t>124,5</w:t>
            </w:r>
          </w:p>
        </w:tc>
        <w:tc>
          <w:tcPr>
            <w:tcW w:w="1445" w:type="dxa"/>
            <w:tcBorders>
              <w:top w:val="nil"/>
            </w:tcBorders>
            <w:vAlign w:val="bottom"/>
          </w:tcPr>
          <w:p w:rsidR="00000000" w:rsidRDefault="00000000">
            <w:pPr>
              <w:spacing w:line="240" w:lineRule="auto"/>
              <w:jc w:val="center"/>
              <w:rPr>
                <w:sz w:val="22"/>
              </w:rPr>
            </w:pPr>
            <w:r>
              <w:rPr>
                <w:sz w:val="22"/>
              </w:rPr>
              <w:t>0,20%</w:t>
            </w:r>
          </w:p>
        </w:tc>
        <w:tc>
          <w:tcPr>
            <w:tcW w:w="1444" w:type="dxa"/>
            <w:tcBorders>
              <w:top w:val="nil"/>
            </w:tcBorders>
            <w:vAlign w:val="bottom"/>
          </w:tcPr>
          <w:p w:rsidR="00000000" w:rsidRDefault="00000000">
            <w:pPr>
              <w:spacing w:line="240" w:lineRule="auto"/>
              <w:jc w:val="center"/>
              <w:rPr>
                <w:sz w:val="22"/>
              </w:rPr>
            </w:pPr>
            <w:r>
              <w:rPr>
                <w:sz w:val="22"/>
              </w:rPr>
              <w:t>118,0</w:t>
            </w:r>
          </w:p>
        </w:tc>
        <w:tc>
          <w:tcPr>
            <w:tcW w:w="1445" w:type="dxa"/>
            <w:tcBorders>
              <w:top w:val="nil"/>
            </w:tcBorders>
            <w:vAlign w:val="bottom"/>
          </w:tcPr>
          <w:p w:rsidR="00000000" w:rsidRDefault="00000000">
            <w:pPr>
              <w:tabs>
                <w:tab w:val="clear" w:pos="1134"/>
              </w:tabs>
              <w:spacing w:line="240" w:lineRule="auto"/>
              <w:ind w:right="483"/>
              <w:jc w:val="right"/>
              <w:rPr>
                <w:sz w:val="22"/>
              </w:rPr>
            </w:pPr>
            <w:r>
              <w:rPr>
                <w:sz w:val="22"/>
              </w:rPr>
              <w:t>-1,3%</w:t>
            </w:r>
          </w:p>
        </w:tc>
        <w:tc>
          <w:tcPr>
            <w:tcW w:w="1444" w:type="dxa"/>
            <w:tcBorders>
              <w:top w:val="nil"/>
            </w:tcBorders>
            <w:vAlign w:val="bottom"/>
          </w:tcPr>
          <w:p w:rsidR="00000000" w:rsidRDefault="00000000">
            <w:pPr>
              <w:tabs>
                <w:tab w:val="clear" w:pos="567"/>
                <w:tab w:val="clear" w:pos="1134"/>
              </w:tabs>
              <w:spacing w:line="240" w:lineRule="auto"/>
              <w:ind w:right="483"/>
              <w:jc w:val="right"/>
              <w:rPr>
                <w:sz w:val="22"/>
              </w:rPr>
            </w:pPr>
            <w:r>
              <w:rPr>
                <w:sz w:val="22"/>
              </w:rPr>
              <w:t>97,8</w:t>
            </w:r>
          </w:p>
        </w:tc>
        <w:tc>
          <w:tcPr>
            <w:tcW w:w="1445" w:type="dxa"/>
            <w:tcBorders>
              <w:top w:val="nil"/>
            </w:tcBorders>
            <w:vAlign w:val="bottom"/>
          </w:tcPr>
          <w:p w:rsidR="00000000" w:rsidRDefault="00000000">
            <w:pPr>
              <w:tabs>
                <w:tab w:val="clear" w:pos="567"/>
                <w:tab w:val="clear" w:pos="1134"/>
              </w:tabs>
              <w:spacing w:line="240" w:lineRule="auto"/>
              <w:ind w:right="483"/>
              <w:jc w:val="right"/>
              <w:rPr>
                <w:sz w:val="22"/>
              </w:rPr>
            </w:pPr>
            <w:r>
              <w:rPr>
                <w:sz w:val="22"/>
              </w:rPr>
              <w:t>-1,6%</w:t>
            </w:r>
          </w:p>
        </w:tc>
      </w:tr>
    </w:tbl>
    <w:p w:rsidR="00000000" w:rsidRDefault="00000000"/>
    <w:p w:rsidR="00000000" w:rsidRDefault="00000000">
      <w:pPr>
        <w:spacing w:line="240" w:lineRule="auto"/>
      </w:pPr>
      <w:r>
        <w:rPr>
          <w:i/>
          <w:iCs/>
        </w:rPr>
        <w:tab/>
        <w:t>Источник:</w:t>
      </w:r>
      <w:r>
        <w:t xml:space="preserve">  Нидерландское бюро по анализу экономической политики (БЭП), Общий план развития экономики на 2003 год.</w:t>
      </w:r>
    </w:p>
    <w:p w:rsidR="00000000" w:rsidRDefault="00000000">
      <w:pPr>
        <w:spacing w:line="240" w:lineRule="auto"/>
      </w:pPr>
    </w:p>
    <w:p w:rsidR="00000000" w:rsidRDefault="00000000">
      <w:pPr>
        <w:spacing w:line="240" w:lineRule="auto"/>
      </w:pPr>
      <w:r>
        <w:t>*</w:t>
      </w:r>
      <w:r>
        <w:tab/>
        <w:t>Оценочные данные.</w:t>
      </w:r>
    </w:p>
    <w:p w:rsidR="00000000" w:rsidRDefault="00000000"/>
    <w:p w:rsidR="00000000" w:rsidRDefault="00000000">
      <w:r>
        <w:rPr>
          <w:b/>
          <w:bCs/>
        </w:rPr>
        <w:t>Дополнительные пенсии</w:t>
      </w:r>
    </w:p>
    <w:p w:rsidR="00000000" w:rsidRDefault="00000000"/>
    <w:p w:rsidR="00000000" w:rsidRDefault="00000000">
      <w:r>
        <w:t>178.</w:t>
      </w:r>
      <w:r>
        <w:tab/>
        <w:t>В декабре 2000 года принцип равного обращения в связи с пенсиями переживших кормильца иждивенцев был реализован в Законе о пенсионных и сберегательных фондах (</w:t>
      </w:r>
      <w:proofErr w:type="spellStart"/>
      <w:r>
        <w:rPr>
          <w:i/>
          <w:iCs/>
          <w:lang w:val="en-GB"/>
        </w:rPr>
        <w:t>Pensioen</w:t>
      </w:r>
      <w:proofErr w:type="spellEnd"/>
      <w:r>
        <w:rPr>
          <w:i/>
          <w:iCs/>
        </w:rPr>
        <w:t xml:space="preserve">- </w:t>
      </w:r>
      <w:r>
        <w:rPr>
          <w:i/>
          <w:iCs/>
          <w:lang w:val="en-GB"/>
        </w:rPr>
        <w:t>en</w:t>
      </w:r>
      <w:r>
        <w:rPr>
          <w:i/>
          <w:iCs/>
        </w:rPr>
        <w:t xml:space="preserve"> </w:t>
      </w:r>
      <w:proofErr w:type="spellStart"/>
      <w:r>
        <w:rPr>
          <w:i/>
          <w:iCs/>
          <w:lang w:val="en-GB"/>
        </w:rPr>
        <w:t>Spaarfondsenwet</w:t>
      </w:r>
      <w:proofErr w:type="spellEnd"/>
      <w:r>
        <w:t>).  Согласно Постановлению о равном обращении в сфере пенсионного обеспечения, каждое лицо, достигшее пенсионного возраста, имеет возможность преобразовать пенсию по утрате кормильца в обычную или повышенную пенсию по старости, получаемую в раннем или позднем пенсионном возрасте.  Это означает, что пенсионеры, не имеющие иждивенцев, могут воспользоваться своими пенсионными накоплениями в связи с утратой кормильца (в порядке обеспечения равного обращения с состоящими в браке и одинокими лицами).  Право на пенсию должно также предполагать одинаковые пособия для мужчин и женщин.  Исследования показали, что действующая норма о равных пособиях для мужчин и женщин необязательно предполагает применение национальных гендерно-нейтральных ставок или показателей уровня смертности.  В этих показателях оценивается ожидаемая продолжительность жизни различных возрастных групп.  Такие статистические данные имеют важное значение для расчета размера пенсионных пособий.</w:t>
      </w:r>
    </w:p>
    <w:p w:rsidR="00000000" w:rsidRDefault="00000000"/>
    <w:p w:rsidR="00000000" w:rsidRDefault="00000000">
      <w:r>
        <w:t>179.</w:t>
      </w:r>
      <w:r>
        <w:tab/>
        <w:t>С 1 января 2005 года положения о равном обращении будут применяться также к схемам определения взносов.  До сих пор не известно, будет ли это сопряжено с использованием гендерно-нейтральных коэффициентов или показателей смертности, а если да, то каким образом.</w:t>
      </w:r>
    </w:p>
    <w:p w:rsidR="00000000" w:rsidRDefault="00000000"/>
    <w:p w:rsidR="00000000" w:rsidRDefault="00000000">
      <w:r>
        <w:t>180.</w:t>
      </w:r>
      <w:r>
        <w:tab/>
        <w:t>Согласно Акту парламента от декабря 1999 года, накопление средств в связи с осуществлением пенсионных прав не может откладываться на более поздний срок.</w:t>
      </w:r>
    </w:p>
    <w:p w:rsidR="00000000" w:rsidRDefault="00000000"/>
    <w:p w:rsidR="00000000" w:rsidRDefault="00000000">
      <w:r>
        <w:t>181.</w:t>
      </w:r>
      <w:r>
        <w:tab/>
        <w:t>В период 1999-2001 годов действовало соглашение о пенсиях, заключенное между ассоциациями работодателей, ассоциациями трудящихся и правительством.  Основные задачи этого соглашения состояли в модернизации пенсионных программ и корректировке не зависящего от взносов пособия</w:t>
      </w:r>
      <w:r>
        <w:rPr>
          <w:b/>
          <w:bCs/>
          <w:vertAlign w:val="superscript"/>
        </w:rPr>
        <w:t>13</w:t>
      </w:r>
      <w:r>
        <w:t xml:space="preserve"> для учета индивидуальных накоплений, предельного возраста, инвестиционной политики, индексации и т.п., а также для контроля доступности дополнительных пенсий.  Оценка действия упомянутого соглашения показала, что эти цели были достигнуты.</w:t>
      </w:r>
    </w:p>
    <w:p w:rsidR="00000000" w:rsidRDefault="00000000"/>
    <w:p w:rsidR="00000000" w:rsidRDefault="00000000">
      <w:r>
        <w:t>182.</w:t>
      </w:r>
      <w:r>
        <w:tab/>
        <w:t>В настоящее время осуществление пенсионных программ контролируется более тщательно.  В законодательство внесены положения относительно сферы применения мер вмешательства и санкций, наступающих при невыполнении действующих норм.  Более профессиональный контроль призван предупредить срыв выполнения работодателями своих обязательств в отношении пенсионного обеспечения трудящихся в силу безответственного отношения к процедурам учета и внутреннего контроля, инвестиционной политики или содержания пенсионной программы.</w:t>
      </w:r>
    </w:p>
    <w:p w:rsidR="00000000" w:rsidRDefault="00000000"/>
    <w:p w:rsidR="00000000" w:rsidRDefault="00000000">
      <w:r>
        <w:t>183.</w:t>
      </w:r>
      <w:r>
        <w:tab/>
        <w:t>Содержание пенсионной программы оговаривается в трудовом договоре, вследствие чего за ее выполнение несут ответственность как работодатель, так и работник.  Однако пенсионеры также проявляют интерес к тому, каким образом пенсионный фонд осуществляет их пенсионную программу.  Между ассоциациями работодателей и трудящихся, с одной стороны, и организациями пенсионеров - с другой, были заключены два соглашения, позволяющие обеспечить участие пенсионеров в процедурах осуществления пенсионных программ.  Вначале заключение таких соглашений натолкнулось на определенные трудности, однако последующее выполнение второго соглашения позволяет надеяться на более активное участие пенсионеров в осуществлении пенсионных программ.</w:t>
      </w:r>
    </w:p>
    <w:p w:rsidR="00000000" w:rsidRDefault="00000000"/>
    <w:p w:rsidR="00000000" w:rsidRDefault="00000000">
      <w:r>
        <w:t>184.</w:t>
      </w:r>
      <w:r>
        <w:tab/>
        <w:t>Более подробная информация о дополнительных пенсиях содержится в подготовленном Европейской комиссией "Докладе о национальной стратегии Нидерландов в области пенсионного обеспечения за 2002 год" (см. Добавление 2), в котором отмечается, что пенсионная система Нидерландов выполняет 11 целей Европейского совета в области пенсионного обеспечения (Лейкен, Совет Европы, декабрь 2001 года).  Эта система обеспечивает достаточный доход для лиц старше 65 лет, доступна на долгосрочной основе и хорошо подготовлена к будущим социальным изменениям, таким, как старение населения, расширение участия женщин в трудовой деятельности и неполная занятость.</w:t>
      </w:r>
    </w:p>
    <w:p w:rsidR="00000000" w:rsidRDefault="00000000"/>
    <w:p w:rsidR="00000000" w:rsidRDefault="00000000">
      <w:pPr>
        <w:jc w:val="center"/>
      </w:pPr>
      <w:r>
        <w:rPr>
          <w:b/>
          <w:bCs/>
        </w:rPr>
        <w:t>3.2.1.2</w:t>
      </w:r>
      <w:r>
        <w:rPr>
          <w:b/>
          <w:bCs/>
        </w:rPr>
        <w:tab/>
        <w:t>Равное вознаграждение за труд равной ценности</w:t>
      </w:r>
    </w:p>
    <w:p w:rsidR="00000000" w:rsidRDefault="00000000">
      <w:pPr>
        <w:jc w:val="center"/>
      </w:pPr>
    </w:p>
    <w:p w:rsidR="00000000" w:rsidRDefault="00000000">
      <w:r>
        <w:rPr>
          <w:b/>
          <w:bCs/>
        </w:rPr>
        <w:t>Различия в оплате труда</w:t>
      </w:r>
    </w:p>
    <w:p w:rsidR="00000000" w:rsidRDefault="00000000"/>
    <w:p w:rsidR="00000000" w:rsidRDefault="00000000">
      <w:r>
        <w:t>185.</w:t>
      </w:r>
      <w:r>
        <w:tab/>
        <w:t>Некоторые тенденции различий в оплате труда освещались в главе 6 доклада Трудовой инспекции о положении мужчин и женщин в частном и государственном секторах в 1998 году (имеется только на голландском языке, см. Добавление 3).  В нем показано, что различия в оплате труда мужчин и женщин сократились с 26% до 23% (нескорректированные данные за 1993 и 1998 годы) и с 9% до 7% (скорректированные данные).  В государственном секторе разница в оплате труда составляла 15% (нескорректированные данные) и 4% (скорректированные данные).  В 2002 году был опубликован еще один доклад Трудовой инспекции о различиях в оплате труда мужчин и женщин (на основе данных за 2000 год), в котором отмечалось, что нескорректированная разница в оплате труда мужчин и женщин в частном секторе по</w:t>
      </w:r>
      <w:r>
        <w:noBreakHyphen/>
        <w:t>прежнему составляла 23%, а скорректированная разница за период 1996-2000 годов оставалась на том же уровне (7%).  В государственном секторе нескорректированная разница в оплате труда мужчин и женщин составляла в 2000 году 15%, тогда как скорректированная разница была на уровне 3%, что по сравнению с 1998 годом составило сокращение на 1%.</w:t>
      </w:r>
    </w:p>
    <w:p w:rsidR="00000000" w:rsidRDefault="00000000"/>
    <w:p w:rsidR="00000000" w:rsidRDefault="00000000">
      <w:r>
        <w:t>186.</w:t>
      </w:r>
      <w:r>
        <w:tab/>
        <w:t>Нескорректированные различия могут частично объясняться разницей в служебном положении, профессиональной подготовке и трудовом стаже.  Вместе с тем скорректированная разница не находит своего исчерпывающего объяснения.  Она может обусловливаться дискриминацией в оплате труда, равно как и действием других факторов.  Исследования, публикуемые Трудовой инспекцией, содержат репрезентативные данные о различиях в оплате труда мужчин и женщин только на макроуровне.  Однако без анализа конкретных ситуаций невозможно определить, действительно ли существует необоснованная разница в оплате труда.  Поэтому Министерство социальных дел и по вопросам занятости дало указание провести опытное исследование на уровне компаний о различиях в оплате труда по признакам пола, расы и с учетом рабочих графиков (дополнительную информацию в этой связи см. в пункте 192 в разделе "Политика").</w:t>
      </w:r>
    </w:p>
    <w:p w:rsidR="00000000" w:rsidRDefault="00000000"/>
    <w:p w:rsidR="00000000" w:rsidRDefault="00000000">
      <w:pPr>
        <w:keepNext/>
      </w:pPr>
      <w:r>
        <w:rPr>
          <w:b/>
          <w:bCs/>
        </w:rPr>
        <w:t>Законодательство</w:t>
      </w:r>
    </w:p>
    <w:p w:rsidR="00000000" w:rsidRDefault="00000000">
      <w:pPr>
        <w:keepNext/>
      </w:pPr>
    </w:p>
    <w:p w:rsidR="00000000" w:rsidRDefault="00000000">
      <w:pPr>
        <w:keepNext/>
      </w:pPr>
      <w:r>
        <w:t>187.</w:t>
      </w:r>
      <w:r>
        <w:tab/>
        <w:t>Гражданский кодекс Нидерландов давно запрещает работодателям проводить дискриминацию между мужчинами и женщинами в сфере труда.  Закон о равных возможностях содержит более подробные положения в этой связи.  В отношениях со своими работодателями все трудящихся могут опираться на положения этих законов.  Мужчины и женщины должны получать равное вознаграждение за труд равной ценности.  При этом за основу берется оклад работника противоположного пола, работающего в одном и том же учреждении или на одном и том же предприятии, что и работник, в чьих интересах производится сопоставление размеров вознаграждения, которое он обычно получает за труд равной ценности или, при отсутствии прямой корреляции, - за труд почти равной ценности.</w:t>
      </w:r>
    </w:p>
    <w:p w:rsidR="00000000" w:rsidRDefault="00000000"/>
    <w:p w:rsidR="00000000" w:rsidRDefault="00000000">
      <w:r>
        <w:t>188.</w:t>
      </w:r>
      <w:r>
        <w:tab/>
        <w:t>Понятие "труд равной ценности" распространяется не только на такой же или почти такой же труд, но и на другие виды труда, которые "равноценны" с точки зрения оценки должностных функций.  Вместе с тем трудящиеся, участвующие в сопоставительном обзоре, должны работать в одном и том же учреждении или на одном и том же предприятии.</w:t>
      </w:r>
    </w:p>
    <w:p w:rsidR="00000000" w:rsidRDefault="00000000"/>
    <w:p w:rsidR="00000000" w:rsidRDefault="00000000">
      <w:r>
        <w:t>189.</w:t>
      </w:r>
      <w:r>
        <w:tab/>
        <w:t>Наконец, если работник заявляет, что его коллега получает более высокое вознаграждение за выполнение равного труда или труда равной ценности, обязанность доказывать отсутствие дискриминации в оплате труда возлагается на работодателя.</w:t>
      </w:r>
    </w:p>
    <w:p w:rsidR="00000000" w:rsidRDefault="00000000"/>
    <w:p w:rsidR="00000000" w:rsidRDefault="00000000">
      <w:r>
        <w:t>190.</w:t>
      </w:r>
      <w:r>
        <w:tab/>
        <w:t>За отчетный период срок возбуждения гражданского иска работником, в нарушение закона не получающим равного вознаграждения, был продлен с двух до пяти лет.  Таким образом, появилась возможность претендовать на компенсацию невыплаченного вознаграждения за более длительный период.</w:t>
      </w:r>
    </w:p>
    <w:p w:rsidR="00000000" w:rsidRDefault="00000000"/>
    <w:p w:rsidR="00000000" w:rsidRDefault="00000000">
      <w:r>
        <w:t>191.</w:t>
      </w:r>
      <w:r>
        <w:tab/>
        <w:t>На обеспечение равной оплаты труда мужчин и женщин повлияли следующие новые законы, рассмотренные в пунктах 137-159 раздела 3.1.2 выше:</w:t>
      </w:r>
    </w:p>
    <w:p w:rsidR="00000000" w:rsidRDefault="00000000"/>
    <w:p w:rsidR="00000000" w:rsidRDefault="00000000">
      <w:pPr>
        <w:ind w:left="1134" w:hanging="1134"/>
      </w:pPr>
      <w:r>
        <w:tab/>
        <w:t>-</w:t>
      </w:r>
      <w:r>
        <w:tab/>
        <w:t>в марте 1998 года в Закон о равных возможностях был внесен раздел, предусматривающий равенство обращения в сфере предоставления пенсий, дополняющих нормативные выплаты по линии социального обеспечения;</w:t>
      </w:r>
    </w:p>
    <w:p w:rsidR="00000000" w:rsidRDefault="00000000">
      <w:pPr>
        <w:ind w:left="1134" w:hanging="1134"/>
      </w:pPr>
    </w:p>
    <w:p w:rsidR="00000000" w:rsidRDefault="00000000">
      <w:pPr>
        <w:numPr>
          <w:ilvl w:val="0"/>
          <w:numId w:val="196"/>
        </w:numPr>
        <w:tabs>
          <w:tab w:val="clear" w:pos="567"/>
          <w:tab w:val="left" w:pos="561"/>
        </w:tabs>
      </w:pPr>
      <w:r>
        <w:t>1 ноября 1996 года вступил в силу Закон о равном обращении в связи с</w:t>
      </w:r>
      <w:r>
        <w:rPr>
          <w:lang w:val="en-US"/>
        </w:rPr>
        <w:t> </w:t>
      </w:r>
      <w:r>
        <w:t>рабочими графиками;</w:t>
      </w:r>
    </w:p>
    <w:p w:rsidR="00000000" w:rsidRDefault="00000000">
      <w:pPr>
        <w:tabs>
          <w:tab w:val="clear" w:pos="567"/>
        </w:tabs>
      </w:pPr>
    </w:p>
    <w:p w:rsidR="00000000" w:rsidRDefault="00000000">
      <w:pPr>
        <w:numPr>
          <w:ilvl w:val="0"/>
          <w:numId w:val="196"/>
        </w:numPr>
        <w:tabs>
          <w:tab w:val="clear" w:pos="567"/>
        </w:tabs>
      </w:pPr>
      <w:r>
        <w:t>1 декабря 2002 года вступил в силу Закон о равном обращении в связи со временными и постоянными трудовыми соглашениями (</w:t>
      </w:r>
      <w:proofErr w:type="spellStart"/>
      <w:r>
        <w:t>ЗРОВПТС</w:t>
      </w:r>
      <w:proofErr w:type="spellEnd"/>
      <w:r>
        <w:t>).</w:t>
      </w:r>
    </w:p>
    <w:p w:rsidR="00000000" w:rsidRDefault="00000000">
      <w:pPr>
        <w:tabs>
          <w:tab w:val="clear" w:pos="567"/>
        </w:tabs>
      </w:pPr>
    </w:p>
    <w:p w:rsidR="00000000" w:rsidRDefault="00000000">
      <w:pPr>
        <w:tabs>
          <w:tab w:val="clear" w:pos="567"/>
        </w:tabs>
        <w:rPr>
          <w:b/>
          <w:bCs/>
        </w:rPr>
      </w:pPr>
      <w:r>
        <w:rPr>
          <w:b/>
          <w:bCs/>
        </w:rPr>
        <w:t>Политика</w:t>
      </w:r>
    </w:p>
    <w:p w:rsidR="00000000" w:rsidRDefault="00000000">
      <w:pPr>
        <w:tabs>
          <w:tab w:val="clear" w:pos="567"/>
        </w:tabs>
        <w:rPr>
          <w:b/>
          <w:bCs/>
        </w:rPr>
      </w:pPr>
    </w:p>
    <w:p w:rsidR="00000000" w:rsidRDefault="00000000">
      <w:pPr>
        <w:tabs>
          <w:tab w:val="clear" w:pos="567"/>
          <w:tab w:val="left" w:pos="561"/>
        </w:tabs>
      </w:pPr>
      <w:r>
        <w:t>192.</w:t>
      </w:r>
      <w:r>
        <w:tab/>
        <w:t xml:space="preserve">Государство поощряет равную оплату труда в рамках Плана действий по обеспечению равного вознаграждения, который был представлен на рассмотрение парламента 8 мая 2000 года.  Этот План действий содержит следующие элементы:  </w:t>
      </w:r>
    </w:p>
    <w:p w:rsidR="00000000" w:rsidRDefault="00000000">
      <w:pPr>
        <w:tabs>
          <w:tab w:val="clear" w:pos="567"/>
          <w:tab w:val="left" w:pos="561"/>
        </w:tabs>
      </w:pPr>
    </w:p>
    <w:p w:rsidR="00000000" w:rsidRDefault="00000000">
      <w:pPr>
        <w:numPr>
          <w:ilvl w:val="0"/>
          <w:numId w:val="197"/>
        </w:numPr>
        <w:tabs>
          <w:tab w:val="clear" w:pos="567"/>
          <w:tab w:val="clear" w:pos="720"/>
          <w:tab w:val="num" w:pos="1134"/>
        </w:tabs>
        <w:ind w:left="1134" w:hanging="567"/>
      </w:pPr>
      <w:r>
        <w:t>проведение консультаций с социальными партнерами, с тем чтобы поощрить их к ликвидации неравенства в оплате труда.  В результате этой деятельности для ассоциаций работодателей и трудящихся, представленных в этом совместном консультативном органе, Фондом труда были разработаны, типовые тарифы справедливой оплаты труда;</w:t>
      </w:r>
    </w:p>
    <w:p w:rsidR="00000000" w:rsidRDefault="00000000">
      <w:pPr>
        <w:tabs>
          <w:tab w:val="clear" w:pos="567"/>
          <w:tab w:val="num" w:pos="1134"/>
        </w:tabs>
        <w:ind w:left="1134" w:hanging="567"/>
      </w:pPr>
    </w:p>
    <w:p w:rsidR="00000000" w:rsidRDefault="00000000">
      <w:pPr>
        <w:numPr>
          <w:ilvl w:val="0"/>
          <w:numId w:val="197"/>
        </w:numPr>
        <w:tabs>
          <w:tab w:val="clear" w:pos="567"/>
          <w:tab w:val="clear" w:pos="720"/>
          <w:tab w:val="num" w:pos="1134"/>
        </w:tabs>
        <w:ind w:left="1134" w:hanging="567"/>
      </w:pPr>
      <w:r>
        <w:t>разработка следующих инструментов:</w:t>
      </w:r>
    </w:p>
    <w:p w:rsidR="00000000" w:rsidRDefault="00000000">
      <w:pPr>
        <w:tabs>
          <w:tab w:val="clear" w:pos="567"/>
          <w:tab w:val="num" w:pos="1134"/>
        </w:tabs>
        <w:ind w:left="1134" w:hanging="567"/>
      </w:pPr>
    </w:p>
    <w:p w:rsidR="00000000" w:rsidRDefault="00000000">
      <w:pPr>
        <w:tabs>
          <w:tab w:val="clear" w:pos="567"/>
          <w:tab w:val="left" w:pos="561"/>
        </w:tabs>
        <w:ind w:left="1701" w:hanging="1701"/>
      </w:pPr>
      <w:r>
        <w:tab/>
      </w:r>
      <w:r>
        <w:tab/>
        <w:t>1.</w:t>
      </w:r>
      <w:r>
        <w:tab/>
        <w:t xml:space="preserve">В 2001 году Министерство социальных дел и по вопросам занятости поручило специалистам разработать инструмент для проверки </w:t>
      </w:r>
      <w:proofErr w:type="spellStart"/>
      <w:r>
        <w:t>гендерно-нейтральной</w:t>
      </w:r>
      <w:proofErr w:type="spellEnd"/>
      <w:r>
        <w:t xml:space="preserve"> оценки условий труда.  В настоящее время этим инструментом пользуются разработчики системы, которые совместно с представителями социальных партнеров проверяют различные системы оценки условий труда на предмет непредвзятого отношения к трудящимся разных полов.  В середине октября 2003 года будет подготовлено руководство по общему обзору положения в области равной оплаты труда. </w:t>
      </w:r>
    </w:p>
    <w:p w:rsidR="00000000" w:rsidRDefault="00000000">
      <w:pPr>
        <w:tabs>
          <w:tab w:val="clear" w:pos="567"/>
          <w:tab w:val="left" w:pos="561"/>
        </w:tabs>
        <w:ind w:left="1701" w:hanging="1701"/>
      </w:pPr>
    </w:p>
    <w:p w:rsidR="00000000" w:rsidRDefault="00000000">
      <w:pPr>
        <w:tabs>
          <w:tab w:val="clear" w:pos="567"/>
          <w:tab w:val="left" w:pos="561"/>
        </w:tabs>
        <w:ind w:left="1701" w:hanging="1701"/>
      </w:pPr>
      <w:r>
        <w:tab/>
      </w:r>
      <w:r>
        <w:tab/>
        <w:t>2.</w:t>
      </w:r>
      <w:r>
        <w:tab/>
        <w:t xml:space="preserve">В 2002 году было начато опытное микроисследование вопроса о равенстве в оплате труда.  Это упоминавшееся выше исследование проводится на уровне компаний.  К настоящему моменту данные о различиях в оплате труда мужчин и женщин имеются лишь на </w:t>
      </w:r>
      <w:proofErr w:type="spellStart"/>
      <w:r>
        <w:t>макроуровне</w:t>
      </w:r>
      <w:proofErr w:type="spellEnd"/>
      <w:r>
        <w:t xml:space="preserve">.  Только анализ конкретных ситуаций позволяет определить, действительно ли существует неоправданная разница в оплате труда.  Министерство социальных дел и по вопросам занятости поручило </w:t>
      </w:r>
      <w:proofErr w:type="spellStart"/>
      <w:r>
        <w:t>Утрехтскому</w:t>
      </w:r>
      <w:proofErr w:type="spellEnd"/>
      <w:r>
        <w:t xml:space="preserve"> университету разработать методику выявления случаев неоправданной дискриминации в оплате труда в трудовых коллективах.  Результаты такой проверки были представлены парламенту в январе 2003 года, а сама методика в настоящее время преобразуется в удобный для использования управленческий инструмент.  Он позволит трудовым коллективам проверять собственные системы оплаты труда в целях выявления какой-либо неоправданной дискриминации в этой сфере.  Полученные результаты см. в пунктах 185 и 186 раздела 3.2.1.2 ("Различия в оплате труда");</w:t>
      </w:r>
    </w:p>
    <w:p w:rsidR="00000000" w:rsidRDefault="00000000">
      <w:pPr>
        <w:tabs>
          <w:tab w:val="clear" w:pos="567"/>
          <w:tab w:val="left" w:pos="561"/>
        </w:tabs>
        <w:ind w:left="1701" w:hanging="1701"/>
      </w:pPr>
    </w:p>
    <w:p w:rsidR="00000000" w:rsidRDefault="00000000">
      <w:pPr>
        <w:pStyle w:val="ListBullet"/>
        <w:ind w:left="1134" w:hanging="1134"/>
      </w:pPr>
      <w:r>
        <w:tab/>
        <w:t>-</w:t>
      </w:r>
      <w:r>
        <w:tab/>
        <w:t>проведение исследований, в которых участвуют Комиссия по равному обращению и социальные партнеры:</w:t>
      </w:r>
    </w:p>
    <w:p w:rsidR="00000000" w:rsidRDefault="00000000">
      <w:pPr>
        <w:pStyle w:val="ListBullet"/>
      </w:pPr>
    </w:p>
    <w:p w:rsidR="00000000" w:rsidRDefault="00000000">
      <w:pPr>
        <w:pStyle w:val="ListBullet"/>
        <w:ind w:left="1701" w:hanging="1701"/>
      </w:pPr>
      <w:r>
        <w:tab/>
      </w:r>
      <w:r>
        <w:tab/>
        <w:t>1.</w:t>
      </w:r>
      <w:r>
        <w:tab/>
        <w:t>В Плане действий по обеспечению равного вознаграждения предусматривается, что Министерство социальных дел и по вопросам занятости субсидирует разработку Комиссией по равному обращению программного обеспечения для анализа тарифов оплаты труда.  С помощью общего обзора можно быстро и эффективно определить потребность в дальнейших исследованиях.  Это позволит в широком масштабе контролировать тарифы оплаты труда и политику в этой области на предмет поиска элементов дискриминации, избегая при этом длительных задержек.  Такая быстрая проверка может способствовать рассмотрению Комиссией по равному обращению эффективности политики в области оплаты труда и директивных мер, направленных на обеспечение равного вознаграждения.  В настоящее время методика проведения обзора находится в стадии разработки.</w:t>
      </w:r>
    </w:p>
    <w:p w:rsidR="00000000" w:rsidRDefault="00000000">
      <w:pPr>
        <w:pStyle w:val="ListBullet"/>
        <w:ind w:left="1134" w:hanging="1134"/>
      </w:pPr>
    </w:p>
    <w:p w:rsidR="00000000" w:rsidRDefault="00000000">
      <w:pPr>
        <w:pStyle w:val="ListBullet"/>
        <w:ind w:left="1701" w:hanging="1701"/>
      </w:pPr>
      <w:r>
        <w:tab/>
      </w:r>
      <w:r>
        <w:tab/>
        <w:t>2.</w:t>
      </w:r>
      <w:r>
        <w:tab/>
        <w:t>Трудовая инспекция проводит двухгодичные исследования по выявлению различий в оплате труда мужчин и женщин, коренных голландцев и трудящихся из числа этнических меньшинств, а также трудящихся, занятых полный и неполный рабочий день.</w:t>
      </w:r>
    </w:p>
    <w:p w:rsidR="00000000" w:rsidRDefault="00000000">
      <w:pPr>
        <w:pStyle w:val="ListBullet"/>
        <w:ind w:left="1134" w:hanging="1134"/>
      </w:pPr>
    </w:p>
    <w:p w:rsidR="00000000" w:rsidRDefault="00000000">
      <w:pPr>
        <w:pStyle w:val="ListBullet"/>
        <w:ind w:left="1701" w:hanging="1701"/>
      </w:pPr>
      <w:r>
        <w:tab/>
      </w:r>
      <w:r>
        <w:tab/>
        <w:t>3.</w:t>
      </w:r>
      <w:r>
        <w:tab/>
        <w:t xml:space="preserve">Министерство социальных дел и по вопросам занятости распорядилось провести исследования по созданию новых гибких тарифов оплаты труда и по обеспечению равного вознаграждения.  Было установлено, что многие организации и все министерства изучали использование различных вариантов вознаграждений, например, индивидуальных или коллективных премий и долевого участия в получении прибыли.  По заключению исследователей, женщины пользуются такими вознаграждениями не в меньшей степени, чем мужчины.  Вместе с тем настораживают сведения о некоторых различиях в варьируемом вознаграждении мужчин по сравнению с женщинами (так, индивидуальные премии получали на </w:t>
      </w:r>
      <w:proofErr w:type="spellStart"/>
      <w:r>
        <w:t>9%</w:t>
      </w:r>
      <w:proofErr w:type="spellEnd"/>
      <w:r>
        <w:t xml:space="preserve"> больше мужчин, чем женщин).  Имеются также признаки потенциальных проблем, в частности в плане ограниченного доступа к различным видам вознаграждения и наличия нечетких или </w:t>
      </w:r>
      <w:proofErr w:type="spellStart"/>
      <w:r>
        <w:t>недокументируемых</w:t>
      </w:r>
      <w:proofErr w:type="spellEnd"/>
      <w:r>
        <w:t xml:space="preserve"> процедур.  В результате ограниченного доступа к различным видам вознаграждения женщины могут получать право на них относительно реже, чем их коллеги-мужчины.  В тех случаях когда варьируемое вознаграждение выплачивается только определенным категориям трудящихся, к ним зачастую относятся полевой персонал или участники производственного процесса.  Согласно выводам исследования, женщины, как правило, реже выполняют такие трудовые обязанности и гораздо больше представлены на вспомогательных работах.  Ограниченный доступ к ряду должностей высокого уровня зачастую ставит женщин в неблагоприятное положение, поскольку они обычно представлены в основном на должностях низкого уровня.  Предписания, касающиеся минимального трудового стажа, также могут приводить к дискриминации между мужчинами и женщинами ввиду того факта, что в среднем период трудовой деятельности у женщин меньше.  Вместе с тем возможность наличия упомянутых видов дискриминации не означает доказательства запрещенного неравного вознаграждения по смыслу Закона о равных возможностях.  Дискриминация может быть оправдана объективными факторами.  Наличие в компании трудового совета или отдела кадров оказывает позитивное воздействие на связь между применением политики варьируемого вознаграждения и устранением различий в оплате труда мужчин и женщин.  С учетом выводов проведенного исследования Министерство социальных дел и по вопросам занятости опубликовало информацию о действии принципа равной оплаты труда, в которой большое внимание уделяется применению и внедрению варьируемого вознаграждения.  Кроме того, внимание трудовых советов обращается на тот факт, что они обладают определенными полномочиями в этой области.  Вместе с тем эта информация не сводится к вопросам равного обращения с мужчинами и женщинами;  проектом охвачены и другие группы, в частности трудящиеся из числа коренных голландцев и этнических меньшинств;</w:t>
      </w:r>
    </w:p>
    <w:p w:rsidR="00000000" w:rsidRDefault="00000000">
      <w:pPr>
        <w:pStyle w:val="ListBullet"/>
      </w:pPr>
    </w:p>
    <w:p w:rsidR="00000000" w:rsidRDefault="00000000">
      <w:pPr>
        <w:pStyle w:val="ListBullet"/>
        <w:ind w:left="1134" w:hanging="1134"/>
      </w:pPr>
      <w:r>
        <w:tab/>
        <w:t>-</w:t>
      </w:r>
      <w:r>
        <w:tab/>
        <w:t xml:space="preserve">предоставление информации (Министерство социальных дел и по вопросам занятости подготовило различные брошюры и в настоящее время также размещает информацию о равном обращении и равной оплате труда на своем </w:t>
      </w:r>
      <w:proofErr w:type="spellStart"/>
      <w:r>
        <w:t>вебсайте</w:t>
      </w:r>
      <w:proofErr w:type="spellEnd"/>
      <w:r>
        <w:t>);</w:t>
      </w:r>
    </w:p>
    <w:p w:rsidR="00000000" w:rsidRDefault="00000000">
      <w:pPr>
        <w:pStyle w:val="ListBullet"/>
      </w:pPr>
    </w:p>
    <w:p w:rsidR="00000000" w:rsidRDefault="00000000">
      <w:pPr>
        <w:pStyle w:val="ListBullet"/>
        <w:ind w:left="1134" w:hanging="1134"/>
      </w:pPr>
      <w:r>
        <w:tab/>
        <w:t>-</w:t>
      </w:r>
      <w:r>
        <w:tab/>
        <w:t xml:space="preserve">предоставление субсидий для поддержки соответствующих инициатив ассоциаций работодателей и трудящихся, включая типовой тариф Фонда труда и </w:t>
      </w:r>
      <w:proofErr w:type="spellStart"/>
      <w:r>
        <w:t>вебсайт</w:t>
      </w:r>
      <w:proofErr w:type="spellEnd"/>
      <w:r>
        <w:t xml:space="preserve"> профсоюза </w:t>
      </w:r>
      <w:proofErr w:type="spellStart"/>
      <w:r>
        <w:t>ФНВ</w:t>
      </w:r>
      <w:proofErr w:type="spellEnd"/>
      <w:r>
        <w:t>, посвященный равной оплате труда.</w:t>
      </w:r>
    </w:p>
    <w:p w:rsidR="00000000" w:rsidRDefault="00000000">
      <w:pPr>
        <w:pStyle w:val="ListBullet"/>
      </w:pPr>
    </w:p>
    <w:p w:rsidR="00000000" w:rsidRDefault="00000000">
      <w:pPr>
        <w:jc w:val="center"/>
        <w:rPr>
          <w:b/>
          <w:bCs/>
        </w:rPr>
      </w:pPr>
      <w:r>
        <w:rPr>
          <w:b/>
          <w:bCs/>
        </w:rPr>
        <w:t>3.2.2    Безопасные условия и гигиена труда</w:t>
      </w:r>
    </w:p>
    <w:p w:rsidR="00000000" w:rsidRDefault="00000000">
      <w:pPr>
        <w:jc w:val="center"/>
        <w:rPr>
          <w:b/>
          <w:bCs/>
        </w:rPr>
      </w:pPr>
    </w:p>
    <w:p w:rsidR="00000000" w:rsidRDefault="00000000">
      <w:r>
        <w:t>193.</w:t>
      </w:r>
      <w:r>
        <w:tab/>
        <w:t>Основным законодательством в этой области является Закон об условиях труда 1998 года, вступивший в силу 1 ноября 1999 года вместо Закона об условиях труда 1980 года, о котором шла речь в предыдущем докладе.  Главное изменение в Законе 1998 года состоит в том, что Трудовая инспекция получила право взимать административные штрафы.  В этой связи см. доклад об осуществлении Конвенции о безопасности и гигиене труда 1981 года (Конвенция МОТ № 155), охватывающий период с июня 1995 года по июнь 1999 года (добавление 4), и последним докладом об осуществлении Конвенции об инспекции труда 1947 года (Конвенция МОТ № 81) (добавление 5).</w:t>
      </w:r>
    </w:p>
    <w:p w:rsidR="00000000" w:rsidRDefault="00000000"/>
    <w:p w:rsidR="00000000" w:rsidRDefault="00000000">
      <w:pPr>
        <w:jc w:val="center"/>
        <w:rPr>
          <w:b/>
          <w:bCs/>
        </w:rPr>
      </w:pPr>
      <w:r>
        <w:rPr>
          <w:b/>
          <w:bCs/>
        </w:rPr>
        <w:t>3.2.2.1    Исключения</w:t>
      </w:r>
    </w:p>
    <w:p w:rsidR="00000000" w:rsidRDefault="00000000">
      <w:pPr>
        <w:jc w:val="center"/>
        <w:rPr>
          <w:b/>
          <w:bCs/>
        </w:rPr>
      </w:pPr>
    </w:p>
    <w:p w:rsidR="00000000" w:rsidRDefault="00000000">
      <w:r>
        <w:t>194.</w:t>
      </w:r>
      <w:r>
        <w:tab/>
        <w:t>Ни одна из категорий трудящихся не исключается из сферы охвата Закона об условиях труда 1998 года.</w:t>
      </w:r>
    </w:p>
    <w:p w:rsidR="00000000" w:rsidRDefault="00000000"/>
    <w:p w:rsidR="00000000" w:rsidRDefault="00000000">
      <w:pPr>
        <w:jc w:val="center"/>
        <w:rPr>
          <w:b/>
          <w:bCs/>
        </w:rPr>
      </w:pPr>
      <w:r>
        <w:rPr>
          <w:b/>
          <w:bCs/>
        </w:rPr>
        <w:t>3.2.2.2  Несчастные случаи на производстве и профессиональные</w:t>
      </w:r>
    </w:p>
    <w:p w:rsidR="00000000" w:rsidRDefault="00000000">
      <w:pPr>
        <w:jc w:val="center"/>
        <w:rPr>
          <w:b/>
          <w:bCs/>
        </w:rPr>
      </w:pPr>
      <w:r>
        <w:rPr>
          <w:b/>
          <w:bCs/>
        </w:rPr>
        <w:t>заболевания</w:t>
      </w:r>
    </w:p>
    <w:p w:rsidR="00000000" w:rsidRDefault="00000000">
      <w:pPr>
        <w:jc w:val="center"/>
        <w:rPr>
          <w:b/>
          <w:bCs/>
        </w:rPr>
      </w:pPr>
    </w:p>
    <w:p w:rsidR="00000000" w:rsidRDefault="00000000">
      <w:pPr>
        <w:rPr>
          <w:b/>
          <w:bCs/>
        </w:rPr>
      </w:pPr>
      <w:r>
        <w:rPr>
          <w:b/>
          <w:bCs/>
        </w:rPr>
        <w:t>Несчастные случаи</w:t>
      </w:r>
    </w:p>
    <w:p w:rsidR="00000000" w:rsidRDefault="00000000">
      <w:pPr>
        <w:rPr>
          <w:b/>
          <w:bCs/>
        </w:rPr>
      </w:pPr>
    </w:p>
    <w:p w:rsidR="00000000" w:rsidRDefault="00000000">
      <w:r>
        <w:t>195.</w:t>
      </w:r>
      <w:r>
        <w:tab/>
        <w:t>Обо всех несчастных случаях на производстве, повлекших за собой смерть пострадавших, необходимо сообщать Трудовой инспекции.  В статистику таких несчастных случаев не включаются дорожно-транспортные происшествия, имевшие место при поездках на работу или с работы или в рабочее время.</w:t>
      </w:r>
    </w:p>
    <w:p w:rsidR="00000000" w:rsidRDefault="00000000"/>
    <w:p w:rsidR="00000000" w:rsidRDefault="00000000">
      <w:pPr>
        <w:jc w:val="center"/>
        <w:rPr>
          <w:b/>
          <w:bCs/>
        </w:rPr>
      </w:pPr>
      <w:r>
        <w:rPr>
          <w:b/>
          <w:bCs/>
        </w:rPr>
        <w:br w:type="page"/>
        <w:t>Таблица 7</w:t>
      </w:r>
    </w:p>
    <w:p w:rsidR="00000000" w:rsidRDefault="00000000">
      <w:pPr>
        <w:spacing w:line="216" w:lineRule="auto"/>
        <w:jc w:val="center"/>
        <w:rPr>
          <w:b/>
          <w:bCs/>
        </w:rPr>
      </w:pPr>
    </w:p>
    <w:p w:rsidR="00000000" w:rsidRDefault="00000000">
      <w:pPr>
        <w:jc w:val="center"/>
        <w:rPr>
          <w:b/>
          <w:bCs/>
        </w:rPr>
      </w:pPr>
      <w:r>
        <w:rPr>
          <w:b/>
          <w:bCs/>
        </w:rPr>
        <w:t>Количество несчастных случаев на производстве со смертельным исходом, информация о которых поступила в Трудовую инспекцию</w:t>
      </w:r>
    </w:p>
    <w:p w:rsidR="00000000" w:rsidRDefault="00000000">
      <w:pPr>
        <w:jc w:val="center"/>
      </w:pPr>
    </w:p>
    <w:tbl>
      <w:tblPr>
        <w:tblW w:w="0" w:type="auto"/>
        <w:jc w:val="center"/>
        <w:tblInd w:w="102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1E0" w:firstRow="1" w:lastRow="1" w:firstColumn="1" w:lastColumn="1" w:noHBand="0" w:noVBand="0"/>
      </w:tblPr>
      <w:tblGrid>
        <w:gridCol w:w="992"/>
        <w:gridCol w:w="6237"/>
      </w:tblGrid>
      <w:tr w:rsidR="00000000">
        <w:tblPrEx>
          <w:tblCellMar>
            <w:top w:w="0" w:type="dxa"/>
            <w:bottom w:w="0" w:type="dxa"/>
          </w:tblCellMar>
        </w:tblPrEx>
        <w:trPr>
          <w:cantSplit/>
          <w:jc w:val="center"/>
        </w:trPr>
        <w:tc>
          <w:tcPr>
            <w:tcW w:w="992" w:type="dxa"/>
            <w:tcBorders>
              <w:top w:val="single" w:sz="4" w:space="0" w:color="auto"/>
              <w:bottom w:val="single" w:sz="4" w:space="0" w:color="auto"/>
              <w:right w:val="single" w:sz="4" w:space="0" w:color="auto"/>
            </w:tcBorders>
          </w:tcPr>
          <w:p w:rsidR="00000000" w:rsidRDefault="00000000">
            <w:pPr>
              <w:pStyle w:val="EndnoteText"/>
              <w:jc w:val="center"/>
            </w:pPr>
            <w:r>
              <w:t>Год</w:t>
            </w:r>
          </w:p>
        </w:tc>
        <w:tc>
          <w:tcPr>
            <w:tcW w:w="6237" w:type="dxa"/>
            <w:tcBorders>
              <w:left w:val="single" w:sz="4" w:space="0" w:color="auto"/>
              <w:bottom w:val="single" w:sz="4" w:space="0" w:color="auto"/>
            </w:tcBorders>
          </w:tcPr>
          <w:p w:rsidR="00000000" w:rsidRDefault="00000000">
            <w:pPr>
              <w:spacing w:line="240" w:lineRule="auto"/>
              <w:jc w:val="center"/>
            </w:pPr>
            <w:r>
              <w:t>Количество несчастных случаев</w:t>
            </w:r>
          </w:p>
        </w:tc>
      </w:tr>
      <w:tr w:rsidR="00000000">
        <w:tblPrEx>
          <w:tblCellMar>
            <w:top w:w="0" w:type="dxa"/>
            <w:bottom w:w="0" w:type="dxa"/>
          </w:tblCellMar>
        </w:tblPrEx>
        <w:trPr>
          <w:cantSplit/>
          <w:jc w:val="center"/>
        </w:trPr>
        <w:tc>
          <w:tcPr>
            <w:tcW w:w="992" w:type="dxa"/>
            <w:tcBorders>
              <w:top w:val="single" w:sz="4" w:space="0" w:color="auto"/>
              <w:bottom w:val="nil"/>
              <w:right w:val="single" w:sz="4" w:space="0" w:color="auto"/>
            </w:tcBorders>
          </w:tcPr>
          <w:p w:rsidR="00000000" w:rsidRDefault="00000000">
            <w:pPr>
              <w:spacing w:line="240" w:lineRule="auto"/>
              <w:jc w:val="center"/>
            </w:pPr>
            <w:r>
              <w:t>1997</w:t>
            </w:r>
          </w:p>
        </w:tc>
        <w:tc>
          <w:tcPr>
            <w:tcW w:w="6237" w:type="dxa"/>
            <w:tcBorders>
              <w:top w:val="single" w:sz="4" w:space="0" w:color="auto"/>
              <w:left w:val="single" w:sz="4" w:space="0" w:color="auto"/>
              <w:bottom w:val="nil"/>
            </w:tcBorders>
          </w:tcPr>
          <w:p w:rsidR="00000000" w:rsidRDefault="00000000">
            <w:pPr>
              <w:spacing w:line="240" w:lineRule="auto"/>
              <w:jc w:val="center"/>
            </w:pPr>
            <w:r>
              <w:t>108</w:t>
            </w:r>
          </w:p>
        </w:tc>
      </w:tr>
      <w:tr w:rsidR="00000000">
        <w:tblPrEx>
          <w:tblCellMar>
            <w:top w:w="0" w:type="dxa"/>
            <w:bottom w:w="0" w:type="dxa"/>
          </w:tblCellMar>
        </w:tblPrEx>
        <w:trPr>
          <w:cantSplit/>
          <w:jc w:val="center"/>
        </w:trPr>
        <w:tc>
          <w:tcPr>
            <w:tcW w:w="992" w:type="dxa"/>
            <w:tcBorders>
              <w:top w:val="nil"/>
              <w:right w:val="single" w:sz="4" w:space="0" w:color="auto"/>
            </w:tcBorders>
          </w:tcPr>
          <w:p w:rsidR="00000000" w:rsidRDefault="00000000">
            <w:pPr>
              <w:spacing w:line="240" w:lineRule="auto"/>
              <w:jc w:val="center"/>
            </w:pPr>
            <w:r>
              <w:t>1998</w:t>
            </w:r>
          </w:p>
        </w:tc>
        <w:tc>
          <w:tcPr>
            <w:tcW w:w="6237" w:type="dxa"/>
            <w:tcBorders>
              <w:top w:val="nil"/>
              <w:left w:val="single" w:sz="4" w:space="0" w:color="auto"/>
            </w:tcBorders>
          </w:tcPr>
          <w:p w:rsidR="00000000" w:rsidRDefault="00000000">
            <w:pPr>
              <w:spacing w:line="240" w:lineRule="auto"/>
              <w:jc w:val="center"/>
            </w:pPr>
            <w:r>
              <w:t xml:space="preserve">  88</w:t>
            </w:r>
          </w:p>
        </w:tc>
      </w:tr>
      <w:tr w:rsidR="00000000">
        <w:tblPrEx>
          <w:tblCellMar>
            <w:top w:w="0" w:type="dxa"/>
            <w:bottom w:w="0" w:type="dxa"/>
          </w:tblCellMar>
        </w:tblPrEx>
        <w:trPr>
          <w:cantSplit/>
          <w:jc w:val="center"/>
        </w:trPr>
        <w:tc>
          <w:tcPr>
            <w:tcW w:w="992" w:type="dxa"/>
            <w:tcBorders>
              <w:right w:val="single" w:sz="4" w:space="0" w:color="auto"/>
            </w:tcBorders>
          </w:tcPr>
          <w:p w:rsidR="00000000" w:rsidRDefault="00000000">
            <w:pPr>
              <w:spacing w:line="240" w:lineRule="auto"/>
              <w:jc w:val="center"/>
            </w:pPr>
            <w:r>
              <w:t>1999</w:t>
            </w:r>
          </w:p>
        </w:tc>
        <w:tc>
          <w:tcPr>
            <w:tcW w:w="6237" w:type="dxa"/>
            <w:tcBorders>
              <w:left w:val="single" w:sz="4" w:space="0" w:color="auto"/>
            </w:tcBorders>
          </w:tcPr>
          <w:p w:rsidR="00000000" w:rsidRDefault="00000000">
            <w:pPr>
              <w:spacing w:line="240" w:lineRule="auto"/>
              <w:jc w:val="center"/>
            </w:pPr>
            <w:r>
              <w:t xml:space="preserve">  98</w:t>
            </w:r>
          </w:p>
        </w:tc>
      </w:tr>
      <w:tr w:rsidR="00000000">
        <w:tblPrEx>
          <w:tblCellMar>
            <w:top w:w="0" w:type="dxa"/>
            <w:bottom w:w="0" w:type="dxa"/>
          </w:tblCellMar>
        </w:tblPrEx>
        <w:trPr>
          <w:cantSplit/>
          <w:jc w:val="center"/>
        </w:trPr>
        <w:tc>
          <w:tcPr>
            <w:tcW w:w="992" w:type="dxa"/>
            <w:tcBorders>
              <w:right w:val="single" w:sz="4" w:space="0" w:color="auto"/>
            </w:tcBorders>
          </w:tcPr>
          <w:p w:rsidR="00000000" w:rsidRDefault="00000000">
            <w:pPr>
              <w:spacing w:line="240" w:lineRule="auto"/>
              <w:jc w:val="center"/>
            </w:pPr>
            <w:r>
              <w:t>2000</w:t>
            </w:r>
          </w:p>
        </w:tc>
        <w:tc>
          <w:tcPr>
            <w:tcW w:w="6237" w:type="dxa"/>
            <w:tcBorders>
              <w:left w:val="single" w:sz="4" w:space="0" w:color="auto"/>
            </w:tcBorders>
          </w:tcPr>
          <w:p w:rsidR="00000000" w:rsidRDefault="00000000">
            <w:pPr>
              <w:spacing w:line="240" w:lineRule="auto"/>
              <w:jc w:val="center"/>
            </w:pPr>
            <w:r>
              <w:t>101</w:t>
            </w:r>
          </w:p>
        </w:tc>
      </w:tr>
      <w:tr w:rsidR="00000000">
        <w:tblPrEx>
          <w:tblCellMar>
            <w:top w:w="0" w:type="dxa"/>
            <w:bottom w:w="0" w:type="dxa"/>
          </w:tblCellMar>
        </w:tblPrEx>
        <w:trPr>
          <w:cantSplit/>
          <w:jc w:val="center"/>
        </w:trPr>
        <w:tc>
          <w:tcPr>
            <w:tcW w:w="992" w:type="dxa"/>
            <w:tcBorders>
              <w:right w:val="single" w:sz="4" w:space="0" w:color="auto"/>
            </w:tcBorders>
          </w:tcPr>
          <w:p w:rsidR="00000000" w:rsidRDefault="00000000">
            <w:pPr>
              <w:spacing w:line="240" w:lineRule="auto"/>
              <w:jc w:val="center"/>
            </w:pPr>
            <w:r>
              <w:t>2001</w:t>
            </w:r>
          </w:p>
        </w:tc>
        <w:tc>
          <w:tcPr>
            <w:tcW w:w="6237" w:type="dxa"/>
            <w:tcBorders>
              <w:left w:val="single" w:sz="4" w:space="0" w:color="auto"/>
            </w:tcBorders>
          </w:tcPr>
          <w:p w:rsidR="00000000" w:rsidRDefault="00000000">
            <w:pPr>
              <w:spacing w:line="240" w:lineRule="auto"/>
              <w:jc w:val="center"/>
            </w:pPr>
            <w:r>
              <w:t xml:space="preserve">  83</w:t>
            </w:r>
          </w:p>
        </w:tc>
      </w:tr>
      <w:tr w:rsidR="00000000">
        <w:tblPrEx>
          <w:tblCellMar>
            <w:top w:w="0" w:type="dxa"/>
            <w:bottom w:w="0" w:type="dxa"/>
          </w:tblCellMar>
        </w:tblPrEx>
        <w:trPr>
          <w:cantSplit/>
          <w:jc w:val="center"/>
        </w:trPr>
        <w:tc>
          <w:tcPr>
            <w:tcW w:w="992" w:type="dxa"/>
            <w:tcBorders>
              <w:bottom w:val="single" w:sz="4" w:space="0" w:color="auto"/>
              <w:right w:val="single" w:sz="4" w:space="0" w:color="auto"/>
            </w:tcBorders>
          </w:tcPr>
          <w:p w:rsidR="00000000" w:rsidRDefault="00000000">
            <w:pPr>
              <w:spacing w:line="240" w:lineRule="auto"/>
              <w:jc w:val="center"/>
            </w:pPr>
            <w:r>
              <w:t>2002</w:t>
            </w:r>
          </w:p>
        </w:tc>
        <w:tc>
          <w:tcPr>
            <w:tcW w:w="6237" w:type="dxa"/>
            <w:tcBorders>
              <w:left w:val="single" w:sz="4" w:space="0" w:color="auto"/>
            </w:tcBorders>
          </w:tcPr>
          <w:p w:rsidR="00000000" w:rsidRDefault="00000000">
            <w:pPr>
              <w:spacing w:line="240" w:lineRule="auto"/>
              <w:jc w:val="center"/>
            </w:pPr>
            <w:r>
              <w:t>83 (предварительные данные;  расследование проводится)</w:t>
            </w:r>
          </w:p>
        </w:tc>
      </w:tr>
    </w:tbl>
    <w:p w:rsidR="00000000" w:rsidRDefault="00000000"/>
    <w:p w:rsidR="00000000" w:rsidRDefault="00000000">
      <w:pPr>
        <w:keepNext/>
        <w:jc w:val="center"/>
        <w:rPr>
          <w:b/>
          <w:bCs/>
        </w:rPr>
      </w:pPr>
      <w:r>
        <w:rPr>
          <w:b/>
          <w:bCs/>
        </w:rPr>
        <w:t>Таблица 8</w:t>
      </w:r>
    </w:p>
    <w:p w:rsidR="00000000" w:rsidRDefault="00000000">
      <w:pPr>
        <w:keepNext/>
        <w:spacing w:line="216" w:lineRule="auto"/>
        <w:jc w:val="center"/>
        <w:rPr>
          <w:b/>
          <w:bCs/>
        </w:rPr>
      </w:pPr>
    </w:p>
    <w:p w:rsidR="00000000" w:rsidRDefault="00000000">
      <w:pPr>
        <w:jc w:val="center"/>
        <w:rPr>
          <w:b/>
          <w:bCs/>
        </w:rPr>
      </w:pPr>
      <w:r>
        <w:rPr>
          <w:b/>
          <w:bCs/>
        </w:rPr>
        <w:t>Случаи смерти на производстве, доведенные до сведения</w:t>
      </w:r>
    </w:p>
    <w:p w:rsidR="00000000" w:rsidRDefault="00000000">
      <w:pPr>
        <w:jc w:val="center"/>
        <w:rPr>
          <w:b/>
          <w:bCs/>
          <w:u w:val="single"/>
        </w:rPr>
      </w:pPr>
      <w:r>
        <w:rPr>
          <w:b/>
          <w:bCs/>
        </w:rPr>
        <w:t>Трудовой инспекции, в разбивке по отраслям</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50"/>
        <w:gridCol w:w="1162"/>
        <w:gridCol w:w="1805"/>
        <w:gridCol w:w="1078"/>
        <w:gridCol w:w="546"/>
        <w:gridCol w:w="546"/>
        <w:gridCol w:w="546"/>
        <w:gridCol w:w="578"/>
      </w:tblGrid>
      <w:tr w:rsidR="00000000">
        <w:tblPrEx>
          <w:tblCellMar>
            <w:top w:w="0" w:type="dxa"/>
            <w:bottom w:w="0" w:type="dxa"/>
          </w:tblCellMar>
        </w:tblPrEx>
        <w:trPr>
          <w:cantSplit/>
        </w:trPr>
        <w:tc>
          <w:tcPr>
            <w:tcW w:w="3150" w:type="dxa"/>
            <w:tcBorders>
              <w:bottom w:val="single" w:sz="4" w:space="0" w:color="auto"/>
            </w:tcBorders>
            <w:vAlign w:val="center"/>
          </w:tcPr>
          <w:p w:rsidR="00000000" w:rsidRDefault="00000000">
            <w:pPr>
              <w:spacing w:line="240" w:lineRule="auto"/>
              <w:jc w:val="center"/>
            </w:pPr>
            <w:r>
              <w:t>Сектор</w:t>
            </w:r>
          </w:p>
        </w:tc>
        <w:tc>
          <w:tcPr>
            <w:tcW w:w="1162" w:type="dxa"/>
            <w:tcBorders>
              <w:bottom w:val="single" w:sz="4" w:space="0" w:color="auto"/>
            </w:tcBorders>
            <w:vAlign w:val="center"/>
          </w:tcPr>
          <w:p w:rsidR="00000000" w:rsidRDefault="00000000">
            <w:pPr>
              <w:spacing w:line="240" w:lineRule="auto"/>
              <w:jc w:val="center"/>
            </w:pPr>
            <w:r>
              <w:t>Доля в процентах</w:t>
            </w:r>
          </w:p>
        </w:tc>
        <w:tc>
          <w:tcPr>
            <w:tcW w:w="1805" w:type="dxa"/>
            <w:tcBorders>
              <w:bottom w:val="single" w:sz="4" w:space="0" w:color="auto"/>
            </w:tcBorders>
            <w:vAlign w:val="center"/>
          </w:tcPr>
          <w:p w:rsidR="00000000" w:rsidRDefault="00000000">
            <w:pPr>
              <w:spacing w:line="240" w:lineRule="auto"/>
              <w:jc w:val="center"/>
            </w:pPr>
            <w:r>
              <w:t>Среднее количество случаев смерти в 1997-2000 годах</w:t>
            </w:r>
          </w:p>
        </w:tc>
        <w:tc>
          <w:tcPr>
            <w:tcW w:w="1078" w:type="dxa"/>
            <w:tcBorders>
              <w:bottom w:val="single" w:sz="4" w:space="0" w:color="auto"/>
            </w:tcBorders>
            <w:vAlign w:val="center"/>
          </w:tcPr>
          <w:p w:rsidR="00000000" w:rsidRDefault="00000000">
            <w:pPr>
              <w:spacing w:line="240" w:lineRule="auto"/>
              <w:jc w:val="center"/>
            </w:pPr>
            <w:r>
              <w:t>Фактор риска для данной отрасли</w:t>
            </w:r>
          </w:p>
        </w:tc>
        <w:tc>
          <w:tcPr>
            <w:tcW w:w="546" w:type="dxa"/>
            <w:tcBorders>
              <w:bottom w:val="single" w:sz="4" w:space="0" w:color="auto"/>
            </w:tcBorders>
            <w:vAlign w:val="center"/>
          </w:tcPr>
          <w:p w:rsidR="00000000" w:rsidRDefault="00000000">
            <w:pPr>
              <w:spacing w:line="240" w:lineRule="auto"/>
              <w:jc w:val="center"/>
            </w:pPr>
            <w:r>
              <w:t>1997</w:t>
            </w:r>
          </w:p>
        </w:tc>
        <w:tc>
          <w:tcPr>
            <w:tcW w:w="546" w:type="dxa"/>
            <w:tcBorders>
              <w:bottom w:val="single" w:sz="4" w:space="0" w:color="auto"/>
            </w:tcBorders>
            <w:vAlign w:val="center"/>
          </w:tcPr>
          <w:p w:rsidR="00000000" w:rsidRDefault="00000000">
            <w:pPr>
              <w:spacing w:line="240" w:lineRule="auto"/>
              <w:jc w:val="center"/>
            </w:pPr>
            <w:r>
              <w:t>1998</w:t>
            </w:r>
          </w:p>
        </w:tc>
        <w:tc>
          <w:tcPr>
            <w:tcW w:w="546" w:type="dxa"/>
            <w:tcBorders>
              <w:bottom w:val="single" w:sz="4" w:space="0" w:color="auto"/>
            </w:tcBorders>
            <w:vAlign w:val="center"/>
          </w:tcPr>
          <w:p w:rsidR="00000000" w:rsidRDefault="00000000">
            <w:pPr>
              <w:spacing w:line="240" w:lineRule="auto"/>
              <w:jc w:val="center"/>
            </w:pPr>
            <w:r>
              <w:t>1999</w:t>
            </w:r>
          </w:p>
        </w:tc>
        <w:tc>
          <w:tcPr>
            <w:tcW w:w="578" w:type="dxa"/>
            <w:tcBorders>
              <w:bottom w:val="single" w:sz="4" w:space="0" w:color="auto"/>
            </w:tcBorders>
            <w:vAlign w:val="center"/>
          </w:tcPr>
          <w:p w:rsidR="00000000" w:rsidRDefault="00000000">
            <w:pPr>
              <w:spacing w:line="240" w:lineRule="auto"/>
              <w:jc w:val="center"/>
            </w:pPr>
            <w:r>
              <w:t>2000</w:t>
            </w:r>
          </w:p>
        </w:tc>
      </w:tr>
      <w:tr w:rsidR="00000000">
        <w:tblPrEx>
          <w:tblCellMar>
            <w:top w:w="0" w:type="dxa"/>
            <w:bottom w:w="0" w:type="dxa"/>
          </w:tblCellMar>
        </w:tblPrEx>
        <w:trPr>
          <w:cantSplit/>
        </w:trPr>
        <w:tc>
          <w:tcPr>
            <w:tcW w:w="3150" w:type="dxa"/>
            <w:tcBorders>
              <w:bottom w:val="nil"/>
            </w:tcBorders>
          </w:tcPr>
          <w:p w:rsidR="00000000" w:rsidRDefault="00000000">
            <w:pPr>
              <w:spacing w:line="240" w:lineRule="auto"/>
            </w:pPr>
            <w:r>
              <w:t>Сельское хозяйство</w:t>
            </w:r>
          </w:p>
        </w:tc>
        <w:tc>
          <w:tcPr>
            <w:tcW w:w="1162" w:type="dxa"/>
            <w:tcBorders>
              <w:bottom w:val="nil"/>
              <w:right w:val="single" w:sz="4" w:space="0" w:color="auto"/>
            </w:tcBorders>
          </w:tcPr>
          <w:p w:rsidR="00000000" w:rsidRDefault="00000000">
            <w:pPr>
              <w:tabs>
                <w:tab w:val="clear" w:pos="567"/>
                <w:tab w:val="clear" w:pos="1134"/>
              </w:tabs>
              <w:spacing w:line="240" w:lineRule="auto"/>
              <w:ind w:right="329"/>
              <w:jc w:val="right"/>
            </w:pPr>
            <w:r>
              <w:t>2</w:t>
            </w:r>
          </w:p>
        </w:tc>
        <w:tc>
          <w:tcPr>
            <w:tcW w:w="1805" w:type="dxa"/>
            <w:tcBorders>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10</w:t>
            </w:r>
          </w:p>
        </w:tc>
        <w:tc>
          <w:tcPr>
            <w:tcW w:w="1078" w:type="dxa"/>
            <w:tcBorders>
              <w:left w:val="single" w:sz="4" w:space="0" w:color="auto"/>
              <w:bottom w:val="nil"/>
              <w:right w:val="single" w:sz="4" w:space="0" w:color="auto"/>
            </w:tcBorders>
          </w:tcPr>
          <w:p w:rsidR="00000000" w:rsidRDefault="00000000">
            <w:pPr>
              <w:spacing w:line="240" w:lineRule="auto"/>
              <w:jc w:val="center"/>
            </w:pPr>
            <w:r>
              <w:t>5</w:t>
            </w:r>
          </w:p>
        </w:tc>
        <w:tc>
          <w:tcPr>
            <w:tcW w:w="546" w:type="dxa"/>
            <w:tcBorders>
              <w:left w:val="single" w:sz="4" w:space="0" w:color="auto"/>
              <w:bottom w:val="nil"/>
              <w:right w:val="single" w:sz="4" w:space="0" w:color="auto"/>
            </w:tcBorders>
          </w:tcPr>
          <w:p w:rsidR="00000000" w:rsidRDefault="00000000">
            <w:pPr>
              <w:spacing w:line="240" w:lineRule="auto"/>
              <w:jc w:val="right"/>
            </w:pPr>
            <w:r>
              <w:t>11</w:t>
            </w:r>
          </w:p>
        </w:tc>
        <w:tc>
          <w:tcPr>
            <w:tcW w:w="546" w:type="dxa"/>
            <w:tcBorders>
              <w:left w:val="single" w:sz="4" w:space="0" w:color="auto"/>
              <w:bottom w:val="nil"/>
              <w:right w:val="single" w:sz="4" w:space="0" w:color="auto"/>
            </w:tcBorders>
          </w:tcPr>
          <w:p w:rsidR="00000000" w:rsidRDefault="00000000">
            <w:pPr>
              <w:spacing w:line="240" w:lineRule="auto"/>
              <w:jc w:val="right"/>
            </w:pPr>
            <w:r>
              <w:t>10</w:t>
            </w:r>
          </w:p>
        </w:tc>
        <w:tc>
          <w:tcPr>
            <w:tcW w:w="546" w:type="dxa"/>
            <w:tcBorders>
              <w:left w:val="single" w:sz="4" w:space="0" w:color="auto"/>
              <w:bottom w:val="nil"/>
              <w:right w:val="single" w:sz="4" w:space="0" w:color="auto"/>
            </w:tcBorders>
          </w:tcPr>
          <w:p w:rsidR="00000000" w:rsidRDefault="00000000">
            <w:pPr>
              <w:tabs>
                <w:tab w:val="clear" w:pos="567"/>
              </w:tabs>
              <w:spacing w:line="240" w:lineRule="auto"/>
              <w:jc w:val="right"/>
            </w:pPr>
            <w:r>
              <w:t>12</w:t>
            </w:r>
          </w:p>
        </w:tc>
        <w:tc>
          <w:tcPr>
            <w:tcW w:w="578" w:type="dxa"/>
            <w:tcBorders>
              <w:left w:val="single" w:sz="4" w:space="0" w:color="auto"/>
              <w:bottom w:val="nil"/>
            </w:tcBorders>
          </w:tcPr>
          <w:p w:rsidR="00000000" w:rsidRDefault="00000000">
            <w:pPr>
              <w:tabs>
                <w:tab w:val="clear" w:pos="567"/>
              </w:tabs>
              <w:spacing w:line="240" w:lineRule="auto"/>
              <w:jc w:val="right"/>
            </w:pPr>
            <w:r>
              <w:t>9</w:t>
            </w:r>
          </w:p>
        </w:tc>
      </w:tr>
      <w:tr w:rsidR="00000000">
        <w:tblPrEx>
          <w:tblCellMar>
            <w:top w:w="0" w:type="dxa"/>
            <w:bottom w:w="0" w:type="dxa"/>
          </w:tblCellMar>
        </w:tblPrEx>
        <w:trPr>
          <w:cantSplit/>
        </w:trPr>
        <w:tc>
          <w:tcPr>
            <w:tcW w:w="3150" w:type="dxa"/>
            <w:tcBorders>
              <w:top w:val="nil"/>
              <w:bottom w:val="nil"/>
            </w:tcBorders>
          </w:tcPr>
          <w:p w:rsidR="00000000" w:rsidRDefault="00000000">
            <w:pPr>
              <w:spacing w:line="240" w:lineRule="auto"/>
            </w:pPr>
            <w:r>
              <w:t>Промышленность</w:t>
            </w:r>
          </w:p>
        </w:tc>
        <w:tc>
          <w:tcPr>
            <w:tcW w:w="1162" w:type="dxa"/>
            <w:tcBorders>
              <w:top w:val="nil"/>
              <w:bottom w:val="nil"/>
              <w:right w:val="single" w:sz="4" w:space="0" w:color="auto"/>
            </w:tcBorders>
          </w:tcPr>
          <w:p w:rsidR="00000000" w:rsidRDefault="00000000">
            <w:pPr>
              <w:tabs>
                <w:tab w:val="clear" w:pos="567"/>
                <w:tab w:val="clear" w:pos="1134"/>
              </w:tabs>
              <w:spacing w:line="240" w:lineRule="auto"/>
              <w:ind w:right="329"/>
              <w:jc w:val="right"/>
            </w:pPr>
            <w:r>
              <w:t>18</w:t>
            </w:r>
          </w:p>
        </w:tc>
        <w:tc>
          <w:tcPr>
            <w:tcW w:w="1805" w:type="dxa"/>
            <w:tcBorders>
              <w:top w:val="nil"/>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23</w:t>
            </w:r>
          </w:p>
        </w:tc>
        <w:tc>
          <w:tcPr>
            <w:tcW w:w="1078" w:type="dxa"/>
            <w:tcBorders>
              <w:top w:val="nil"/>
              <w:left w:val="single" w:sz="4" w:space="0" w:color="auto"/>
              <w:bottom w:val="nil"/>
              <w:right w:val="single" w:sz="4" w:space="0" w:color="auto"/>
            </w:tcBorders>
          </w:tcPr>
          <w:p w:rsidR="00000000" w:rsidRDefault="00000000">
            <w:pPr>
              <w:spacing w:line="240" w:lineRule="auto"/>
              <w:jc w:val="center"/>
            </w:pPr>
            <w:r>
              <w:t>1,3</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25</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21</w:t>
            </w:r>
          </w:p>
        </w:tc>
        <w:tc>
          <w:tcPr>
            <w:tcW w:w="546" w:type="dxa"/>
            <w:tcBorders>
              <w:top w:val="nil"/>
              <w:left w:val="single" w:sz="4" w:space="0" w:color="auto"/>
              <w:bottom w:val="nil"/>
              <w:right w:val="single" w:sz="4" w:space="0" w:color="auto"/>
            </w:tcBorders>
          </w:tcPr>
          <w:p w:rsidR="00000000" w:rsidRDefault="00000000">
            <w:pPr>
              <w:tabs>
                <w:tab w:val="clear" w:pos="567"/>
              </w:tabs>
              <w:spacing w:line="240" w:lineRule="auto"/>
              <w:jc w:val="right"/>
            </w:pPr>
            <w:r>
              <w:t>15</w:t>
            </w:r>
          </w:p>
        </w:tc>
        <w:tc>
          <w:tcPr>
            <w:tcW w:w="578" w:type="dxa"/>
            <w:tcBorders>
              <w:top w:val="nil"/>
              <w:left w:val="single" w:sz="4" w:space="0" w:color="auto"/>
              <w:bottom w:val="nil"/>
            </w:tcBorders>
          </w:tcPr>
          <w:p w:rsidR="00000000" w:rsidRDefault="00000000">
            <w:pPr>
              <w:tabs>
                <w:tab w:val="clear" w:pos="567"/>
              </w:tabs>
              <w:spacing w:line="240" w:lineRule="auto"/>
              <w:jc w:val="right"/>
            </w:pPr>
            <w:r>
              <w:t>29</w:t>
            </w:r>
          </w:p>
        </w:tc>
      </w:tr>
      <w:tr w:rsidR="00000000">
        <w:tblPrEx>
          <w:tblCellMar>
            <w:top w:w="0" w:type="dxa"/>
            <w:bottom w:w="0" w:type="dxa"/>
          </w:tblCellMar>
        </w:tblPrEx>
        <w:trPr>
          <w:cantSplit/>
        </w:trPr>
        <w:tc>
          <w:tcPr>
            <w:tcW w:w="3150" w:type="dxa"/>
            <w:tcBorders>
              <w:top w:val="nil"/>
              <w:bottom w:val="nil"/>
            </w:tcBorders>
          </w:tcPr>
          <w:p w:rsidR="00000000" w:rsidRDefault="00000000">
            <w:pPr>
              <w:spacing w:line="240" w:lineRule="auto"/>
            </w:pPr>
            <w:r>
              <w:t>Строительство</w:t>
            </w:r>
          </w:p>
        </w:tc>
        <w:tc>
          <w:tcPr>
            <w:tcW w:w="1162" w:type="dxa"/>
            <w:tcBorders>
              <w:top w:val="nil"/>
              <w:bottom w:val="nil"/>
              <w:right w:val="single" w:sz="4" w:space="0" w:color="auto"/>
            </w:tcBorders>
          </w:tcPr>
          <w:p w:rsidR="00000000" w:rsidRDefault="00000000">
            <w:pPr>
              <w:tabs>
                <w:tab w:val="clear" w:pos="567"/>
                <w:tab w:val="clear" w:pos="1134"/>
              </w:tabs>
              <w:spacing w:line="240" w:lineRule="auto"/>
              <w:ind w:right="329"/>
              <w:jc w:val="right"/>
            </w:pPr>
            <w:r>
              <w:t>7</w:t>
            </w:r>
          </w:p>
        </w:tc>
        <w:tc>
          <w:tcPr>
            <w:tcW w:w="1805" w:type="dxa"/>
            <w:tcBorders>
              <w:top w:val="nil"/>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25</w:t>
            </w:r>
          </w:p>
        </w:tc>
        <w:tc>
          <w:tcPr>
            <w:tcW w:w="1078" w:type="dxa"/>
            <w:tcBorders>
              <w:top w:val="nil"/>
              <w:left w:val="single" w:sz="4" w:space="0" w:color="auto"/>
              <w:bottom w:val="nil"/>
              <w:right w:val="single" w:sz="4" w:space="0" w:color="auto"/>
            </w:tcBorders>
          </w:tcPr>
          <w:p w:rsidR="00000000" w:rsidRDefault="00000000">
            <w:pPr>
              <w:spacing w:line="240" w:lineRule="auto"/>
              <w:jc w:val="center"/>
            </w:pPr>
            <w:r>
              <w:t>3,6</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30</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20</w:t>
            </w:r>
          </w:p>
        </w:tc>
        <w:tc>
          <w:tcPr>
            <w:tcW w:w="546" w:type="dxa"/>
            <w:tcBorders>
              <w:top w:val="nil"/>
              <w:left w:val="single" w:sz="4" w:space="0" w:color="auto"/>
              <w:bottom w:val="nil"/>
              <w:right w:val="single" w:sz="4" w:space="0" w:color="auto"/>
            </w:tcBorders>
          </w:tcPr>
          <w:p w:rsidR="00000000" w:rsidRDefault="00000000">
            <w:pPr>
              <w:tabs>
                <w:tab w:val="clear" w:pos="567"/>
              </w:tabs>
              <w:spacing w:line="240" w:lineRule="auto"/>
              <w:jc w:val="right"/>
            </w:pPr>
            <w:r>
              <w:t>26</w:t>
            </w:r>
          </w:p>
        </w:tc>
        <w:tc>
          <w:tcPr>
            <w:tcW w:w="578" w:type="dxa"/>
            <w:tcBorders>
              <w:top w:val="nil"/>
              <w:left w:val="single" w:sz="4" w:space="0" w:color="auto"/>
              <w:bottom w:val="nil"/>
            </w:tcBorders>
          </w:tcPr>
          <w:p w:rsidR="00000000" w:rsidRDefault="00000000">
            <w:pPr>
              <w:tabs>
                <w:tab w:val="clear" w:pos="567"/>
              </w:tabs>
              <w:spacing w:line="240" w:lineRule="auto"/>
              <w:jc w:val="right"/>
            </w:pPr>
            <w:r>
              <w:t>25</w:t>
            </w:r>
          </w:p>
        </w:tc>
      </w:tr>
      <w:tr w:rsidR="00000000">
        <w:tblPrEx>
          <w:tblCellMar>
            <w:top w:w="0" w:type="dxa"/>
            <w:bottom w:w="0" w:type="dxa"/>
          </w:tblCellMar>
        </w:tblPrEx>
        <w:trPr>
          <w:cantSplit/>
        </w:trPr>
        <w:tc>
          <w:tcPr>
            <w:tcW w:w="3150" w:type="dxa"/>
            <w:tcBorders>
              <w:top w:val="nil"/>
              <w:bottom w:val="nil"/>
            </w:tcBorders>
          </w:tcPr>
          <w:p w:rsidR="00000000" w:rsidRDefault="00000000">
            <w:pPr>
              <w:spacing w:line="240" w:lineRule="auto"/>
            </w:pPr>
            <w:r>
              <w:t>Оптовая/ розничная торговля,</w:t>
            </w:r>
          </w:p>
          <w:p w:rsidR="00000000" w:rsidRDefault="00000000">
            <w:pPr>
              <w:tabs>
                <w:tab w:val="left" w:pos="187"/>
              </w:tabs>
              <w:spacing w:line="240" w:lineRule="auto"/>
            </w:pPr>
            <w:r>
              <w:tab/>
              <w:t>гостиничное хозяйство и</w:t>
            </w:r>
          </w:p>
          <w:p w:rsidR="00000000" w:rsidRDefault="00000000">
            <w:pPr>
              <w:tabs>
                <w:tab w:val="left" w:pos="187"/>
              </w:tabs>
              <w:spacing w:line="240" w:lineRule="auto"/>
            </w:pPr>
            <w:r>
              <w:tab/>
              <w:t>общественное питание</w:t>
            </w:r>
          </w:p>
        </w:tc>
        <w:tc>
          <w:tcPr>
            <w:tcW w:w="1162" w:type="dxa"/>
            <w:tcBorders>
              <w:top w:val="nil"/>
              <w:bottom w:val="nil"/>
              <w:right w:val="single" w:sz="4" w:space="0" w:color="auto"/>
            </w:tcBorders>
          </w:tcPr>
          <w:p w:rsidR="00000000" w:rsidRDefault="00000000">
            <w:pPr>
              <w:tabs>
                <w:tab w:val="clear" w:pos="567"/>
                <w:tab w:val="clear" w:pos="1134"/>
              </w:tabs>
              <w:spacing w:line="240" w:lineRule="auto"/>
              <w:ind w:right="329"/>
              <w:jc w:val="right"/>
            </w:pPr>
            <w:r>
              <w:t>23</w:t>
            </w:r>
          </w:p>
        </w:tc>
        <w:tc>
          <w:tcPr>
            <w:tcW w:w="1805" w:type="dxa"/>
            <w:tcBorders>
              <w:top w:val="nil"/>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13</w:t>
            </w:r>
          </w:p>
        </w:tc>
        <w:tc>
          <w:tcPr>
            <w:tcW w:w="1078" w:type="dxa"/>
            <w:tcBorders>
              <w:top w:val="nil"/>
              <w:left w:val="single" w:sz="4" w:space="0" w:color="auto"/>
              <w:bottom w:val="nil"/>
              <w:right w:val="single" w:sz="4" w:space="0" w:color="auto"/>
            </w:tcBorders>
          </w:tcPr>
          <w:p w:rsidR="00000000" w:rsidRDefault="00000000">
            <w:pPr>
              <w:spacing w:line="240" w:lineRule="auto"/>
              <w:jc w:val="center"/>
            </w:pPr>
            <w:r>
              <w:t>0,6</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12</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13</w:t>
            </w:r>
          </w:p>
        </w:tc>
        <w:tc>
          <w:tcPr>
            <w:tcW w:w="546" w:type="dxa"/>
            <w:tcBorders>
              <w:top w:val="nil"/>
              <w:left w:val="single" w:sz="4" w:space="0" w:color="auto"/>
              <w:bottom w:val="nil"/>
              <w:right w:val="single" w:sz="4" w:space="0" w:color="auto"/>
            </w:tcBorders>
          </w:tcPr>
          <w:p w:rsidR="00000000" w:rsidRDefault="00000000">
            <w:pPr>
              <w:tabs>
                <w:tab w:val="clear" w:pos="567"/>
              </w:tabs>
              <w:spacing w:line="240" w:lineRule="auto"/>
              <w:jc w:val="right"/>
            </w:pPr>
            <w:r>
              <w:t>13</w:t>
            </w:r>
          </w:p>
        </w:tc>
        <w:tc>
          <w:tcPr>
            <w:tcW w:w="578" w:type="dxa"/>
            <w:tcBorders>
              <w:top w:val="nil"/>
              <w:left w:val="single" w:sz="4" w:space="0" w:color="auto"/>
              <w:bottom w:val="nil"/>
            </w:tcBorders>
          </w:tcPr>
          <w:p w:rsidR="00000000" w:rsidRDefault="00000000">
            <w:pPr>
              <w:tabs>
                <w:tab w:val="clear" w:pos="567"/>
              </w:tabs>
              <w:spacing w:line="240" w:lineRule="auto"/>
              <w:jc w:val="right"/>
            </w:pPr>
            <w:r>
              <w:t>13</w:t>
            </w:r>
          </w:p>
        </w:tc>
      </w:tr>
      <w:tr w:rsidR="00000000">
        <w:tblPrEx>
          <w:tblCellMar>
            <w:top w:w="0" w:type="dxa"/>
            <w:bottom w:w="0" w:type="dxa"/>
          </w:tblCellMar>
        </w:tblPrEx>
        <w:trPr>
          <w:cantSplit/>
        </w:trPr>
        <w:tc>
          <w:tcPr>
            <w:tcW w:w="3150" w:type="dxa"/>
            <w:tcBorders>
              <w:top w:val="nil"/>
              <w:bottom w:val="nil"/>
            </w:tcBorders>
          </w:tcPr>
          <w:p w:rsidR="00000000" w:rsidRDefault="00000000">
            <w:pPr>
              <w:spacing w:line="240" w:lineRule="auto"/>
            </w:pPr>
            <w:r>
              <w:t>Транспорт</w:t>
            </w:r>
          </w:p>
        </w:tc>
        <w:tc>
          <w:tcPr>
            <w:tcW w:w="1162" w:type="dxa"/>
            <w:tcBorders>
              <w:top w:val="nil"/>
              <w:bottom w:val="nil"/>
              <w:right w:val="single" w:sz="4" w:space="0" w:color="auto"/>
            </w:tcBorders>
          </w:tcPr>
          <w:p w:rsidR="00000000" w:rsidRDefault="00000000">
            <w:pPr>
              <w:tabs>
                <w:tab w:val="clear" w:pos="567"/>
                <w:tab w:val="clear" w:pos="1134"/>
              </w:tabs>
              <w:spacing w:line="240" w:lineRule="auto"/>
              <w:ind w:right="329"/>
              <w:jc w:val="right"/>
            </w:pPr>
            <w:r>
              <w:t>5</w:t>
            </w:r>
          </w:p>
        </w:tc>
        <w:tc>
          <w:tcPr>
            <w:tcW w:w="1805" w:type="dxa"/>
            <w:tcBorders>
              <w:top w:val="nil"/>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8</w:t>
            </w:r>
          </w:p>
        </w:tc>
        <w:tc>
          <w:tcPr>
            <w:tcW w:w="1078" w:type="dxa"/>
            <w:tcBorders>
              <w:top w:val="nil"/>
              <w:left w:val="single" w:sz="4" w:space="0" w:color="auto"/>
              <w:bottom w:val="nil"/>
              <w:right w:val="single" w:sz="4" w:space="0" w:color="auto"/>
            </w:tcBorders>
          </w:tcPr>
          <w:p w:rsidR="00000000" w:rsidRDefault="00000000">
            <w:pPr>
              <w:spacing w:line="240" w:lineRule="auto"/>
              <w:jc w:val="center"/>
            </w:pPr>
            <w:r>
              <w:t>1,6</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4</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7</w:t>
            </w:r>
          </w:p>
        </w:tc>
        <w:tc>
          <w:tcPr>
            <w:tcW w:w="546" w:type="dxa"/>
            <w:tcBorders>
              <w:top w:val="nil"/>
              <w:left w:val="single" w:sz="4" w:space="0" w:color="auto"/>
              <w:bottom w:val="nil"/>
              <w:right w:val="single" w:sz="4" w:space="0" w:color="auto"/>
            </w:tcBorders>
          </w:tcPr>
          <w:p w:rsidR="00000000" w:rsidRDefault="00000000">
            <w:pPr>
              <w:tabs>
                <w:tab w:val="clear" w:pos="567"/>
              </w:tabs>
              <w:spacing w:line="240" w:lineRule="auto"/>
              <w:jc w:val="right"/>
            </w:pPr>
            <w:r>
              <w:t>11</w:t>
            </w:r>
          </w:p>
        </w:tc>
        <w:tc>
          <w:tcPr>
            <w:tcW w:w="578" w:type="dxa"/>
            <w:tcBorders>
              <w:top w:val="nil"/>
              <w:left w:val="single" w:sz="4" w:space="0" w:color="auto"/>
              <w:bottom w:val="nil"/>
            </w:tcBorders>
          </w:tcPr>
          <w:p w:rsidR="00000000" w:rsidRDefault="00000000">
            <w:pPr>
              <w:tabs>
                <w:tab w:val="clear" w:pos="567"/>
              </w:tabs>
              <w:spacing w:line="240" w:lineRule="auto"/>
              <w:jc w:val="right"/>
            </w:pPr>
            <w:r>
              <w:t>10</w:t>
            </w:r>
          </w:p>
        </w:tc>
      </w:tr>
      <w:tr w:rsidR="00000000">
        <w:tblPrEx>
          <w:tblCellMar>
            <w:top w:w="0" w:type="dxa"/>
            <w:bottom w:w="0" w:type="dxa"/>
          </w:tblCellMar>
        </w:tblPrEx>
        <w:trPr>
          <w:cantSplit/>
        </w:trPr>
        <w:tc>
          <w:tcPr>
            <w:tcW w:w="3150" w:type="dxa"/>
            <w:tcBorders>
              <w:top w:val="nil"/>
              <w:bottom w:val="nil"/>
            </w:tcBorders>
          </w:tcPr>
          <w:p w:rsidR="00000000" w:rsidRDefault="00000000">
            <w:pPr>
              <w:spacing w:line="240" w:lineRule="auto"/>
            </w:pPr>
            <w:r>
              <w:t>Услуги;  другое</w:t>
            </w:r>
          </w:p>
        </w:tc>
        <w:tc>
          <w:tcPr>
            <w:tcW w:w="1162" w:type="dxa"/>
            <w:tcBorders>
              <w:top w:val="nil"/>
              <w:bottom w:val="nil"/>
              <w:right w:val="single" w:sz="4" w:space="0" w:color="auto"/>
            </w:tcBorders>
          </w:tcPr>
          <w:p w:rsidR="00000000" w:rsidRDefault="00000000">
            <w:pPr>
              <w:tabs>
                <w:tab w:val="clear" w:pos="567"/>
                <w:tab w:val="clear" w:pos="1134"/>
              </w:tabs>
              <w:spacing w:line="240" w:lineRule="auto"/>
              <w:ind w:right="329"/>
              <w:jc w:val="right"/>
            </w:pPr>
            <w:r>
              <w:t>45</w:t>
            </w:r>
          </w:p>
        </w:tc>
        <w:tc>
          <w:tcPr>
            <w:tcW w:w="1805" w:type="dxa"/>
            <w:tcBorders>
              <w:top w:val="nil"/>
              <w:left w:val="single" w:sz="4" w:space="0" w:color="auto"/>
              <w:bottom w:val="nil"/>
              <w:right w:val="single" w:sz="4" w:space="0" w:color="auto"/>
            </w:tcBorders>
          </w:tcPr>
          <w:p w:rsidR="00000000" w:rsidRDefault="00000000">
            <w:pPr>
              <w:tabs>
                <w:tab w:val="clear" w:pos="1134"/>
                <w:tab w:val="clear" w:pos="1701"/>
              </w:tabs>
              <w:spacing w:line="240" w:lineRule="auto"/>
              <w:ind w:right="825"/>
              <w:jc w:val="right"/>
            </w:pPr>
            <w:r>
              <w:t>19</w:t>
            </w:r>
          </w:p>
        </w:tc>
        <w:tc>
          <w:tcPr>
            <w:tcW w:w="1078" w:type="dxa"/>
            <w:tcBorders>
              <w:top w:val="nil"/>
              <w:left w:val="single" w:sz="4" w:space="0" w:color="auto"/>
              <w:bottom w:val="nil"/>
              <w:right w:val="single" w:sz="4" w:space="0" w:color="auto"/>
            </w:tcBorders>
          </w:tcPr>
          <w:p w:rsidR="00000000" w:rsidRDefault="00000000">
            <w:pPr>
              <w:spacing w:line="240" w:lineRule="auto"/>
              <w:jc w:val="center"/>
            </w:pPr>
            <w:r>
              <w:t>0,4</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24</w:t>
            </w:r>
          </w:p>
        </w:tc>
        <w:tc>
          <w:tcPr>
            <w:tcW w:w="546" w:type="dxa"/>
            <w:tcBorders>
              <w:top w:val="nil"/>
              <w:left w:val="single" w:sz="4" w:space="0" w:color="auto"/>
              <w:bottom w:val="nil"/>
              <w:right w:val="single" w:sz="4" w:space="0" w:color="auto"/>
            </w:tcBorders>
          </w:tcPr>
          <w:p w:rsidR="00000000" w:rsidRDefault="00000000">
            <w:pPr>
              <w:spacing w:line="240" w:lineRule="auto"/>
              <w:jc w:val="right"/>
            </w:pPr>
            <w:r>
              <w:t>16</w:t>
            </w:r>
          </w:p>
        </w:tc>
        <w:tc>
          <w:tcPr>
            <w:tcW w:w="546" w:type="dxa"/>
            <w:tcBorders>
              <w:top w:val="nil"/>
              <w:left w:val="single" w:sz="4" w:space="0" w:color="auto"/>
              <w:bottom w:val="nil"/>
              <w:right w:val="single" w:sz="4" w:space="0" w:color="auto"/>
            </w:tcBorders>
          </w:tcPr>
          <w:p w:rsidR="00000000" w:rsidRDefault="00000000">
            <w:pPr>
              <w:tabs>
                <w:tab w:val="clear" w:pos="567"/>
              </w:tabs>
              <w:spacing w:line="240" w:lineRule="auto"/>
              <w:jc w:val="right"/>
            </w:pPr>
            <w:r>
              <w:t>19</w:t>
            </w:r>
          </w:p>
        </w:tc>
        <w:tc>
          <w:tcPr>
            <w:tcW w:w="578" w:type="dxa"/>
            <w:tcBorders>
              <w:top w:val="nil"/>
              <w:left w:val="single" w:sz="4" w:space="0" w:color="auto"/>
              <w:bottom w:val="nil"/>
            </w:tcBorders>
          </w:tcPr>
          <w:p w:rsidR="00000000" w:rsidRDefault="00000000">
            <w:pPr>
              <w:tabs>
                <w:tab w:val="clear" w:pos="567"/>
              </w:tabs>
              <w:spacing w:line="240" w:lineRule="auto"/>
              <w:jc w:val="right"/>
            </w:pPr>
            <w:r>
              <w:t>16</w:t>
            </w:r>
          </w:p>
        </w:tc>
      </w:tr>
      <w:tr w:rsidR="00000000">
        <w:tblPrEx>
          <w:tblCellMar>
            <w:top w:w="0" w:type="dxa"/>
            <w:bottom w:w="0" w:type="dxa"/>
          </w:tblCellMar>
        </w:tblPrEx>
        <w:trPr>
          <w:cantSplit/>
        </w:trPr>
        <w:tc>
          <w:tcPr>
            <w:tcW w:w="3150" w:type="dxa"/>
            <w:tcBorders>
              <w:top w:val="nil"/>
            </w:tcBorders>
          </w:tcPr>
          <w:p w:rsidR="00000000" w:rsidRDefault="00000000">
            <w:pPr>
              <w:spacing w:line="240" w:lineRule="auto"/>
            </w:pPr>
            <w:r>
              <w:t>Неизвестная отрасль</w:t>
            </w:r>
          </w:p>
        </w:tc>
        <w:tc>
          <w:tcPr>
            <w:tcW w:w="1162" w:type="dxa"/>
            <w:tcBorders>
              <w:top w:val="nil"/>
              <w:right w:val="single" w:sz="4" w:space="0" w:color="auto"/>
            </w:tcBorders>
          </w:tcPr>
          <w:p w:rsidR="00000000" w:rsidRDefault="00000000">
            <w:pPr>
              <w:tabs>
                <w:tab w:val="clear" w:pos="567"/>
                <w:tab w:val="clear" w:pos="1134"/>
              </w:tabs>
              <w:spacing w:line="240" w:lineRule="auto"/>
              <w:ind w:right="329"/>
              <w:jc w:val="right"/>
            </w:pPr>
            <w:r>
              <w:t>0</w:t>
            </w:r>
          </w:p>
        </w:tc>
        <w:tc>
          <w:tcPr>
            <w:tcW w:w="1805" w:type="dxa"/>
            <w:tcBorders>
              <w:top w:val="nil"/>
              <w:left w:val="single" w:sz="4" w:space="0" w:color="auto"/>
              <w:right w:val="single" w:sz="4" w:space="0" w:color="auto"/>
            </w:tcBorders>
          </w:tcPr>
          <w:p w:rsidR="00000000" w:rsidRDefault="00000000">
            <w:pPr>
              <w:tabs>
                <w:tab w:val="clear" w:pos="1134"/>
                <w:tab w:val="clear" w:pos="1701"/>
              </w:tabs>
              <w:spacing w:line="240" w:lineRule="auto"/>
              <w:ind w:right="825"/>
              <w:jc w:val="right"/>
            </w:pPr>
            <w:r>
              <w:t>2</w:t>
            </w:r>
          </w:p>
        </w:tc>
        <w:tc>
          <w:tcPr>
            <w:tcW w:w="1078" w:type="dxa"/>
            <w:tcBorders>
              <w:top w:val="nil"/>
              <w:left w:val="single" w:sz="4" w:space="0" w:color="auto"/>
              <w:right w:val="single" w:sz="4" w:space="0" w:color="auto"/>
            </w:tcBorders>
          </w:tcPr>
          <w:p w:rsidR="00000000" w:rsidRDefault="00000000">
            <w:pPr>
              <w:spacing w:line="240" w:lineRule="auto"/>
              <w:jc w:val="center"/>
            </w:pPr>
            <w:r>
              <w:t>-</w:t>
            </w:r>
          </w:p>
        </w:tc>
        <w:tc>
          <w:tcPr>
            <w:tcW w:w="546" w:type="dxa"/>
            <w:tcBorders>
              <w:top w:val="nil"/>
              <w:left w:val="single" w:sz="4" w:space="0" w:color="auto"/>
              <w:right w:val="single" w:sz="4" w:space="0" w:color="auto"/>
            </w:tcBorders>
          </w:tcPr>
          <w:p w:rsidR="00000000" w:rsidRDefault="00000000">
            <w:pPr>
              <w:spacing w:line="240" w:lineRule="auto"/>
              <w:jc w:val="right"/>
            </w:pPr>
            <w:r>
              <w:t>3</w:t>
            </w:r>
          </w:p>
        </w:tc>
        <w:tc>
          <w:tcPr>
            <w:tcW w:w="546" w:type="dxa"/>
            <w:tcBorders>
              <w:top w:val="nil"/>
              <w:left w:val="single" w:sz="4" w:space="0" w:color="auto"/>
              <w:right w:val="single" w:sz="4" w:space="0" w:color="auto"/>
            </w:tcBorders>
          </w:tcPr>
          <w:p w:rsidR="00000000" w:rsidRDefault="00000000">
            <w:pPr>
              <w:spacing w:line="240" w:lineRule="auto"/>
              <w:jc w:val="right"/>
            </w:pPr>
            <w:r>
              <w:t>2</w:t>
            </w:r>
          </w:p>
        </w:tc>
        <w:tc>
          <w:tcPr>
            <w:tcW w:w="546" w:type="dxa"/>
            <w:tcBorders>
              <w:top w:val="nil"/>
              <w:left w:val="single" w:sz="4" w:space="0" w:color="auto"/>
              <w:right w:val="single" w:sz="4" w:space="0" w:color="auto"/>
            </w:tcBorders>
          </w:tcPr>
          <w:p w:rsidR="00000000" w:rsidRDefault="00000000">
            <w:pPr>
              <w:tabs>
                <w:tab w:val="clear" w:pos="567"/>
              </w:tabs>
              <w:spacing w:line="240" w:lineRule="auto"/>
              <w:jc w:val="right"/>
            </w:pPr>
            <w:r>
              <w:t>3</w:t>
            </w:r>
          </w:p>
        </w:tc>
        <w:tc>
          <w:tcPr>
            <w:tcW w:w="578" w:type="dxa"/>
            <w:tcBorders>
              <w:top w:val="nil"/>
              <w:left w:val="single" w:sz="4" w:space="0" w:color="auto"/>
            </w:tcBorders>
          </w:tcPr>
          <w:p w:rsidR="00000000" w:rsidRDefault="00000000">
            <w:pPr>
              <w:tabs>
                <w:tab w:val="clear" w:pos="567"/>
              </w:tabs>
              <w:spacing w:line="240" w:lineRule="auto"/>
              <w:jc w:val="right"/>
            </w:pPr>
            <w:r>
              <w:t>1</w:t>
            </w:r>
          </w:p>
        </w:tc>
      </w:tr>
      <w:tr w:rsidR="00000000">
        <w:tblPrEx>
          <w:tblCellMar>
            <w:top w:w="0" w:type="dxa"/>
            <w:bottom w:w="0" w:type="dxa"/>
          </w:tblCellMar>
        </w:tblPrEx>
        <w:trPr>
          <w:cantSplit/>
        </w:trPr>
        <w:tc>
          <w:tcPr>
            <w:tcW w:w="3150" w:type="dxa"/>
          </w:tcPr>
          <w:p w:rsidR="00000000" w:rsidRDefault="00000000">
            <w:pPr>
              <w:spacing w:line="240" w:lineRule="auto"/>
            </w:pPr>
            <w:r>
              <w:t>ВСЕГО</w:t>
            </w:r>
          </w:p>
        </w:tc>
        <w:tc>
          <w:tcPr>
            <w:tcW w:w="1162" w:type="dxa"/>
          </w:tcPr>
          <w:p w:rsidR="00000000" w:rsidRDefault="00000000">
            <w:pPr>
              <w:tabs>
                <w:tab w:val="clear" w:pos="567"/>
                <w:tab w:val="clear" w:pos="1134"/>
              </w:tabs>
              <w:spacing w:line="240" w:lineRule="auto"/>
              <w:ind w:right="329"/>
              <w:jc w:val="right"/>
            </w:pPr>
            <w:r>
              <w:t>100</w:t>
            </w:r>
          </w:p>
        </w:tc>
        <w:tc>
          <w:tcPr>
            <w:tcW w:w="1805" w:type="dxa"/>
          </w:tcPr>
          <w:p w:rsidR="00000000" w:rsidRDefault="00000000">
            <w:pPr>
              <w:tabs>
                <w:tab w:val="clear" w:pos="1134"/>
                <w:tab w:val="clear" w:pos="1701"/>
              </w:tabs>
              <w:spacing w:line="240" w:lineRule="auto"/>
              <w:ind w:right="825"/>
              <w:jc w:val="right"/>
            </w:pPr>
            <w:r>
              <w:t>100</w:t>
            </w:r>
          </w:p>
        </w:tc>
        <w:tc>
          <w:tcPr>
            <w:tcW w:w="1078" w:type="dxa"/>
          </w:tcPr>
          <w:p w:rsidR="00000000" w:rsidRDefault="00000000">
            <w:pPr>
              <w:spacing w:line="240" w:lineRule="auto"/>
              <w:jc w:val="center"/>
            </w:pPr>
            <w:r>
              <w:t>1</w:t>
            </w:r>
          </w:p>
        </w:tc>
        <w:tc>
          <w:tcPr>
            <w:tcW w:w="546" w:type="dxa"/>
          </w:tcPr>
          <w:p w:rsidR="00000000" w:rsidRDefault="00000000">
            <w:pPr>
              <w:spacing w:line="240" w:lineRule="auto"/>
              <w:jc w:val="right"/>
            </w:pPr>
            <w:r>
              <w:t>109</w:t>
            </w:r>
          </w:p>
        </w:tc>
        <w:tc>
          <w:tcPr>
            <w:tcW w:w="546" w:type="dxa"/>
          </w:tcPr>
          <w:p w:rsidR="00000000" w:rsidRDefault="00000000">
            <w:pPr>
              <w:spacing w:line="240" w:lineRule="auto"/>
              <w:jc w:val="right"/>
            </w:pPr>
            <w:r>
              <w:t>89</w:t>
            </w:r>
          </w:p>
        </w:tc>
        <w:tc>
          <w:tcPr>
            <w:tcW w:w="546" w:type="dxa"/>
          </w:tcPr>
          <w:p w:rsidR="00000000" w:rsidRDefault="00000000">
            <w:pPr>
              <w:tabs>
                <w:tab w:val="clear" w:pos="567"/>
              </w:tabs>
              <w:spacing w:line="240" w:lineRule="auto"/>
              <w:jc w:val="right"/>
            </w:pPr>
            <w:r>
              <w:t>99</w:t>
            </w:r>
          </w:p>
        </w:tc>
        <w:tc>
          <w:tcPr>
            <w:tcW w:w="578" w:type="dxa"/>
          </w:tcPr>
          <w:p w:rsidR="00000000" w:rsidRDefault="00000000">
            <w:pPr>
              <w:tabs>
                <w:tab w:val="clear" w:pos="567"/>
              </w:tabs>
              <w:spacing w:line="240" w:lineRule="auto"/>
              <w:jc w:val="right"/>
            </w:pPr>
            <w:r>
              <w:t>103</w:t>
            </w:r>
          </w:p>
        </w:tc>
      </w:tr>
    </w:tbl>
    <w:p w:rsidR="00000000" w:rsidRDefault="00000000"/>
    <w:p w:rsidR="00000000" w:rsidRDefault="00000000">
      <w:r>
        <w:t>196.</w:t>
      </w:r>
      <w:r>
        <w:tab/>
        <w:t>В Трудовой инспекции ведется централизованная регистрация несчастных случаев на производстве со смертельным исходом только с 1997 года.  В Нидерландах отсутствует централизованная система регистрации несчастных случаев на производстве, не повлекших за собой смерть пострадавших.  С 2000 года количество таких несчастных случаев определяется в ходе обследования положения трудящихся, проводимого Нидерландским статистическим управлением (НСУ).  Это обследование не учитывает несчастные случаи при поездках на работу и обратно, однако включает дорожно-транспортные происшествия в рабочее время.  В таблице ниже приводятся данные о количестве несчастных случаев на производстве, в результате которых потерпевшие получили отпуск по болезни сроком свыше трех дней.</w:t>
      </w:r>
    </w:p>
    <w:p w:rsidR="00000000" w:rsidRDefault="00000000"/>
    <w:p w:rsidR="00000000" w:rsidRDefault="00000000">
      <w:pPr>
        <w:jc w:val="center"/>
        <w:rPr>
          <w:b/>
          <w:bCs/>
        </w:rPr>
      </w:pPr>
      <w:r>
        <w:rPr>
          <w:b/>
          <w:bCs/>
        </w:rPr>
        <w:t>Таблица 9</w:t>
      </w:r>
    </w:p>
    <w:p w:rsidR="00000000" w:rsidRDefault="00000000">
      <w:pPr>
        <w:spacing w:line="216" w:lineRule="auto"/>
        <w:jc w:val="center"/>
        <w:rPr>
          <w:b/>
          <w:bCs/>
        </w:rPr>
      </w:pPr>
    </w:p>
    <w:p w:rsidR="00000000" w:rsidRDefault="00000000">
      <w:pPr>
        <w:jc w:val="center"/>
        <w:rPr>
          <w:b/>
          <w:bCs/>
        </w:rPr>
      </w:pPr>
      <w:r>
        <w:rPr>
          <w:b/>
          <w:bCs/>
        </w:rPr>
        <w:t>Несчастные случаи на производстве среди трудящихся (работающих по трудовому соглашению свыше 4 часов в неделю), в результате которых потерпевшие</w:t>
      </w:r>
    </w:p>
    <w:p w:rsidR="00000000" w:rsidRDefault="00000000">
      <w:pPr>
        <w:jc w:val="center"/>
        <w:rPr>
          <w:b/>
          <w:bCs/>
        </w:rPr>
      </w:pPr>
      <w:r>
        <w:rPr>
          <w:b/>
          <w:bCs/>
        </w:rPr>
        <w:t>получили отпуск по болезни на срок более трех дней</w:t>
      </w:r>
    </w:p>
    <w:p w:rsidR="00000000" w:rsidRDefault="00000000">
      <w:pPr>
        <w:ind w:left="708"/>
      </w:pPr>
    </w:p>
    <w:tbl>
      <w:tblPr>
        <w:tblW w:w="0" w:type="auto"/>
        <w:jc w:val="center"/>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17"/>
        <w:gridCol w:w="2057"/>
        <w:gridCol w:w="3734"/>
      </w:tblGrid>
      <w:tr w:rsidR="00000000">
        <w:tblPrEx>
          <w:tblCellMar>
            <w:top w:w="0" w:type="dxa"/>
            <w:bottom w:w="0" w:type="dxa"/>
          </w:tblCellMar>
        </w:tblPrEx>
        <w:trPr>
          <w:jc w:val="center"/>
        </w:trPr>
        <w:tc>
          <w:tcPr>
            <w:tcW w:w="1117" w:type="dxa"/>
            <w:tcBorders>
              <w:bottom w:val="single" w:sz="4" w:space="0" w:color="auto"/>
            </w:tcBorders>
          </w:tcPr>
          <w:p w:rsidR="00000000" w:rsidRDefault="00000000">
            <w:pPr>
              <w:tabs>
                <w:tab w:val="clear" w:pos="567"/>
              </w:tabs>
              <w:ind w:left="-59"/>
              <w:jc w:val="center"/>
            </w:pPr>
            <w:r>
              <w:t>Год</w:t>
            </w:r>
          </w:p>
        </w:tc>
        <w:tc>
          <w:tcPr>
            <w:tcW w:w="2057" w:type="dxa"/>
            <w:tcBorders>
              <w:bottom w:val="single" w:sz="4" w:space="0" w:color="auto"/>
            </w:tcBorders>
          </w:tcPr>
          <w:p w:rsidR="00000000" w:rsidRDefault="00000000">
            <w:pPr>
              <w:tabs>
                <w:tab w:val="clear" w:pos="567"/>
              </w:tabs>
              <w:jc w:val="center"/>
            </w:pPr>
            <w:r>
              <w:t>Количество</w:t>
            </w:r>
          </w:p>
        </w:tc>
        <w:tc>
          <w:tcPr>
            <w:tcW w:w="3734" w:type="dxa"/>
            <w:tcBorders>
              <w:bottom w:val="single" w:sz="4" w:space="0" w:color="auto"/>
            </w:tcBorders>
          </w:tcPr>
          <w:p w:rsidR="00000000" w:rsidRDefault="00000000">
            <w:pPr>
              <w:jc w:val="center"/>
            </w:pPr>
            <w:r>
              <w:t>Доля потерпевших в процентах</w:t>
            </w:r>
          </w:p>
        </w:tc>
      </w:tr>
      <w:tr w:rsidR="00000000">
        <w:tblPrEx>
          <w:tblCellMar>
            <w:top w:w="0" w:type="dxa"/>
            <w:bottom w:w="0" w:type="dxa"/>
          </w:tblCellMar>
        </w:tblPrEx>
        <w:trPr>
          <w:jc w:val="center"/>
        </w:trPr>
        <w:tc>
          <w:tcPr>
            <w:tcW w:w="1117" w:type="dxa"/>
            <w:tcBorders>
              <w:top w:val="single" w:sz="4" w:space="0" w:color="auto"/>
              <w:bottom w:val="nil"/>
            </w:tcBorders>
          </w:tcPr>
          <w:p w:rsidR="00000000" w:rsidRDefault="00000000">
            <w:pPr>
              <w:ind w:left="-59"/>
              <w:jc w:val="center"/>
            </w:pPr>
            <w:r>
              <w:t>2000</w:t>
            </w:r>
          </w:p>
        </w:tc>
        <w:tc>
          <w:tcPr>
            <w:tcW w:w="2057" w:type="dxa"/>
            <w:tcBorders>
              <w:top w:val="single" w:sz="4" w:space="0" w:color="auto"/>
              <w:bottom w:val="nil"/>
            </w:tcBorders>
          </w:tcPr>
          <w:p w:rsidR="00000000" w:rsidRDefault="00000000">
            <w:pPr>
              <w:tabs>
                <w:tab w:val="clear" w:pos="567"/>
              </w:tabs>
              <w:jc w:val="center"/>
            </w:pPr>
            <w:r>
              <w:t>74 000</w:t>
            </w:r>
          </w:p>
        </w:tc>
        <w:tc>
          <w:tcPr>
            <w:tcW w:w="3734" w:type="dxa"/>
            <w:tcBorders>
              <w:top w:val="single" w:sz="4" w:space="0" w:color="auto"/>
              <w:bottom w:val="nil"/>
            </w:tcBorders>
          </w:tcPr>
          <w:p w:rsidR="00000000" w:rsidRDefault="00000000">
            <w:pPr>
              <w:jc w:val="center"/>
            </w:pPr>
            <w:r>
              <w:t>1,1</w:t>
            </w:r>
          </w:p>
        </w:tc>
      </w:tr>
      <w:tr w:rsidR="00000000">
        <w:tblPrEx>
          <w:tblCellMar>
            <w:top w:w="0" w:type="dxa"/>
            <w:bottom w:w="0" w:type="dxa"/>
          </w:tblCellMar>
        </w:tblPrEx>
        <w:trPr>
          <w:jc w:val="center"/>
        </w:trPr>
        <w:tc>
          <w:tcPr>
            <w:tcW w:w="1117" w:type="dxa"/>
            <w:tcBorders>
              <w:top w:val="nil"/>
              <w:bottom w:val="nil"/>
            </w:tcBorders>
          </w:tcPr>
          <w:p w:rsidR="00000000" w:rsidRDefault="00000000">
            <w:pPr>
              <w:ind w:left="-59"/>
              <w:jc w:val="center"/>
            </w:pPr>
            <w:r>
              <w:t>2001</w:t>
            </w:r>
          </w:p>
        </w:tc>
        <w:tc>
          <w:tcPr>
            <w:tcW w:w="2057" w:type="dxa"/>
            <w:tcBorders>
              <w:top w:val="nil"/>
              <w:bottom w:val="nil"/>
            </w:tcBorders>
          </w:tcPr>
          <w:p w:rsidR="00000000" w:rsidRDefault="00000000">
            <w:pPr>
              <w:tabs>
                <w:tab w:val="clear" w:pos="567"/>
              </w:tabs>
              <w:jc w:val="center"/>
            </w:pPr>
            <w:r>
              <w:t>65 000</w:t>
            </w:r>
          </w:p>
        </w:tc>
        <w:tc>
          <w:tcPr>
            <w:tcW w:w="3734" w:type="dxa"/>
            <w:tcBorders>
              <w:top w:val="nil"/>
              <w:bottom w:val="nil"/>
            </w:tcBorders>
          </w:tcPr>
          <w:p w:rsidR="00000000" w:rsidRDefault="00000000">
            <w:pPr>
              <w:jc w:val="center"/>
            </w:pPr>
            <w:r>
              <w:t>0,9</w:t>
            </w:r>
          </w:p>
        </w:tc>
      </w:tr>
      <w:tr w:rsidR="00000000">
        <w:tblPrEx>
          <w:tblCellMar>
            <w:top w:w="0" w:type="dxa"/>
            <w:bottom w:w="0" w:type="dxa"/>
          </w:tblCellMar>
        </w:tblPrEx>
        <w:trPr>
          <w:jc w:val="center"/>
        </w:trPr>
        <w:tc>
          <w:tcPr>
            <w:tcW w:w="1117" w:type="dxa"/>
            <w:tcBorders>
              <w:top w:val="nil"/>
            </w:tcBorders>
          </w:tcPr>
          <w:p w:rsidR="00000000" w:rsidRDefault="00000000">
            <w:pPr>
              <w:ind w:left="-59"/>
              <w:jc w:val="center"/>
            </w:pPr>
            <w:r>
              <w:t>2002</w:t>
            </w:r>
          </w:p>
        </w:tc>
        <w:tc>
          <w:tcPr>
            <w:tcW w:w="2057" w:type="dxa"/>
            <w:tcBorders>
              <w:top w:val="nil"/>
            </w:tcBorders>
          </w:tcPr>
          <w:p w:rsidR="00000000" w:rsidRDefault="00000000">
            <w:pPr>
              <w:tabs>
                <w:tab w:val="clear" w:pos="567"/>
              </w:tabs>
              <w:jc w:val="center"/>
            </w:pPr>
            <w:r>
              <w:t>73 000</w:t>
            </w:r>
          </w:p>
        </w:tc>
        <w:tc>
          <w:tcPr>
            <w:tcW w:w="3734" w:type="dxa"/>
            <w:tcBorders>
              <w:top w:val="nil"/>
            </w:tcBorders>
          </w:tcPr>
          <w:p w:rsidR="00000000" w:rsidRDefault="00000000">
            <w:pPr>
              <w:jc w:val="center"/>
            </w:pPr>
            <w:r>
              <w:t>1,1</w:t>
            </w:r>
          </w:p>
        </w:tc>
      </w:tr>
    </w:tbl>
    <w:p w:rsidR="00000000" w:rsidRDefault="00000000"/>
    <w:p w:rsidR="00000000" w:rsidRDefault="00000000">
      <w:pPr>
        <w:rPr>
          <w:b/>
          <w:bCs/>
        </w:rPr>
      </w:pPr>
      <w:r>
        <w:rPr>
          <w:b/>
          <w:bCs/>
        </w:rPr>
        <w:t>Профессиональные заболевания</w:t>
      </w:r>
    </w:p>
    <w:p w:rsidR="00000000" w:rsidRDefault="00000000">
      <w:pPr>
        <w:rPr>
          <w:b/>
          <w:bCs/>
        </w:rPr>
      </w:pPr>
    </w:p>
    <w:p w:rsidR="00000000" w:rsidRDefault="00000000">
      <w:r>
        <w:t>197.</w:t>
      </w:r>
      <w:r>
        <w:tab/>
        <w:t>В целях сбора информации о количестве и характере профессиональных заболеваний врачи, работающие в компаниях, с 2000 года обязаны представлять информацию о случаях профессиональных заболеваний в Нидерландский центр по профессиональным заболеваниям (НЦПЗ).  При этом применяется широкое определение профессионального заболевания:  это - заболевание или расстройство, наступившее преимущественно во время труда или в результате условий труда.</w:t>
      </w:r>
    </w:p>
    <w:p w:rsidR="00000000" w:rsidRDefault="00000000"/>
    <w:p w:rsidR="00000000" w:rsidRDefault="00000000">
      <w:r>
        <w:t>198.</w:t>
      </w:r>
      <w:r>
        <w:tab/>
        <w:t>В 2000 году была получена информация о 6 063 профессиональных заболеваниях, тогда как в 2001 году было зарегистрировано 5 593 таких случая, а в 2002 году - 5 335 случаев.  Как представляется, сведения о многих случаях просто не представляются.  Большинство зарегистрированных случаев (43% в 2002 году) было связано с расстройствами опорно-двигательного аппарата.  Кроме того, часто сообщается о проблемах со слухом или физиологических расстройствах.  В Нидерландах предоставление права на пособие не зависит от причины болезни или недомогания.  Поэтому приведенные данные нельзя сопоставить со статистическими данными, касающимися заявлений о пособиях в связи с профессиональными заболеваниями, как это можно сделать в других странах.</w:t>
      </w:r>
    </w:p>
    <w:p w:rsidR="00000000" w:rsidRDefault="00000000"/>
    <w:p w:rsidR="00000000" w:rsidRDefault="00000000">
      <w:pPr>
        <w:jc w:val="center"/>
        <w:rPr>
          <w:b/>
          <w:bCs/>
        </w:rPr>
      </w:pPr>
      <w:r>
        <w:rPr>
          <w:b/>
          <w:bCs/>
        </w:rPr>
        <w:t>3.2.3    Равные возможности в продвижении по службе</w:t>
      </w:r>
    </w:p>
    <w:p w:rsidR="00000000" w:rsidRDefault="00000000">
      <w:pPr>
        <w:jc w:val="center"/>
        <w:rPr>
          <w:b/>
          <w:bCs/>
        </w:rPr>
      </w:pPr>
    </w:p>
    <w:p w:rsidR="00000000" w:rsidRDefault="00000000">
      <w:r>
        <w:t>199.</w:t>
      </w:r>
      <w:r>
        <w:tab/>
        <w:t>Нидерландское правительство прилагает весьма значительные усилия для увеличения числа работающих женщин и назначения женщин на старшие должностные посты.  Женщины занимают только четвертую часть всех управленческих постов;  вместе с тем с учетом предыдущего опыта работы в системе управления они реально могут занимать свыше одной трети таких постов.  Что касается доходного сектора, то женщины имеют меньше всего шансов получить старшую должность в этом секторе:  в предпринимательском сообществе доля женщин на старших управленческих постах (в советах управляющих и наблюдательных советах) составляет всего лишь 5% (по данным мониторинга в области обеспечения равноправия за 2002 год).</w:t>
      </w:r>
    </w:p>
    <w:p w:rsidR="00000000" w:rsidRDefault="00000000"/>
    <w:p w:rsidR="00000000" w:rsidRDefault="00000000">
      <w:r>
        <w:t>200.</w:t>
      </w:r>
      <w:r>
        <w:tab/>
        <w:t>Изменение такого положения отвечает интересам самих предприятий и учреждений и является их первостепенной обязанностью.  Закон о равном обращении (ЗРО) предоставляет компаниям, недоходным организациям и органам управления возможности для проведения политики позитивных действий, однако они не обязаны принимать какие</w:t>
      </w:r>
      <w:r>
        <w:noBreakHyphen/>
        <w:t>либо меры в этой связи.  Они могут также проводить такую политику в отношении представителей этнических меньшинств.</w:t>
      </w:r>
    </w:p>
    <w:p w:rsidR="00000000" w:rsidRDefault="00000000"/>
    <w:p w:rsidR="00000000" w:rsidRDefault="00000000">
      <w:r>
        <w:t>201.</w:t>
      </w:r>
      <w:r>
        <w:tab/>
        <w:t>Нидерландское правительство принимает комплексные меры для поощрения позитивных действий и содействия их осуществлению.  Во</w:t>
      </w:r>
      <w:r>
        <w:noBreakHyphen/>
        <w:t xml:space="preserve">первых, оно предоставляет работодателям и трудящимся информацию о равном обращении и позитивных действиях, а также о рамках, в которых можно проводить политику такого рода.  Комиссия по равному обращению также распространяет информацию о равном обращении и позитивных действиях. </w:t>
      </w:r>
    </w:p>
    <w:p w:rsidR="00000000" w:rsidRDefault="00000000"/>
    <w:p w:rsidR="00000000" w:rsidRDefault="00000000">
      <w:r>
        <w:t>202.</w:t>
      </w:r>
      <w:r>
        <w:tab/>
        <w:t>Помимо этого, нидерландское правительство поощряет и облегчает продвижение женщин по службе в частном и недоходном секторах.  При поддержке правительства Нидерландов руководители предпринимательского сектора через сеть своих посредников оказывают помощь женщинам в занятии более высоких должностей.  Они формируют мнение о том, что создание сбалансированного с гендерной точки зрения управленческого аппарата служит интересам дела.  При этом основной принцип состоит в том, что разнообразие в организации производства на всех уровнях способствует совершенствованию управления предпринимательской деятельностью и обеспечивает более полное соответствие организации производства потребностям как рынка труда, так и потребительского рынка.</w:t>
      </w:r>
    </w:p>
    <w:p w:rsidR="00000000" w:rsidRDefault="00000000"/>
    <w:p w:rsidR="00000000" w:rsidRDefault="00000000">
      <w:r>
        <w:t>203.</w:t>
      </w:r>
      <w:r>
        <w:tab/>
        <w:t>В сентябре 2002 года при помощи субсидии по линии ЕСФ и программы "</w:t>
      </w:r>
      <w:r>
        <w:rPr>
          <w:lang w:val="en-US"/>
        </w:rPr>
        <w:t>EQUAL</w:t>
      </w:r>
      <w:r>
        <w:t xml:space="preserve">" было начато осуществление "смешанного" проекта в целях улучшения мобильности и возможностей для продвижения по службе женщин на рынке труда.  Этот проект предусматривает три основных направления:  расширение и выявление в компаниях и учреждениях трудовых ресурсов в лице одаренных женщин с целью создания условий для более эффективного использования таких ресурсов и для того, чтобы меры, направленные на оказание женщинам помощи в повышении квалификации и в продвижении по службе, стали неотъемлемой составной частью кадровой политики.  В настоящее время </w:t>
      </w:r>
      <w:r>
        <w:rPr>
          <w:spacing w:val="-2"/>
        </w:rPr>
        <w:t>компаниям и учреждениям предложено принять участие в примерно 30 экспериментальных</w:t>
      </w:r>
      <w:r>
        <w:t xml:space="preserve"> мероприятиях.</w:t>
      </w:r>
    </w:p>
    <w:p w:rsidR="00000000" w:rsidRDefault="00000000"/>
    <w:p w:rsidR="00000000" w:rsidRDefault="00000000">
      <w:r>
        <w:t>204.</w:t>
      </w:r>
      <w:r>
        <w:tab/>
        <w:t xml:space="preserve">Помимо этого, для различных секторов рынка труда (частных предприятий, недоходного сектора, политической сферы и органов государственного управления) были намечены целевые показатели увеличения доли женщин на более высоких должностях.  Такие показатели в действительности являются руководящими принципами, поскольку предприятия и учреждения сами несут ответственность за их соблюдение.  </w:t>
      </w:r>
    </w:p>
    <w:p w:rsidR="00000000" w:rsidRDefault="00000000"/>
    <w:p w:rsidR="00000000" w:rsidRDefault="00000000">
      <w:r>
        <w:t>205.</w:t>
      </w:r>
      <w:r>
        <w:tab/>
        <w:t>В таблице 10 ниже приводятся некоторые из этих показателей.</w:t>
      </w:r>
    </w:p>
    <w:p w:rsidR="00000000" w:rsidRDefault="00000000"/>
    <w:p w:rsidR="00000000" w:rsidRDefault="00000000">
      <w:pPr>
        <w:jc w:val="center"/>
        <w:rPr>
          <w:b/>
          <w:bCs/>
        </w:rPr>
      </w:pPr>
      <w:r>
        <w:rPr>
          <w:b/>
          <w:bCs/>
        </w:rPr>
        <w:t>Таблица 10</w:t>
      </w:r>
    </w:p>
    <w:p w:rsidR="00000000" w:rsidRDefault="00000000">
      <w:pPr>
        <w:spacing w:line="216" w:lineRule="auto"/>
        <w:jc w:val="center"/>
        <w:rPr>
          <w:b/>
          <w:bCs/>
        </w:rPr>
      </w:pPr>
    </w:p>
    <w:p w:rsidR="00000000" w:rsidRDefault="00000000">
      <w:pPr>
        <w:spacing w:line="216" w:lineRule="auto"/>
        <w:jc w:val="center"/>
        <w:rPr>
          <w:b/>
          <w:bCs/>
        </w:rPr>
      </w:pPr>
      <w:r>
        <w:rPr>
          <w:b/>
          <w:bCs/>
        </w:rPr>
        <w:t>Целевые показатели увеличения доли женщин на более высоких должностях</w:t>
      </w:r>
    </w:p>
    <w:p w:rsidR="00000000" w:rsidRDefault="00000000">
      <w:pPr>
        <w:spacing w:line="216" w:lineRule="auto"/>
        <w:jc w:val="center"/>
        <w:rPr>
          <w:b/>
          <w:bCs/>
        </w:rPr>
      </w:pPr>
    </w:p>
    <w:tbl>
      <w:tblPr>
        <w:tblW w:w="8959"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1E0" w:firstRow="1" w:lastRow="1" w:firstColumn="1" w:lastColumn="1" w:noHBand="0" w:noVBand="0"/>
      </w:tblPr>
      <w:tblGrid>
        <w:gridCol w:w="5176"/>
        <w:gridCol w:w="1891"/>
        <w:gridCol w:w="1892"/>
      </w:tblGrid>
      <w:tr w:rsidR="00000000">
        <w:tblPrEx>
          <w:tblCellMar>
            <w:top w:w="0" w:type="dxa"/>
            <w:bottom w:w="0" w:type="dxa"/>
          </w:tblCellMar>
        </w:tblPrEx>
        <w:trPr>
          <w:cantSplit/>
          <w:jc w:val="center"/>
        </w:trPr>
        <w:tc>
          <w:tcPr>
            <w:tcW w:w="5176" w:type="dxa"/>
            <w:tcBorders>
              <w:top w:val="single" w:sz="4" w:space="0" w:color="auto"/>
              <w:bottom w:val="single" w:sz="4" w:space="0" w:color="auto"/>
              <w:right w:val="single" w:sz="4" w:space="0" w:color="auto"/>
            </w:tcBorders>
          </w:tcPr>
          <w:p w:rsidR="00000000" w:rsidRDefault="00000000">
            <w:pPr>
              <w:spacing w:after="240" w:line="240" w:lineRule="auto"/>
            </w:pPr>
          </w:p>
        </w:tc>
        <w:tc>
          <w:tcPr>
            <w:tcW w:w="1891"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240" w:line="240" w:lineRule="auto"/>
              <w:jc w:val="center"/>
            </w:pPr>
            <w:r>
              <w:t>Положение в 2000</w:t>
            </w:r>
            <w:r>
              <w:noBreakHyphen/>
              <w:t>2002 годах (в %)</w:t>
            </w:r>
          </w:p>
        </w:tc>
        <w:tc>
          <w:tcPr>
            <w:tcW w:w="18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lang w:val="en-US"/>
              </w:rPr>
            </w:pPr>
            <w:r>
              <w:t>Целевое задание на 2010 год</w:t>
            </w:r>
          </w:p>
          <w:p w:rsidR="00000000" w:rsidRDefault="00000000">
            <w:pPr>
              <w:spacing w:line="240" w:lineRule="auto"/>
              <w:jc w:val="center"/>
            </w:pPr>
            <w:r>
              <w:t>(в %)</w:t>
            </w:r>
          </w:p>
        </w:tc>
      </w:tr>
      <w:tr w:rsidR="00000000">
        <w:tblPrEx>
          <w:tblCellMar>
            <w:top w:w="0" w:type="dxa"/>
            <w:bottom w:w="0" w:type="dxa"/>
          </w:tblCellMar>
        </w:tblPrEx>
        <w:trPr>
          <w:cantSplit/>
          <w:jc w:val="center"/>
        </w:trPr>
        <w:tc>
          <w:tcPr>
            <w:tcW w:w="5176" w:type="dxa"/>
            <w:tcBorders>
              <w:top w:val="single" w:sz="4" w:space="0" w:color="auto"/>
              <w:right w:val="single" w:sz="4" w:space="0" w:color="auto"/>
            </w:tcBorders>
          </w:tcPr>
          <w:p w:rsidR="00000000" w:rsidRDefault="00000000">
            <w:pPr>
              <w:spacing w:after="240" w:line="240" w:lineRule="auto"/>
            </w:pPr>
            <w:r>
              <w:t>Палата представителей</w:t>
            </w:r>
          </w:p>
        </w:tc>
        <w:tc>
          <w:tcPr>
            <w:tcW w:w="1891" w:type="dxa"/>
            <w:tcBorders>
              <w:top w:val="single" w:sz="4" w:space="0" w:color="auto"/>
              <w:left w:val="single" w:sz="4" w:space="0" w:color="auto"/>
              <w:right w:val="single" w:sz="4" w:space="0" w:color="auto"/>
            </w:tcBorders>
          </w:tcPr>
          <w:p w:rsidR="00000000" w:rsidRDefault="00000000">
            <w:pPr>
              <w:spacing w:after="240" w:line="240" w:lineRule="auto"/>
              <w:jc w:val="center"/>
            </w:pPr>
            <w:r>
              <w:t>36</w:t>
            </w:r>
          </w:p>
        </w:tc>
        <w:tc>
          <w:tcPr>
            <w:tcW w:w="1892" w:type="dxa"/>
            <w:tcBorders>
              <w:top w:val="single" w:sz="4" w:space="0" w:color="auto"/>
              <w:left w:val="single" w:sz="4" w:space="0" w:color="auto"/>
              <w:right w:val="single" w:sz="4" w:space="0" w:color="auto"/>
            </w:tcBorders>
          </w:tcPr>
          <w:p w:rsidR="00000000" w:rsidRDefault="00000000">
            <w:pPr>
              <w:spacing w:after="240" w:line="240" w:lineRule="auto"/>
              <w:jc w:val="center"/>
            </w:pPr>
            <w:r>
              <w:t>50</w:t>
            </w:r>
          </w:p>
        </w:tc>
      </w:tr>
      <w:tr w:rsidR="00000000">
        <w:tblPrEx>
          <w:tblCellMar>
            <w:top w:w="0" w:type="dxa"/>
            <w:bottom w:w="0" w:type="dxa"/>
          </w:tblCellMar>
        </w:tblPrEx>
        <w:trPr>
          <w:cantSplit/>
          <w:jc w:val="center"/>
        </w:trPr>
        <w:tc>
          <w:tcPr>
            <w:tcW w:w="5176" w:type="dxa"/>
            <w:tcBorders>
              <w:right w:val="single" w:sz="4" w:space="0" w:color="auto"/>
            </w:tcBorders>
          </w:tcPr>
          <w:p w:rsidR="00000000" w:rsidRDefault="00000000">
            <w:pPr>
              <w:spacing w:after="240" w:line="240" w:lineRule="auto"/>
            </w:pPr>
            <w:r>
              <w:t>Должностные лица высшего уровня</w:t>
            </w:r>
          </w:p>
        </w:tc>
        <w:tc>
          <w:tcPr>
            <w:tcW w:w="1891" w:type="dxa"/>
            <w:tcBorders>
              <w:left w:val="single" w:sz="4" w:space="0" w:color="auto"/>
              <w:right w:val="single" w:sz="4" w:space="0" w:color="auto"/>
            </w:tcBorders>
          </w:tcPr>
          <w:p w:rsidR="00000000" w:rsidRDefault="00000000">
            <w:pPr>
              <w:spacing w:after="240" w:line="240" w:lineRule="auto"/>
              <w:jc w:val="center"/>
            </w:pPr>
            <w:r>
              <w:t>7</w:t>
            </w:r>
          </w:p>
        </w:tc>
        <w:tc>
          <w:tcPr>
            <w:tcW w:w="1892" w:type="dxa"/>
            <w:tcBorders>
              <w:left w:val="single" w:sz="4" w:space="0" w:color="auto"/>
              <w:right w:val="single" w:sz="4" w:space="0" w:color="auto"/>
            </w:tcBorders>
          </w:tcPr>
          <w:p w:rsidR="00000000" w:rsidRDefault="00000000">
            <w:pPr>
              <w:spacing w:after="240" w:line="240" w:lineRule="auto"/>
              <w:jc w:val="center"/>
            </w:pPr>
            <w:r>
              <w:t>25</w:t>
            </w:r>
          </w:p>
        </w:tc>
      </w:tr>
      <w:tr w:rsidR="00000000">
        <w:tblPrEx>
          <w:tblCellMar>
            <w:top w:w="0" w:type="dxa"/>
            <w:bottom w:w="0" w:type="dxa"/>
          </w:tblCellMar>
        </w:tblPrEx>
        <w:trPr>
          <w:cantSplit/>
          <w:jc w:val="center"/>
        </w:trPr>
        <w:tc>
          <w:tcPr>
            <w:tcW w:w="5176" w:type="dxa"/>
            <w:tcBorders>
              <w:right w:val="single" w:sz="4" w:space="0" w:color="auto"/>
            </w:tcBorders>
          </w:tcPr>
          <w:p w:rsidR="00000000" w:rsidRDefault="00000000">
            <w:pPr>
              <w:spacing w:after="240" w:line="240" w:lineRule="auto"/>
            </w:pPr>
            <w:r>
              <w:t>Старшие управленческие кадры частного сектора</w:t>
            </w:r>
          </w:p>
        </w:tc>
        <w:tc>
          <w:tcPr>
            <w:tcW w:w="1891" w:type="dxa"/>
            <w:tcBorders>
              <w:left w:val="single" w:sz="4" w:space="0" w:color="auto"/>
              <w:right w:val="single" w:sz="4" w:space="0" w:color="auto"/>
            </w:tcBorders>
          </w:tcPr>
          <w:p w:rsidR="00000000" w:rsidRDefault="00000000">
            <w:pPr>
              <w:spacing w:after="240" w:line="240" w:lineRule="auto"/>
              <w:jc w:val="center"/>
            </w:pPr>
            <w:r>
              <w:t>4</w:t>
            </w:r>
          </w:p>
        </w:tc>
        <w:tc>
          <w:tcPr>
            <w:tcW w:w="1892" w:type="dxa"/>
            <w:tcBorders>
              <w:left w:val="single" w:sz="4" w:space="0" w:color="auto"/>
              <w:right w:val="single" w:sz="4" w:space="0" w:color="auto"/>
            </w:tcBorders>
          </w:tcPr>
          <w:p w:rsidR="00000000" w:rsidRDefault="00000000">
            <w:pPr>
              <w:spacing w:after="240" w:line="240" w:lineRule="auto"/>
              <w:jc w:val="center"/>
            </w:pPr>
            <w:r>
              <w:t>20</w:t>
            </w:r>
          </w:p>
        </w:tc>
      </w:tr>
      <w:tr w:rsidR="00000000">
        <w:tblPrEx>
          <w:tblCellMar>
            <w:top w:w="0" w:type="dxa"/>
            <w:bottom w:w="0" w:type="dxa"/>
          </w:tblCellMar>
        </w:tblPrEx>
        <w:trPr>
          <w:cantSplit/>
          <w:jc w:val="center"/>
        </w:trPr>
        <w:tc>
          <w:tcPr>
            <w:tcW w:w="5176" w:type="dxa"/>
            <w:tcBorders>
              <w:right w:val="single" w:sz="4" w:space="0" w:color="auto"/>
            </w:tcBorders>
          </w:tcPr>
          <w:p w:rsidR="00000000" w:rsidRDefault="00000000">
            <w:pPr>
              <w:spacing w:after="240" w:line="240" w:lineRule="auto"/>
            </w:pPr>
            <w:r>
              <w:t>Старшие управленческие кадры недоходного сектора (здравоохранение и социальные услуги)</w:t>
            </w:r>
          </w:p>
        </w:tc>
        <w:tc>
          <w:tcPr>
            <w:tcW w:w="1891" w:type="dxa"/>
            <w:tcBorders>
              <w:left w:val="single" w:sz="4" w:space="0" w:color="auto"/>
              <w:right w:val="single" w:sz="4" w:space="0" w:color="auto"/>
            </w:tcBorders>
          </w:tcPr>
          <w:p w:rsidR="00000000" w:rsidRDefault="00000000">
            <w:pPr>
              <w:spacing w:after="240" w:line="240" w:lineRule="auto"/>
              <w:jc w:val="center"/>
            </w:pPr>
            <w:r>
              <w:t>25</w:t>
            </w:r>
          </w:p>
        </w:tc>
        <w:tc>
          <w:tcPr>
            <w:tcW w:w="1892" w:type="dxa"/>
            <w:tcBorders>
              <w:left w:val="single" w:sz="4" w:space="0" w:color="auto"/>
              <w:right w:val="single" w:sz="4" w:space="0" w:color="auto"/>
            </w:tcBorders>
          </w:tcPr>
          <w:p w:rsidR="00000000" w:rsidRDefault="00000000">
            <w:pPr>
              <w:spacing w:after="240" w:line="240" w:lineRule="auto"/>
              <w:jc w:val="center"/>
            </w:pPr>
            <w:r>
              <w:t>45</w:t>
            </w:r>
          </w:p>
        </w:tc>
      </w:tr>
      <w:tr w:rsidR="00000000">
        <w:tblPrEx>
          <w:tblCellMar>
            <w:top w:w="0" w:type="dxa"/>
            <w:bottom w:w="0" w:type="dxa"/>
          </w:tblCellMar>
        </w:tblPrEx>
        <w:trPr>
          <w:cantSplit/>
          <w:jc w:val="center"/>
        </w:trPr>
        <w:tc>
          <w:tcPr>
            <w:tcW w:w="5176" w:type="dxa"/>
            <w:tcBorders>
              <w:right w:val="single" w:sz="4" w:space="0" w:color="auto"/>
            </w:tcBorders>
          </w:tcPr>
          <w:p w:rsidR="00000000" w:rsidRDefault="00000000">
            <w:pPr>
              <w:spacing w:after="120" w:line="240" w:lineRule="auto"/>
            </w:pPr>
            <w:r>
              <w:t>Старшие управленческие кадры недоходного сектора (другие сферы)</w:t>
            </w:r>
          </w:p>
        </w:tc>
        <w:tc>
          <w:tcPr>
            <w:tcW w:w="1891" w:type="dxa"/>
            <w:tcBorders>
              <w:left w:val="single" w:sz="4" w:space="0" w:color="auto"/>
              <w:bottom w:val="single" w:sz="4" w:space="0" w:color="auto"/>
              <w:right w:val="single" w:sz="4" w:space="0" w:color="auto"/>
            </w:tcBorders>
          </w:tcPr>
          <w:p w:rsidR="00000000" w:rsidRDefault="00000000">
            <w:pPr>
              <w:spacing w:after="240" w:line="240" w:lineRule="auto"/>
              <w:jc w:val="center"/>
            </w:pPr>
            <w:r>
              <w:t>13</w:t>
            </w:r>
          </w:p>
        </w:tc>
        <w:tc>
          <w:tcPr>
            <w:tcW w:w="1892" w:type="dxa"/>
            <w:tcBorders>
              <w:left w:val="single" w:sz="4" w:space="0" w:color="auto"/>
              <w:bottom w:val="single" w:sz="4" w:space="0" w:color="auto"/>
              <w:right w:val="single" w:sz="4" w:space="0" w:color="auto"/>
            </w:tcBorders>
          </w:tcPr>
          <w:p w:rsidR="00000000" w:rsidRDefault="00000000">
            <w:pPr>
              <w:spacing w:after="240" w:line="240" w:lineRule="auto"/>
              <w:jc w:val="center"/>
            </w:pPr>
            <w:r>
              <w:t>35</w:t>
            </w:r>
          </w:p>
        </w:tc>
      </w:tr>
    </w:tbl>
    <w:p w:rsidR="00000000" w:rsidRDefault="00000000"/>
    <w:p w:rsidR="00000000" w:rsidRDefault="00000000">
      <w:r>
        <w:tab/>
      </w:r>
      <w:r>
        <w:rPr>
          <w:i/>
          <w:iCs/>
        </w:rPr>
        <w:t xml:space="preserve">Источник: </w:t>
      </w:r>
      <w:r>
        <w:t xml:space="preserve"> Долгосрочный директивный план в области обеспечения гендерного равенства, 2002 год.</w:t>
      </w:r>
    </w:p>
    <w:p w:rsidR="00000000" w:rsidRDefault="00000000"/>
    <w:p w:rsidR="00000000" w:rsidRDefault="00000000"/>
    <w:p w:rsidR="00000000" w:rsidRDefault="00000000">
      <w:r>
        <w:t>206.</w:t>
      </w:r>
      <w:r>
        <w:tab/>
        <w:t>Недавно был опубликован первый обзор достижения намеченных показателей в предпринимательской сфере, в котором содержатся данные о мобильности женщин в разбивке по секторам.  С резюме этих данных можно ознакомиться на вебсайте "смешанного" проекта (</w:t>
      </w:r>
      <w:hyperlink r:id="rId10" w:history="1">
        <w:r>
          <w:rPr>
            <w:rStyle w:val="Hyperlink"/>
            <w:lang w:val="en-GB"/>
          </w:rPr>
          <w:t>www</w:t>
        </w:r>
        <w:r>
          <w:rPr>
            <w:rStyle w:val="Hyperlink"/>
          </w:rPr>
          <w:t>.</w:t>
        </w:r>
        <w:r>
          <w:rPr>
            <w:rStyle w:val="Hyperlink"/>
            <w:lang w:val="en-GB"/>
          </w:rPr>
          <w:t>mixed</w:t>
        </w:r>
        <w:r>
          <w:rPr>
            <w:rStyle w:val="Hyperlink"/>
          </w:rPr>
          <w:t>-</w:t>
        </w:r>
        <w:r>
          <w:rPr>
            <w:rStyle w:val="Hyperlink"/>
            <w:lang w:val="en-GB"/>
          </w:rPr>
          <w:t>eq</w:t>
        </w:r>
        <w:bookmarkStart w:id="5" w:name="_Hlt92860351"/>
        <w:r>
          <w:rPr>
            <w:rStyle w:val="Hyperlink"/>
            <w:lang w:val="en-GB"/>
          </w:rPr>
          <w:t>u</w:t>
        </w:r>
        <w:bookmarkEnd w:id="5"/>
        <w:r>
          <w:rPr>
            <w:rStyle w:val="Hyperlink"/>
            <w:lang w:val="en-GB"/>
          </w:rPr>
          <w:t>al</w:t>
        </w:r>
        <w:r>
          <w:rPr>
            <w:rStyle w:val="Hyperlink"/>
          </w:rPr>
          <w:t>.</w:t>
        </w:r>
        <w:r>
          <w:rPr>
            <w:rStyle w:val="Hyperlink"/>
            <w:lang w:val="en-GB"/>
          </w:rPr>
          <w:t>nl</w:t>
        </w:r>
      </w:hyperlink>
      <w:r>
        <w:t>).  Как представляется, различие между потенциальной и фактической долей женщин на старшем должностном уровне ярче всего проявляется в сфере предпринимательских услуг.</w:t>
      </w:r>
    </w:p>
    <w:p w:rsidR="00000000" w:rsidRDefault="00000000"/>
    <w:p w:rsidR="00000000" w:rsidRDefault="00000000">
      <w:pPr>
        <w:keepNext/>
        <w:jc w:val="center"/>
        <w:rPr>
          <w:b/>
          <w:bCs/>
        </w:rPr>
      </w:pPr>
      <w:r>
        <w:rPr>
          <w:b/>
          <w:bCs/>
        </w:rPr>
        <w:t>Таблица 11</w:t>
      </w:r>
    </w:p>
    <w:p w:rsidR="00000000" w:rsidRDefault="00000000">
      <w:pPr>
        <w:keepNext/>
        <w:jc w:val="center"/>
        <w:rPr>
          <w:b/>
          <w:bCs/>
        </w:rPr>
      </w:pPr>
    </w:p>
    <w:p w:rsidR="00000000" w:rsidRDefault="00000000">
      <w:pPr>
        <w:keepNext/>
        <w:jc w:val="center"/>
        <w:rPr>
          <w:b/>
          <w:bCs/>
        </w:rPr>
      </w:pPr>
      <w:r>
        <w:rPr>
          <w:b/>
          <w:bCs/>
        </w:rPr>
        <w:t>Доля женщин на управленческих должностях в разбивке по секторам и отраслям</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8"/>
        <w:gridCol w:w="3388"/>
        <w:gridCol w:w="853"/>
        <w:gridCol w:w="1876"/>
        <w:gridCol w:w="1726"/>
      </w:tblGrid>
      <w:tr w:rsidR="00000000">
        <w:tblPrEx>
          <w:tblCellMar>
            <w:top w:w="0" w:type="dxa"/>
            <w:bottom w:w="0" w:type="dxa"/>
          </w:tblCellMar>
        </w:tblPrEx>
        <w:trPr>
          <w:cantSplit/>
        </w:trPr>
        <w:tc>
          <w:tcPr>
            <w:tcW w:w="1568" w:type="dxa"/>
            <w:tcBorders>
              <w:top w:val="single" w:sz="4" w:space="0" w:color="auto"/>
              <w:bottom w:val="single" w:sz="4" w:space="0" w:color="auto"/>
            </w:tcBorders>
          </w:tcPr>
          <w:p w:rsidR="00000000" w:rsidRDefault="00000000">
            <w:pPr>
              <w:spacing w:line="240" w:lineRule="auto"/>
              <w:jc w:val="center"/>
              <w:rPr>
                <w:iCs/>
                <w:sz w:val="22"/>
              </w:rPr>
            </w:pPr>
            <w:r>
              <w:rPr>
                <w:b/>
                <w:bCs/>
              </w:rPr>
              <w:br w:type="page"/>
            </w:r>
            <w:r>
              <w:rPr>
                <w:iCs/>
                <w:sz w:val="22"/>
              </w:rPr>
              <w:t>Сектор</w:t>
            </w:r>
          </w:p>
        </w:tc>
        <w:tc>
          <w:tcPr>
            <w:tcW w:w="3388" w:type="dxa"/>
            <w:tcBorders>
              <w:top w:val="single" w:sz="4" w:space="0" w:color="auto"/>
              <w:bottom w:val="single" w:sz="4" w:space="0" w:color="auto"/>
            </w:tcBorders>
          </w:tcPr>
          <w:p w:rsidR="00000000" w:rsidRDefault="00000000">
            <w:pPr>
              <w:spacing w:line="240" w:lineRule="auto"/>
              <w:jc w:val="center"/>
              <w:rPr>
                <w:iCs/>
                <w:sz w:val="22"/>
              </w:rPr>
            </w:pPr>
            <w:r>
              <w:rPr>
                <w:iCs/>
                <w:sz w:val="22"/>
              </w:rPr>
              <w:t>Отрасль</w:t>
            </w:r>
          </w:p>
        </w:tc>
        <w:tc>
          <w:tcPr>
            <w:tcW w:w="853" w:type="dxa"/>
            <w:tcBorders>
              <w:top w:val="single" w:sz="4" w:space="0" w:color="auto"/>
              <w:bottom w:val="single" w:sz="4" w:space="0" w:color="auto"/>
            </w:tcBorders>
          </w:tcPr>
          <w:p w:rsidR="00000000" w:rsidRDefault="00000000">
            <w:pPr>
              <w:spacing w:line="240" w:lineRule="auto"/>
              <w:jc w:val="center"/>
              <w:rPr>
                <w:iCs/>
                <w:sz w:val="22"/>
              </w:rPr>
            </w:pPr>
            <w:r>
              <w:rPr>
                <w:iCs/>
                <w:sz w:val="22"/>
              </w:rPr>
              <w:t>Доля женщин (в %)</w:t>
            </w:r>
          </w:p>
        </w:tc>
        <w:tc>
          <w:tcPr>
            <w:tcW w:w="1876" w:type="dxa"/>
            <w:tcBorders>
              <w:top w:val="single" w:sz="4" w:space="0" w:color="auto"/>
              <w:bottom w:val="single" w:sz="4" w:space="0" w:color="auto"/>
            </w:tcBorders>
          </w:tcPr>
          <w:p w:rsidR="00000000" w:rsidRDefault="00000000">
            <w:pPr>
              <w:spacing w:line="240" w:lineRule="auto"/>
              <w:jc w:val="center"/>
              <w:rPr>
                <w:iCs/>
                <w:sz w:val="22"/>
              </w:rPr>
            </w:pPr>
            <w:r>
              <w:rPr>
                <w:iCs/>
                <w:sz w:val="22"/>
              </w:rPr>
              <w:t xml:space="preserve">Доля женщин с высшим </w:t>
            </w:r>
            <w:r>
              <w:rPr>
                <w:iCs/>
                <w:spacing w:val="-2"/>
                <w:sz w:val="22"/>
              </w:rPr>
              <w:t>образованием (в %)</w:t>
            </w:r>
          </w:p>
        </w:tc>
        <w:tc>
          <w:tcPr>
            <w:tcW w:w="1726" w:type="dxa"/>
            <w:tcBorders>
              <w:top w:val="single" w:sz="4" w:space="0" w:color="auto"/>
              <w:bottom w:val="single" w:sz="4" w:space="0" w:color="auto"/>
            </w:tcBorders>
          </w:tcPr>
          <w:p w:rsidR="00000000" w:rsidRDefault="00000000">
            <w:pPr>
              <w:spacing w:line="240" w:lineRule="auto"/>
              <w:jc w:val="center"/>
              <w:rPr>
                <w:iCs/>
                <w:sz w:val="22"/>
              </w:rPr>
            </w:pPr>
            <w:r>
              <w:rPr>
                <w:iCs/>
                <w:sz w:val="22"/>
              </w:rPr>
              <w:t>Доля женщин на управленческих должностях (в %)</w:t>
            </w:r>
          </w:p>
        </w:tc>
      </w:tr>
      <w:tr w:rsidR="00000000">
        <w:tblPrEx>
          <w:tblCellMar>
            <w:top w:w="0" w:type="dxa"/>
            <w:bottom w:w="0" w:type="dxa"/>
          </w:tblCellMar>
        </w:tblPrEx>
        <w:trPr>
          <w:cantSplit/>
        </w:trPr>
        <w:tc>
          <w:tcPr>
            <w:tcW w:w="1568" w:type="dxa"/>
            <w:vMerge w:val="restart"/>
            <w:tcBorders>
              <w:top w:val="single" w:sz="4" w:space="0" w:color="auto"/>
            </w:tcBorders>
            <w:shd w:val="clear" w:color="auto" w:fill="FFFFFF"/>
          </w:tcPr>
          <w:p w:rsidR="00000000" w:rsidRDefault="00000000">
            <w:pPr>
              <w:rPr>
                <w:sz w:val="22"/>
              </w:rPr>
            </w:pPr>
            <w:r>
              <w:rPr>
                <w:sz w:val="22"/>
              </w:rPr>
              <w:t>Доходный сектор</w:t>
            </w:r>
          </w:p>
        </w:tc>
        <w:tc>
          <w:tcPr>
            <w:tcW w:w="3388" w:type="dxa"/>
            <w:tcBorders>
              <w:top w:val="single" w:sz="4" w:space="0" w:color="auto"/>
            </w:tcBorders>
            <w:shd w:val="clear" w:color="auto" w:fill="FFFFFF"/>
            <w:vAlign w:val="center"/>
          </w:tcPr>
          <w:p w:rsidR="00000000" w:rsidRDefault="00000000">
            <w:pPr>
              <w:rPr>
                <w:sz w:val="22"/>
              </w:rPr>
            </w:pPr>
            <w:r>
              <w:rPr>
                <w:sz w:val="22"/>
              </w:rPr>
              <w:t>Сельское хозяйство и рыболовство</w:t>
            </w:r>
          </w:p>
        </w:tc>
        <w:tc>
          <w:tcPr>
            <w:tcW w:w="853" w:type="dxa"/>
            <w:tcBorders>
              <w:top w:val="single" w:sz="4" w:space="0" w:color="auto"/>
            </w:tcBorders>
            <w:shd w:val="clear" w:color="auto" w:fill="FFFFFF"/>
          </w:tcPr>
          <w:p w:rsidR="00000000" w:rsidRDefault="00000000">
            <w:pPr>
              <w:jc w:val="center"/>
              <w:rPr>
                <w:sz w:val="22"/>
              </w:rPr>
            </w:pPr>
            <w:r>
              <w:rPr>
                <w:sz w:val="22"/>
              </w:rPr>
              <w:t>27</w:t>
            </w:r>
          </w:p>
        </w:tc>
        <w:tc>
          <w:tcPr>
            <w:tcW w:w="1876" w:type="dxa"/>
            <w:tcBorders>
              <w:top w:val="single" w:sz="4" w:space="0" w:color="auto"/>
            </w:tcBorders>
            <w:shd w:val="clear" w:color="auto" w:fill="FFFFFF"/>
          </w:tcPr>
          <w:p w:rsidR="00000000" w:rsidRDefault="00000000">
            <w:pPr>
              <w:jc w:val="center"/>
              <w:rPr>
                <w:sz w:val="22"/>
              </w:rPr>
            </w:pPr>
            <w:r>
              <w:rPr>
                <w:sz w:val="22"/>
              </w:rPr>
              <w:t>13</w:t>
            </w:r>
          </w:p>
        </w:tc>
        <w:tc>
          <w:tcPr>
            <w:tcW w:w="1726" w:type="dxa"/>
            <w:tcBorders>
              <w:top w:val="single" w:sz="4" w:space="0" w:color="auto"/>
            </w:tcBorders>
            <w:shd w:val="clear" w:color="auto" w:fill="FFFFFF"/>
          </w:tcPr>
          <w:p w:rsidR="00000000" w:rsidRDefault="00000000">
            <w:pPr>
              <w:jc w:val="center"/>
              <w:rPr>
                <w:sz w:val="22"/>
              </w:rPr>
            </w:pPr>
            <w:r>
              <w:rPr>
                <w:sz w:val="22"/>
              </w:rPr>
              <w:t>17</w:t>
            </w:r>
          </w:p>
        </w:tc>
      </w:tr>
      <w:tr w:rsidR="00000000">
        <w:tblPrEx>
          <w:tblCellMar>
            <w:top w:w="0" w:type="dxa"/>
            <w:bottom w:w="0" w:type="dxa"/>
          </w:tblCellMar>
        </w:tblPrEx>
        <w:trPr>
          <w:cantSplit/>
        </w:trPr>
        <w:tc>
          <w:tcPr>
            <w:tcW w:w="1568" w:type="dxa"/>
            <w:vMerge/>
            <w:shd w:val="clear" w:color="auto" w:fill="FFFFFF"/>
          </w:tcPr>
          <w:p w:rsidR="00000000" w:rsidRDefault="00000000">
            <w:pPr>
              <w:rPr>
                <w:sz w:val="22"/>
              </w:rPr>
            </w:pPr>
          </w:p>
        </w:tc>
        <w:tc>
          <w:tcPr>
            <w:tcW w:w="3388" w:type="dxa"/>
            <w:shd w:val="clear" w:color="auto" w:fill="FFFFFF"/>
            <w:vAlign w:val="center"/>
          </w:tcPr>
          <w:p w:rsidR="00000000" w:rsidRDefault="00000000">
            <w:pPr>
              <w:rPr>
                <w:sz w:val="22"/>
              </w:rPr>
            </w:pPr>
            <w:r>
              <w:rPr>
                <w:sz w:val="22"/>
              </w:rPr>
              <w:t>Промышленность и строительство</w:t>
            </w:r>
          </w:p>
        </w:tc>
        <w:tc>
          <w:tcPr>
            <w:tcW w:w="853" w:type="dxa"/>
            <w:shd w:val="clear" w:color="auto" w:fill="FFFFFF"/>
          </w:tcPr>
          <w:p w:rsidR="00000000" w:rsidRDefault="00000000">
            <w:pPr>
              <w:jc w:val="center"/>
              <w:rPr>
                <w:sz w:val="22"/>
              </w:rPr>
            </w:pPr>
            <w:r>
              <w:rPr>
                <w:sz w:val="22"/>
              </w:rPr>
              <w:t>17</w:t>
            </w:r>
          </w:p>
        </w:tc>
        <w:tc>
          <w:tcPr>
            <w:tcW w:w="1876" w:type="dxa"/>
            <w:shd w:val="clear" w:color="auto" w:fill="FFFFFF"/>
          </w:tcPr>
          <w:p w:rsidR="00000000" w:rsidRDefault="00000000">
            <w:pPr>
              <w:jc w:val="center"/>
              <w:rPr>
                <w:sz w:val="22"/>
              </w:rPr>
            </w:pPr>
            <w:r>
              <w:rPr>
                <w:sz w:val="22"/>
              </w:rPr>
              <w:t>16</w:t>
            </w:r>
          </w:p>
        </w:tc>
        <w:tc>
          <w:tcPr>
            <w:tcW w:w="1726" w:type="dxa"/>
            <w:shd w:val="clear" w:color="auto" w:fill="FFFFFF"/>
          </w:tcPr>
          <w:p w:rsidR="00000000" w:rsidRDefault="00000000">
            <w:pPr>
              <w:jc w:val="center"/>
              <w:rPr>
                <w:sz w:val="22"/>
              </w:rPr>
            </w:pPr>
            <w:r>
              <w:rPr>
                <w:sz w:val="22"/>
              </w:rPr>
              <w:t>5</w:t>
            </w:r>
          </w:p>
        </w:tc>
      </w:tr>
      <w:tr w:rsidR="00000000">
        <w:tblPrEx>
          <w:tblCellMar>
            <w:top w:w="0" w:type="dxa"/>
            <w:bottom w:w="0" w:type="dxa"/>
          </w:tblCellMar>
        </w:tblPrEx>
        <w:trPr>
          <w:cantSplit/>
        </w:trPr>
        <w:tc>
          <w:tcPr>
            <w:tcW w:w="1568" w:type="dxa"/>
            <w:vMerge/>
            <w:shd w:val="clear" w:color="auto" w:fill="FFFFFF"/>
          </w:tcPr>
          <w:p w:rsidR="00000000" w:rsidRDefault="00000000">
            <w:pPr>
              <w:rPr>
                <w:sz w:val="22"/>
              </w:rPr>
            </w:pPr>
          </w:p>
        </w:tc>
        <w:tc>
          <w:tcPr>
            <w:tcW w:w="3388" w:type="dxa"/>
            <w:shd w:val="clear" w:color="auto" w:fill="FFFFFF"/>
            <w:vAlign w:val="center"/>
          </w:tcPr>
          <w:p w:rsidR="00000000" w:rsidRDefault="00000000">
            <w:pPr>
              <w:spacing w:after="120"/>
              <w:rPr>
                <w:sz w:val="22"/>
              </w:rPr>
            </w:pPr>
            <w:r>
              <w:rPr>
                <w:sz w:val="22"/>
              </w:rPr>
              <w:t>Коммерческие услуги</w:t>
            </w:r>
          </w:p>
        </w:tc>
        <w:tc>
          <w:tcPr>
            <w:tcW w:w="853" w:type="dxa"/>
            <w:shd w:val="clear" w:color="auto" w:fill="FFFFFF"/>
          </w:tcPr>
          <w:p w:rsidR="00000000" w:rsidRDefault="00000000">
            <w:pPr>
              <w:spacing w:after="120"/>
              <w:jc w:val="center"/>
              <w:rPr>
                <w:sz w:val="22"/>
              </w:rPr>
            </w:pPr>
            <w:r>
              <w:rPr>
                <w:sz w:val="22"/>
              </w:rPr>
              <w:t>38</w:t>
            </w:r>
          </w:p>
        </w:tc>
        <w:tc>
          <w:tcPr>
            <w:tcW w:w="1876" w:type="dxa"/>
            <w:shd w:val="clear" w:color="auto" w:fill="FFFFFF"/>
          </w:tcPr>
          <w:p w:rsidR="00000000" w:rsidRDefault="00000000">
            <w:pPr>
              <w:spacing w:after="120"/>
              <w:jc w:val="center"/>
              <w:rPr>
                <w:sz w:val="22"/>
              </w:rPr>
            </w:pPr>
            <w:r>
              <w:rPr>
                <w:sz w:val="22"/>
              </w:rPr>
              <w:t>26</w:t>
            </w:r>
          </w:p>
        </w:tc>
        <w:tc>
          <w:tcPr>
            <w:tcW w:w="1726" w:type="dxa"/>
            <w:shd w:val="clear" w:color="auto" w:fill="FFFFFF"/>
          </w:tcPr>
          <w:p w:rsidR="00000000" w:rsidRDefault="00000000">
            <w:pPr>
              <w:spacing w:after="120"/>
              <w:jc w:val="center"/>
              <w:rPr>
                <w:sz w:val="22"/>
              </w:rPr>
            </w:pPr>
            <w:r>
              <w:rPr>
                <w:sz w:val="22"/>
              </w:rPr>
              <w:t>17</w:t>
            </w:r>
          </w:p>
        </w:tc>
      </w:tr>
      <w:tr w:rsidR="00000000">
        <w:tblPrEx>
          <w:tblCellMar>
            <w:top w:w="0" w:type="dxa"/>
            <w:bottom w:w="0" w:type="dxa"/>
          </w:tblCellMar>
        </w:tblPrEx>
        <w:trPr>
          <w:cantSplit/>
        </w:trPr>
        <w:tc>
          <w:tcPr>
            <w:tcW w:w="1568" w:type="dxa"/>
            <w:vMerge w:val="restart"/>
            <w:shd w:val="clear" w:color="auto" w:fill="FFFFFF"/>
          </w:tcPr>
          <w:p w:rsidR="00000000" w:rsidRDefault="00000000">
            <w:pPr>
              <w:rPr>
                <w:sz w:val="22"/>
              </w:rPr>
            </w:pPr>
            <w:r>
              <w:rPr>
                <w:sz w:val="22"/>
              </w:rPr>
              <w:t>Недоходный сектор</w:t>
            </w:r>
          </w:p>
        </w:tc>
        <w:tc>
          <w:tcPr>
            <w:tcW w:w="3388" w:type="dxa"/>
            <w:shd w:val="clear" w:color="auto" w:fill="FFFFFF"/>
            <w:vAlign w:val="center"/>
          </w:tcPr>
          <w:p w:rsidR="00000000" w:rsidRDefault="00000000">
            <w:pPr>
              <w:rPr>
                <w:sz w:val="22"/>
              </w:rPr>
            </w:pPr>
            <w:r>
              <w:rPr>
                <w:sz w:val="22"/>
              </w:rPr>
              <w:t>Некоммерческие услуги</w:t>
            </w:r>
          </w:p>
        </w:tc>
        <w:tc>
          <w:tcPr>
            <w:tcW w:w="853" w:type="dxa"/>
            <w:shd w:val="clear" w:color="auto" w:fill="FFFFFF"/>
          </w:tcPr>
          <w:p w:rsidR="00000000" w:rsidRDefault="00000000">
            <w:pPr>
              <w:jc w:val="center"/>
              <w:rPr>
                <w:sz w:val="22"/>
              </w:rPr>
            </w:pPr>
            <w:r>
              <w:rPr>
                <w:sz w:val="22"/>
              </w:rPr>
              <w:t>61</w:t>
            </w:r>
          </w:p>
        </w:tc>
        <w:tc>
          <w:tcPr>
            <w:tcW w:w="1876" w:type="dxa"/>
            <w:shd w:val="clear" w:color="auto" w:fill="FFFFFF"/>
          </w:tcPr>
          <w:p w:rsidR="00000000" w:rsidRDefault="00000000">
            <w:pPr>
              <w:jc w:val="center"/>
              <w:rPr>
                <w:sz w:val="22"/>
              </w:rPr>
            </w:pPr>
            <w:r>
              <w:rPr>
                <w:sz w:val="22"/>
              </w:rPr>
              <w:t>53</w:t>
            </w:r>
          </w:p>
        </w:tc>
        <w:tc>
          <w:tcPr>
            <w:tcW w:w="1726" w:type="dxa"/>
            <w:shd w:val="clear" w:color="auto" w:fill="FFFFFF"/>
          </w:tcPr>
          <w:p w:rsidR="00000000" w:rsidRDefault="00000000">
            <w:pPr>
              <w:jc w:val="center"/>
              <w:rPr>
                <w:sz w:val="22"/>
              </w:rPr>
            </w:pPr>
            <w:r>
              <w:rPr>
                <w:sz w:val="22"/>
              </w:rPr>
              <w:t>37</w:t>
            </w:r>
          </w:p>
        </w:tc>
      </w:tr>
      <w:tr w:rsidR="00000000">
        <w:tblPrEx>
          <w:tblCellMar>
            <w:top w:w="0" w:type="dxa"/>
            <w:bottom w:w="0" w:type="dxa"/>
          </w:tblCellMar>
        </w:tblPrEx>
        <w:trPr>
          <w:cantSplit/>
        </w:trPr>
        <w:tc>
          <w:tcPr>
            <w:tcW w:w="1568" w:type="dxa"/>
            <w:vMerge/>
            <w:shd w:val="clear" w:color="auto" w:fill="FFFFFF"/>
            <w:vAlign w:val="center"/>
          </w:tcPr>
          <w:p w:rsidR="00000000" w:rsidRDefault="00000000">
            <w:pPr>
              <w:rPr>
                <w:sz w:val="22"/>
              </w:rPr>
            </w:pPr>
          </w:p>
        </w:tc>
        <w:tc>
          <w:tcPr>
            <w:tcW w:w="3388" w:type="dxa"/>
            <w:shd w:val="clear" w:color="auto" w:fill="FFFFFF"/>
            <w:vAlign w:val="center"/>
          </w:tcPr>
          <w:p w:rsidR="00000000" w:rsidRDefault="00000000">
            <w:pPr>
              <w:rPr>
                <w:sz w:val="22"/>
              </w:rPr>
            </w:pPr>
            <w:r>
              <w:rPr>
                <w:sz w:val="22"/>
              </w:rPr>
              <w:t>Образование</w:t>
            </w:r>
          </w:p>
        </w:tc>
        <w:tc>
          <w:tcPr>
            <w:tcW w:w="853" w:type="dxa"/>
            <w:shd w:val="clear" w:color="auto" w:fill="FFFFFF"/>
          </w:tcPr>
          <w:p w:rsidR="00000000" w:rsidRDefault="00000000">
            <w:pPr>
              <w:jc w:val="center"/>
              <w:rPr>
                <w:sz w:val="22"/>
              </w:rPr>
            </w:pPr>
            <w:r>
              <w:rPr>
                <w:sz w:val="22"/>
              </w:rPr>
              <w:t>54</w:t>
            </w:r>
          </w:p>
        </w:tc>
        <w:tc>
          <w:tcPr>
            <w:tcW w:w="1876" w:type="dxa"/>
            <w:shd w:val="clear" w:color="auto" w:fill="FFFFFF"/>
          </w:tcPr>
          <w:p w:rsidR="00000000" w:rsidRDefault="00000000">
            <w:pPr>
              <w:jc w:val="center"/>
              <w:rPr>
                <w:sz w:val="22"/>
              </w:rPr>
            </w:pPr>
            <w:r>
              <w:rPr>
                <w:sz w:val="22"/>
              </w:rPr>
              <w:t>55</w:t>
            </w:r>
          </w:p>
        </w:tc>
        <w:tc>
          <w:tcPr>
            <w:tcW w:w="1726" w:type="dxa"/>
            <w:shd w:val="clear" w:color="auto" w:fill="FFFFFF"/>
          </w:tcPr>
          <w:p w:rsidR="00000000" w:rsidRDefault="00000000">
            <w:pPr>
              <w:jc w:val="center"/>
              <w:rPr>
                <w:sz w:val="22"/>
              </w:rPr>
            </w:pPr>
            <w:r>
              <w:rPr>
                <w:sz w:val="22"/>
              </w:rPr>
              <w:t>28</w:t>
            </w:r>
          </w:p>
        </w:tc>
      </w:tr>
      <w:tr w:rsidR="00000000">
        <w:tblPrEx>
          <w:tblCellMar>
            <w:top w:w="0" w:type="dxa"/>
            <w:bottom w:w="0" w:type="dxa"/>
          </w:tblCellMar>
        </w:tblPrEx>
        <w:trPr>
          <w:cantSplit/>
        </w:trPr>
        <w:tc>
          <w:tcPr>
            <w:tcW w:w="1568" w:type="dxa"/>
            <w:vMerge/>
            <w:shd w:val="clear" w:color="auto" w:fill="FFFFFF"/>
            <w:vAlign w:val="center"/>
          </w:tcPr>
          <w:p w:rsidR="00000000" w:rsidRDefault="00000000">
            <w:pPr>
              <w:rPr>
                <w:sz w:val="22"/>
              </w:rPr>
            </w:pPr>
          </w:p>
        </w:tc>
        <w:tc>
          <w:tcPr>
            <w:tcW w:w="3388" w:type="dxa"/>
            <w:shd w:val="clear" w:color="auto" w:fill="FFFFFF"/>
            <w:vAlign w:val="center"/>
          </w:tcPr>
          <w:p w:rsidR="00000000" w:rsidRDefault="00000000">
            <w:pPr>
              <w:rPr>
                <w:sz w:val="22"/>
              </w:rPr>
            </w:pPr>
            <w:r>
              <w:rPr>
                <w:sz w:val="22"/>
              </w:rPr>
              <w:t>Здравоохранение и социальные услуги</w:t>
            </w:r>
          </w:p>
        </w:tc>
        <w:tc>
          <w:tcPr>
            <w:tcW w:w="853" w:type="dxa"/>
            <w:shd w:val="clear" w:color="auto" w:fill="FFFFFF"/>
          </w:tcPr>
          <w:p w:rsidR="00000000" w:rsidRDefault="00000000">
            <w:pPr>
              <w:jc w:val="center"/>
              <w:rPr>
                <w:sz w:val="22"/>
              </w:rPr>
            </w:pPr>
            <w:r>
              <w:rPr>
                <w:sz w:val="22"/>
              </w:rPr>
              <w:t>79</w:t>
            </w:r>
          </w:p>
        </w:tc>
        <w:tc>
          <w:tcPr>
            <w:tcW w:w="1876" w:type="dxa"/>
            <w:shd w:val="clear" w:color="auto" w:fill="FFFFFF"/>
          </w:tcPr>
          <w:p w:rsidR="00000000" w:rsidRDefault="00000000">
            <w:pPr>
              <w:jc w:val="center"/>
              <w:rPr>
                <w:sz w:val="22"/>
              </w:rPr>
            </w:pPr>
            <w:r>
              <w:rPr>
                <w:sz w:val="22"/>
              </w:rPr>
              <w:t>64</w:t>
            </w:r>
          </w:p>
        </w:tc>
        <w:tc>
          <w:tcPr>
            <w:tcW w:w="1726" w:type="dxa"/>
            <w:shd w:val="clear" w:color="auto" w:fill="FFFFFF"/>
          </w:tcPr>
          <w:p w:rsidR="00000000" w:rsidRDefault="00000000">
            <w:pPr>
              <w:jc w:val="center"/>
              <w:rPr>
                <w:sz w:val="22"/>
              </w:rPr>
            </w:pPr>
            <w:r>
              <w:rPr>
                <w:sz w:val="22"/>
              </w:rPr>
              <w:t>54</w:t>
            </w:r>
          </w:p>
        </w:tc>
      </w:tr>
      <w:tr w:rsidR="00000000">
        <w:tblPrEx>
          <w:tblCellMar>
            <w:top w:w="0" w:type="dxa"/>
            <w:bottom w:w="0" w:type="dxa"/>
          </w:tblCellMar>
        </w:tblPrEx>
        <w:trPr>
          <w:cantSplit/>
        </w:trPr>
        <w:tc>
          <w:tcPr>
            <w:tcW w:w="1568" w:type="dxa"/>
            <w:vMerge/>
            <w:shd w:val="clear" w:color="auto" w:fill="FFFFFF"/>
            <w:vAlign w:val="center"/>
          </w:tcPr>
          <w:p w:rsidR="00000000" w:rsidRDefault="00000000">
            <w:pPr>
              <w:rPr>
                <w:sz w:val="22"/>
              </w:rPr>
            </w:pPr>
          </w:p>
        </w:tc>
        <w:tc>
          <w:tcPr>
            <w:tcW w:w="3388" w:type="dxa"/>
            <w:shd w:val="clear" w:color="auto" w:fill="FFFFFF"/>
            <w:vAlign w:val="center"/>
          </w:tcPr>
          <w:p w:rsidR="00000000" w:rsidRDefault="00000000">
            <w:pPr>
              <w:spacing w:after="120"/>
              <w:rPr>
                <w:sz w:val="22"/>
              </w:rPr>
            </w:pPr>
            <w:r>
              <w:rPr>
                <w:sz w:val="22"/>
              </w:rPr>
              <w:t>Культура и другие услуги</w:t>
            </w:r>
          </w:p>
        </w:tc>
        <w:tc>
          <w:tcPr>
            <w:tcW w:w="853" w:type="dxa"/>
            <w:shd w:val="clear" w:color="auto" w:fill="FFFFFF"/>
          </w:tcPr>
          <w:p w:rsidR="00000000" w:rsidRDefault="00000000">
            <w:pPr>
              <w:jc w:val="center"/>
              <w:rPr>
                <w:sz w:val="22"/>
              </w:rPr>
            </w:pPr>
            <w:r>
              <w:rPr>
                <w:sz w:val="22"/>
              </w:rPr>
              <w:t>53</w:t>
            </w:r>
          </w:p>
        </w:tc>
        <w:tc>
          <w:tcPr>
            <w:tcW w:w="1876" w:type="dxa"/>
            <w:shd w:val="clear" w:color="auto" w:fill="FFFFFF"/>
          </w:tcPr>
          <w:p w:rsidR="00000000" w:rsidRDefault="00000000">
            <w:pPr>
              <w:jc w:val="center"/>
              <w:rPr>
                <w:sz w:val="22"/>
              </w:rPr>
            </w:pPr>
            <w:r>
              <w:rPr>
                <w:sz w:val="22"/>
              </w:rPr>
              <w:t>44</w:t>
            </w:r>
          </w:p>
        </w:tc>
        <w:tc>
          <w:tcPr>
            <w:tcW w:w="1726" w:type="dxa"/>
            <w:shd w:val="clear" w:color="auto" w:fill="FFFFFF"/>
          </w:tcPr>
          <w:p w:rsidR="00000000" w:rsidRDefault="00000000">
            <w:pPr>
              <w:jc w:val="center"/>
              <w:rPr>
                <w:sz w:val="22"/>
              </w:rPr>
            </w:pPr>
            <w:r>
              <w:rPr>
                <w:sz w:val="22"/>
              </w:rPr>
              <w:t>38</w:t>
            </w:r>
          </w:p>
        </w:tc>
      </w:tr>
      <w:tr w:rsidR="00000000">
        <w:tblPrEx>
          <w:tblCellMar>
            <w:top w:w="0" w:type="dxa"/>
            <w:bottom w:w="0" w:type="dxa"/>
          </w:tblCellMar>
        </w:tblPrEx>
        <w:trPr>
          <w:cantSplit/>
        </w:trPr>
        <w:tc>
          <w:tcPr>
            <w:tcW w:w="1568" w:type="dxa"/>
            <w:shd w:val="clear" w:color="auto" w:fill="FFFFFF"/>
            <w:tcMar>
              <w:left w:w="11" w:type="dxa"/>
              <w:right w:w="11" w:type="dxa"/>
            </w:tcMar>
            <w:vAlign w:val="center"/>
          </w:tcPr>
          <w:p w:rsidR="00000000" w:rsidRDefault="00000000">
            <w:pPr>
              <w:rPr>
                <w:sz w:val="22"/>
              </w:rPr>
            </w:pPr>
            <w:r>
              <w:rPr>
                <w:spacing w:val="-10"/>
                <w:sz w:val="22"/>
              </w:rPr>
              <w:t>Государственный</w:t>
            </w:r>
            <w:r>
              <w:rPr>
                <w:sz w:val="22"/>
              </w:rPr>
              <w:t xml:space="preserve"> сектор</w:t>
            </w:r>
          </w:p>
        </w:tc>
        <w:tc>
          <w:tcPr>
            <w:tcW w:w="3388" w:type="dxa"/>
            <w:shd w:val="clear" w:color="auto" w:fill="FFFFFF"/>
          </w:tcPr>
          <w:p w:rsidR="00000000" w:rsidRDefault="00000000">
            <w:pPr>
              <w:rPr>
                <w:sz w:val="22"/>
              </w:rPr>
            </w:pPr>
            <w:r>
              <w:rPr>
                <w:sz w:val="22"/>
              </w:rPr>
              <w:t>Государственная администрация</w:t>
            </w:r>
          </w:p>
        </w:tc>
        <w:tc>
          <w:tcPr>
            <w:tcW w:w="853" w:type="dxa"/>
            <w:shd w:val="clear" w:color="auto" w:fill="FFFFFF"/>
          </w:tcPr>
          <w:p w:rsidR="00000000" w:rsidRDefault="00000000">
            <w:pPr>
              <w:jc w:val="center"/>
              <w:rPr>
                <w:sz w:val="22"/>
              </w:rPr>
            </w:pPr>
            <w:r>
              <w:rPr>
                <w:sz w:val="22"/>
              </w:rPr>
              <w:t>37</w:t>
            </w:r>
          </w:p>
        </w:tc>
        <w:tc>
          <w:tcPr>
            <w:tcW w:w="1876" w:type="dxa"/>
            <w:shd w:val="clear" w:color="auto" w:fill="FFFFFF"/>
          </w:tcPr>
          <w:p w:rsidR="00000000" w:rsidRDefault="00000000">
            <w:pPr>
              <w:jc w:val="center"/>
              <w:rPr>
                <w:sz w:val="22"/>
              </w:rPr>
            </w:pPr>
            <w:r>
              <w:rPr>
                <w:sz w:val="22"/>
              </w:rPr>
              <w:t>36</w:t>
            </w:r>
          </w:p>
        </w:tc>
        <w:tc>
          <w:tcPr>
            <w:tcW w:w="1726" w:type="dxa"/>
            <w:shd w:val="clear" w:color="auto" w:fill="FFFFFF"/>
          </w:tcPr>
          <w:p w:rsidR="00000000" w:rsidRDefault="00000000">
            <w:pPr>
              <w:jc w:val="center"/>
              <w:rPr>
                <w:sz w:val="22"/>
              </w:rPr>
            </w:pPr>
            <w:r>
              <w:rPr>
                <w:sz w:val="22"/>
              </w:rPr>
              <w:t>23</w:t>
            </w:r>
          </w:p>
        </w:tc>
      </w:tr>
    </w:tbl>
    <w:p w:rsidR="00000000" w:rsidRDefault="00000000"/>
    <w:p w:rsidR="00000000" w:rsidRDefault="00000000">
      <w:pPr>
        <w:spacing w:line="240" w:lineRule="auto"/>
      </w:pPr>
      <w:r>
        <w:tab/>
      </w:r>
      <w:r>
        <w:rPr>
          <w:i/>
          <w:iCs/>
        </w:rPr>
        <w:t>Источник:</w:t>
      </w:r>
      <w:r>
        <w:t xml:space="preserve">  Нидерландское статистическое управление (НСУ), Обследование рабочей силы за 2002 год (Enquête Beroepsbevolking 2002);  мониторинг положения в области обеспечения равноправия за 2002 год.</w:t>
      </w:r>
    </w:p>
    <w:p w:rsidR="00000000" w:rsidRDefault="00000000"/>
    <w:p w:rsidR="00000000" w:rsidRDefault="00000000"/>
    <w:p w:rsidR="00000000" w:rsidRDefault="00000000">
      <w:r>
        <w:t>207.</w:t>
      </w:r>
      <w:r>
        <w:tab/>
        <w:t xml:space="preserve">На основе обзора показателей компании могут разрабатывать свои собственные цели с учетом конкретного положения в своем секторе.  В предстоящие годы он будет преобразован в инструмент, позволяющий компаниям самим отслеживать положение в этой области и содержащий методические указания относительно путей улучшения такого положения.  Кроме того, он будет преобразован в инструмент мониторинга изменений в том или ином секторе как на уровне отраслей (отслеживаемых с помощью механизма мониторинга положения в области обеспечения равноправия), так и на уровне отдельных компаний.  Наконец, в рамках "смешанного" проекта будут разработаны переходные целевые показатели.  </w:t>
      </w:r>
    </w:p>
    <w:p w:rsidR="00000000" w:rsidRDefault="00000000"/>
    <w:p w:rsidR="00000000" w:rsidRDefault="00000000">
      <w:r>
        <w:t>208.</w:t>
      </w:r>
      <w:r>
        <w:tab/>
        <w:t xml:space="preserve">В конце лета 2003 года будут опубликованы результаты исследования кадровой политики органов государственного управления, проводимой с учетом гендерного фактора и направленной на обеспечение многообразия в государственной кадровой политике.  Государственным учреждениям предлагается представлять основные годовые показатели трудового участия женщин, которые могут быть использованы в качестве основы для определения индекса трудового участия.  Этот индекс будет также содержать информацию о политике государственных учреждений, а именно о том, в какой степени и каким образом они обеспечивают многообразие в своей кадровой политике. </w:t>
      </w:r>
    </w:p>
    <w:p w:rsidR="00000000" w:rsidRDefault="00000000"/>
    <w:p w:rsidR="00000000" w:rsidRDefault="00000000">
      <w:r>
        <w:t>209.</w:t>
      </w:r>
      <w:r>
        <w:tab/>
        <w:t xml:space="preserve">Публикация обзора показателей и индекса трудового участия позволит оценивать прогресс правительства и делового сектора в их усилиях по увеличению количества женщин на должностях более высокого уровня.  </w:t>
      </w:r>
    </w:p>
    <w:p w:rsidR="00000000" w:rsidRDefault="00000000"/>
    <w:p w:rsidR="00000000" w:rsidRDefault="00000000">
      <w:r>
        <w:t>210.</w:t>
      </w:r>
      <w:r>
        <w:tab/>
        <w:t>Наконец, в следующем году в целях изучения новых путей преодоления горизонтальной сегрегации на рынке труда (разделение профессий на преимущественно женские и мужские) будет положено начало партнерству специалистов "мужских" и "женских" профессий.</w:t>
      </w:r>
    </w:p>
    <w:p w:rsidR="00000000" w:rsidRDefault="00000000"/>
    <w:p w:rsidR="00000000" w:rsidRDefault="00000000">
      <w:pPr>
        <w:jc w:val="center"/>
        <w:rPr>
          <w:b/>
          <w:bCs/>
        </w:rPr>
      </w:pPr>
      <w:r>
        <w:rPr>
          <w:b/>
          <w:bCs/>
        </w:rPr>
        <w:t>3.2.4</w:t>
      </w:r>
      <w:r>
        <w:rPr>
          <w:b/>
          <w:bCs/>
        </w:rPr>
        <w:tab/>
        <w:t xml:space="preserve">  Разумная продолжительность рабочего времени и перерывов,</w:t>
      </w:r>
    </w:p>
    <w:p w:rsidR="00000000" w:rsidRDefault="00000000">
      <w:pPr>
        <w:jc w:val="center"/>
        <w:rPr>
          <w:b/>
          <w:bCs/>
        </w:rPr>
      </w:pPr>
      <w:r>
        <w:rPr>
          <w:b/>
          <w:bCs/>
        </w:rPr>
        <w:t>отпусков, выходных дней и т.п.</w:t>
      </w:r>
    </w:p>
    <w:p w:rsidR="00000000" w:rsidRDefault="00000000">
      <w:pPr>
        <w:jc w:val="center"/>
        <w:rPr>
          <w:b/>
          <w:bCs/>
        </w:rPr>
      </w:pPr>
    </w:p>
    <w:p w:rsidR="00000000" w:rsidRDefault="00000000">
      <w:r>
        <w:t>211.</w:t>
      </w:r>
      <w:r>
        <w:tab/>
        <w:t>Как указывалось в пункте 93 второго доклада, 1 января 1996 года вступил в силу Закон о продолжительности рабочего дня (ЗПРД).  Подробная информация об этом Законе, приведенная во втором докладе, соответствует нынешнему положению вещей.  Закон согласуется с Директивой 93/104/ЕС Совета о некоторых аспектах организации рабочего времени и дает социальным партнерам широкие возможности для консультаций.  Он также обеспечивает оптимальное сочетание трудовой деятельности с семейными обязанностями.  В 2001 году была произведена качественная оценка эффективности Закона о продолжительности рабочего дня, на основе которой были сделаны следующие основные выводы:</w:t>
      </w:r>
    </w:p>
    <w:p w:rsidR="00000000" w:rsidRDefault="00000000"/>
    <w:p w:rsidR="00000000" w:rsidRDefault="00000000">
      <w:pPr>
        <w:ind w:left="1134" w:hanging="1134"/>
      </w:pPr>
      <w:r>
        <w:tab/>
        <w:t>-</w:t>
      </w:r>
      <w:r>
        <w:tab/>
        <w:t>какие-либо основания для кардинального изменения стандартов и основного принципа двойной системы стандартов отсутствуют;</w:t>
      </w:r>
    </w:p>
    <w:p w:rsidR="00000000" w:rsidRDefault="00000000">
      <w:pPr>
        <w:ind w:left="1134" w:hanging="1134"/>
      </w:pPr>
    </w:p>
    <w:p w:rsidR="00000000" w:rsidRDefault="00000000">
      <w:pPr>
        <w:ind w:left="1134" w:hanging="1134"/>
      </w:pPr>
      <w:r>
        <w:tab/>
        <w:t>-</w:t>
      </w:r>
      <w:r>
        <w:tab/>
        <w:t>необходимо упростить нормативные положения и повысить эффективность Закона в некоторых областях;</w:t>
      </w:r>
    </w:p>
    <w:p w:rsidR="00000000" w:rsidRDefault="00000000">
      <w:pPr>
        <w:ind w:left="1134" w:hanging="1134"/>
      </w:pPr>
    </w:p>
    <w:p w:rsidR="00000000" w:rsidRDefault="00000000">
      <w:pPr>
        <w:ind w:left="1134" w:hanging="1134"/>
      </w:pPr>
      <w:r>
        <w:tab/>
        <w:t>-</w:t>
      </w:r>
      <w:r>
        <w:tab/>
        <w:t>на уровне компаний следует поощрять переговоры о продолжительности рабочего дня и перерывов, что также согласуется со второй целью Закона, предусматривающей более разумное сочетание труда с другими видами деятельности.  В этой связи ставятся также дополнительные цели, такие, как открытость и прозрачность в политике компаний.</w:t>
      </w:r>
    </w:p>
    <w:p w:rsidR="00000000" w:rsidRDefault="00000000">
      <w:pPr>
        <w:ind w:left="1134" w:hanging="1134"/>
      </w:pPr>
    </w:p>
    <w:p w:rsidR="00000000" w:rsidRDefault="00000000">
      <w:r>
        <w:t>212.</w:t>
      </w:r>
      <w:r>
        <w:tab/>
        <w:t xml:space="preserve">В таблице 12 приводятся данные о сокращении фактической средней продолжительности рабочей </w:t>
      </w:r>
      <w:proofErr w:type="spellStart"/>
      <w:r>
        <w:t>недели</w:t>
      </w:r>
      <w:r>
        <w:rPr>
          <w:b/>
          <w:bCs/>
          <w:vertAlign w:val="superscript"/>
        </w:rPr>
        <w:t>14</w:t>
      </w:r>
      <w:proofErr w:type="spellEnd"/>
      <w:r>
        <w:t xml:space="preserve"> для всего работающего населения.  </w:t>
      </w:r>
    </w:p>
    <w:p w:rsidR="00000000" w:rsidRDefault="00000000"/>
    <w:p w:rsidR="00000000" w:rsidRDefault="00000000">
      <w:pPr>
        <w:keepNext/>
        <w:jc w:val="center"/>
        <w:rPr>
          <w:b/>
          <w:bCs/>
        </w:rPr>
      </w:pPr>
      <w:r>
        <w:rPr>
          <w:b/>
          <w:bCs/>
        </w:rPr>
        <w:t>Таблица 12</w:t>
      </w:r>
    </w:p>
    <w:p w:rsidR="00000000" w:rsidRDefault="00000000">
      <w:pPr>
        <w:keepNext/>
        <w:jc w:val="center"/>
        <w:rPr>
          <w:b/>
          <w:bCs/>
        </w:rPr>
      </w:pPr>
    </w:p>
    <w:p w:rsidR="00000000" w:rsidRDefault="00000000">
      <w:pPr>
        <w:keepNext/>
        <w:jc w:val="center"/>
        <w:rPr>
          <w:b/>
          <w:bCs/>
        </w:rPr>
      </w:pPr>
      <w:r>
        <w:rPr>
          <w:b/>
          <w:bCs/>
        </w:rPr>
        <w:t>Средняя продолжительность рабочей недели для всего работающего населения</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578"/>
      </w:tblGrid>
      <w:tr w:rsidR="00000000">
        <w:tblPrEx>
          <w:tblCellMar>
            <w:top w:w="0" w:type="dxa"/>
            <w:bottom w:w="0" w:type="dxa"/>
          </w:tblCellMar>
        </w:tblPrEx>
        <w:trPr>
          <w:cantSplit/>
          <w:jc w:val="center"/>
        </w:trPr>
        <w:tc>
          <w:tcPr>
            <w:tcW w:w="2392" w:type="dxa"/>
          </w:tcPr>
          <w:p w:rsidR="00000000" w:rsidRDefault="00000000">
            <w:pPr>
              <w:tabs>
                <w:tab w:val="clear" w:pos="567"/>
                <w:tab w:val="clear" w:pos="1134"/>
                <w:tab w:val="clear" w:pos="1701"/>
                <w:tab w:val="clear" w:pos="2268"/>
                <w:tab w:val="clear" w:pos="6237"/>
              </w:tabs>
            </w:pPr>
            <w:r>
              <w:t>1997 год</w:t>
            </w:r>
          </w:p>
        </w:tc>
        <w:tc>
          <w:tcPr>
            <w:tcW w:w="2578" w:type="dxa"/>
          </w:tcPr>
          <w:p w:rsidR="00000000" w:rsidRDefault="00000000">
            <w:pPr>
              <w:tabs>
                <w:tab w:val="clear" w:pos="567"/>
                <w:tab w:val="clear" w:pos="1134"/>
                <w:tab w:val="clear" w:pos="1701"/>
                <w:tab w:val="clear" w:pos="2268"/>
                <w:tab w:val="clear" w:pos="6237"/>
              </w:tabs>
              <w:jc w:val="center"/>
            </w:pPr>
            <w:r>
              <w:t>31,1 часа</w:t>
            </w:r>
          </w:p>
        </w:tc>
      </w:tr>
      <w:tr w:rsidR="00000000">
        <w:tblPrEx>
          <w:tblCellMar>
            <w:top w:w="0" w:type="dxa"/>
            <w:bottom w:w="0" w:type="dxa"/>
          </w:tblCellMar>
        </w:tblPrEx>
        <w:trPr>
          <w:cantSplit/>
          <w:jc w:val="center"/>
        </w:trPr>
        <w:tc>
          <w:tcPr>
            <w:tcW w:w="2392" w:type="dxa"/>
          </w:tcPr>
          <w:p w:rsidR="00000000" w:rsidRDefault="00000000">
            <w:pPr>
              <w:tabs>
                <w:tab w:val="clear" w:pos="567"/>
                <w:tab w:val="clear" w:pos="1134"/>
                <w:tab w:val="clear" w:pos="1701"/>
                <w:tab w:val="clear" w:pos="2268"/>
                <w:tab w:val="clear" w:pos="6237"/>
              </w:tabs>
            </w:pPr>
            <w:r>
              <w:t>1998 год</w:t>
            </w:r>
          </w:p>
        </w:tc>
        <w:tc>
          <w:tcPr>
            <w:tcW w:w="2578" w:type="dxa"/>
          </w:tcPr>
          <w:p w:rsidR="00000000" w:rsidRDefault="00000000">
            <w:pPr>
              <w:tabs>
                <w:tab w:val="clear" w:pos="567"/>
                <w:tab w:val="clear" w:pos="1134"/>
                <w:tab w:val="clear" w:pos="1701"/>
                <w:tab w:val="clear" w:pos="2268"/>
                <w:tab w:val="clear" w:pos="6237"/>
              </w:tabs>
              <w:jc w:val="center"/>
            </w:pPr>
            <w:r>
              <w:t>31 час</w:t>
            </w:r>
          </w:p>
        </w:tc>
      </w:tr>
      <w:tr w:rsidR="00000000">
        <w:tblPrEx>
          <w:tblCellMar>
            <w:top w:w="0" w:type="dxa"/>
            <w:bottom w:w="0" w:type="dxa"/>
          </w:tblCellMar>
        </w:tblPrEx>
        <w:trPr>
          <w:cantSplit/>
          <w:jc w:val="center"/>
        </w:trPr>
        <w:tc>
          <w:tcPr>
            <w:tcW w:w="2392" w:type="dxa"/>
          </w:tcPr>
          <w:p w:rsidR="00000000" w:rsidRDefault="00000000">
            <w:pPr>
              <w:tabs>
                <w:tab w:val="clear" w:pos="567"/>
                <w:tab w:val="clear" w:pos="1134"/>
                <w:tab w:val="clear" w:pos="1701"/>
                <w:tab w:val="clear" w:pos="2268"/>
                <w:tab w:val="clear" w:pos="6237"/>
              </w:tabs>
            </w:pPr>
            <w:r>
              <w:t>1999 год</w:t>
            </w:r>
          </w:p>
        </w:tc>
        <w:tc>
          <w:tcPr>
            <w:tcW w:w="2578" w:type="dxa"/>
          </w:tcPr>
          <w:p w:rsidR="00000000" w:rsidRDefault="00000000">
            <w:pPr>
              <w:tabs>
                <w:tab w:val="clear" w:pos="567"/>
                <w:tab w:val="clear" w:pos="1134"/>
                <w:tab w:val="clear" w:pos="1701"/>
                <w:tab w:val="clear" w:pos="2268"/>
                <w:tab w:val="clear" w:pos="6237"/>
              </w:tabs>
              <w:jc w:val="center"/>
            </w:pPr>
            <w:r>
              <w:t>30,9 часа</w:t>
            </w:r>
          </w:p>
        </w:tc>
      </w:tr>
      <w:tr w:rsidR="00000000">
        <w:tblPrEx>
          <w:tblCellMar>
            <w:top w:w="0" w:type="dxa"/>
            <w:bottom w:w="0" w:type="dxa"/>
          </w:tblCellMar>
        </w:tblPrEx>
        <w:trPr>
          <w:cantSplit/>
          <w:jc w:val="center"/>
        </w:trPr>
        <w:tc>
          <w:tcPr>
            <w:tcW w:w="2392" w:type="dxa"/>
          </w:tcPr>
          <w:p w:rsidR="00000000" w:rsidRDefault="00000000">
            <w:pPr>
              <w:tabs>
                <w:tab w:val="clear" w:pos="567"/>
                <w:tab w:val="clear" w:pos="1134"/>
                <w:tab w:val="clear" w:pos="1701"/>
                <w:tab w:val="clear" w:pos="2268"/>
                <w:tab w:val="clear" w:pos="6237"/>
              </w:tabs>
            </w:pPr>
            <w:r>
              <w:t>2000 год</w:t>
            </w:r>
          </w:p>
        </w:tc>
        <w:tc>
          <w:tcPr>
            <w:tcW w:w="2578" w:type="dxa"/>
          </w:tcPr>
          <w:p w:rsidR="00000000" w:rsidRDefault="00000000">
            <w:pPr>
              <w:tabs>
                <w:tab w:val="clear" w:pos="567"/>
                <w:tab w:val="clear" w:pos="1134"/>
                <w:tab w:val="clear" w:pos="1701"/>
                <w:tab w:val="clear" w:pos="2268"/>
                <w:tab w:val="clear" w:pos="6237"/>
              </w:tabs>
              <w:jc w:val="center"/>
            </w:pPr>
            <w:r>
              <w:t>30,8 часа</w:t>
            </w:r>
          </w:p>
        </w:tc>
      </w:tr>
    </w:tbl>
    <w:p w:rsidR="00000000" w:rsidRDefault="00000000"/>
    <w:p w:rsidR="00000000" w:rsidRDefault="00000000">
      <w:pPr>
        <w:spacing w:line="240" w:lineRule="auto"/>
      </w:pPr>
      <w:r>
        <w:tab/>
      </w:r>
      <w:r>
        <w:rPr>
          <w:i/>
          <w:iCs/>
        </w:rPr>
        <w:t>Источник</w:t>
      </w:r>
      <w:r>
        <w:t xml:space="preserve">:  1997 год - Ежемесячные социально-экономические статистические данные (Sociaal Economische Maandstatistiek), март </w:t>
      </w:r>
      <w:r>
        <w:rPr>
          <w:color w:val="000000"/>
        </w:rPr>
        <w:t xml:space="preserve">2000 года, таблица </w:t>
      </w:r>
      <w:r>
        <w:t>2.2.13.</w:t>
      </w:r>
      <w:r>
        <w:rPr>
          <w:lang w:val="en-GB"/>
        </w:rPr>
        <w:t>a</w:t>
      </w:r>
      <w:r>
        <w:t>.</w:t>
      </w:r>
    </w:p>
    <w:p w:rsidR="00000000" w:rsidRDefault="00000000">
      <w:pPr>
        <w:spacing w:line="240" w:lineRule="auto"/>
      </w:pPr>
    </w:p>
    <w:p w:rsidR="00000000" w:rsidRDefault="00000000">
      <w:pPr>
        <w:spacing w:line="240" w:lineRule="auto"/>
        <w:ind w:left="567"/>
      </w:pPr>
      <w:r>
        <w:t>1998 год – Ежемесячные социально-экономические статистические данные, декабрь</w:t>
      </w:r>
      <w:r>
        <w:rPr>
          <w:lang w:val="en-US"/>
        </w:rPr>
        <w:t> </w:t>
      </w:r>
      <w:r>
        <w:t>2000 года, таблица 2.2.13.</w:t>
      </w:r>
      <w:r>
        <w:rPr>
          <w:lang w:val="en-GB"/>
        </w:rPr>
        <w:t>a</w:t>
      </w:r>
      <w:r>
        <w:t xml:space="preserve">. </w:t>
      </w:r>
    </w:p>
    <w:p w:rsidR="00000000" w:rsidRDefault="00000000">
      <w:pPr>
        <w:spacing w:line="240" w:lineRule="auto"/>
      </w:pPr>
    </w:p>
    <w:p w:rsidR="00000000" w:rsidRDefault="00000000">
      <w:pPr>
        <w:spacing w:line="240" w:lineRule="auto"/>
        <w:ind w:left="567"/>
      </w:pPr>
      <w:r>
        <w:t>1999/2000 год – текущая статистика.</w:t>
      </w:r>
    </w:p>
    <w:p w:rsidR="00000000" w:rsidRDefault="00000000"/>
    <w:p w:rsidR="00000000" w:rsidRDefault="00000000"/>
    <w:p w:rsidR="00000000" w:rsidRDefault="00000000">
      <w:r>
        <w:t>213.</w:t>
      </w:r>
      <w:r>
        <w:tab/>
        <w:t>Со времени представления второго доклада не произошло каких-либо новых изменений в отношении права на предусмотренный законодательством оплачиваемый минимальный отпуск, а также в отношении дискриминации по признаку пола, детей в возрасте до 16 лет и молодых лиц (16-17 лет).</w:t>
      </w:r>
    </w:p>
    <w:p w:rsidR="00000000" w:rsidRDefault="00000000"/>
    <w:p w:rsidR="00000000" w:rsidRDefault="00000000">
      <w:pPr>
        <w:jc w:val="center"/>
        <w:rPr>
          <w:b/>
          <w:bCs/>
        </w:rPr>
      </w:pPr>
      <w:r>
        <w:rPr>
          <w:b/>
          <w:bCs/>
        </w:rPr>
        <w:t>3.3</w:t>
      </w:r>
      <w:r>
        <w:rPr>
          <w:b/>
          <w:bCs/>
        </w:rPr>
        <w:tab/>
        <w:t>Статья 8</w:t>
      </w:r>
    </w:p>
    <w:p w:rsidR="00000000" w:rsidRDefault="00000000">
      <w:pPr>
        <w:jc w:val="center"/>
        <w:rPr>
          <w:b/>
          <w:bCs/>
        </w:rPr>
      </w:pPr>
    </w:p>
    <w:p w:rsidR="00000000" w:rsidRDefault="00000000">
      <w:pPr>
        <w:jc w:val="center"/>
        <w:rPr>
          <w:b/>
          <w:bCs/>
        </w:rPr>
      </w:pPr>
      <w:r>
        <w:rPr>
          <w:b/>
          <w:bCs/>
        </w:rPr>
        <w:t>3.3.1</w:t>
      </w:r>
      <w:r>
        <w:rPr>
          <w:b/>
          <w:bCs/>
        </w:rPr>
        <w:tab/>
        <w:t xml:space="preserve">  Право на свободу ассоциации</w:t>
      </w:r>
    </w:p>
    <w:p w:rsidR="00000000" w:rsidRDefault="00000000">
      <w:pPr>
        <w:jc w:val="center"/>
        <w:rPr>
          <w:b/>
          <w:bCs/>
        </w:rPr>
      </w:pPr>
    </w:p>
    <w:p w:rsidR="00000000" w:rsidRDefault="00000000">
      <w:r>
        <w:t>214.</w:t>
      </w:r>
      <w:r>
        <w:tab/>
        <w:t>Со времени представления второго доклада каких-либо новых изменений не произошло.</w:t>
      </w:r>
    </w:p>
    <w:p w:rsidR="00000000" w:rsidRDefault="00000000"/>
    <w:p w:rsidR="00000000" w:rsidRDefault="00000000">
      <w:pPr>
        <w:jc w:val="center"/>
        <w:rPr>
          <w:b/>
          <w:bCs/>
        </w:rPr>
      </w:pPr>
      <w:r>
        <w:rPr>
          <w:b/>
          <w:bCs/>
        </w:rPr>
        <w:t>3.3.1.1</w:t>
      </w:r>
      <w:r>
        <w:rPr>
          <w:b/>
          <w:bCs/>
        </w:rPr>
        <w:tab/>
        <w:t>Право создавать профсоюзы и вступать в них</w:t>
      </w:r>
    </w:p>
    <w:p w:rsidR="00000000" w:rsidRDefault="00000000">
      <w:pPr>
        <w:jc w:val="center"/>
        <w:rPr>
          <w:b/>
          <w:bCs/>
        </w:rPr>
      </w:pPr>
    </w:p>
    <w:p w:rsidR="00000000" w:rsidRDefault="00000000">
      <w:r>
        <w:t>215.</w:t>
      </w:r>
      <w:r>
        <w:tab/>
        <w:t>Со времени представления второго доклада каких-либо новых изменений не произошло.</w:t>
      </w:r>
    </w:p>
    <w:p w:rsidR="00000000" w:rsidRDefault="00000000"/>
    <w:p w:rsidR="00000000" w:rsidRDefault="00000000">
      <w:pPr>
        <w:ind w:left="567" w:hanging="567"/>
        <w:rPr>
          <w:b/>
          <w:bCs/>
          <w:lang w:val="en-US"/>
        </w:rPr>
      </w:pPr>
      <w:r>
        <w:rPr>
          <w:b/>
          <w:bCs/>
        </w:rPr>
        <w:tab/>
        <w:t>3.3.1.2</w:t>
      </w:r>
      <w:r>
        <w:rPr>
          <w:b/>
          <w:bCs/>
        </w:rPr>
        <w:tab/>
        <w:t>Право профсоюзов объединяться в национальные федерации</w:t>
      </w:r>
    </w:p>
    <w:p w:rsidR="00000000" w:rsidRDefault="00000000">
      <w:pPr>
        <w:ind w:left="567" w:hanging="567"/>
        <w:rPr>
          <w:b/>
          <w:bCs/>
        </w:rPr>
      </w:pPr>
      <w:r>
        <w:rPr>
          <w:b/>
          <w:bCs/>
        </w:rPr>
        <w:tab/>
      </w:r>
      <w:r>
        <w:rPr>
          <w:b/>
          <w:bCs/>
        </w:rPr>
        <w:tab/>
      </w:r>
      <w:r>
        <w:rPr>
          <w:b/>
          <w:bCs/>
        </w:rPr>
        <w:tab/>
        <w:t>и вступать в международные профсоюзные организации</w:t>
      </w:r>
    </w:p>
    <w:p w:rsidR="00000000" w:rsidRDefault="00000000">
      <w:pPr>
        <w:ind w:left="567" w:hanging="567"/>
        <w:rPr>
          <w:b/>
          <w:bCs/>
        </w:rPr>
      </w:pPr>
    </w:p>
    <w:p w:rsidR="00000000" w:rsidRDefault="00000000">
      <w:r>
        <w:t>216.</w:t>
      </w:r>
      <w:r>
        <w:tab/>
        <w:t>Со времени представления второго доклада каких-либо новых изменений не произошло.</w:t>
      </w:r>
    </w:p>
    <w:p w:rsidR="00000000" w:rsidRDefault="00000000"/>
    <w:p w:rsidR="00000000" w:rsidRDefault="00000000">
      <w:pPr>
        <w:jc w:val="center"/>
        <w:rPr>
          <w:b/>
          <w:bCs/>
        </w:rPr>
      </w:pPr>
      <w:r>
        <w:rPr>
          <w:b/>
          <w:bCs/>
        </w:rPr>
        <w:t>3.3.1.3</w:t>
      </w:r>
      <w:r>
        <w:rPr>
          <w:b/>
          <w:bCs/>
        </w:rPr>
        <w:tab/>
        <w:t>Право профсоюзов на беспрепятственное функционирование</w:t>
      </w:r>
    </w:p>
    <w:p w:rsidR="00000000" w:rsidRDefault="00000000">
      <w:pPr>
        <w:jc w:val="center"/>
        <w:rPr>
          <w:b/>
          <w:bCs/>
        </w:rPr>
      </w:pPr>
    </w:p>
    <w:p w:rsidR="00000000" w:rsidRDefault="00000000">
      <w:r>
        <w:t>217.</w:t>
      </w:r>
      <w:r>
        <w:tab/>
        <w:t>Со времени представления второго доклада каких-либо новых изменений отмечено не было.</w:t>
      </w:r>
    </w:p>
    <w:p w:rsidR="00000000" w:rsidRDefault="00000000"/>
    <w:p w:rsidR="00000000" w:rsidRDefault="00000000">
      <w:pPr>
        <w:jc w:val="center"/>
        <w:rPr>
          <w:b/>
          <w:bCs/>
        </w:rPr>
      </w:pPr>
      <w:r>
        <w:rPr>
          <w:b/>
          <w:bCs/>
        </w:rPr>
        <w:t>3.3.1.4</w:t>
      </w:r>
      <w:r>
        <w:rPr>
          <w:b/>
          <w:bCs/>
        </w:rPr>
        <w:tab/>
        <w:t>Информация, касающаяся количества и структуры профсоюзов и их членского состава</w:t>
      </w:r>
    </w:p>
    <w:p w:rsidR="00000000" w:rsidRDefault="00000000">
      <w:pPr>
        <w:ind w:left="1701" w:hanging="1701"/>
        <w:rPr>
          <w:b/>
          <w:bCs/>
        </w:rPr>
      </w:pPr>
    </w:p>
    <w:p w:rsidR="00000000" w:rsidRDefault="00000000">
      <w:r>
        <w:rPr>
          <w:b/>
          <w:bCs/>
        </w:rPr>
        <w:t>Структура профсоюзов в Нидерландах</w:t>
      </w:r>
    </w:p>
    <w:p w:rsidR="00000000" w:rsidRDefault="00000000"/>
    <w:p w:rsidR="00000000" w:rsidRDefault="00000000">
      <w:r>
        <w:t>218.</w:t>
      </w:r>
      <w:r>
        <w:tab/>
        <w:t>Основные профсоюзы объединены в три профсоюзные федерации:  Нидерландскую профсоюзную федерацию (</w:t>
      </w:r>
      <w:proofErr w:type="spellStart"/>
      <w:r>
        <w:t>ФНВ</w:t>
      </w:r>
      <w:proofErr w:type="spellEnd"/>
      <w:r>
        <w:t>), в которой состоят примерно 1 200 000 человек, Национальную федерацию христианских профсоюзов Нидерландов (</w:t>
      </w:r>
      <w:proofErr w:type="spellStart"/>
      <w:r>
        <w:t>ЦНВ</w:t>
      </w:r>
      <w:proofErr w:type="spellEnd"/>
      <w:r>
        <w:t>), насчитывающую приблизительно 360 000 членов, и Профсоюзную федерацию средних классов и служащих более высокого уровня (</w:t>
      </w:r>
      <w:proofErr w:type="spellStart"/>
      <w:r>
        <w:t>МХП</w:t>
      </w:r>
      <w:proofErr w:type="spellEnd"/>
      <w:r>
        <w:t xml:space="preserve">), в которой состоят примерно 175 000 человек.  </w:t>
      </w:r>
    </w:p>
    <w:p w:rsidR="00000000" w:rsidRDefault="00000000"/>
    <w:p w:rsidR="00000000" w:rsidRDefault="00000000">
      <w:r>
        <w:t>219.</w:t>
      </w:r>
      <w:r>
        <w:tab/>
        <w:t xml:space="preserve">В состав </w:t>
      </w:r>
      <w:proofErr w:type="spellStart"/>
      <w:r>
        <w:t>ФНВ</w:t>
      </w:r>
      <w:proofErr w:type="spellEnd"/>
      <w:r>
        <w:t xml:space="preserve"> входят профсоюзы "</w:t>
      </w:r>
      <w:proofErr w:type="spellStart"/>
      <w:r>
        <w:t>ФНВ</w:t>
      </w:r>
      <w:proofErr w:type="spellEnd"/>
      <w:r>
        <w:t xml:space="preserve"> </w:t>
      </w:r>
      <w:proofErr w:type="spellStart"/>
      <w:r>
        <w:t>Бондгенотен</w:t>
      </w:r>
      <w:proofErr w:type="spellEnd"/>
      <w:r>
        <w:t>" (общий профсоюз, 500 000 членов), "</w:t>
      </w:r>
      <w:proofErr w:type="spellStart"/>
      <w:r>
        <w:t>Абвакабо</w:t>
      </w:r>
      <w:proofErr w:type="spellEnd"/>
      <w:r>
        <w:t>" (гражданские служащие), "</w:t>
      </w:r>
      <w:proofErr w:type="spellStart"/>
      <w:r>
        <w:t>Боув-эн</w:t>
      </w:r>
      <w:proofErr w:type="spellEnd"/>
      <w:r>
        <w:t xml:space="preserve"> </w:t>
      </w:r>
      <w:proofErr w:type="spellStart"/>
      <w:r>
        <w:t>Хоутбонд</w:t>
      </w:r>
      <w:proofErr w:type="spellEnd"/>
      <w:r>
        <w:t xml:space="preserve"> </w:t>
      </w:r>
      <w:proofErr w:type="spellStart"/>
      <w:r>
        <w:t>ФНВ</w:t>
      </w:r>
      <w:proofErr w:type="spellEnd"/>
      <w:r>
        <w:t>" (строительные рабочие), "</w:t>
      </w:r>
      <w:proofErr w:type="spellStart"/>
      <w:r>
        <w:t>Хорекабонд</w:t>
      </w:r>
      <w:proofErr w:type="spellEnd"/>
      <w:r>
        <w:t xml:space="preserve"> </w:t>
      </w:r>
      <w:proofErr w:type="spellStart"/>
      <w:r>
        <w:t>ФНВ</w:t>
      </w:r>
      <w:proofErr w:type="spellEnd"/>
      <w:r>
        <w:t>" (работники гостиниц и предприятий общественного питания), "</w:t>
      </w:r>
      <w:proofErr w:type="spellStart"/>
      <w:r>
        <w:t>ФНВ</w:t>
      </w:r>
      <w:proofErr w:type="spellEnd"/>
      <w:r>
        <w:t xml:space="preserve"> КИЕМ" (художники и типографские рабочие) и несколько небольших профсоюзов. </w:t>
      </w:r>
    </w:p>
    <w:p w:rsidR="00000000" w:rsidRDefault="00000000"/>
    <w:p w:rsidR="00000000" w:rsidRDefault="00000000">
      <w:r>
        <w:t>220.</w:t>
      </w:r>
      <w:r>
        <w:tab/>
        <w:t xml:space="preserve">Основными профсоюзами, представленными в </w:t>
      </w:r>
      <w:proofErr w:type="spellStart"/>
      <w:r>
        <w:t>ЦНВ</w:t>
      </w:r>
      <w:proofErr w:type="spellEnd"/>
      <w:r>
        <w:t>, являются "</w:t>
      </w:r>
      <w:proofErr w:type="spellStart"/>
      <w:r>
        <w:t>ЦНВ</w:t>
      </w:r>
      <w:proofErr w:type="spellEnd"/>
      <w:r>
        <w:t xml:space="preserve"> Публике </w:t>
      </w:r>
      <w:proofErr w:type="spellStart"/>
      <w:r>
        <w:t>Закен</w:t>
      </w:r>
      <w:proofErr w:type="spellEnd"/>
      <w:r>
        <w:t>" (служащие государственного сектора), "</w:t>
      </w:r>
      <w:proofErr w:type="spellStart"/>
      <w:r>
        <w:t>ЦНВ</w:t>
      </w:r>
      <w:proofErr w:type="spellEnd"/>
      <w:r>
        <w:t xml:space="preserve"> </w:t>
      </w:r>
      <w:proofErr w:type="spellStart"/>
      <w:r>
        <w:t>Бедривенбонд</w:t>
      </w:r>
      <w:proofErr w:type="spellEnd"/>
      <w:r>
        <w:t>" (работники машиностроительной и пищевой промышленности и транспорта), "</w:t>
      </w:r>
      <w:proofErr w:type="spellStart"/>
      <w:r>
        <w:t>ЦНВ</w:t>
      </w:r>
      <w:proofErr w:type="spellEnd"/>
      <w:r>
        <w:t xml:space="preserve"> </w:t>
      </w:r>
      <w:proofErr w:type="spellStart"/>
      <w:r>
        <w:t>Динстенбонд</w:t>
      </w:r>
      <w:proofErr w:type="spellEnd"/>
      <w:r>
        <w:t>" (работники сферы обслуживания) и "</w:t>
      </w:r>
      <w:proofErr w:type="spellStart"/>
      <w:r>
        <w:t>ЦНВ</w:t>
      </w:r>
      <w:proofErr w:type="spellEnd"/>
      <w:r>
        <w:t xml:space="preserve"> </w:t>
      </w:r>
      <w:proofErr w:type="spellStart"/>
      <w:r>
        <w:t>Хоут-эн</w:t>
      </w:r>
      <w:proofErr w:type="spellEnd"/>
      <w:r>
        <w:t xml:space="preserve"> </w:t>
      </w:r>
      <w:proofErr w:type="spellStart"/>
      <w:r>
        <w:t>Боуфбонд</w:t>
      </w:r>
      <w:proofErr w:type="spellEnd"/>
      <w:r>
        <w:t xml:space="preserve">" (строительные рабочие).  Профсоюзы работников государственного и полугосударственного секторов объединяют свыше </w:t>
      </w:r>
      <w:proofErr w:type="spellStart"/>
      <w:r>
        <w:t>50%</w:t>
      </w:r>
      <w:proofErr w:type="spellEnd"/>
      <w:r>
        <w:t xml:space="preserve"> членов федерации.</w:t>
      </w:r>
    </w:p>
    <w:p w:rsidR="00000000" w:rsidRDefault="00000000"/>
    <w:p w:rsidR="00000000" w:rsidRDefault="00000000">
      <w:r>
        <w:t>221.</w:t>
      </w:r>
      <w:r>
        <w:tab/>
      </w:r>
      <w:proofErr w:type="spellStart"/>
      <w:r>
        <w:t>МХП</w:t>
      </w:r>
      <w:proofErr w:type="spellEnd"/>
      <w:r>
        <w:t xml:space="preserve"> является многоотраслевой профсоюзной организацией, которая в свою очередь объединяет другие крупные организации, такие, как "</w:t>
      </w:r>
      <w:proofErr w:type="spellStart"/>
      <w:r>
        <w:t>Уни</w:t>
      </w:r>
      <w:proofErr w:type="spellEnd"/>
      <w:r>
        <w:t xml:space="preserve"> </w:t>
      </w:r>
      <w:proofErr w:type="spellStart"/>
      <w:r>
        <w:t>ван</w:t>
      </w:r>
      <w:proofErr w:type="spellEnd"/>
      <w:r>
        <w:t xml:space="preserve"> </w:t>
      </w:r>
      <w:proofErr w:type="spellStart"/>
      <w:r>
        <w:t>Онафханкелийке</w:t>
      </w:r>
      <w:proofErr w:type="spellEnd"/>
      <w:r>
        <w:t xml:space="preserve"> </w:t>
      </w:r>
      <w:proofErr w:type="spellStart"/>
      <w:r>
        <w:t>Вакорганисатионс</w:t>
      </w:r>
      <w:proofErr w:type="spellEnd"/>
      <w:r>
        <w:t>" (федерация независимых профсоюзов</w:t>
      </w:r>
      <w:r>
        <w:rPr>
          <w:lang w:val="en-US"/>
        </w:rPr>
        <w:t> </w:t>
      </w:r>
      <w:r>
        <w:t>-</w:t>
      </w:r>
      <w:r>
        <w:rPr>
          <w:lang w:val="en-US"/>
        </w:rPr>
        <w:t> </w:t>
      </w:r>
      <w:proofErr w:type="spellStart"/>
      <w:r>
        <w:t>УОВ</w:t>
      </w:r>
      <w:proofErr w:type="spellEnd"/>
      <w:r>
        <w:t>), "</w:t>
      </w:r>
      <w:proofErr w:type="spellStart"/>
      <w:r>
        <w:t>Веренигинг</w:t>
      </w:r>
      <w:proofErr w:type="spellEnd"/>
      <w:r>
        <w:t xml:space="preserve"> </w:t>
      </w:r>
      <w:proofErr w:type="spellStart"/>
      <w:r>
        <w:t>ван</w:t>
      </w:r>
      <w:proofErr w:type="spellEnd"/>
      <w:r>
        <w:t xml:space="preserve"> </w:t>
      </w:r>
      <w:proofErr w:type="spellStart"/>
      <w:r>
        <w:t>Недерландсе</w:t>
      </w:r>
      <w:proofErr w:type="spellEnd"/>
      <w:r>
        <w:t xml:space="preserve"> </w:t>
      </w:r>
      <w:proofErr w:type="spellStart"/>
      <w:r>
        <w:t>Веркерсвлигерс</w:t>
      </w:r>
      <w:proofErr w:type="spellEnd"/>
      <w:r>
        <w:t>" (ассоциация пилотов голландской авиалинии), "</w:t>
      </w:r>
      <w:proofErr w:type="spellStart"/>
      <w:r>
        <w:t>Берупсорганисати</w:t>
      </w:r>
      <w:proofErr w:type="spellEnd"/>
      <w:r>
        <w:t xml:space="preserve"> </w:t>
      </w:r>
      <w:proofErr w:type="spellStart"/>
      <w:r>
        <w:t>Банкен</w:t>
      </w:r>
      <w:proofErr w:type="spellEnd"/>
      <w:r>
        <w:t xml:space="preserve"> </w:t>
      </w:r>
      <w:proofErr w:type="spellStart"/>
      <w:r>
        <w:t>эн</w:t>
      </w:r>
      <w:proofErr w:type="spellEnd"/>
      <w:r>
        <w:t xml:space="preserve"> </w:t>
      </w:r>
      <w:proofErr w:type="spellStart"/>
      <w:r>
        <w:t>Верзекеринген</w:t>
      </w:r>
      <w:proofErr w:type="spellEnd"/>
      <w:r>
        <w:t>" (профессиональный орган работников банковских и страховых учреждений </w:t>
      </w:r>
      <w:r>
        <w:noBreakHyphen/>
        <w:t> </w:t>
      </w:r>
      <w:proofErr w:type="spellStart"/>
      <w:r>
        <w:t>ББВ</w:t>
      </w:r>
      <w:proofErr w:type="spellEnd"/>
      <w:r>
        <w:t>) и "</w:t>
      </w:r>
      <w:proofErr w:type="spellStart"/>
      <w:r>
        <w:t>Сентрале</w:t>
      </w:r>
      <w:proofErr w:type="spellEnd"/>
      <w:r>
        <w:t xml:space="preserve"> </w:t>
      </w:r>
      <w:proofErr w:type="spellStart"/>
      <w:r>
        <w:t>ван</w:t>
      </w:r>
      <w:proofErr w:type="spellEnd"/>
      <w:r>
        <w:t xml:space="preserve"> </w:t>
      </w:r>
      <w:proofErr w:type="spellStart"/>
      <w:r>
        <w:t>Мидделбаре</w:t>
      </w:r>
      <w:proofErr w:type="spellEnd"/>
      <w:r>
        <w:t xml:space="preserve"> </w:t>
      </w:r>
      <w:proofErr w:type="spellStart"/>
      <w:r>
        <w:t>эн</w:t>
      </w:r>
      <w:proofErr w:type="spellEnd"/>
      <w:r>
        <w:t xml:space="preserve"> </w:t>
      </w:r>
      <w:proofErr w:type="spellStart"/>
      <w:r>
        <w:t>Хогере</w:t>
      </w:r>
      <w:proofErr w:type="spellEnd"/>
      <w:r>
        <w:t xml:space="preserve"> </w:t>
      </w:r>
      <w:proofErr w:type="spellStart"/>
      <w:r>
        <w:t>Функтионариссен</w:t>
      </w:r>
      <w:proofErr w:type="spellEnd"/>
      <w:r>
        <w:t xml:space="preserve"> </w:t>
      </w:r>
      <w:proofErr w:type="spellStart"/>
      <w:r>
        <w:t>бий</w:t>
      </w:r>
      <w:proofErr w:type="spellEnd"/>
      <w:r>
        <w:t xml:space="preserve"> </w:t>
      </w:r>
      <w:proofErr w:type="spellStart"/>
      <w:r>
        <w:t>Оверхейд</w:t>
      </w:r>
      <w:proofErr w:type="spellEnd"/>
      <w:r>
        <w:t xml:space="preserve">, </w:t>
      </w:r>
      <w:proofErr w:type="spellStart"/>
      <w:r>
        <w:t>Ондервийс</w:t>
      </w:r>
      <w:proofErr w:type="spellEnd"/>
      <w:r>
        <w:t xml:space="preserve">, </w:t>
      </w:r>
      <w:proofErr w:type="spellStart"/>
      <w:r>
        <w:t>Бедрийвен</w:t>
      </w:r>
      <w:proofErr w:type="spellEnd"/>
      <w:r>
        <w:t xml:space="preserve"> </w:t>
      </w:r>
      <w:proofErr w:type="spellStart"/>
      <w:r>
        <w:t>эн</w:t>
      </w:r>
      <w:proofErr w:type="spellEnd"/>
      <w:r>
        <w:t xml:space="preserve"> </w:t>
      </w:r>
      <w:proofErr w:type="spellStart"/>
      <w:r>
        <w:t>Инстеллинген</w:t>
      </w:r>
      <w:proofErr w:type="spellEnd"/>
      <w:r>
        <w:t xml:space="preserve">" (конфедерация управленческого персонала и специалистов </w:t>
      </w:r>
      <w:proofErr w:type="spellStart"/>
      <w:r>
        <w:t>СМХФ</w:t>
      </w:r>
      <w:proofErr w:type="spellEnd"/>
      <w:r>
        <w:t>).</w:t>
      </w:r>
    </w:p>
    <w:p w:rsidR="00000000" w:rsidRDefault="00000000"/>
    <w:p w:rsidR="00000000" w:rsidRDefault="00000000">
      <w:r>
        <w:t>222.</w:t>
      </w:r>
      <w:r>
        <w:tab/>
        <w:t>Помимо этих трех профсоюзных федераций, существуют другие различные профсоюзы, зачастую представляющие небольшие группы трудящихся, такие, как профсоюз водителей и кондукторов общественного транспорта (</w:t>
      </w:r>
      <w:proofErr w:type="spellStart"/>
      <w:r>
        <w:t>ВВМК</w:t>
      </w:r>
      <w:proofErr w:type="spellEnd"/>
      <w:r>
        <w:t>).  Имеются также профсоюзные объединения работников идеологической сферы, такие, как Кальвинистский реформаторский социальный союз (</w:t>
      </w:r>
      <w:proofErr w:type="spellStart"/>
      <w:r>
        <w:t>РМУ</w:t>
      </w:r>
      <w:proofErr w:type="spellEnd"/>
      <w:r>
        <w:t>) и Реформистский социальный альянс (</w:t>
      </w:r>
      <w:proofErr w:type="spellStart"/>
      <w:r>
        <w:t>ГМВ</w:t>
      </w:r>
      <w:proofErr w:type="spellEnd"/>
      <w:r>
        <w:t>), и другие профсоюзы, в частности "</w:t>
      </w:r>
      <w:proofErr w:type="spellStart"/>
      <w:r>
        <w:t>Ланделийке</w:t>
      </w:r>
      <w:proofErr w:type="spellEnd"/>
      <w:r>
        <w:t xml:space="preserve"> </w:t>
      </w:r>
      <w:proofErr w:type="spellStart"/>
      <w:r>
        <w:t>Беланген</w:t>
      </w:r>
      <w:proofErr w:type="spellEnd"/>
      <w:r>
        <w:t xml:space="preserve"> </w:t>
      </w:r>
      <w:proofErr w:type="spellStart"/>
      <w:r>
        <w:t>Веренигинг</w:t>
      </w:r>
      <w:proofErr w:type="spellEnd"/>
      <w:r>
        <w:t>" - национальный независимый профсоюз, представляющий особые категории работников.</w:t>
      </w:r>
    </w:p>
    <w:p w:rsidR="00000000" w:rsidRDefault="00000000"/>
    <w:p w:rsidR="00000000" w:rsidRDefault="00000000">
      <w:r>
        <w:t>223.</w:t>
      </w:r>
      <w:r>
        <w:tab/>
        <w:t>Согласно оценкам, профсоюзы, не входящие в "большую тройку", объединяют в общей сложности 150 000 человек.</w:t>
      </w:r>
    </w:p>
    <w:p w:rsidR="00000000" w:rsidRDefault="00000000"/>
    <w:p w:rsidR="00000000" w:rsidRDefault="00000000">
      <w:pPr>
        <w:jc w:val="center"/>
        <w:rPr>
          <w:b/>
          <w:bCs/>
        </w:rPr>
      </w:pPr>
      <w:r>
        <w:rPr>
          <w:b/>
          <w:bCs/>
        </w:rPr>
        <w:t>3.3.2</w:t>
      </w:r>
      <w:r>
        <w:rPr>
          <w:b/>
          <w:bCs/>
        </w:rPr>
        <w:tab/>
        <w:t xml:space="preserve">  Право на забастовку</w:t>
      </w:r>
    </w:p>
    <w:p w:rsidR="00000000" w:rsidRDefault="00000000">
      <w:pPr>
        <w:jc w:val="center"/>
        <w:rPr>
          <w:b/>
          <w:bCs/>
        </w:rPr>
      </w:pPr>
    </w:p>
    <w:p w:rsidR="00000000" w:rsidRDefault="00000000">
      <w:r>
        <w:t>224.</w:t>
      </w:r>
      <w:r>
        <w:tab/>
        <w:t xml:space="preserve">Что касается права на забастовку, то со времени представления второго доклада каких-либо новых изменений в этой области не произошло.  Вместе с тем следует отметить, что, когда принималась статья 6 Европейской социальной хартии, в голландское законодательство было включено четкое запрещающее положение, которое предусматривает, что правом на коллективные действия обладают не все лица, работающие в государственном секторе.  Для Нидерландов Хартия вступила в силу 22 мая 1980 года одновременно с запрещением для государственных служащих принимать участие в забастовочных действиях.  Предполагалось, что это ограничение будет иметь временный характер, однако оно до сих пор официально не отменено.  В принципе, голландские суды выносят решения о забастовках государственных служащих таким же образом, как и о забастовках в частном секторе. </w:t>
      </w:r>
    </w:p>
    <w:p w:rsidR="00000000" w:rsidRDefault="00000000"/>
    <w:p w:rsidR="00000000" w:rsidRDefault="00000000">
      <w:pPr>
        <w:jc w:val="center"/>
        <w:rPr>
          <w:b/>
          <w:bCs/>
        </w:rPr>
      </w:pPr>
      <w:r>
        <w:rPr>
          <w:b/>
          <w:bCs/>
        </w:rPr>
        <w:t>3.4</w:t>
      </w:r>
      <w:r>
        <w:rPr>
          <w:b/>
          <w:bCs/>
        </w:rPr>
        <w:tab/>
        <w:t>Статья 9</w:t>
      </w:r>
    </w:p>
    <w:p w:rsidR="00000000" w:rsidRDefault="00000000">
      <w:pPr>
        <w:jc w:val="center"/>
        <w:rPr>
          <w:b/>
          <w:bCs/>
        </w:rPr>
      </w:pPr>
    </w:p>
    <w:p w:rsidR="00000000" w:rsidRDefault="00000000">
      <w:pPr>
        <w:jc w:val="center"/>
        <w:rPr>
          <w:b/>
          <w:bCs/>
        </w:rPr>
      </w:pPr>
      <w:r>
        <w:rPr>
          <w:b/>
          <w:bCs/>
        </w:rPr>
        <w:t>3.4.1</w:t>
      </w:r>
      <w:r>
        <w:rPr>
          <w:b/>
          <w:bCs/>
        </w:rPr>
        <w:tab/>
        <w:t xml:space="preserve"> Социальное обеспечение</w:t>
      </w:r>
    </w:p>
    <w:p w:rsidR="00000000" w:rsidRDefault="00000000">
      <w:pPr>
        <w:jc w:val="center"/>
        <w:rPr>
          <w:b/>
          <w:bCs/>
        </w:rPr>
      </w:pPr>
    </w:p>
    <w:p w:rsidR="00000000" w:rsidRDefault="00000000">
      <w:r>
        <w:t>225.</w:t>
      </w:r>
      <w:r>
        <w:tab/>
        <w:t>Нидерландская система социального обеспечения включает следующие компоненты:</w:t>
      </w:r>
    </w:p>
    <w:p w:rsidR="00000000" w:rsidRDefault="00000000"/>
    <w:p w:rsidR="00000000" w:rsidRDefault="00000000">
      <w:r>
        <w:tab/>
        <w:t>-</w:t>
      </w:r>
      <w:r>
        <w:tab/>
        <w:t>медицинскую помощь;</w:t>
      </w:r>
    </w:p>
    <w:p w:rsidR="00000000" w:rsidRDefault="00000000">
      <w:r>
        <w:tab/>
        <w:t>-</w:t>
      </w:r>
      <w:r>
        <w:tab/>
        <w:t>денежные пособия по болезни;</w:t>
      </w:r>
    </w:p>
    <w:p w:rsidR="00000000" w:rsidRDefault="00000000">
      <w:r>
        <w:tab/>
        <w:t>-</w:t>
      </w:r>
      <w:r>
        <w:tab/>
        <w:t>пособия по материнству и родам;</w:t>
      </w:r>
    </w:p>
    <w:p w:rsidR="00000000" w:rsidRDefault="00000000">
      <w:r>
        <w:tab/>
        <w:t>-</w:t>
      </w:r>
      <w:r>
        <w:tab/>
        <w:t>пособия по старости;</w:t>
      </w:r>
    </w:p>
    <w:p w:rsidR="00000000" w:rsidRDefault="00000000">
      <w:r>
        <w:tab/>
        <w:t>-</w:t>
      </w:r>
      <w:r>
        <w:tab/>
        <w:t>пособия по инвалидности;</w:t>
      </w:r>
    </w:p>
    <w:p w:rsidR="00000000" w:rsidRDefault="00000000">
      <w:r>
        <w:tab/>
        <w:t>-</w:t>
      </w:r>
      <w:r>
        <w:tab/>
        <w:t>пособия по утрате кормильца;</w:t>
      </w:r>
    </w:p>
    <w:p w:rsidR="00000000" w:rsidRDefault="00000000">
      <w:r>
        <w:tab/>
        <w:t>-</w:t>
      </w:r>
      <w:r>
        <w:tab/>
        <w:t>пособия по безработице.</w:t>
      </w:r>
    </w:p>
    <w:p w:rsidR="00000000" w:rsidRDefault="00000000"/>
    <w:p w:rsidR="00000000" w:rsidRDefault="00000000">
      <w:r>
        <w:t>Пособия для инвалидов труда предоставляются в рамках общей программы социального обеспечения инвалидов.  Данные об основных характеристиках различных программ, характере и размерах пособий и методах финансирования программ содержатся в прилагаемой брошюре, озаглавленной "Краткий обзор системы социального обеспечения в Нидерландах" (Добавление 6).</w:t>
      </w:r>
    </w:p>
    <w:p w:rsidR="00000000" w:rsidRDefault="00000000"/>
    <w:p w:rsidR="00000000" w:rsidRDefault="00000000">
      <w:pPr>
        <w:jc w:val="center"/>
        <w:rPr>
          <w:b/>
          <w:bCs/>
        </w:rPr>
      </w:pPr>
      <w:r>
        <w:rPr>
          <w:b/>
          <w:bCs/>
        </w:rPr>
        <w:t>3.4.2    Государственные расходы (основные цифры и показатели)</w:t>
      </w:r>
    </w:p>
    <w:p w:rsidR="00000000" w:rsidRDefault="00000000">
      <w:pPr>
        <w:jc w:val="center"/>
        <w:rPr>
          <w:b/>
          <w:bCs/>
        </w:rPr>
      </w:pPr>
    </w:p>
    <w:p w:rsidR="00000000" w:rsidRDefault="00000000">
      <w:r>
        <w:t>226.</w:t>
      </w:r>
      <w:r>
        <w:tab/>
        <w:t xml:space="preserve"> В Нидерландах расходы на цели социального обеспечения, взятые в качестве доли от ВВП, за период 1990-2000 годов сократились с </w:t>
      </w:r>
      <w:proofErr w:type="spellStart"/>
      <w:r>
        <w:t>32,5%</w:t>
      </w:r>
      <w:proofErr w:type="spellEnd"/>
      <w:r>
        <w:t xml:space="preserve"> до </w:t>
      </w:r>
      <w:proofErr w:type="spellStart"/>
      <w:r>
        <w:t>27,4%</w:t>
      </w:r>
      <w:proofErr w:type="spellEnd"/>
      <w:r>
        <w:t xml:space="preserve"> (источник:  </w:t>
      </w:r>
      <w:proofErr w:type="spellStart"/>
      <w:r>
        <w:t>Евростат</w:t>
      </w:r>
      <w:proofErr w:type="spellEnd"/>
      <w:r>
        <w:t xml:space="preserve">, Поступления и расходы в системе социальной защиты).  Последние </w:t>
      </w:r>
      <w:proofErr w:type="spellStart"/>
      <w:r>
        <w:t>международно</w:t>
      </w:r>
      <w:proofErr w:type="spellEnd"/>
      <w:r>
        <w:t xml:space="preserve"> сопоставимые данные в этой области отсутствуют.  Соответствующие показатели разбиты на следующие категории:</w:t>
      </w:r>
    </w:p>
    <w:p w:rsidR="00000000" w:rsidRDefault="00000000"/>
    <w:p w:rsidR="00000000" w:rsidRDefault="00000000">
      <w:r>
        <w:tab/>
        <w:t>-</w:t>
      </w:r>
      <w:r>
        <w:tab/>
        <w:t>лечение заболеваний/медицинский уход;</w:t>
      </w:r>
    </w:p>
    <w:p w:rsidR="00000000" w:rsidRDefault="00000000">
      <w:r>
        <w:tab/>
        <w:t>-</w:t>
      </w:r>
      <w:r>
        <w:tab/>
        <w:t>инвалидность;</w:t>
      </w:r>
    </w:p>
    <w:p w:rsidR="00000000" w:rsidRDefault="00000000">
      <w:r>
        <w:tab/>
        <w:t>-</w:t>
      </w:r>
      <w:r>
        <w:tab/>
        <w:t>пожилой возраст;</w:t>
      </w:r>
    </w:p>
    <w:p w:rsidR="00000000" w:rsidRDefault="00000000">
      <w:r>
        <w:tab/>
        <w:t>-</w:t>
      </w:r>
      <w:r>
        <w:tab/>
        <w:t>семья/дети;</w:t>
      </w:r>
    </w:p>
    <w:p w:rsidR="00000000" w:rsidRDefault="00000000">
      <w:r>
        <w:tab/>
        <w:t>-</w:t>
      </w:r>
      <w:r>
        <w:tab/>
        <w:t>безработица;</w:t>
      </w:r>
    </w:p>
    <w:p w:rsidR="00000000" w:rsidRDefault="00000000">
      <w:r>
        <w:tab/>
        <w:t>-</w:t>
      </w:r>
      <w:r>
        <w:tab/>
        <w:t>жилище;</w:t>
      </w:r>
    </w:p>
    <w:p w:rsidR="00000000" w:rsidRDefault="00000000">
      <w:r>
        <w:tab/>
        <w:t>-</w:t>
      </w:r>
      <w:r>
        <w:tab/>
        <w:t xml:space="preserve">социальная </w:t>
      </w:r>
      <w:proofErr w:type="spellStart"/>
      <w:r>
        <w:t>маргинализация</w:t>
      </w:r>
      <w:proofErr w:type="spellEnd"/>
      <w:r>
        <w:t xml:space="preserve"> и прочее.</w:t>
      </w:r>
    </w:p>
    <w:p w:rsidR="00000000" w:rsidRDefault="00000000">
      <w:pPr>
        <w:rPr>
          <w:lang w:val="en-US"/>
        </w:rPr>
      </w:pPr>
    </w:p>
    <w:p w:rsidR="00000000" w:rsidRDefault="00000000">
      <w:r>
        <w:t>Такое снижение расходов отчасти объясняется проводимой политикой (реформирование системы социального обеспечения), а отчасти - состоянием экономики (более высокий рост и относительно меньшее количество лиц, претендующих на пособия).</w:t>
      </w:r>
    </w:p>
    <w:p w:rsidR="00000000" w:rsidRDefault="00000000"/>
    <w:p w:rsidR="00000000" w:rsidRDefault="00000000">
      <w:pPr>
        <w:spacing w:line="240" w:lineRule="auto"/>
        <w:jc w:val="center"/>
      </w:pPr>
      <w:r>
        <w:rPr>
          <w:b/>
          <w:bCs/>
        </w:rPr>
        <w:t>Таблица 13</w:t>
      </w:r>
    </w:p>
    <w:p w:rsidR="00000000" w:rsidRDefault="00000000">
      <w:pPr>
        <w:spacing w:line="240" w:lineRule="auto"/>
        <w:jc w:val="center"/>
      </w:pPr>
    </w:p>
    <w:p w:rsidR="00000000" w:rsidRDefault="00000000">
      <w:pPr>
        <w:spacing w:line="240" w:lineRule="auto"/>
        <w:jc w:val="center"/>
        <w:rPr>
          <w:b/>
          <w:bCs/>
        </w:rPr>
      </w:pPr>
      <w:r>
        <w:rPr>
          <w:b/>
          <w:bCs/>
        </w:rPr>
        <w:t xml:space="preserve">Расходы на социальную защиту в процентах от ВВП </w:t>
      </w:r>
    </w:p>
    <w:p w:rsidR="00000000" w:rsidRDefault="00000000">
      <w:pPr>
        <w:spacing w:line="240" w:lineRule="auto"/>
        <w:jc w:val="center"/>
      </w:pPr>
    </w:p>
    <w:tbl>
      <w:tblPr>
        <w:tblW w:w="8368" w:type="dxa"/>
        <w:jc w:val="center"/>
        <w:tblInd w:w="1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11"/>
        <w:gridCol w:w="2776"/>
        <w:gridCol w:w="2781"/>
      </w:tblGrid>
      <w:tr w:rsidR="00000000">
        <w:tblPrEx>
          <w:tblCellMar>
            <w:top w:w="0" w:type="dxa"/>
            <w:bottom w:w="0" w:type="dxa"/>
          </w:tblCellMar>
        </w:tblPrEx>
        <w:trPr>
          <w:cantSplit/>
          <w:tblHeader/>
          <w:jc w:val="center"/>
        </w:trPr>
        <w:tc>
          <w:tcPr>
            <w:tcW w:w="2811" w:type="dxa"/>
            <w:vMerge w:val="restart"/>
          </w:tcPr>
          <w:p w:rsidR="00000000" w:rsidRDefault="00000000"/>
        </w:tc>
        <w:tc>
          <w:tcPr>
            <w:tcW w:w="5557" w:type="dxa"/>
            <w:gridSpan w:val="2"/>
          </w:tcPr>
          <w:p w:rsidR="00000000" w:rsidRDefault="00000000">
            <w:pPr>
              <w:jc w:val="center"/>
            </w:pPr>
            <w:r>
              <w:t xml:space="preserve">Расходы на социальную защиту в процентах от </w:t>
            </w:r>
            <w:proofErr w:type="spellStart"/>
            <w:r>
              <w:t>ВВП</w:t>
            </w:r>
            <w:r>
              <w:rPr>
                <w:b/>
                <w:bCs/>
                <w:vertAlign w:val="superscript"/>
              </w:rPr>
              <w:t>1</w:t>
            </w:r>
            <w:proofErr w:type="spellEnd"/>
          </w:p>
        </w:tc>
      </w:tr>
      <w:tr w:rsidR="00000000">
        <w:tblPrEx>
          <w:tblCellMar>
            <w:top w:w="0" w:type="dxa"/>
            <w:bottom w:w="0" w:type="dxa"/>
          </w:tblCellMar>
        </w:tblPrEx>
        <w:trPr>
          <w:cantSplit/>
          <w:tblHeader/>
          <w:jc w:val="center"/>
        </w:trPr>
        <w:tc>
          <w:tcPr>
            <w:tcW w:w="2811" w:type="dxa"/>
            <w:vMerge/>
            <w:tcBorders>
              <w:bottom w:val="single" w:sz="4" w:space="0" w:color="auto"/>
            </w:tcBorders>
          </w:tcPr>
          <w:p w:rsidR="00000000" w:rsidRDefault="00000000"/>
        </w:tc>
        <w:tc>
          <w:tcPr>
            <w:tcW w:w="2776" w:type="dxa"/>
            <w:tcBorders>
              <w:bottom w:val="single" w:sz="4" w:space="0" w:color="auto"/>
            </w:tcBorders>
          </w:tcPr>
          <w:p w:rsidR="00000000" w:rsidRDefault="00000000">
            <w:pPr>
              <w:jc w:val="center"/>
            </w:pPr>
            <w:r>
              <w:t>1990 год</w:t>
            </w:r>
          </w:p>
        </w:tc>
        <w:tc>
          <w:tcPr>
            <w:tcW w:w="2781" w:type="dxa"/>
            <w:tcBorders>
              <w:bottom w:val="single" w:sz="4" w:space="0" w:color="auto"/>
            </w:tcBorders>
          </w:tcPr>
          <w:p w:rsidR="00000000" w:rsidRDefault="00000000">
            <w:pPr>
              <w:jc w:val="center"/>
            </w:pPr>
            <w:r>
              <w:t>2000 год</w:t>
            </w:r>
          </w:p>
        </w:tc>
      </w:tr>
      <w:tr w:rsidR="00000000">
        <w:tblPrEx>
          <w:tblCellMar>
            <w:top w:w="0" w:type="dxa"/>
            <w:bottom w:w="0" w:type="dxa"/>
          </w:tblCellMar>
        </w:tblPrEx>
        <w:trPr>
          <w:cantSplit/>
          <w:jc w:val="center"/>
        </w:trPr>
        <w:tc>
          <w:tcPr>
            <w:tcW w:w="2811" w:type="dxa"/>
            <w:tcBorders>
              <w:bottom w:val="nil"/>
            </w:tcBorders>
          </w:tcPr>
          <w:p w:rsidR="00000000" w:rsidRDefault="00000000">
            <w:r>
              <w:t>Нидерланды</w:t>
            </w:r>
          </w:p>
        </w:tc>
        <w:tc>
          <w:tcPr>
            <w:tcW w:w="2776" w:type="dxa"/>
            <w:tcBorders>
              <w:bottom w:val="nil"/>
            </w:tcBorders>
          </w:tcPr>
          <w:p w:rsidR="00000000" w:rsidRDefault="00000000">
            <w:pPr>
              <w:jc w:val="center"/>
              <w:rPr>
                <w:lang w:val="en-US"/>
              </w:rPr>
            </w:pPr>
            <w:r>
              <w:rPr>
                <w:lang w:val="en-US"/>
              </w:rPr>
              <w:t>32,5</w:t>
            </w:r>
          </w:p>
        </w:tc>
        <w:tc>
          <w:tcPr>
            <w:tcW w:w="2781" w:type="dxa"/>
            <w:tcBorders>
              <w:bottom w:val="nil"/>
            </w:tcBorders>
          </w:tcPr>
          <w:p w:rsidR="00000000" w:rsidRDefault="00000000">
            <w:pPr>
              <w:jc w:val="center"/>
              <w:rPr>
                <w:lang w:val="en-US"/>
              </w:rPr>
            </w:pPr>
            <w:r>
              <w:rPr>
                <w:lang w:val="en-US"/>
              </w:rPr>
              <w:t>27,4</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Германия</w:t>
            </w:r>
          </w:p>
        </w:tc>
        <w:tc>
          <w:tcPr>
            <w:tcW w:w="2776" w:type="dxa"/>
            <w:tcBorders>
              <w:top w:val="nil"/>
              <w:bottom w:val="nil"/>
            </w:tcBorders>
          </w:tcPr>
          <w:p w:rsidR="00000000" w:rsidRDefault="00000000">
            <w:pPr>
              <w:jc w:val="center"/>
              <w:rPr>
                <w:lang w:val="en-US"/>
              </w:rPr>
            </w:pPr>
            <w:r>
              <w:rPr>
                <w:lang w:val="en-US"/>
              </w:rPr>
              <w:t>25,4</w:t>
            </w:r>
          </w:p>
        </w:tc>
        <w:tc>
          <w:tcPr>
            <w:tcW w:w="2781" w:type="dxa"/>
            <w:tcBorders>
              <w:top w:val="nil"/>
              <w:bottom w:val="nil"/>
            </w:tcBorders>
          </w:tcPr>
          <w:p w:rsidR="00000000" w:rsidRDefault="00000000">
            <w:pPr>
              <w:jc w:val="center"/>
              <w:rPr>
                <w:lang w:val="en-US"/>
              </w:rPr>
            </w:pPr>
            <w:r>
              <w:rPr>
                <w:lang w:val="en-US"/>
              </w:rPr>
              <w:t>29,5</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Франция</w:t>
            </w:r>
          </w:p>
        </w:tc>
        <w:tc>
          <w:tcPr>
            <w:tcW w:w="2776" w:type="dxa"/>
            <w:tcBorders>
              <w:top w:val="nil"/>
              <w:bottom w:val="nil"/>
            </w:tcBorders>
          </w:tcPr>
          <w:p w:rsidR="00000000" w:rsidRDefault="00000000">
            <w:pPr>
              <w:jc w:val="center"/>
              <w:rPr>
                <w:lang w:val="en-US"/>
              </w:rPr>
            </w:pPr>
            <w:r>
              <w:rPr>
                <w:lang w:val="en-US"/>
              </w:rPr>
              <w:t>27,9</w:t>
            </w:r>
          </w:p>
        </w:tc>
        <w:tc>
          <w:tcPr>
            <w:tcW w:w="2781" w:type="dxa"/>
            <w:tcBorders>
              <w:top w:val="nil"/>
              <w:bottom w:val="nil"/>
            </w:tcBorders>
          </w:tcPr>
          <w:p w:rsidR="00000000" w:rsidRDefault="00000000">
            <w:pPr>
              <w:jc w:val="center"/>
              <w:rPr>
                <w:lang w:val="en-US"/>
              </w:rPr>
            </w:pPr>
            <w:r>
              <w:rPr>
                <w:lang w:val="en-US"/>
              </w:rPr>
              <w:t>29,7</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Бельгия</w:t>
            </w:r>
          </w:p>
        </w:tc>
        <w:tc>
          <w:tcPr>
            <w:tcW w:w="2776" w:type="dxa"/>
            <w:tcBorders>
              <w:top w:val="nil"/>
              <w:bottom w:val="nil"/>
            </w:tcBorders>
          </w:tcPr>
          <w:p w:rsidR="00000000" w:rsidRDefault="00000000">
            <w:pPr>
              <w:jc w:val="center"/>
              <w:rPr>
                <w:lang w:val="en-US"/>
              </w:rPr>
            </w:pPr>
            <w:r>
              <w:rPr>
                <w:lang w:val="en-US"/>
              </w:rPr>
              <w:t>26,4</w:t>
            </w:r>
          </w:p>
        </w:tc>
        <w:tc>
          <w:tcPr>
            <w:tcW w:w="2781" w:type="dxa"/>
            <w:tcBorders>
              <w:top w:val="nil"/>
              <w:bottom w:val="nil"/>
            </w:tcBorders>
          </w:tcPr>
          <w:p w:rsidR="00000000" w:rsidRDefault="00000000">
            <w:pPr>
              <w:jc w:val="center"/>
              <w:rPr>
                <w:lang w:val="en-US"/>
              </w:rPr>
            </w:pPr>
            <w:r>
              <w:rPr>
                <w:lang w:val="en-US"/>
              </w:rPr>
              <w:t>26,7</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Соединенное Королевство</w:t>
            </w:r>
          </w:p>
        </w:tc>
        <w:tc>
          <w:tcPr>
            <w:tcW w:w="2776" w:type="dxa"/>
            <w:tcBorders>
              <w:top w:val="nil"/>
              <w:bottom w:val="nil"/>
            </w:tcBorders>
          </w:tcPr>
          <w:p w:rsidR="00000000" w:rsidRDefault="00000000">
            <w:pPr>
              <w:jc w:val="center"/>
              <w:rPr>
                <w:lang w:val="en-US"/>
              </w:rPr>
            </w:pPr>
            <w:r>
              <w:rPr>
                <w:lang w:val="en-US"/>
              </w:rPr>
              <w:t>23,0</w:t>
            </w:r>
          </w:p>
        </w:tc>
        <w:tc>
          <w:tcPr>
            <w:tcW w:w="2781" w:type="dxa"/>
            <w:tcBorders>
              <w:top w:val="nil"/>
              <w:bottom w:val="nil"/>
            </w:tcBorders>
          </w:tcPr>
          <w:p w:rsidR="00000000" w:rsidRDefault="00000000">
            <w:pPr>
              <w:jc w:val="center"/>
              <w:rPr>
                <w:lang w:val="en-US"/>
              </w:rPr>
            </w:pPr>
            <w:r>
              <w:rPr>
                <w:lang w:val="en-US"/>
              </w:rPr>
              <w:t>26,8</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Дания</w:t>
            </w:r>
          </w:p>
        </w:tc>
        <w:tc>
          <w:tcPr>
            <w:tcW w:w="2776" w:type="dxa"/>
            <w:tcBorders>
              <w:top w:val="nil"/>
              <w:bottom w:val="nil"/>
            </w:tcBorders>
          </w:tcPr>
          <w:p w:rsidR="00000000" w:rsidRDefault="00000000">
            <w:pPr>
              <w:jc w:val="center"/>
              <w:rPr>
                <w:lang w:val="en-US"/>
              </w:rPr>
            </w:pPr>
            <w:r>
              <w:rPr>
                <w:lang w:val="en-US"/>
              </w:rPr>
              <w:t>28,7</w:t>
            </w:r>
          </w:p>
        </w:tc>
        <w:tc>
          <w:tcPr>
            <w:tcW w:w="2781" w:type="dxa"/>
            <w:tcBorders>
              <w:top w:val="nil"/>
              <w:bottom w:val="nil"/>
            </w:tcBorders>
          </w:tcPr>
          <w:p w:rsidR="00000000" w:rsidRDefault="00000000">
            <w:pPr>
              <w:jc w:val="center"/>
              <w:rPr>
                <w:lang w:val="en-US"/>
              </w:rPr>
            </w:pPr>
            <w:r>
              <w:rPr>
                <w:lang w:val="en-US"/>
              </w:rPr>
              <w:t>28,8</w:t>
            </w:r>
          </w:p>
        </w:tc>
      </w:tr>
      <w:tr w:rsidR="00000000">
        <w:tblPrEx>
          <w:tblCellMar>
            <w:top w:w="0" w:type="dxa"/>
            <w:bottom w:w="0" w:type="dxa"/>
          </w:tblCellMar>
        </w:tblPrEx>
        <w:trPr>
          <w:cantSplit/>
          <w:jc w:val="center"/>
        </w:trPr>
        <w:tc>
          <w:tcPr>
            <w:tcW w:w="2811" w:type="dxa"/>
            <w:tcBorders>
              <w:top w:val="nil"/>
              <w:bottom w:val="single" w:sz="4" w:space="0" w:color="auto"/>
            </w:tcBorders>
          </w:tcPr>
          <w:p w:rsidR="00000000" w:rsidRDefault="00000000">
            <w:r>
              <w:t>Швеция</w:t>
            </w:r>
          </w:p>
        </w:tc>
        <w:tc>
          <w:tcPr>
            <w:tcW w:w="2776" w:type="dxa"/>
            <w:tcBorders>
              <w:top w:val="nil"/>
              <w:bottom w:val="single" w:sz="4" w:space="0" w:color="auto"/>
            </w:tcBorders>
          </w:tcPr>
          <w:p w:rsidR="00000000" w:rsidRDefault="00000000">
            <w:pPr>
              <w:jc w:val="center"/>
              <w:rPr>
                <w:lang w:val="en-US"/>
              </w:rPr>
            </w:pPr>
            <w:r>
              <w:rPr>
                <w:lang w:val="en-US"/>
              </w:rPr>
              <w:t>33,1</w:t>
            </w:r>
          </w:p>
        </w:tc>
        <w:tc>
          <w:tcPr>
            <w:tcW w:w="2781" w:type="dxa"/>
            <w:tcBorders>
              <w:top w:val="nil"/>
              <w:bottom w:val="single" w:sz="4" w:space="0" w:color="auto"/>
            </w:tcBorders>
          </w:tcPr>
          <w:p w:rsidR="00000000" w:rsidRDefault="00000000">
            <w:pPr>
              <w:jc w:val="center"/>
              <w:rPr>
                <w:lang w:val="en-US"/>
              </w:rPr>
            </w:pPr>
            <w:r>
              <w:rPr>
                <w:lang w:val="en-US"/>
              </w:rPr>
              <w:t>32,3</w:t>
            </w:r>
          </w:p>
        </w:tc>
      </w:tr>
      <w:tr w:rsidR="00000000">
        <w:tblPrEx>
          <w:tblCellMar>
            <w:top w:w="0" w:type="dxa"/>
            <w:bottom w:w="0" w:type="dxa"/>
          </w:tblCellMar>
        </w:tblPrEx>
        <w:trPr>
          <w:cantSplit/>
          <w:jc w:val="center"/>
        </w:trPr>
        <w:tc>
          <w:tcPr>
            <w:tcW w:w="2811" w:type="dxa"/>
            <w:tcBorders>
              <w:top w:val="single" w:sz="4" w:space="0" w:color="auto"/>
              <w:bottom w:val="nil"/>
            </w:tcBorders>
          </w:tcPr>
          <w:p w:rsidR="00000000" w:rsidRDefault="00000000">
            <w:r>
              <w:t>Финляндия</w:t>
            </w:r>
          </w:p>
        </w:tc>
        <w:tc>
          <w:tcPr>
            <w:tcW w:w="2776" w:type="dxa"/>
            <w:tcBorders>
              <w:top w:val="single" w:sz="4" w:space="0" w:color="auto"/>
              <w:bottom w:val="nil"/>
            </w:tcBorders>
          </w:tcPr>
          <w:p w:rsidR="00000000" w:rsidRDefault="00000000">
            <w:pPr>
              <w:jc w:val="center"/>
              <w:rPr>
                <w:lang w:val="en-US"/>
              </w:rPr>
            </w:pPr>
            <w:r>
              <w:rPr>
                <w:lang w:val="en-US"/>
              </w:rPr>
              <w:t>25,1</w:t>
            </w:r>
          </w:p>
        </w:tc>
        <w:tc>
          <w:tcPr>
            <w:tcW w:w="2781" w:type="dxa"/>
            <w:tcBorders>
              <w:top w:val="single" w:sz="4" w:space="0" w:color="auto"/>
              <w:bottom w:val="nil"/>
            </w:tcBorders>
          </w:tcPr>
          <w:p w:rsidR="00000000" w:rsidRDefault="00000000">
            <w:pPr>
              <w:jc w:val="center"/>
              <w:rPr>
                <w:lang w:val="en-US"/>
              </w:rPr>
            </w:pPr>
            <w:r>
              <w:rPr>
                <w:lang w:val="en-US"/>
              </w:rPr>
              <w:t>25,2</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Австрия</w:t>
            </w:r>
          </w:p>
        </w:tc>
        <w:tc>
          <w:tcPr>
            <w:tcW w:w="2776" w:type="dxa"/>
            <w:tcBorders>
              <w:top w:val="nil"/>
              <w:bottom w:val="nil"/>
            </w:tcBorders>
          </w:tcPr>
          <w:p w:rsidR="00000000" w:rsidRDefault="00000000">
            <w:pPr>
              <w:jc w:val="center"/>
              <w:rPr>
                <w:lang w:val="en-US"/>
              </w:rPr>
            </w:pPr>
            <w:r>
              <w:rPr>
                <w:lang w:val="en-US"/>
              </w:rPr>
              <w:t>26,7</w:t>
            </w:r>
          </w:p>
        </w:tc>
        <w:tc>
          <w:tcPr>
            <w:tcW w:w="2781" w:type="dxa"/>
            <w:tcBorders>
              <w:top w:val="nil"/>
              <w:bottom w:val="nil"/>
            </w:tcBorders>
          </w:tcPr>
          <w:p w:rsidR="00000000" w:rsidRDefault="00000000">
            <w:pPr>
              <w:jc w:val="center"/>
              <w:rPr>
                <w:lang w:val="en-US"/>
              </w:rPr>
            </w:pPr>
            <w:r>
              <w:rPr>
                <w:lang w:val="en-US"/>
              </w:rPr>
              <w:t>28,7</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Испания</w:t>
            </w:r>
          </w:p>
        </w:tc>
        <w:tc>
          <w:tcPr>
            <w:tcW w:w="2776" w:type="dxa"/>
            <w:tcBorders>
              <w:top w:val="nil"/>
              <w:bottom w:val="nil"/>
            </w:tcBorders>
          </w:tcPr>
          <w:p w:rsidR="00000000" w:rsidRDefault="00000000">
            <w:pPr>
              <w:jc w:val="center"/>
              <w:rPr>
                <w:lang w:val="en-US"/>
              </w:rPr>
            </w:pPr>
            <w:r>
              <w:rPr>
                <w:lang w:val="en-US"/>
              </w:rPr>
              <w:t>19,9</w:t>
            </w:r>
          </w:p>
        </w:tc>
        <w:tc>
          <w:tcPr>
            <w:tcW w:w="2781" w:type="dxa"/>
            <w:tcBorders>
              <w:top w:val="nil"/>
              <w:bottom w:val="nil"/>
            </w:tcBorders>
          </w:tcPr>
          <w:p w:rsidR="00000000" w:rsidRDefault="00000000">
            <w:pPr>
              <w:jc w:val="center"/>
              <w:rPr>
                <w:lang w:val="en-US"/>
              </w:rPr>
            </w:pPr>
            <w:r>
              <w:rPr>
                <w:lang w:val="en-US"/>
              </w:rPr>
              <w:t>20,1</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ЕС</w:t>
            </w:r>
          </w:p>
        </w:tc>
        <w:tc>
          <w:tcPr>
            <w:tcW w:w="2776" w:type="dxa"/>
            <w:tcBorders>
              <w:top w:val="nil"/>
              <w:bottom w:val="nil"/>
            </w:tcBorders>
          </w:tcPr>
          <w:p w:rsidR="00000000" w:rsidRDefault="00000000">
            <w:pPr>
              <w:jc w:val="center"/>
              <w:rPr>
                <w:lang w:val="en-US"/>
              </w:rPr>
            </w:pPr>
            <w:r>
              <w:rPr>
                <w:lang w:val="en-US"/>
              </w:rPr>
              <w:t>25,5</w:t>
            </w:r>
          </w:p>
        </w:tc>
        <w:tc>
          <w:tcPr>
            <w:tcW w:w="2781" w:type="dxa"/>
            <w:tcBorders>
              <w:top w:val="nil"/>
              <w:bottom w:val="nil"/>
            </w:tcBorders>
          </w:tcPr>
          <w:p w:rsidR="00000000" w:rsidRDefault="00000000">
            <w:pPr>
              <w:jc w:val="center"/>
              <w:rPr>
                <w:lang w:val="en-US"/>
              </w:rPr>
            </w:pPr>
            <w:r>
              <w:rPr>
                <w:lang w:val="en-US"/>
              </w:rPr>
              <w:t>27,3</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США</w:t>
            </w:r>
          </w:p>
        </w:tc>
        <w:tc>
          <w:tcPr>
            <w:tcW w:w="2776" w:type="dxa"/>
            <w:tcBorders>
              <w:top w:val="nil"/>
              <w:bottom w:val="nil"/>
            </w:tcBorders>
          </w:tcPr>
          <w:p w:rsidR="00000000" w:rsidRDefault="00000000">
            <w:pPr>
              <w:jc w:val="center"/>
              <w:rPr>
                <w:lang w:val="en-US"/>
              </w:rPr>
            </w:pPr>
            <w:r>
              <w:rPr>
                <w:lang w:val="en-US"/>
              </w:rPr>
              <w:t>-</w:t>
            </w:r>
          </w:p>
        </w:tc>
        <w:tc>
          <w:tcPr>
            <w:tcW w:w="2781" w:type="dxa"/>
            <w:tcBorders>
              <w:top w:val="nil"/>
              <w:bottom w:val="nil"/>
            </w:tcBorders>
          </w:tcPr>
          <w:p w:rsidR="00000000" w:rsidRDefault="00000000">
            <w:pPr>
              <w:jc w:val="center"/>
              <w:rPr>
                <w:lang w:val="en-US"/>
              </w:rPr>
            </w:pPr>
            <w:r>
              <w:rPr>
                <w:lang w:val="en-US"/>
              </w:rPr>
              <w:t>-</w:t>
            </w:r>
          </w:p>
        </w:tc>
      </w:tr>
      <w:tr w:rsidR="00000000">
        <w:tblPrEx>
          <w:tblCellMar>
            <w:top w:w="0" w:type="dxa"/>
            <w:bottom w:w="0" w:type="dxa"/>
          </w:tblCellMar>
        </w:tblPrEx>
        <w:trPr>
          <w:cantSplit/>
          <w:jc w:val="center"/>
        </w:trPr>
        <w:tc>
          <w:tcPr>
            <w:tcW w:w="2811" w:type="dxa"/>
            <w:tcBorders>
              <w:top w:val="nil"/>
              <w:bottom w:val="nil"/>
            </w:tcBorders>
          </w:tcPr>
          <w:p w:rsidR="00000000" w:rsidRDefault="00000000">
            <w:r>
              <w:t>Канада</w:t>
            </w:r>
          </w:p>
        </w:tc>
        <w:tc>
          <w:tcPr>
            <w:tcW w:w="2776" w:type="dxa"/>
            <w:tcBorders>
              <w:top w:val="nil"/>
              <w:bottom w:val="nil"/>
            </w:tcBorders>
          </w:tcPr>
          <w:p w:rsidR="00000000" w:rsidRDefault="00000000">
            <w:pPr>
              <w:jc w:val="center"/>
              <w:rPr>
                <w:lang w:val="en-US"/>
              </w:rPr>
            </w:pPr>
            <w:r>
              <w:rPr>
                <w:lang w:val="en-US"/>
              </w:rPr>
              <w:t>-</w:t>
            </w:r>
          </w:p>
        </w:tc>
        <w:tc>
          <w:tcPr>
            <w:tcW w:w="2781" w:type="dxa"/>
            <w:tcBorders>
              <w:top w:val="nil"/>
              <w:bottom w:val="nil"/>
            </w:tcBorders>
          </w:tcPr>
          <w:p w:rsidR="00000000" w:rsidRDefault="00000000">
            <w:pPr>
              <w:jc w:val="center"/>
              <w:rPr>
                <w:lang w:val="en-US"/>
              </w:rPr>
            </w:pPr>
            <w:r>
              <w:rPr>
                <w:lang w:val="en-US"/>
              </w:rPr>
              <w:t>-</w:t>
            </w:r>
          </w:p>
        </w:tc>
      </w:tr>
      <w:tr w:rsidR="00000000">
        <w:tblPrEx>
          <w:tblCellMar>
            <w:top w:w="0" w:type="dxa"/>
            <w:bottom w:w="0" w:type="dxa"/>
          </w:tblCellMar>
        </w:tblPrEx>
        <w:trPr>
          <w:cantSplit/>
          <w:jc w:val="center"/>
        </w:trPr>
        <w:tc>
          <w:tcPr>
            <w:tcW w:w="2811" w:type="dxa"/>
            <w:tcBorders>
              <w:top w:val="nil"/>
            </w:tcBorders>
          </w:tcPr>
          <w:p w:rsidR="00000000" w:rsidRDefault="00000000">
            <w:r>
              <w:t>Австралия</w:t>
            </w:r>
          </w:p>
        </w:tc>
        <w:tc>
          <w:tcPr>
            <w:tcW w:w="2776" w:type="dxa"/>
            <w:tcBorders>
              <w:top w:val="nil"/>
            </w:tcBorders>
          </w:tcPr>
          <w:p w:rsidR="00000000" w:rsidRDefault="00000000">
            <w:pPr>
              <w:jc w:val="center"/>
              <w:rPr>
                <w:lang w:val="en-US"/>
              </w:rPr>
            </w:pPr>
            <w:r>
              <w:rPr>
                <w:lang w:val="en-US"/>
              </w:rPr>
              <w:t>-</w:t>
            </w:r>
          </w:p>
        </w:tc>
        <w:tc>
          <w:tcPr>
            <w:tcW w:w="2781" w:type="dxa"/>
            <w:tcBorders>
              <w:top w:val="nil"/>
            </w:tcBorders>
          </w:tcPr>
          <w:p w:rsidR="00000000" w:rsidRDefault="00000000">
            <w:pPr>
              <w:jc w:val="center"/>
              <w:rPr>
                <w:lang w:val="en-US"/>
              </w:rPr>
            </w:pPr>
            <w:r>
              <w:rPr>
                <w:lang w:val="en-US"/>
              </w:rPr>
              <w:t>-</w:t>
            </w:r>
          </w:p>
        </w:tc>
      </w:tr>
    </w:tbl>
    <w:p w:rsidR="00000000" w:rsidRDefault="00000000"/>
    <w:p w:rsidR="00000000" w:rsidRDefault="00000000">
      <w:r>
        <w:rPr>
          <w:lang w:val="en-US"/>
        </w:rPr>
        <w:tab/>
      </w:r>
      <w:r>
        <w:tab/>
      </w:r>
      <w:r>
        <w:rPr>
          <w:i/>
          <w:iCs/>
        </w:rPr>
        <w:t>Источник:</w:t>
      </w:r>
      <w:r>
        <w:t xml:space="preserve">  </w:t>
      </w:r>
      <w:proofErr w:type="spellStart"/>
      <w:r>
        <w:t>Евростат</w:t>
      </w:r>
      <w:proofErr w:type="spellEnd"/>
      <w:r>
        <w:t>, поступления и расходы в системе социальной защиты.</w:t>
      </w:r>
    </w:p>
    <w:p w:rsidR="00000000" w:rsidRDefault="00000000"/>
    <w:p w:rsidR="00000000" w:rsidRDefault="00000000">
      <w:pPr>
        <w:spacing w:line="240" w:lineRule="auto"/>
        <w:ind w:left="567" w:hanging="567"/>
      </w:pPr>
      <w:r>
        <w:tab/>
      </w:r>
      <w:r>
        <w:rPr>
          <w:b/>
          <w:bCs/>
          <w:vertAlign w:val="superscript"/>
        </w:rPr>
        <w:t>1</w:t>
      </w:r>
      <w:r>
        <w:tab/>
        <w:t xml:space="preserve">Ежегодно государства - члены ЕС представляют </w:t>
      </w:r>
      <w:proofErr w:type="spellStart"/>
      <w:r>
        <w:t>Евростату</w:t>
      </w:r>
      <w:proofErr w:type="spellEnd"/>
      <w:r>
        <w:t xml:space="preserve"> весьма подробные данные о поступлениях и расходах в системах социальной защиты.  Данные представляются по методу интегрированной Европейской системы статистики социальной защиты (</w:t>
      </w:r>
      <w:proofErr w:type="spellStart"/>
      <w:r>
        <w:t>ЕСССЗ</w:t>
      </w:r>
      <w:proofErr w:type="spellEnd"/>
      <w:r>
        <w:t>).</w:t>
      </w:r>
    </w:p>
    <w:p w:rsidR="00000000" w:rsidRDefault="00000000">
      <w:pPr>
        <w:ind w:left="567" w:hanging="567"/>
        <w:rPr>
          <w:lang w:val="en-US"/>
        </w:rPr>
      </w:pPr>
    </w:p>
    <w:p w:rsidR="00000000" w:rsidRDefault="00000000">
      <w:pPr>
        <w:ind w:left="567" w:hanging="567"/>
        <w:rPr>
          <w:lang w:val="en-US"/>
        </w:rPr>
      </w:pPr>
    </w:p>
    <w:p w:rsidR="00000000" w:rsidRDefault="00000000">
      <w:pPr>
        <w:jc w:val="center"/>
      </w:pPr>
      <w:r>
        <w:rPr>
          <w:b/>
          <w:bCs/>
        </w:rPr>
        <w:t xml:space="preserve">3.4.3 </w:t>
      </w:r>
      <w:r>
        <w:rPr>
          <w:b/>
          <w:bCs/>
          <w:lang w:val="en-US"/>
        </w:rPr>
        <w:t xml:space="preserve">  </w:t>
      </w:r>
      <w:r>
        <w:rPr>
          <w:b/>
          <w:bCs/>
        </w:rPr>
        <w:t xml:space="preserve"> Дополнительное частное страхование</w:t>
      </w:r>
    </w:p>
    <w:p w:rsidR="00000000" w:rsidRDefault="00000000">
      <w:pPr>
        <w:jc w:val="center"/>
      </w:pPr>
    </w:p>
    <w:p w:rsidR="00000000" w:rsidRDefault="00000000">
      <w:r>
        <w:t>227.</w:t>
      </w:r>
      <w:r>
        <w:tab/>
        <w:t>Каждое лицо имеет право, помимо официальной (государственной) системы социального страхования, воспользоваться дополнительным частным страхованием.  С учетом того, что размеры пособий и сфера охвата такого страхования зависят от самых разных факторов (тип страхования, избранная частная страховая компания, размеры страховых взносов, срок страхования), подробно рассмотреть этот вопрос в настоящем документе не представляется возможным.  В этой связи правительство ссылается на производственную и частную пенсионную систему как на пример дополнительного страхования.  Описание такой системы содержится в прилагаемой брошюре, озаглавленной "Система пенсионного обеспечения по старости в Нидерландах" (Добавление 7).</w:t>
      </w:r>
    </w:p>
    <w:p w:rsidR="00000000" w:rsidRDefault="00000000"/>
    <w:p w:rsidR="00000000" w:rsidRDefault="00000000">
      <w:pPr>
        <w:jc w:val="center"/>
        <w:rPr>
          <w:b/>
          <w:bCs/>
        </w:rPr>
      </w:pPr>
      <w:r>
        <w:rPr>
          <w:b/>
          <w:bCs/>
        </w:rPr>
        <w:t>3.4.4</w:t>
      </w:r>
      <w:r>
        <w:rPr>
          <w:b/>
          <w:bCs/>
        </w:rPr>
        <w:tab/>
        <w:t xml:space="preserve">  Группы населения, не имеющие полного доступа к системе</w:t>
      </w:r>
    </w:p>
    <w:p w:rsidR="00000000" w:rsidRDefault="00000000">
      <w:pPr>
        <w:jc w:val="center"/>
      </w:pPr>
      <w:r>
        <w:rPr>
          <w:b/>
          <w:bCs/>
        </w:rPr>
        <w:t>социального обеспечения</w:t>
      </w:r>
    </w:p>
    <w:p w:rsidR="00000000" w:rsidRDefault="00000000"/>
    <w:p w:rsidR="00000000" w:rsidRDefault="00000000">
      <w:r>
        <w:t>228.</w:t>
      </w:r>
      <w:r>
        <w:tab/>
        <w:t>Все резиденты и работающие лица в Нидерландах охвачены страхованием по линии голландской системы социального обеспечения.  Каких-либо различий по признаку гражданства, расы или пола не проводится.</w:t>
      </w:r>
    </w:p>
    <w:p w:rsidR="00000000" w:rsidRDefault="00000000"/>
    <w:p w:rsidR="00000000" w:rsidRDefault="00000000">
      <w:pPr>
        <w:keepNext/>
        <w:jc w:val="center"/>
        <w:rPr>
          <w:b/>
          <w:bCs/>
          <w:lang w:val="en-US"/>
        </w:rPr>
      </w:pPr>
      <w:r>
        <w:rPr>
          <w:b/>
          <w:bCs/>
        </w:rPr>
        <w:t>3.4.5    Изменения в размере пособий и условиях социального</w:t>
      </w:r>
    </w:p>
    <w:p w:rsidR="00000000" w:rsidRDefault="00000000">
      <w:pPr>
        <w:keepNext/>
        <w:jc w:val="center"/>
      </w:pPr>
      <w:r>
        <w:rPr>
          <w:b/>
          <w:bCs/>
        </w:rPr>
        <w:t>страхования</w:t>
      </w:r>
    </w:p>
    <w:p w:rsidR="00000000" w:rsidRDefault="00000000">
      <w:pPr>
        <w:keepNext/>
        <w:jc w:val="center"/>
      </w:pPr>
    </w:p>
    <w:p w:rsidR="00000000" w:rsidRDefault="00000000">
      <w:pPr>
        <w:keepNext/>
      </w:pPr>
      <w:r>
        <w:t>229.</w:t>
      </w:r>
      <w:r>
        <w:tab/>
        <w:t>Со времени предыдущего доклада в сфере социального обеспечения произошли радикальные изменения, которые рассматриваются ниже.</w:t>
      </w:r>
    </w:p>
    <w:p w:rsidR="00000000" w:rsidRDefault="00000000"/>
    <w:p w:rsidR="00000000" w:rsidRDefault="00000000">
      <w:r>
        <w:t>230.</w:t>
      </w:r>
      <w:r>
        <w:tab/>
        <w:t>С 1 января 1996 года существует возможность претендовать на пособие по уходу за детьми только при наличии детей в возрасте до 18 лет, поскольку в принципе учащаяся молодежь в возрасте старше 18 лет имеет право на получение финансовых пособий.  Дополнительная информация по этому вопросу содержится в прилагаемой брошюре, озаглавленной "Краткий обзор системы социального обеспечения в Нидерландах", в частности в разделе, посвященном Общему закону о пособии по уходу за детьми (</w:t>
      </w:r>
      <w:proofErr w:type="spellStart"/>
      <w:r>
        <w:t>ОЗПОД</w:t>
      </w:r>
      <w:proofErr w:type="spellEnd"/>
      <w:r>
        <w:t>) (Добавление 6).</w:t>
      </w:r>
    </w:p>
    <w:p w:rsidR="00000000" w:rsidRDefault="00000000"/>
    <w:p w:rsidR="00000000" w:rsidRDefault="00000000">
      <w:r>
        <w:t>231.</w:t>
      </w:r>
      <w:r>
        <w:tab/>
        <w:t>1 марта 1996 года система выплаты пособий по болезни, регламентируемых Законом о пособиях по болезни (</w:t>
      </w:r>
      <w:proofErr w:type="spellStart"/>
      <w:r>
        <w:t>ЗПБ</w:t>
      </w:r>
      <w:proofErr w:type="spellEnd"/>
      <w:r>
        <w:t xml:space="preserve">), была в значительной мере приватизирована;  с этого момента работодатели юридически обязаны в случае болезни работника продолжать выплачивать ему зарплату на протяжении не менее 52 недель.  В соответствии с Гражданским кодексом Нидерландов работодатели обязаны выплачивать не менее </w:t>
      </w:r>
      <w:proofErr w:type="spellStart"/>
      <w:r>
        <w:t>70%</w:t>
      </w:r>
      <w:proofErr w:type="spellEnd"/>
      <w:r>
        <w:t xml:space="preserve"> заработной платы работника за последний отработанный период или, если эта сумма меньше минимального оклада, - минимальную заработную плату.  Закон о пособиях по болезни продолжает действовать, но только как мера защиты в случаях, когда работодатель, на которого можно возложить ответственность за продолжение выплат, отсутствует.</w:t>
      </w:r>
    </w:p>
    <w:p w:rsidR="00000000" w:rsidRDefault="00000000"/>
    <w:p w:rsidR="00000000" w:rsidRDefault="00000000">
      <w:r>
        <w:t>232.</w:t>
      </w:r>
      <w:r>
        <w:tab/>
        <w:t>1 июля 1996 года вступил в силу Общий закон о переживших кормильца родственниках (</w:t>
      </w:r>
      <w:proofErr w:type="spellStart"/>
      <w:r>
        <w:t>ОЗПКР</w:t>
      </w:r>
      <w:proofErr w:type="spellEnd"/>
      <w:r>
        <w:t>), заменивший собой Закон о вдовах и сиротах (</w:t>
      </w:r>
      <w:proofErr w:type="spellStart"/>
      <w:r>
        <w:t>ЗВС</w:t>
      </w:r>
      <w:proofErr w:type="spellEnd"/>
      <w:r>
        <w:t>).  Одним из важных отличий нового законодательства является то, что супруги и сожительствующие партнеры имеют одинаковые права на пособие.  Более подробная информация об Общем законе о переживших кормильца родственниках, в частности об условиях выплаты пособия, его размерах и т.п., содержится в прилагаемой брошюре "Краткий обзор системы социального обеспечения в Нидерландах" (Добавление 6).</w:t>
      </w:r>
    </w:p>
    <w:p w:rsidR="00000000" w:rsidRDefault="00000000"/>
    <w:p w:rsidR="00000000" w:rsidRDefault="00000000">
      <w:r>
        <w:t>233.</w:t>
      </w:r>
      <w:r>
        <w:tab/>
        <w:t>1 января 1998 года вступили в силу Закон о пособиях по инвалидности для самостоятельно занятых лиц (</w:t>
      </w:r>
      <w:proofErr w:type="spellStart"/>
      <w:r>
        <w:t>ЗПИСЗ</w:t>
      </w:r>
      <w:proofErr w:type="spellEnd"/>
      <w:r>
        <w:t>) и Закон о помощи молодым инвалидам (</w:t>
      </w:r>
      <w:proofErr w:type="spellStart"/>
      <w:r>
        <w:t>ЗПМИ</w:t>
      </w:r>
      <w:proofErr w:type="spellEnd"/>
      <w:r>
        <w:t>), заменившие собой Общий закон о пенсиях по инвалидности (</w:t>
      </w:r>
      <w:proofErr w:type="spellStart"/>
      <w:r>
        <w:t>ОЗПИ</w:t>
      </w:r>
      <w:proofErr w:type="spellEnd"/>
      <w:r>
        <w:t>).  Закон о пособиях по инвалидности для самостоятельно занятых лиц гарантирует сохранение дохода в случае длительной нетрудоспособности самостоятельно занятых лиц, супругов, работающих в домашнем хозяйстве, и лиц свободных профессий.  Закон о помощи молодым инвалидам предусматривает выплату минимального пособия для инвалидов в молодом возрасте.  Подробнее см. прилагаемую брошюру "Краткий обзор системы социального обеспечения в Нидерландах" (Добавление 6).</w:t>
      </w:r>
    </w:p>
    <w:p w:rsidR="00000000" w:rsidRDefault="00000000"/>
    <w:p w:rsidR="00000000" w:rsidRDefault="00000000">
      <w:r>
        <w:t>234.</w:t>
      </w:r>
      <w:r>
        <w:tab/>
        <w:t xml:space="preserve">Закон о </w:t>
      </w:r>
      <w:proofErr w:type="spellStart"/>
      <w:r>
        <w:t>реинтеграции</w:t>
      </w:r>
      <w:proofErr w:type="spellEnd"/>
      <w:r>
        <w:t xml:space="preserve"> инвалидов в сфере труда (ЗРИТ) вступил в силу 1 июля 1998 года.  С его помощью государство стремится расширить возможности трудоустройства лиц с ограниченной трудоспособностью и свести к минимуму финансовые риски для работодателей, принимающих на работу таких лиц.  Закон также предусматривает выплату компенсации в связи с любыми дополнительными расходами, понесенными в процессе адаптации рабочего места и т.п.  Дополнительную информацию см. в прилагаемой брошюре "</w:t>
      </w:r>
      <w:proofErr w:type="spellStart"/>
      <w:r>
        <w:rPr>
          <w:lang w:val="en-US"/>
        </w:rPr>
        <w:t>Regelingen</w:t>
      </w:r>
      <w:proofErr w:type="spellEnd"/>
      <w:r>
        <w:t xml:space="preserve"> </w:t>
      </w:r>
      <w:proofErr w:type="spellStart"/>
      <w:r>
        <w:rPr>
          <w:lang w:val="en-US"/>
        </w:rPr>
        <w:t>rond</w:t>
      </w:r>
      <w:proofErr w:type="spellEnd"/>
      <w:r>
        <w:t xml:space="preserve"> </w:t>
      </w:r>
      <w:r>
        <w:rPr>
          <w:lang w:val="en-US"/>
        </w:rPr>
        <w:t>re</w:t>
      </w:r>
      <w:proofErr w:type="spellStart"/>
      <w:r>
        <w:t>ï</w:t>
      </w:r>
      <w:r>
        <w:rPr>
          <w:lang w:val="en-US"/>
        </w:rPr>
        <w:t>ntegratie</w:t>
      </w:r>
      <w:proofErr w:type="spellEnd"/>
      <w:r>
        <w:t>" (имеется только на голландском языке) (Добавление 8).</w:t>
      </w:r>
    </w:p>
    <w:p w:rsidR="00000000" w:rsidRDefault="00000000"/>
    <w:p w:rsidR="00000000" w:rsidRDefault="00000000">
      <w:r>
        <w:t>235.</w:t>
      </w:r>
      <w:r>
        <w:tab/>
        <w:t>1 января 2002 года в программы социального страхования были внесены кардинальные изменения.  Региональные бюро по трудоустройству были преобразованы в Региональные центры труда и дохода (</w:t>
      </w:r>
      <w:proofErr w:type="spellStart"/>
      <w:r>
        <w:t>ЦТД</w:t>
      </w:r>
      <w:proofErr w:type="spellEnd"/>
      <w:r>
        <w:t xml:space="preserve">).  На </w:t>
      </w:r>
      <w:proofErr w:type="spellStart"/>
      <w:r>
        <w:t>ЦТД</w:t>
      </w:r>
      <w:proofErr w:type="spellEnd"/>
      <w:r>
        <w:t xml:space="preserve"> были также возложены некоторые задачи муниципалитетов и органов, занимающихся программами страхования.  Помимо этого, органы, занятые выполнением программ страхования трудящихся, были объединены под эгидой головной организации - Органа по осуществлению программ страхования трудящихся (ОСТ).  Кроме того, для привлечения к этой деятельности трудящихся, работодателей и муниципалитетов был создан Совет по вопросам труда и дохода (</w:t>
      </w:r>
      <w:proofErr w:type="spellStart"/>
      <w:r>
        <w:t>СТД</w:t>
      </w:r>
      <w:proofErr w:type="spellEnd"/>
      <w:r>
        <w:t xml:space="preserve">).  </w:t>
      </w:r>
      <w:proofErr w:type="spellStart"/>
      <w:r>
        <w:t>СТД</w:t>
      </w:r>
      <w:proofErr w:type="spellEnd"/>
      <w:r>
        <w:t xml:space="preserve"> консультирует министра социальных дел и по вопросам занятости в отношении проблем, связанных с трудом и доходом, а также предоставляет субсидии компаниям, поощряющим </w:t>
      </w:r>
      <w:proofErr w:type="spellStart"/>
      <w:r>
        <w:t>реинтеграцию</w:t>
      </w:r>
      <w:proofErr w:type="spellEnd"/>
      <w:r>
        <w:t xml:space="preserve"> безработных и бенефициаров в системы социального обеспечения.</w:t>
      </w:r>
    </w:p>
    <w:p w:rsidR="00000000" w:rsidRDefault="00000000"/>
    <w:p w:rsidR="00000000" w:rsidRDefault="00000000">
      <w:r>
        <w:t>236.</w:t>
      </w:r>
      <w:r>
        <w:tab/>
        <w:t>1 января 2002 года вступил в силу Закон об ограничениях на перевод пособий за границу (</w:t>
      </w:r>
      <w:proofErr w:type="spellStart"/>
      <w:r>
        <w:t>ЗОПЗ</w:t>
      </w:r>
      <w:proofErr w:type="spellEnd"/>
      <w:r>
        <w:t>).  Согласно этому Закону с 1 января 2000 года право на пособие имеют только лица, проживающие в Нидерландах или в стране, с которой правительство подписало двусторонний или многосторонний договор, предусматривающий контроль за обоснованностью таких выплат.  Эти ограничения не касаются резидентов стран Европейского союза или стран, входящих в Европейскую экономическую зону (</w:t>
      </w:r>
      <w:proofErr w:type="spellStart"/>
      <w:r>
        <w:t>ЕЭЗ</w:t>
      </w:r>
      <w:proofErr w:type="spellEnd"/>
      <w:r>
        <w:t>).  По состоянию на июнь 2003 года, подобные двусторонние соглашения были заключены с 35 странами, и в стадии подготовки находились еще 49 соглашений.</w:t>
      </w:r>
    </w:p>
    <w:p w:rsidR="00000000" w:rsidRDefault="00000000"/>
    <w:p w:rsidR="00000000" w:rsidRDefault="00000000">
      <w:r>
        <w:t>237.</w:t>
      </w:r>
      <w:r>
        <w:tab/>
        <w:t>В 1996 году был принят новый Закон о государственной помощи (</w:t>
      </w:r>
      <w:proofErr w:type="spellStart"/>
      <w:r>
        <w:t>ЗГП</w:t>
      </w:r>
      <w:proofErr w:type="spellEnd"/>
      <w:r>
        <w:t>), который предусматривает обеспечение минимального дохода для всех лиц, на законных основаниях проживающих в Нидерландах и не располагающих достаточными финансовыми ресурсами для удовлетворения своих основных жизненных потребностей.  Цель социальной помощи состоит в том, чтобы предоставить отдельным лицам и семьям средства к существованию.  Им предоставляются средства в полном объеме без ограничения в расходах.  В голландской системе социального обеспечения Закон о государственной помощи играет роль механизма экономической безопасности.  Он обеспечивает доход, когда все остальные усилия оказываются безуспешными.</w:t>
      </w:r>
    </w:p>
    <w:p w:rsidR="00000000" w:rsidRDefault="00000000"/>
    <w:p w:rsidR="00000000" w:rsidRDefault="00000000">
      <w:r>
        <w:t>238.</w:t>
      </w:r>
      <w:r>
        <w:tab/>
        <w:t xml:space="preserve">Пособия по линии социальной помощи предоставляются после проверки нуждаемости и доходов партнеров.  Основной принцип заключается в том, что каждый человек обязан обеспечивать себя в пределах своих возможностей.  В целом претенденты на получение социального пособия должны выполнить ряд обязательств.  Например, они должны зарегистрироваться в государственном бюро труда, вести активный поиск работы и стремиться к участию в системе профессиональной подготовки и, по мере необходимости, участвовать в других формах </w:t>
      </w:r>
      <w:proofErr w:type="spellStart"/>
      <w:r>
        <w:t>реинтеграции</w:t>
      </w:r>
      <w:proofErr w:type="spellEnd"/>
      <w:r>
        <w:t>.  Претенденты на получение социального пособия в обязательном порядке охватываются медицинским страхованием в соответствии с Постановлением об обязательном страховании (Закон о медицинском страховании).  Решения страхового учреждения могут быть оспорены и обжалованы.</w:t>
      </w:r>
    </w:p>
    <w:p w:rsidR="00000000" w:rsidRDefault="00000000"/>
    <w:p w:rsidR="00000000" w:rsidRDefault="00000000">
      <w:pPr>
        <w:spacing w:line="240" w:lineRule="auto"/>
        <w:jc w:val="center"/>
        <w:rPr>
          <w:b/>
          <w:bCs/>
        </w:rPr>
      </w:pPr>
      <w:r>
        <w:rPr>
          <w:b/>
          <w:bCs/>
        </w:rPr>
        <w:t>Таблица 14</w:t>
      </w:r>
    </w:p>
    <w:p w:rsidR="00000000" w:rsidRDefault="00000000">
      <w:pPr>
        <w:spacing w:line="240" w:lineRule="auto"/>
        <w:jc w:val="center"/>
        <w:rPr>
          <w:b/>
          <w:bCs/>
        </w:rPr>
      </w:pPr>
    </w:p>
    <w:p w:rsidR="00000000" w:rsidRDefault="00000000">
      <w:pPr>
        <w:spacing w:line="240" w:lineRule="auto"/>
        <w:jc w:val="center"/>
        <w:rPr>
          <w:b/>
          <w:bCs/>
        </w:rPr>
      </w:pPr>
      <w:r>
        <w:rPr>
          <w:b/>
          <w:bCs/>
        </w:rPr>
        <w:t>Расходы в соответствии с Законом о государственной помощи (</w:t>
      </w:r>
      <w:proofErr w:type="spellStart"/>
      <w:r>
        <w:rPr>
          <w:b/>
          <w:bCs/>
        </w:rPr>
        <w:t>ЗГП</w:t>
      </w:r>
      <w:proofErr w:type="spellEnd"/>
      <w:r>
        <w:rPr>
          <w:b/>
          <w:bCs/>
        </w:rPr>
        <w:t xml:space="preserve">) (в </w:t>
      </w:r>
      <w:proofErr w:type="spellStart"/>
      <w:r>
        <w:rPr>
          <w:b/>
          <w:bCs/>
        </w:rPr>
        <w:t>евро</w:t>
      </w:r>
      <w:proofErr w:type="spellEnd"/>
      <w:r>
        <w:rPr>
          <w:b/>
          <w:bCs/>
        </w:rPr>
        <w:t>)</w:t>
      </w:r>
    </w:p>
    <w:p w:rsidR="00000000" w:rsidRDefault="00000000">
      <w:pPr>
        <w:spacing w:line="240" w:lineRule="auto"/>
        <w:jc w:val="center"/>
        <w:rPr>
          <w:b/>
          <w:bC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284" w:type="dxa"/>
        </w:tblCellMar>
        <w:tblLook w:val="01E0" w:firstRow="1" w:lastRow="1" w:firstColumn="1" w:lastColumn="1" w:noHBand="0" w:noVBand="0"/>
      </w:tblPr>
      <w:tblGrid>
        <w:gridCol w:w="1746"/>
        <w:gridCol w:w="1077"/>
        <w:gridCol w:w="1077"/>
        <w:gridCol w:w="1078"/>
        <w:gridCol w:w="1077"/>
        <w:gridCol w:w="1078"/>
        <w:gridCol w:w="1077"/>
        <w:gridCol w:w="1078"/>
      </w:tblGrid>
      <w:tr w:rsidR="00000000">
        <w:tblPrEx>
          <w:tblCellMar>
            <w:top w:w="0" w:type="dxa"/>
            <w:bottom w:w="0" w:type="dxa"/>
          </w:tblCellMar>
        </w:tblPrEx>
        <w:tc>
          <w:tcPr>
            <w:tcW w:w="1746" w:type="dxa"/>
            <w:tcMar>
              <w:right w:w="68" w:type="dxa"/>
            </w:tcMar>
          </w:tcPr>
          <w:p w:rsidR="00000000" w:rsidRDefault="00000000">
            <w:pPr>
              <w:spacing w:line="240" w:lineRule="auto"/>
            </w:pPr>
            <w:r>
              <w:t>Вид пособия</w:t>
            </w:r>
          </w:p>
        </w:tc>
        <w:tc>
          <w:tcPr>
            <w:tcW w:w="1077" w:type="dxa"/>
          </w:tcPr>
          <w:p w:rsidR="00000000" w:rsidRDefault="00000000">
            <w:pPr>
              <w:spacing w:line="240" w:lineRule="auto"/>
              <w:jc w:val="center"/>
            </w:pPr>
            <w:r>
              <w:t>1996</w:t>
            </w:r>
          </w:p>
        </w:tc>
        <w:tc>
          <w:tcPr>
            <w:tcW w:w="1077" w:type="dxa"/>
          </w:tcPr>
          <w:p w:rsidR="00000000" w:rsidRDefault="00000000">
            <w:pPr>
              <w:spacing w:line="240" w:lineRule="auto"/>
              <w:jc w:val="center"/>
            </w:pPr>
            <w:r>
              <w:t>1997</w:t>
            </w:r>
          </w:p>
        </w:tc>
        <w:tc>
          <w:tcPr>
            <w:tcW w:w="1078" w:type="dxa"/>
          </w:tcPr>
          <w:p w:rsidR="00000000" w:rsidRDefault="00000000">
            <w:pPr>
              <w:spacing w:line="240" w:lineRule="auto"/>
              <w:jc w:val="center"/>
            </w:pPr>
            <w:r>
              <w:t>1998</w:t>
            </w:r>
          </w:p>
        </w:tc>
        <w:tc>
          <w:tcPr>
            <w:tcW w:w="1077" w:type="dxa"/>
          </w:tcPr>
          <w:p w:rsidR="00000000" w:rsidRDefault="00000000">
            <w:pPr>
              <w:spacing w:line="240" w:lineRule="auto"/>
              <w:jc w:val="center"/>
            </w:pPr>
            <w:r>
              <w:t>1999</w:t>
            </w:r>
          </w:p>
        </w:tc>
        <w:tc>
          <w:tcPr>
            <w:tcW w:w="1078" w:type="dxa"/>
          </w:tcPr>
          <w:p w:rsidR="00000000" w:rsidRDefault="00000000">
            <w:pPr>
              <w:spacing w:line="240" w:lineRule="auto"/>
              <w:jc w:val="center"/>
            </w:pPr>
            <w:r>
              <w:t>2000</w:t>
            </w:r>
          </w:p>
        </w:tc>
        <w:tc>
          <w:tcPr>
            <w:tcW w:w="1077" w:type="dxa"/>
          </w:tcPr>
          <w:p w:rsidR="00000000" w:rsidRDefault="00000000">
            <w:pPr>
              <w:spacing w:line="240" w:lineRule="auto"/>
              <w:jc w:val="center"/>
            </w:pPr>
            <w:r>
              <w:t>2001</w:t>
            </w:r>
          </w:p>
        </w:tc>
        <w:tc>
          <w:tcPr>
            <w:tcW w:w="1078" w:type="dxa"/>
          </w:tcPr>
          <w:p w:rsidR="00000000" w:rsidRDefault="00000000">
            <w:pPr>
              <w:spacing w:line="240" w:lineRule="auto"/>
              <w:jc w:val="center"/>
            </w:pPr>
            <w:r>
              <w:t>2002</w:t>
            </w:r>
          </w:p>
        </w:tc>
      </w:tr>
      <w:tr w:rsidR="00000000">
        <w:tblPrEx>
          <w:tblCellMar>
            <w:top w:w="0" w:type="dxa"/>
            <w:bottom w:w="0" w:type="dxa"/>
          </w:tblCellMar>
        </w:tblPrEx>
        <w:trPr>
          <w:trHeight w:val="151"/>
        </w:trPr>
        <w:tc>
          <w:tcPr>
            <w:tcW w:w="1746" w:type="dxa"/>
            <w:tcMar>
              <w:right w:w="68" w:type="dxa"/>
            </w:tcMar>
          </w:tcPr>
          <w:p w:rsidR="00000000" w:rsidRDefault="00000000">
            <w:pPr>
              <w:spacing w:line="240" w:lineRule="auto"/>
            </w:pPr>
          </w:p>
        </w:tc>
        <w:tc>
          <w:tcPr>
            <w:tcW w:w="1077" w:type="dxa"/>
          </w:tcPr>
          <w:p w:rsidR="00000000" w:rsidRDefault="00000000">
            <w:pPr>
              <w:spacing w:line="240" w:lineRule="auto"/>
            </w:pPr>
          </w:p>
        </w:tc>
        <w:tc>
          <w:tcPr>
            <w:tcW w:w="1077" w:type="dxa"/>
          </w:tcPr>
          <w:p w:rsidR="00000000" w:rsidRDefault="00000000">
            <w:pPr>
              <w:spacing w:line="240" w:lineRule="auto"/>
            </w:pPr>
          </w:p>
        </w:tc>
        <w:tc>
          <w:tcPr>
            <w:tcW w:w="1078" w:type="dxa"/>
          </w:tcPr>
          <w:p w:rsidR="00000000" w:rsidRDefault="00000000">
            <w:pPr>
              <w:spacing w:line="240" w:lineRule="auto"/>
            </w:pPr>
          </w:p>
        </w:tc>
        <w:tc>
          <w:tcPr>
            <w:tcW w:w="1077" w:type="dxa"/>
          </w:tcPr>
          <w:p w:rsidR="00000000" w:rsidRDefault="00000000">
            <w:pPr>
              <w:spacing w:line="240" w:lineRule="auto"/>
            </w:pPr>
          </w:p>
        </w:tc>
        <w:tc>
          <w:tcPr>
            <w:tcW w:w="1078" w:type="dxa"/>
          </w:tcPr>
          <w:p w:rsidR="00000000" w:rsidRDefault="00000000">
            <w:pPr>
              <w:spacing w:line="240" w:lineRule="auto"/>
            </w:pPr>
          </w:p>
        </w:tc>
        <w:tc>
          <w:tcPr>
            <w:tcW w:w="1077" w:type="dxa"/>
          </w:tcPr>
          <w:p w:rsidR="00000000" w:rsidRDefault="00000000">
            <w:pPr>
              <w:spacing w:line="240" w:lineRule="auto"/>
            </w:pPr>
          </w:p>
        </w:tc>
        <w:tc>
          <w:tcPr>
            <w:tcW w:w="1078" w:type="dxa"/>
          </w:tcPr>
          <w:p w:rsidR="00000000" w:rsidRDefault="00000000">
            <w:pPr>
              <w:spacing w:line="240" w:lineRule="auto"/>
            </w:pPr>
          </w:p>
        </w:tc>
      </w:tr>
      <w:tr w:rsidR="00000000">
        <w:tblPrEx>
          <w:tblCellMar>
            <w:top w:w="0" w:type="dxa"/>
            <w:bottom w:w="0" w:type="dxa"/>
          </w:tblCellMar>
        </w:tblPrEx>
        <w:tc>
          <w:tcPr>
            <w:tcW w:w="1746" w:type="dxa"/>
            <w:tcMar>
              <w:right w:w="68" w:type="dxa"/>
            </w:tcMar>
          </w:tcPr>
          <w:p w:rsidR="00000000" w:rsidRDefault="00000000">
            <w:pPr>
              <w:spacing w:line="240" w:lineRule="auto"/>
            </w:pPr>
            <w:proofErr w:type="spellStart"/>
            <w:r>
              <w:t>ЗГП</w:t>
            </w:r>
            <w:proofErr w:type="spellEnd"/>
            <w:r>
              <w:t xml:space="preserve"> (в млн.)</w:t>
            </w:r>
          </w:p>
        </w:tc>
        <w:tc>
          <w:tcPr>
            <w:tcW w:w="1077" w:type="dxa"/>
          </w:tcPr>
          <w:p w:rsidR="00000000" w:rsidRDefault="00000000">
            <w:pPr>
              <w:tabs>
                <w:tab w:val="clear" w:pos="567"/>
              </w:tabs>
              <w:spacing w:line="240" w:lineRule="auto"/>
              <w:ind w:right="109"/>
              <w:jc w:val="right"/>
            </w:pPr>
            <w:r>
              <w:t>4 936</w:t>
            </w:r>
          </w:p>
        </w:tc>
        <w:tc>
          <w:tcPr>
            <w:tcW w:w="1077" w:type="dxa"/>
          </w:tcPr>
          <w:p w:rsidR="00000000" w:rsidRDefault="00000000">
            <w:pPr>
              <w:spacing w:line="240" w:lineRule="auto"/>
              <w:ind w:right="109"/>
              <w:jc w:val="right"/>
            </w:pPr>
            <w:r>
              <w:t>4 770</w:t>
            </w:r>
          </w:p>
        </w:tc>
        <w:tc>
          <w:tcPr>
            <w:tcW w:w="1078" w:type="dxa"/>
          </w:tcPr>
          <w:p w:rsidR="00000000" w:rsidRDefault="00000000">
            <w:pPr>
              <w:spacing w:line="240" w:lineRule="auto"/>
              <w:ind w:right="109"/>
              <w:jc w:val="right"/>
            </w:pPr>
            <w:r>
              <w:t>4 292</w:t>
            </w:r>
          </w:p>
        </w:tc>
        <w:tc>
          <w:tcPr>
            <w:tcW w:w="1077" w:type="dxa"/>
          </w:tcPr>
          <w:p w:rsidR="00000000" w:rsidRDefault="00000000">
            <w:pPr>
              <w:spacing w:line="240" w:lineRule="auto"/>
              <w:ind w:right="109"/>
              <w:jc w:val="right"/>
            </w:pPr>
            <w:r>
              <w:t>4 105</w:t>
            </w:r>
          </w:p>
        </w:tc>
        <w:tc>
          <w:tcPr>
            <w:tcW w:w="1078" w:type="dxa"/>
          </w:tcPr>
          <w:p w:rsidR="00000000" w:rsidRDefault="00000000">
            <w:pPr>
              <w:spacing w:line="240" w:lineRule="auto"/>
              <w:ind w:right="109"/>
              <w:jc w:val="right"/>
            </w:pPr>
            <w:r>
              <w:t>3 986</w:t>
            </w:r>
          </w:p>
        </w:tc>
        <w:tc>
          <w:tcPr>
            <w:tcW w:w="1077" w:type="dxa"/>
          </w:tcPr>
          <w:p w:rsidR="00000000" w:rsidRDefault="00000000">
            <w:pPr>
              <w:spacing w:line="240" w:lineRule="auto"/>
              <w:ind w:right="109"/>
              <w:jc w:val="right"/>
            </w:pPr>
            <w:r>
              <w:t>4 018</w:t>
            </w:r>
          </w:p>
        </w:tc>
        <w:tc>
          <w:tcPr>
            <w:tcW w:w="1078" w:type="dxa"/>
          </w:tcPr>
          <w:p w:rsidR="00000000" w:rsidRDefault="00000000">
            <w:pPr>
              <w:spacing w:line="240" w:lineRule="auto"/>
              <w:ind w:right="109"/>
              <w:jc w:val="right"/>
            </w:pPr>
            <w:r>
              <w:t>4 350</w:t>
            </w:r>
          </w:p>
        </w:tc>
      </w:tr>
      <w:tr w:rsidR="00000000">
        <w:tblPrEx>
          <w:tblCellMar>
            <w:top w:w="0" w:type="dxa"/>
            <w:bottom w:w="0" w:type="dxa"/>
          </w:tblCellMar>
        </w:tblPrEx>
        <w:tc>
          <w:tcPr>
            <w:tcW w:w="1746" w:type="dxa"/>
            <w:tcMar>
              <w:right w:w="68" w:type="dxa"/>
            </w:tcMar>
          </w:tcPr>
          <w:p w:rsidR="00000000" w:rsidRDefault="00000000">
            <w:pPr>
              <w:spacing w:line="240" w:lineRule="auto"/>
            </w:pPr>
            <w:proofErr w:type="spellStart"/>
            <w:r>
              <w:t>ЗДПБ</w:t>
            </w:r>
            <w:proofErr w:type="spellEnd"/>
            <w:r>
              <w:t>/</w:t>
            </w:r>
            <w:proofErr w:type="spellStart"/>
            <w:r>
              <w:t>ЗДПС</w:t>
            </w:r>
            <w:proofErr w:type="spellEnd"/>
          </w:p>
          <w:p w:rsidR="00000000" w:rsidRDefault="00000000">
            <w:pPr>
              <w:spacing w:line="240" w:lineRule="auto"/>
            </w:pPr>
            <w:r>
              <w:t>(в млн.)</w:t>
            </w:r>
          </w:p>
        </w:tc>
        <w:tc>
          <w:tcPr>
            <w:tcW w:w="1077" w:type="dxa"/>
          </w:tcPr>
          <w:p w:rsidR="00000000" w:rsidRDefault="00000000">
            <w:pPr>
              <w:tabs>
                <w:tab w:val="clear" w:pos="567"/>
              </w:tabs>
              <w:spacing w:line="240" w:lineRule="auto"/>
              <w:ind w:right="109"/>
              <w:jc w:val="right"/>
            </w:pPr>
            <w:r>
              <w:t>520</w:t>
            </w:r>
          </w:p>
        </w:tc>
        <w:tc>
          <w:tcPr>
            <w:tcW w:w="1077" w:type="dxa"/>
          </w:tcPr>
          <w:p w:rsidR="00000000" w:rsidRDefault="00000000">
            <w:pPr>
              <w:tabs>
                <w:tab w:val="clear" w:pos="567"/>
              </w:tabs>
              <w:spacing w:line="240" w:lineRule="auto"/>
              <w:ind w:right="109"/>
              <w:jc w:val="right"/>
            </w:pPr>
            <w:r>
              <w:t>238</w:t>
            </w:r>
          </w:p>
        </w:tc>
        <w:tc>
          <w:tcPr>
            <w:tcW w:w="1078" w:type="dxa"/>
          </w:tcPr>
          <w:p w:rsidR="00000000" w:rsidRDefault="00000000">
            <w:pPr>
              <w:tabs>
                <w:tab w:val="clear" w:pos="567"/>
              </w:tabs>
              <w:spacing w:line="240" w:lineRule="auto"/>
              <w:ind w:right="109"/>
              <w:jc w:val="right"/>
            </w:pPr>
            <w:r>
              <w:t>231</w:t>
            </w:r>
          </w:p>
        </w:tc>
        <w:tc>
          <w:tcPr>
            <w:tcW w:w="1077" w:type="dxa"/>
          </w:tcPr>
          <w:p w:rsidR="00000000" w:rsidRDefault="00000000">
            <w:pPr>
              <w:tabs>
                <w:tab w:val="clear" w:pos="567"/>
              </w:tabs>
              <w:spacing w:line="240" w:lineRule="auto"/>
              <w:ind w:right="109"/>
              <w:jc w:val="right"/>
            </w:pPr>
            <w:r>
              <w:t>248</w:t>
            </w:r>
          </w:p>
        </w:tc>
        <w:tc>
          <w:tcPr>
            <w:tcW w:w="1078" w:type="dxa"/>
          </w:tcPr>
          <w:p w:rsidR="00000000" w:rsidRDefault="00000000">
            <w:pPr>
              <w:tabs>
                <w:tab w:val="clear" w:pos="567"/>
              </w:tabs>
              <w:spacing w:line="240" w:lineRule="auto"/>
              <w:ind w:right="109"/>
              <w:jc w:val="right"/>
            </w:pPr>
            <w:r>
              <w:t>254</w:t>
            </w:r>
          </w:p>
        </w:tc>
        <w:tc>
          <w:tcPr>
            <w:tcW w:w="1077" w:type="dxa"/>
          </w:tcPr>
          <w:p w:rsidR="00000000" w:rsidRDefault="00000000">
            <w:pPr>
              <w:tabs>
                <w:tab w:val="clear" w:pos="567"/>
              </w:tabs>
              <w:spacing w:line="240" w:lineRule="auto"/>
              <w:ind w:right="109"/>
              <w:jc w:val="right"/>
            </w:pPr>
            <w:r>
              <w:t>248</w:t>
            </w:r>
          </w:p>
        </w:tc>
        <w:tc>
          <w:tcPr>
            <w:tcW w:w="1078" w:type="dxa"/>
          </w:tcPr>
          <w:p w:rsidR="00000000" w:rsidRDefault="00000000">
            <w:pPr>
              <w:tabs>
                <w:tab w:val="clear" w:pos="567"/>
              </w:tabs>
              <w:spacing w:line="240" w:lineRule="auto"/>
              <w:ind w:right="109"/>
              <w:jc w:val="right"/>
            </w:pPr>
            <w:r>
              <w:t>238</w:t>
            </w:r>
          </w:p>
        </w:tc>
      </w:tr>
      <w:tr w:rsidR="00000000">
        <w:tblPrEx>
          <w:tblCellMar>
            <w:top w:w="0" w:type="dxa"/>
            <w:bottom w:w="0" w:type="dxa"/>
          </w:tblCellMar>
        </w:tblPrEx>
        <w:tc>
          <w:tcPr>
            <w:tcW w:w="1746" w:type="dxa"/>
            <w:tcMar>
              <w:right w:w="68" w:type="dxa"/>
            </w:tcMar>
          </w:tcPr>
          <w:p w:rsidR="00000000" w:rsidRDefault="00000000">
            <w:pPr>
              <w:spacing w:line="240" w:lineRule="auto"/>
            </w:pPr>
            <w:r>
              <w:t>Число бенефициаров (1 000 чел.) в год</w:t>
            </w:r>
          </w:p>
        </w:tc>
        <w:tc>
          <w:tcPr>
            <w:tcW w:w="1077" w:type="dxa"/>
          </w:tcPr>
          <w:p w:rsidR="00000000" w:rsidRDefault="00000000">
            <w:pPr>
              <w:tabs>
                <w:tab w:val="clear" w:pos="567"/>
              </w:tabs>
              <w:spacing w:line="240" w:lineRule="auto"/>
              <w:ind w:right="109"/>
              <w:jc w:val="right"/>
            </w:pPr>
            <w:r>
              <w:t>525</w:t>
            </w:r>
          </w:p>
        </w:tc>
        <w:tc>
          <w:tcPr>
            <w:tcW w:w="1077" w:type="dxa"/>
          </w:tcPr>
          <w:p w:rsidR="00000000" w:rsidRDefault="00000000">
            <w:pPr>
              <w:tabs>
                <w:tab w:val="clear" w:pos="567"/>
              </w:tabs>
              <w:spacing w:line="240" w:lineRule="auto"/>
              <w:ind w:right="109"/>
              <w:jc w:val="right"/>
            </w:pPr>
            <w:r>
              <w:t>505</w:t>
            </w:r>
          </w:p>
        </w:tc>
        <w:tc>
          <w:tcPr>
            <w:tcW w:w="1078" w:type="dxa"/>
          </w:tcPr>
          <w:p w:rsidR="00000000" w:rsidRDefault="00000000">
            <w:pPr>
              <w:tabs>
                <w:tab w:val="clear" w:pos="567"/>
              </w:tabs>
              <w:spacing w:line="240" w:lineRule="auto"/>
              <w:ind w:right="109"/>
              <w:jc w:val="right"/>
            </w:pPr>
            <w:r>
              <w:t>467</w:t>
            </w:r>
          </w:p>
        </w:tc>
        <w:tc>
          <w:tcPr>
            <w:tcW w:w="1077" w:type="dxa"/>
          </w:tcPr>
          <w:p w:rsidR="00000000" w:rsidRDefault="00000000">
            <w:pPr>
              <w:tabs>
                <w:tab w:val="clear" w:pos="567"/>
              </w:tabs>
              <w:spacing w:line="240" w:lineRule="auto"/>
              <w:ind w:right="109"/>
              <w:jc w:val="right"/>
            </w:pPr>
            <w:r>
              <w:t>426</w:t>
            </w:r>
          </w:p>
        </w:tc>
        <w:tc>
          <w:tcPr>
            <w:tcW w:w="1078" w:type="dxa"/>
          </w:tcPr>
          <w:p w:rsidR="00000000" w:rsidRDefault="00000000">
            <w:pPr>
              <w:tabs>
                <w:tab w:val="clear" w:pos="567"/>
              </w:tabs>
              <w:spacing w:line="240" w:lineRule="auto"/>
              <w:ind w:right="109"/>
              <w:jc w:val="right"/>
            </w:pPr>
            <w:r>
              <w:t>394</w:t>
            </w:r>
          </w:p>
        </w:tc>
        <w:tc>
          <w:tcPr>
            <w:tcW w:w="1077" w:type="dxa"/>
          </w:tcPr>
          <w:p w:rsidR="00000000" w:rsidRDefault="00000000">
            <w:pPr>
              <w:tabs>
                <w:tab w:val="clear" w:pos="567"/>
              </w:tabs>
              <w:spacing w:line="240" w:lineRule="auto"/>
              <w:ind w:right="109"/>
              <w:jc w:val="right"/>
            </w:pPr>
            <w:r>
              <w:t>370</w:t>
            </w:r>
          </w:p>
        </w:tc>
        <w:tc>
          <w:tcPr>
            <w:tcW w:w="1078" w:type="dxa"/>
          </w:tcPr>
          <w:p w:rsidR="00000000" w:rsidRDefault="00000000">
            <w:pPr>
              <w:tabs>
                <w:tab w:val="clear" w:pos="567"/>
              </w:tabs>
              <w:spacing w:line="240" w:lineRule="auto"/>
              <w:ind w:right="109"/>
              <w:jc w:val="right"/>
            </w:pPr>
            <w:r>
              <w:t>379</w:t>
            </w:r>
          </w:p>
        </w:tc>
      </w:tr>
    </w:tbl>
    <w:p w:rsidR="00000000" w:rsidRDefault="00000000">
      <w:pPr>
        <w:tabs>
          <w:tab w:val="left" w:pos="260"/>
          <w:tab w:val="left" w:pos="4228"/>
          <w:tab w:val="left" w:pos="4513"/>
        </w:tabs>
        <w:ind w:left="4228" w:hanging="4228"/>
      </w:pPr>
    </w:p>
    <w:p w:rsidR="00000000" w:rsidRDefault="00000000">
      <w:r>
        <w:rPr>
          <w:lang w:val="en-US"/>
        </w:rPr>
        <w:tab/>
      </w:r>
      <w:proofErr w:type="spellStart"/>
      <w:r>
        <w:t>ЗДПБ</w:t>
      </w:r>
      <w:proofErr w:type="spellEnd"/>
      <w:r>
        <w:t>:  Закон о доходе пожилых и частично нетрудоспособных безработных.</w:t>
      </w:r>
    </w:p>
    <w:p w:rsidR="00000000" w:rsidRDefault="00000000"/>
    <w:p w:rsidR="00000000" w:rsidRDefault="00000000">
      <w:pPr>
        <w:ind w:left="567"/>
      </w:pPr>
      <w:proofErr w:type="spellStart"/>
      <w:r>
        <w:t>ЗДПС</w:t>
      </w:r>
      <w:proofErr w:type="spellEnd"/>
      <w:r>
        <w:t>:  Закон о доходе пожилых и частично нетрудоспособных ранее самостоятельно занятых лиц.</w:t>
      </w:r>
    </w:p>
    <w:p w:rsidR="00000000" w:rsidRDefault="00000000"/>
    <w:p w:rsidR="00000000" w:rsidRDefault="00000000">
      <w:r>
        <w:t>239.</w:t>
      </w:r>
      <w:r>
        <w:tab/>
        <w:t>Как отмечалось выше, 1 июля 1998 года был принят Закон о праве на льготы (статусе пребывания).  С принятием этого Закона произошли некоторые изменения в отношении доступа к пособиям и страхованию по линии социального обеспечения.  С этой даты пособия (например, социальное пособие) не могут уже предоставляться незаконным иммигрантам или лицам, проживающим в Нидерландах на дискреционной основе, в соответствии с соглашениями, заключенными в контексте обязательств Нидерландов по Европейской конвенции о социальной и медицинской помощи (</w:t>
      </w:r>
      <w:proofErr w:type="spellStart"/>
      <w:r>
        <w:t>ЕКСМП</w:t>
      </w:r>
      <w:proofErr w:type="spellEnd"/>
      <w:r>
        <w:t>).  Это означает, что на пособия могут претендовать только иностранцы, на законных основаниях проживающие в Нидерландах по смыслу Закона об иностранцах 2000 года.  Дополнительную информацию о Законе о праве на льготы (статусе пребывания) (</w:t>
      </w:r>
      <w:proofErr w:type="spellStart"/>
      <w:r>
        <w:rPr>
          <w:i/>
          <w:lang w:val="en-GB"/>
        </w:rPr>
        <w:t>Koppelingswet</w:t>
      </w:r>
      <w:proofErr w:type="spellEnd"/>
      <w:r>
        <w:t>) см. в Добавлении 9 “</w:t>
      </w:r>
      <w:r>
        <w:rPr>
          <w:lang w:val="en-GB"/>
        </w:rPr>
        <w:t>Aliens</w:t>
      </w:r>
      <w:r>
        <w:t xml:space="preserve"> </w:t>
      </w:r>
      <w:r>
        <w:rPr>
          <w:lang w:val="en-GB"/>
        </w:rPr>
        <w:t>and</w:t>
      </w:r>
      <w:r>
        <w:t xml:space="preserve"> </w:t>
      </w:r>
      <w:r>
        <w:rPr>
          <w:lang w:val="en-GB"/>
        </w:rPr>
        <w:t>Verification</w:t>
      </w:r>
      <w:r>
        <w:t xml:space="preserve"> </w:t>
      </w:r>
      <w:r>
        <w:rPr>
          <w:lang w:val="en-GB"/>
        </w:rPr>
        <w:t>of</w:t>
      </w:r>
      <w:r>
        <w:t xml:space="preserve"> </w:t>
      </w:r>
      <w:r>
        <w:rPr>
          <w:lang w:val="en-GB"/>
        </w:rPr>
        <w:t>Residence</w:t>
      </w:r>
      <w:r>
        <w:t xml:space="preserve"> </w:t>
      </w:r>
      <w:r>
        <w:rPr>
          <w:lang w:val="en-GB"/>
        </w:rPr>
        <w:t>Entitlement</w:t>
      </w:r>
      <w:r>
        <w:t xml:space="preserve"> </w:t>
      </w:r>
      <w:r>
        <w:rPr>
          <w:lang w:val="en-GB"/>
        </w:rPr>
        <w:t>in</w:t>
      </w:r>
      <w:r>
        <w:t xml:space="preserve"> </w:t>
      </w:r>
      <w:r>
        <w:rPr>
          <w:lang w:val="en-GB"/>
        </w:rPr>
        <w:t>the</w:t>
      </w:r>
      <w:r>
        <w:t xml:space="preserve"> </w:t>
      </w:r>
      <w:r>
        <w:rPr>
          <w:lang w:val="en-GB"/>
        </w:rPr>
        <w:t>Allocation</w:t>
      </w:r>
      <w:r>
        <w:t xml:space="preserve"> </w:t>
      </w:r>
      <w:r>
        <w:rPr>
          <w:lang w:val="en-GB"/>
        </w:rPr>
        <w:t>of</w:t>
      </w:r>
      <w:r>
        <w:t xml:space="preserve"> </w:t>
      </w:r>
      <w:r>
        <w:rPr>
          <w:lang w:val="en-GB"/>
        </w:rPr>
        <w:t>Provisions</w:t>
      </w:r>
      <w:r>
        <w:t>” ("Иностранцы и удостоверение права на проживание при выделении субсидии).</w:t>
      </w:r>
    </w:p>
    <w:p w:rsidR="00000000" w:rsidRDefault="00000000"/>
    <w:p w:rsidR="00000000" w:rsidRDefault="00000000">
      <w:r>
        <w:t>240.</w:t>
      </w:r>
      <w:r>
        <w:tab/>
        <w:t>Закон о структуре обеспечения труда и дохода (</w:t>
      </w:r>
      <w:proofErr w:type="spellStart"/>
      <w:r>
        <w:t>СОТД</w:t>
      </w:r>
      <w:proofErr w:type="spellEnd"/>
      <w:r>
        <w:t>) вступил в силу в 2001 году.  Этим Законом были внесены организационные изменения, предусматривающие сотрудничество различных учреждений, занимающихся предоставлением пособий.  Это имело немаловажные последствия для выплаты пособий в соответствии с Законом о государственной помощи (</w:t>
      </w:r>
      <w:proofErr w:type="spellStart"/>
      <w:r>
        <w:t>ЗГП</w:t>
      </w:r>
      <w:proofErr w:type="spellEnd"/>
      <w:r>
        <w:t>).</w:t>
      </w:r>
    </w:p>
    <w:p w:rsidR="00000000" w:rsidRDefault="00000000"/>
    <w:p w:rsidR="00000000" w:rsidRDefault="00000000">
      <w:pPr>
        <w:jc w:val="center"/>
        <w:rPr>
          <w:b/>
          <w:bCs/>
        </w:rPr>
      </w:pPr>
      <w:r>
        <w:rPr>
          <w:b/>
          <w:bCs/>
        </w:rPr>
        <w:t>3.5</w:t>
      </w:r>
      <w:r>
        <w:rPr>
          <w:b/>
          <w:bCs/>
        </w:rPr>
        <w:tab/>
        <w:t>Статья 10</w:t>
      </w:r>
    </w:p>
    <w:p w:rsidR="00000000" w:rsidRDefault="00000000">
      <w:pPr>
        <w:jc w:val="center"/>
        <w:rPr>
          <w:b/>
          <w:bCs/>
        </w:rPr>
      </w:pPr>
    </w:p>
    <w:p w:rsidR="00000000" w:rsidRDefault="00000000">
      <w:r>
        <w:t>241.</w:t>
      </w:r>
      <w:r>
        <w:tab/>
        <w:t>Информацию об осуществлении в Нидерландах Конвенции ООН о правах ребенка (</w:t>
      </w:r>
      <w:proofErr w:type="spellStart"/>
      <w:r>
        <w:t>КПР</w:t>
      </w:r>
      <w:proofErr w:type="spellEnd"/>
      <w:r>
        <w:t xml:space="preserve">) см. во втором периодическом докладе Нидерландов об осуществлении </w:t>
      </w:r>
      <w:proofErr w:type="spellStart"/>
      <w:r>
        <w:t>КПР</w:t>
      </w:r>
      <w:proofErr w:type="spellEnd"/>
      <w:r>
        <w:t xml:space="preserve"> (Гаага, март 2002 года).  </w:t>
      </w:r>
      <w:proofErr w:type="spellStart"/>
      <w:r>
        <w:t>Фактологическая</w:t>
      </w:r>
      <w:proofErr w:type="spellEnd"/>
      <w:r>
        <w:t xml:space="preserve"> информация и сведения о голландском населении в возрасте младше 25 лет и конкретных аспектах молодежной политики Нидерландов содержатся в следующих публикациях:</w:t>
      </w:r>
    </w:p>
    <w:p w:rsidR="00000000" w:rsidRDefault="00000000"/>
    <w:p w:rsidR="00000000" w:rsidRDefault="00000000">
      <w:pPr>
        <w:pStyle w:val="ListNumber"/>
        <w:numPr>
          <w:ilvl w:val="0"/>
          <w:numId w:val="200"/>
        </w:numPr>
        <w:spacing w:line="288" w:lineRule="auto"/>
        <w:rPr>
          <w:rFonts w:ascii="Times New Roman" w:hAnsi="Times New Roman"/>
          <w:sz w:val="24"/>
          <w:lang w:val="en-GB"/>
        </w:rPr>
      </w:pPr>
      <w:r>
        <w:rPr>
          <w:rFonts w:ascii="Times New Roman" w:hAnsi="Times New Roman"/>
          <w:sz w:val="24"/>
          <w:lang w:val="en-GB"/>
        </w:rPr>
        <w:t>Young People in the Netherlands 2001 by Statistics Netherlands (</w:t>
      </w:r>
      <w:proofErr w:type="spellStart"/>
      <w:r>
        <w:rPr>
          <w:rFonts w:ascii="Times New Roman" w:hAnsi="Times New Roman"/>
          <w:sz w:val="24"/>
          <w:lang w:val="en-GB"/>
        </w:rPr>
        <w:t>Voorburg/Heerlen</w:t>
      </w:r>
      <w:proofErr w:type="spellEnd"/>
      <w:r>
        <w:rPr>
          <w:rFonts w:ascii="Times New Roman" w:hAnsi="Times New Roman"/>
          <w:sz w:val="24"/>
          <w:lang w:val="en-GB"/>
        </w:rPr>
        <w:t>, March 2002);</w:t>
      </w:r>
    </w:p>
    <w:p w:rsidR="00000000" w:rsidRDefault="00000000">
      <w:pPr>
        <w:pStyle w:val="ListNumber"/>
        <w:numPr>
          <w:ilvl w:val="0"/>
          <w:numId w:val="0"/>
        </w:numPr>
        <w:spacing w:line="288" w:lineRule="auto"/>
        <w:ind w:left="567"/>
        <w:rPr>
          <w:rFonts w:ascii="Times New Roman" w:hAnsi="Times New Roman"/>
          <w:sz w:val="24"/>
          <w:lang w:val="en-GB"/>
        </w:rPr>
      </w:pPr>
    </w:p>
    <w:p w:rsidR="00000000" w:rsidRDefault="00000000">
      <w:pPr>
        <w:pStyle w:val="ListNumber"/>
        <w:numPr>
          <w:ilvl w:val="0"/>
          <w:numId w:val="200"/>
        </w:numPr>
        <w:spacing w:line="288" w:lineRule="auto"/>
        <w:rPr>
          <w:rFonts w:ascii="Times New Roman" w:hAnsi="Times New Roman"/>
          <w:sz w:val="24"/>
          <w:lang w:val="en-GB"/>
        </w:rPr>
      </w:pPr>
      <w:r>
        <w:rPr>
          <w:rFonts w:ascii="Times New Roman" w:hAnsi="Times New Roman"/>
          <w:sz w:val="24"/>
          <w:lang w:val="en-GB"/>
        </w:rPr>
        <w:t xml:space="preserve">Children &amp; Youth Policy 2001 by the Ministry of Health, Welfare and Sport (The Hague, August 2001);  and </w:t>
      </w:r>
    </w:p>
    <w:p w:rsidR="00000000" w:rsidRDefault="00000000">
      <w:pPr>
        <w:pStyle w:val="ListNumber"/>
        <w:numPr>
          <w:ilvl w:val="0"/>
          <w:numId w:val="0"/>
        </w:numPr>
        <w:spacing w:line="288" w:lineRule="auto"/>
        <w:ind w:left="567"/>
        <w:rPr>
          <w:rFonts w:ascii="Times New Roman" w:hAnsi="Times New Roman"/>
          <w:sz w:val="24"/>
          <w:lang w:val="en-GB"/>
        </w:rPr>
      </w:pPr>
    </w:p>
    <w:p w:rsidR="00000000" w:rsidRDefault="00000000">
      <w:pPr>
        <w:pStyle w:val="ListNumber"/>
        <w:numPr>
          <w:ilvl w:val="0"/>
          <w:numId w:val="200"/>
        </w:numPr>
        <w:spacing w:line="288" w:lineRule="auto"/>
        <w:rPr>
          <w:rFonts w:ascii="Times New Roman" w:hAnsi="Times New Roman"/>
          <w:sz w:val="24"/>
          <w:lang w:val="en-GB"/>
        </w:rPr>
      </w:pPr>
      <w:r>
        <w:rPr>
          <w:rFonts w:ascii="Times New Roman" w:hAnsi="Times New Roman"/>
          <w:sz w:val="24"/>
          <w:lang w:val="en-GB"/>
        </w:rPr>
        <w:t>Youth &amp; Policy in the Netherlands by the Netherlands Institute for Care and Welfare – International Centre (Utrecht, August 2001).</w:t>
      </w:r>
    </w:p>
    <w:p w:rsidR="00000000" w:rsidRDefault="00000000">
      <w:pPr>
        <w:pStyle w:val="ListNumber"/>
        <w:numPr>
          <w:ilvl w:val="0"/>
          <w:numId w:val="0"/>
        </w:numPr>
        <w:spacing w:line="288" w:lineRule="auto"/>
        <w:ind w:left="567"/>
        <w:rPr>
          <w:rFonts w:ascii="Times New Roman" w:hAnsi="Times New Roman"/>
          <w:sz w:val="24"/>
          <w:lang w:val="en-GB"/>
        </w:rPr>
      </w:pPr>
    </w:p>
    <w:p w:rsidR="00000000" w:rsidRDefault="00000000">
      <w:pPr>
        <w:pStyle w:val="ListNumber"/>
        <w:numPr>
          <w:ilvl w:val="0"/>
          <w:numId w:val="0"/>
        </w:numPr>
        <w:spacing w:line="288" w:lineRule="auto"/>
        <w:rPr>
          <w:rFonts w:ascii="Times New Roman" w:hAnsi="Times New Roman"/>
          <w:sz w:val="24"/>
          <w:lang w:val="ru-RU"/>
        </w:rPr>
      </w:pPr>
      <w:r>
        <w:rPr>
          <w:rFonts w:ascii="Times New Roman" w:hAnsi="Times New Roman"/>
          <w:sz w:val="24"/>
          <w:lang w:val="ru-RU"/>
        </w:rPr>
        <w:t xml:space="preserve">Кроме того, на </w:t>
      </w:r>
      <w:proofErr w:type="spellStart"/>
      <w:r>
        <w:rPr>
          <w:rFonts w:ascii="Times New Roman" w:hAnsi="Times New Roman"/>
          <w:sz w:val="24"/>
          <w:lang w:val="ru-RU"/>
        </w:rPr>
        <w:t>вебсайте</w:t>
      </w:r>
      <w:proofErr w:type="spellEnd"/>
      <w:r>
        <w:rPr>
          <w:rFonts w:ascii="Times New Roman" w:hAnsi="Times New Roman"/>
          <w:sz w:val="24"/>
          <w:lang w:val="ru-RU"/>
        </w:rPr>
        <w:t xml:space="preserve"> </w:t>
      </w:r>
      <w:hyperlink r:id="rId11" w:history="1">
        <w:r>
          <w:rPr>
            <w:rStyle w:val="Hyperlink"/>
            <w:rFonts w:ascii="Times New Roman" w:hAnsi="Times New Roman"/>
            <w:sz w:val="24"/>
            <w:lang w:val="en-GB"/>
          </w:rPr>
          <w:t>www</w:t>
        </w:r>
        <w:r>
          <w:rPr>
            <w:rStyle w:val="Hyperlink"/>
            <w:rFonts w:ascii="Times New Roman" w:hAnsi="Times New Roman"/>
            <w:sz w:val="24"/>
            <w:lang w:val="ru-RU"/>
          </w:rPr>
          <w:t>.</w:t>
        </w:r>
        <w:proofErr w:type="spellStart"/>
        <w:r>
          <w:rPr>
            <w:rStyle w:val="Hyperlink"/>
            <w:rFonts w:ascii="Times New Roman" w:hAnsi="Times New Roman"/>
            <w:sz w:val="24"/>
            <w:lang w:val="en-GB"/>
          </w:rPr>
          <w:t>youthpolicy</w:t>
        </w:r>
        <w:proofErr w:type="spellEnd"/>
        <w:r>
          <w:rPr>
            <w:rStyle w:val="Hyperlink"/>
            <w:rFonts w:ascii="Times New Roman" w:hAnsi="Times New Roman"/>
            <w:sz w:val="24"/>
            <w:lang w:val="ru-RU"/>
          </w:rPr>
          <w:t>.</w:t>
        </w:r>
        <w:proofErr w:type="spellStart"/>
        <w:r>
          <w:rPr>
            <w:rStyle w:val="Hyperlink"/>
            <w:rFonts w:ascii="Times New Roman" w:hAnsi="Times New Roman"/>
            <w:sz w:val="24"/>
            <w:lang w:val="en-GB"/>
          </w:rPr>
          <w:t>nl</w:t>
        </w:r>
        <w:proofErr w:type="spellEnd"/>
      </w:hyperlink>
      <w:r>
        <w:rPr>
          <w:rFonts w:ascii="Times New Roman" w:hAnsi="Times New Roman"/>
          <w:sz w:val="24"/>
          <w:lang w:val="ru-RU"/>
        </w:rPr>
        <w:t xml:space="preserve"> (на английском языке) размещен целый ряд </w:t>
      </w:r>
      <w:proofErr w:type="spellStart"/>
      <w:r>
        <w:rPr>
          <w:rFonts w:ascii="Times New Roman" w:hAnsi="Times New Roman"/>
          <w:sz w:val="24"/>
          <w:lang w:val="ru-RU"/>
        </w:rPr>
        <w:t>фактологических</w:t>
      </w:r>
      <w:proofErr w:type="spellEnd"/>
      <w:r>
        <w:rPr>
          <w:rFonts w:ascii="Times New Roman" w:hAnsi="Times New Roman"/>
          <w:sz w:val="24"/>
          <w:lang w:val="ru-RU"/>
        </w:rPr>
        <w:t xml:space="preserve"> материалов и брошюр об уходе за детьми, образовании в раннем детстве, родительской поддержке, заботе о молодежи и ее участии в жизни общества.</w:t>
      </w:r>
    </w:p>
    <w:p w:rsidR="00000000" w:rsidRDefault="00000000">
      <w:pPr>
        <w:pStyle w:val="ListNumber"/>
        <w:numPr>
          <w:ilvl w:val="0"/>
          <w:numId w:val="0"/>
        </w:numPr>
        <w:spacing w:line="288" w:lineRule="auto"/>
        <w:rPr>
          <w:rFonts w:ascii="Times New Roman" w:hAnsi="Times New Roman"/>
          <w:sz w:val="24"/>
          <w:lang w:val="ru-RU"/>
        </w:rPr>
      </w:pPr>
    </w:p>
    <w:p w:rsidR="00000000" w:rsidRDefault="00000000">
      <w:pPr>
        <w:pStyle w:val="ListNumber"/>
        <w:keepNext/>
        <w:numPr>
          <w:ilvl w:val="0"/>
          <w:numId w:val="0"/>
        </w:numPr>
        <w:spacing w:line="288" w:lineRule="auto"/>
        <w:jc w:val="center"/>
        <w:rPr>
          <w:rFonts w:ascii="Times New Roman" w:hAnsi="Times New Roman"/>
          <w:b/>
          <w:bCs/>
          <w:sz w:val="24"/>
          <w:lang w:val="ru-RU"/>
        </w:rPr>
      </w:pPr>
      <w:r>
        <w:rPr>
          <w:rFonts w:ascii="Times New Roman" w:hAnsi="Times New Roman"/>
          <w:b/>
          <w:bCs/>
          <w:sz w:val="24"/>
          <w:lang w:val="ru-RU"/>
        </w:rPr>
        <w:t>3.5.1    Значение термина "семья" в голландском обществе</w:t>
      </w:r>
    </w:p>
    <w:p w:rsidR="00000000" w:rsidRDefault="00000000">
      <w:pPr>
        <w:pStyle w:val="ListNumber"/>
        <w:keepNext/>
        <w:numPr>
          <w:ilvl w:val="0"/>
          <w:numId w:val="0"/>
        </w:numPr>
        <w:spacing w:line="288" w:lineRule="auto"/>
        <w:jc w:val="center"/>
        <w:rPr>
          <w:rFonts w:ascii="Times New Roman" w:hAnsi="Times New Roman"/>
          <w:b/>
          <w:bCs/>
          <w:sz w:val="24"/>
          <w:lang w:val="ru-RU"/>
        </w:rPr>
      </w:pPr>
    </w:p>
    <w:p w:rsidR="00000000" w:rsidRDefault="00000000">
      <w:pPr>
        <w:pStyle w:val="ListNumber"/>
        <w:keepNext/>
        <w:numPr>
          <w:ilvl w:val="0"/>
          <w:numId w:val="0"/>
        </w:numPr>
        <w:spacing w:line="288" w:lineRule="auto"/>
        <w:rPr>
          <w:rFonts w:ascii="Times New Roman" w:hAnsi="Times New Roman"/>
          <w:sz w:val="24"/>
          <w:lang w:val="ru-RU"/>
        </w:rPr>
      </w:pPr>
      <w:r>
        <w:rPr>
          <w:rFonts w:ascii="Times New Roman" w:hAnsi="Times New Roman"/>
          <w:sz w:val="24"/>
          <w:lang w:val="ru-RU"/>
        </w:rPr>
        <w:t>242.</w:t>
      </w:r>
      <w:r>
        <w:rPr>
          <w:rFonts w:ascii="Times New Roman" w:hAnsi="Times New Roman"/>
          <w:sz w:val="24"/>
          <w:lang w:val="ru-RU"/>
        </w:rPr>
        <w:tab/>
        <w:t>Семья является основной ячейкой общества и как таковая должна укрепляться.  Семья имеет право на всеобъемлющую защиту и поддержку.  В различных культурных, политических и социальных системах существуют разные формы семьи.  Необходимо уважать права, способности и обязанности членов семьи.  Женщины вносят огромный вклад в благосостояние семьи и развитие общества, хотя важность этого факта еще не в полной мере признается и учитывается.  Следует учитывать социальную значимость функций матери, материнства в целом и роли родителей в семье и в воспитании детей.  Воспитание детей является общей ответственностью родителей, мужчин и женщин и общества в целом.  Беременность и роды, материнство, родительские обязанности и репродуктивная роль женщин не должны становиться основанием для дискриминации или ограничения всестороннего участия женщин в жизни общества.  Следует также признавать важную роль, зачастую выполняемую женщинами во многих странах в деле ухода за другими членами семьи.</w:t>
      </w:r>
    </w:p>
    <w:p w:rsidR="00000000" w:rsidRDefault="00000000">
      <w:pPr>
        <w:pStyle w:val="ListNumber"/>
        <w:numPr>
          <w:ilvl w:val="0"/>
          <w:numId w:val="0"/>
        </w:numPr>
        <w:spacing w:line="288" w:lineRule="auto"/>
        <w:rPr>
          <w:rFonts w:ascii="Times New Roman" w:hAnsi="Times New Roman"/>
          <w:sz w:val="24"/>
          <w:lang w:val="ru-RU"/>
        </w:rPr>
      </w:pPr>
    </w:p>
    <w:p w:rsidR="00000000" w:rsidRDefault="00000000">
      <w:pPr>
        <w:pStyle w:val="ListNumber"/>
        <w:numPr>
          <w:ilvl w:val="0"/>
          <w:numId w:val="0"/>
        </w:numPr>
        <w:spacing w:line="288" w:lineRule="auto"/>
        <w:rPr>
          <w:rFonts w:ascii="Times New Roman" w:hAnsi="Times New Roman"/>
          <w:b/>
          <w:bCs/>
          <w:sz w:val="24"/>
          <w:lang w:val="ru-RU"/>
        </w:rPr>
      </w:pPr>
      <w:r>
        <w:rPr>
          <w:rFonts w:ascii="Times New Roman" w:hAnsi="Times New Roman"/>
          <w:b/>
          <w:bCs/>
          <w:sz w:val="24"/>
          <w:lang w:val="ru-RU"/>
        </w:rPr>
        <w:t>Семья</w:t>
      </w:r>
    </w:p>
    <w:p w:rsidR="00000000" w:rsidRDefault="00000000">
      <w:pPr>
        <w:pStyle w:val="ListNumber"/>
        <w:numPr>
          <w:ilvl w:val="0"/>
          <w:numId w:val="0"/>
        </w:numPr>
        <w:spacing w:line="288" w:lineRule="auto"/>
        <w:rPr>
          <w:rFonts w:ascii="Times New Roman" w:hAnsi="Times New Roman"/>
          <w:b/>
          <w:bCs/>
          <w:sz w:val="24"/>
          <w:lang w:val="ru-RU"/>
        </w:rPr>
      </w:pPr>
    </w:p>
    <w:p w:rsidR="00000000" w:rsidRDefault="00000000">
      <w:pPr>
        <w:pStyle w:val="ListNumber"/>
        <w:numPr>
          <w:ilvl w:val="0"/>
          <w:numId w:val="0"/>
        </w:numPr>
        <w:spacing w:line="288" w:lineRule="auto"/>
        <w:rPr>
          <w:rFonts w:ascii="Times New Roman" w:hAnsi="Times New Roman"/>
          <w:sz w:val="24"/>
          <w:lang w:val="en-US"/>
        </w:rPr>
      </w:pPr>
      <w:r>
        <w:rPr>
          <w:rFonts w:ascii="Times New Roman" w:hAnsi="Times New Roman"/>
          <w:sz w:val="24"/>
          <w:lang w:val="ru-RU"/>
        </w:rPr>
        <w:t>243.</w:t>
      </w:r>
      <w:r>
        <w:rPr>
          <w:rFonts w:ascii="Times New Roman" w:hAnsi="Times New Roman"/>
          <w:sz w:val="24"/>
          <w:lang w:val="ru-RU"/>
        </w:rPr>
        <w:tab/>
        <w:t>За последние десятилетия средний возраст рождения женщинами в Нидерландах первого ребенка увеличился до 29,1 года.  Женщины позднее воспроизводят потомство и имеют меньше детей.  Все большее количество женщин остаются бездетными.  В Нидерландах женщины из числа этнических меньшинств в среднем имеют больше детей, чем голландские женщины, однако этот разрыв сокращается.  В среднем на одну семью приходится двое детей.  Каждый четвертый брак заканчивается разводом.</w:t>
      </w:r>
    </w:p>
    <w:p w:rsidR="00000000" w:rsidRDefault="00000000">
      <w:pPr>
        <w:pStyle w:val="ListNumber"/>
        <w:numPr>
          <w:ilvl w:val="0"/>
          <w:numId w:val="0"/>
        </w:numPr>
        <w:spacing w:line="288" w:lineRule="auto"/>
        <w:rPr>
          <w:rFonts w:ascii="Times New Roman" w:hAnsi="Times New Roman"/>
          <w:sz w:val="24"/>
          <w:lang w:val="en-US"/>
        </w:rPr>
      </w:pPr>
    </w:p>
    <w:p w:rsidR="00000000" w:rsidRDefault="00000000">
      <w:r>
        <w:t>244.</w:t>
      </w:r>
      <w:r>
        <w:tab/>
        <w:t>Демографические данные показывают, что в 1960</w:t>
      </w:r>
      <w:r>
        <w:noBreakHyphen/>
        <w:t xml:space="preserve">х годах в стране свыше </w:t>
      </w:r>
      <w:proofErr w:type="spellStart"/>
      <w:r>
        <w:t>90%</w:t>
      </w:r>
      <w:proofErr w:type="spellEnd"/>
      <w:r>
        <w:t xml:space="preserve"> всех домашних хозяйств представляли собой семью и что в 1990</w:t>
      </w:r>
      <w:r>
        <w:noBreakHyphen/>
        <w:t xml:space="preserve">х годах семьей являлись более чем </w:t>
      </w:r>
      <w:proofErr w:type="spellStart"/>
      <w:r>
        <w:t>80%</w:t>
      </w:r>
      <w:proofErr w:type="spellEnd"/>
      <w:r>
        <w:t xml:space="preserve"> хозяйств.  Семьи состоят из супружеских пар с детьми, семей с одним из родителей и супружеских пар без детей.  Хотя большинство детей растут в семьях с двумя родителями, постепенно увеличивается количество семей с одним родителем.  Две трети семей с одним родителем сформировались в результате разводов, а примерно десятая часть семей </w:t>
      </w:r>
      <w:r>
        <w:noBreakHyphen/>
        <w:t xml:space="preserve"> в результате смерти одного из родителей.  Остальные </w:t>
      </w:r>
      <w:proofErr w:type="spellStart"/>
      <w:r>
        <w:t>25%</w:t>
      </w:r>
      <w:proofErr w:type="spellEnd"/>
      <w:r>
        <w:t xml:space="preserve"> приходятся на семьи с родителями, не состоящими в браке.  После расторжения брака </w:t>
      </w:r>
      <w:proofErr w:type="spellStart"/>
      <w:r>
        <w:t>80%</w:t>
      </w:r>
      <w:proofErr w:type="spellEnd"/>
      <w:r>
        <w:t xml:space="preserve"> детей остаются с матерью, </w:t>
      </w:r>
      <w:proofErr w:type="spellStart"/>
      <w:r>
        <w:t>15%</w:t>
      </w:r>
      <w:proofErr w:type="spellEnd"/>
      <w:r>
        <w:t xml:space="preserve"> живут с отцом и </w:t>
      </w:r>
      <w:proofErr w:type="spellStart"/>
      <w:r>
        <w:t>5%</w:t>
      </w:r>
      <w:proofErr w:type="spellEnd"/>
      <w:r>
        <w:t xml:space="preserve"> проживают без родителей.  Размер домашнего хозяйства уменьшается, что частично объясняется старением населения, приводящим к увеличению количества одиноких пожилых людей.  Еще один фактор состоит в том, что молодые люди, покинувшие родительский дом, некоторое время до вступления в брак часто живут поодиночке или с партнером.  Этому способствует также увеличение возраста рождения первого ребенка у женщин.  </w:t>
      </w:r>
    </w:p>
    <w:p w:rsidR="00000000" w:rsidRDefault="00000000"/>
    <w:p w:rsidR="00000000" w:rsidRDefault="00000000">
      <w:pPr>
        <w:rPr>
          <w:i/>
          <w:iCs/>
        </w:rPr>
      </w:pPr>
      <w:r>
        <w:rPr>
          <w:i/>
          <w:iCs/>
        </w:rPr>
        <w:t>Воспитание детей</w:t>
      </w:r>
    </w:p>
    <w:p w:rsidR="00000000" w:rsidRDefault="00000000">
      <w:pPr>
        <w:rPr>
          <w:i/>
          <w:iCs/>
        </w:rPr>
      </w:pPr>
    </w:p>
    <w:p w:rsidR="00000000" w:rsidRDefault="00000000">
      <w:r>
        <w:t>245.</w:t>
      </w:r>
      <w:r>
        <w:tab/>
        <w:t xml:space="preserve">Ряд проведенных в Нидерландах исследований был посвящен положению детей, растущих в условиях семьи.  Большинство семей обеспечивают здоровую как в материальном, так и в нравственном отношении среду для воспитания детей.  И родители, и дети отмечают, что внутренние взаимоотношения в семьях характеризуются стабильностью и гармоничностью.  Как представляется, по сравнению с прошлым сейчас в семьях детям предоставляется больше самостоятельности и больше внимания уделяется их социально-нравственному развитию.  Отношения между родителями и детьми гораздо чаще строятся на основе взаимной привязанности, чем на родительском авторитете.  Как правило, в Нидерландах члены семьи стараются согласовывать между собой все вопросы:  </w:t>
      </w:r>
      <w:proofErr w:type="spellStart"/>
      <w:r>
        <w:t>75%</w:t>
      </w:r>
      <w:proofErr w:type="spellEnd"/>
      <w:r>
        <w:t xml:space="preserve"> молодых лиц (в возрасте 12</w:t>
      </w:r>
      <w:r>
        <w:noBreakHyphen/>
        <w:t>18 лет) отмечают, что они могут самостоятельно принимать решения, хотя и в консультации с родителями.  Хотя отец и мать по</w:t>
      </w:r>
      <w:r>
        <w:noBreakHyphen/>
        <w:t xml:space="preserve">прежнему несут ответственность за руководство семьей, их авторитет уже не принимается как должное.  Исследования показали, что процесс согласования семейных проблем проходит разные этапы.  В первые годы родители контролируют положение и ожидают от детей послушания.  Примерно с восьмилетнего возраста такой контроль заменяется активным общением, позволяющим согласовывать правила поведения, хотя в конфликтных ситуациях обе стороны стремятся оставить за собой последнее слово.  Вместе с тем при анализе полученной информации следует учитывать конкретные ситуации.  Согласно проведенным исследованиям, существует довольно представительная группа семей, отношения в которых характеризуются определенными отклонениями от нормы.  Большинство исследований не являются достаточно репрезентативными для анализа положения в семьях этнических меньшинств.  До настоящего времени вопрос о воспитании детей в семьях этнических меньшинств исследован мало.  </w:t>
      </w:r>
    </w:p>
    <w:p w:rsidR="00000000" w:rsidRDefault="00000000"/>
    <w:p w:rsidR="00000000" w:rsidRDefault="00000000">
      <w:pPr>
        <w:rPr>
          <w:i/>
          <w:iCs/>
        </w:rPr>
      </w:pPr>
      <w:r>
        <w:rPr>
          <w:i/>
          <w:iCs/>
        </w:rPr>
        <w:t>Семейные проблемы</w:t>
      </w:r>
    </w:p>
    <w:p w:rsidR="00000000" w:rsidRDefault="00000000">
      <w:pPr>
        <w:rPr>
          <w:i/>
          <w:iCs/>
        </w:rPr>
      </w:pPr>
    </w:p>
    <w:p w:rsidR="00000000" w:rsidRDefault="00000000">
      <w:r>
        <w:t>246.</w:t>
      </w:r>
      <w:r>
        <w:tab/>
        <w:t xml:space="preserve">Примерно </w:t>
      </w:r>
      <w:proofErr w:type="spellStart"/>
      <w:r>
        <w:t>10</w:t>
      </w:r>
      <w:r>
        <w:noBreakHyphen/>
        <w:t>15%</w:t>
      </w:r>
      <w:proofErr w:type="spellEnd"/>
      <w:r>
        <w:t xml:space="preserve"> нидерландских семей не вписываются в общую картину положения в области воспитания детей.  Чем именно характеризуются эти семьи, выяснить достаточно сложно.  В Нидерландах проводилось много исследований для установления того, как проходит воспитание детей в конкретных ситуациях и каковы его последствия.  Эти исследования часто проводились по итогам общественных или политических дискуссий о возможных негативных последствиях конкретных семейных ситуаций для воспитания детей.  Например, речь идет о ситуациях, когда у матери появляется первый ребенок в довольно зрелом возрасте или о положении работающих матерей, вынужденных прибегать к помощи детских учреждений, о влиянии однополых родителей на развитие ребенка, последствиях развода, а также о воздействии бедности и безработицы родителей.  Во всех этих случаях полученные результаты показали, что все подобные ситуации практически не оказывали какого-либо влияния на детей.  Негативное воздействие оказывают два обстоятельства:  развод и бедность.  В случае развода у детей чаще возникают проблемы с развитием, что, как правило, обусловлено такими факторами, как отношения между бывшими партнерами и возможность контактировать с обоими родителями.  Исследования о последствиях бедности для развития и воспитания детей показывают, что подобные ситуации оказывают негативное воздействие на социальное, умственное и нравственное развитие детей (в возрасте 2</w:t>
      </w:r>
      <w:r>
        <w:noBreakHyphen/>
        <w:t>12 лет).  Последние оценки позволяют предположить, что 265 000 детей живут в семьях с низкими доходами.  Какая</w:t>
      </w:r>
      <w:r>
        <w:noBreakHyphen/>
        <w:t>то часть этих детей находится на уровне бедности или ниже такого уровня.  Согласно проведенным исследованиям, семьи с одним родителем чаще имеют более низкие доходы, чем семьи с двумя родителями.  Кроме того, эта группа включает несоразмерное количество семей этнических меньшинств.</w:t>
      </w:r>
    </w:p>
    <w:p w:rsidR="00000000" w:rsidRDefault="00000000"/>
    <w:p w:rsidR="00000000" w:rsidRDefault="00000000">
      <w:r>
        <w:t>247.</w:t>
      </w:r>
      <w:r>
        <w:tab/>
        <w:t xml:space="preserve">Согласно оценкам, приблизительно 25 000 детей живут в семьях алкоголиков.  Определенное количество детей (по оценкам, от 5 000 до 8 000 человек) растут в семьях, где один или оба родителя употребляют наркотики.  Все большее количество детей рождаются с синдромом врожденной наркомании (примерно 1 000 детей в год).  </w:t>
      </w:r>
    </w:p>
    <w:p w:rsidR="00000000" w:rsidRDefault="00000000"/>
    <w:p w:rsidR="00000000" w:rsidRDefault="00000000">
      <w:r>
        <w:t>248.</w:t>
      </w:r>
      <w:r>
        <w:tab/>
        <w:t>Кроме того, увеличивается количество бездомных или живущих на улице детей.  Ежегодно примерно 30 000 детей и подростков убегают из дома и детских учреждений.  С течением времени большинство из них возвращаются или находят жилье в другом месте.  Кроме того, существует группа в количестве примерно 6 000 или 7 000 молодых людей, не имеющих постоянного местожительства.  Как правило, это </w:t>
      </w:r>
      <w:r>
        <w:noBreakHyphen/>
        <w:t xml:space="preserve"> лица в возрасте до 25 лет, не имеющие постоянного местожительства на протяжении более 3 месяцев.  Возраст большинства из них не превышает 15-18 лет.  В их среде распространены алкоголизм, наркомания и преступность (грабежи и кражи).  Большинство бездомной молодежи происходит из проблемных семей.  </w:t>
      </w:r>
    </w:p>
    <w:p w:rsidR="00000000" w:rsidRDefault="00000000"/>
    <w:p w:rsidR="00000000" w:rsidRDefault="00000000">
      <w:pPr>
        <w:rPr>
          <w:i/>
          <w:iCs/>
        </w:rPr>
      </w:pPr>
      <w:r>
        <w:rPr>
          <w:i/>
          <w:iCs/>
        </w:rPr>
        <w:t>Доходы и расходы молодежи</w:t>
      </w:r>
    </w:p>
    <w:p w:rsidR="00000000" w:rsidRDefault="00000000">
      <w:pPr>
        <w:rPr>
          <w:i/>
          <w:iCs/>
        </w:rPr>
      </w:pPr>
    </w:p>
    <w:p w:rsidR="00000000" w:rsidRDefault="00000000">
      <w:r>
        <w:t>249.</w:t>
      </w:r>
      <w:r>
        <w:tab/>
        <w:t>Три четверти живущих дома молодых лиц в возрасте 15</w:t>
      </w:r>
      <w:r>
        <w:noBreakHyphen/>
        <w:t>19 лет располагают собственным доходом.  Из 20</w:t>
      </w:r>
      <w:r>
        <w:noBreakHyphen/>
        <w:t>24</w:t>
      </w:r>
      <w:r>
        <w:noBreakHyphen/>
        <w:t xml:space="preserve">летней молодежи почти каждый имеет собственный доход.  В большинстве случаев они зарабатывают средства трудом;  лишь небольшая доля дохода поступает от займов для учащихся или пособий по линии социального обеспечения.  Как правило, молодые люди заняты на работах, оплачиваемых по минимальным ставкам.  Доход школьников обычно состоит из денег, получаемых от родителей на карманные расходы и случайных заработков (присмотр за детьми или мытье автомобилей).  Мальчики чаще тратят полученные средства на алкоголь и компьютерные игры, а девочки чаще покупают на них одежду, подарки и косметику.  С возрастом объем затрат увеличивается.  </w:t>
      </w:r>
    </w:p>
    <w:p w:rsidR="00000000" w:rsidRDefault="00000000"/>
    <w:p w:rsidR="00000000" w:rsidRDefault="00000000">
      <w:pPr>
        <w:jc w:val="center"/>
        <w:rPr>
          <w:b/>
          <w:bCs/>
        </w:rPr>
      </w:pPr>
      <w:r>
        <w:rPr>
          <w:b/>
          <w:bCs/>
        </w:rPr>
        <w:t>3.5.2   </w:t>
      </w:r>
      <w:r>
        <w:rPr>
          <w:b/>
          <w:bCs/>
          <w:lang w:val="en-US"/>
        </w:rPr>
        <w:t xml:space="preserve"> </w:t>
      </w:r>
      <w:r>
        <w:rPr>
          <w:b/>
          <w:bCs/>
        </w:rPr>
        <w:t>Возраст гражданского совершеннолетия</w:t>
      </w:r>
    </w:p>
    <w:p w:rsidR="00000000" w:rsidRDefault="00000000">
      <w:pPr>
        <w:jc w:val="center"/>
        <w:rPr>
          <w:b/>
          <w:bCs/>
        </w:rPr>
      </w:pPr>
    </w:p>
    <w:p w:rsidR="00000000" w:rsidRDefault="00000000">
      <w:r>
        <w:t>250.</w:t>
      </w:r>
      <w:r>
        <w:tab/>
        <w:t>Лицо, достигшее определенного возраста, считается совершеннолетним.  К несовершеннолетним относятся лица в возрасте до 18 лет, а также не вступившие в брак или официальное сожительство лица.  Для вступления в брак или официальное сожительство несовершеннолетние должны получить разрешение от родителей или опекунов.  В отсутствие разрешения несовершеннолетний может обратиться в палату ограниченной юрисдикции окружного суда.  Девушка по достижении 16 лет и при желании самой растить и воспитывать ребенка, на которого она имеет родительские права, может также обратиться к судье по делам детей с просьбой о признании ее совершеннолетней (статья 1:233 в сочетании со статьями 1:35, 36, 80 а), пункт 6, 253 </w:t>
      </w:r>
      <w:r>
        <w:rPr>
          <w:lang w:val="en-US"/>
        </w:rPr>
        <w:t>ha</w:t>
      </w:r>
      <w:r>
        <w:t>) Гражданского кодекса).</w:t>
      </w:r>
    </w:p>
    <w:p w:rsidR="00000000" w:rsidRDefault="00000000"/>
    <w:p w:rsidR="00000000" w:rsidRDefault="00000000">
      <w:pPr>
        <w:keepNext/>
        <w:jc w:val="center"/>
        <w:rPr>
          <w:b/>
          <w:bCs/>
        </w:rPr>
      </w:pPr>
      <w:r>
        <w:rPr>
          <w:b/>
          <w:bCs/>
        </w:rPr>
        <w:t>3.5.3</w:t>
      </w:r>
      <w:r>
        <w:rPr>
          <w:b/>
          <w:bCs/>
        </w:rPr>
        <w:tab/>
        <w:t xml:space="preserve"> </w:t>
      </w:r>
      <w:r>
        <w:rPr>
          <w:b/>
          <w:bCs/>
          <w:lang w:val="en-US"/>
        </w:rPr>
        <w:t xml:space="preserve"> </w:t>
      </w:r>
      <w:r>
        <w:rPr>
          <w:b/>
          <w:bCs/>
        </w:rPr>
        <w:t xml:space="preserve">Охрана семьи </w:t>
      </w:r>
    </w:p>
    <w:p w:rsidR="00000000" w:rsidRDefault="00000000">
      <w:pPr>
        <w:keepNext/>
        <w:rPr>
          <w:b/>
          <w:bCs/>
        </w:rPr>
      </w:pPr>
    </w:p>
    <w:p w:rsidR="00000000" w:rsidRDefault="00000000">
      <w:pPr>
        <w:keepNext/>
        <w:rPr>
          <w:b/>
          <w:bCs/>
        </w:rPr>
      </w:pPr>
      <w:r>
        <w:rPr>
          <w:b/>
          <w:bCs/>
        </w:rPr>
        <w:t>Брак и зарегистрированное партнерство</w:t>
      </w:r>
    </w:p>
    <w:p w:rsidR="00000000" w:rsidRDefault="00000000">
      <w:pPr>
        <w:keepNext/>
        <w:rPr>
          <w:b/>
          <w:bCs/>
        </w:rPr>
      </w:pPr>
    </w:p>
    <w:p w:rsidR="00000000" w:rsidRDefault="00000000">
      <w:r>
        <w:t>251.</w:t>
      </w:r>
      <w:r>
        <w:tab/>
        <w:t>С 1 апреля 2001 года возможно заключение однополых браков.  Кроме того, начиная с 1 января 1998 года два партнера могут официально зарегистрировать факт совместного проживания, определяемого как зарегистрированное партнерство.  В такие официальные партнерские отношения могут вступать два лица разного или одного пола.</w:t>
      </w:r>
    </w:p>
    <w:p w:rsidR="00000000" w:rsidRDefault="00000000"/>
    <w:p w:rsidR="00000000" w:rsidRDefault="00000000">
      <w:pPr>
        <w:keepNext/>
        <w:rPr>
          <w:b/>
          <w:bCs/>
        </w:rPr>
      </w:pPr>
      <w:r>
        <w:rPr>
          <w:b/>
          <w:bCs/>
        </w:rPr>
        <w:t>Законодательство о родительском статусе</w:t>
      </w:r>
    </w:p>
    <w:p w:rsidR="00000000" w:rsidRDefault="00000000">
      <w:pPr>
        <w:keepNext/>
        <w:rPr>
          <w:b/>
          <w:bCs/>
        </w:rPr>
      </w:pPr>
    </w:p>
    <w:p w:rsidR="00000000" w:rsidRDefault="00000000">
      <w:r>
        <w:t>252.</w:t>
      </w:r>
      <w:r>
        <w:tab/>
        <w:t xml:space="preserve">1 апреля 1998 года было пересмотрено законодательство о родительском статусе.  Используемый с этого времени критерий касается наличия или отсутствия отношений между родителями и ребенком по смыслу семейного права.  Были упразднены термины "законный", "незаконный" и "внебрачный" ребенок.  В законодательство введены новые термины, такие, как "биологический отец".  Кроме того, в законодательстве было закреплено юридическое понятие материнства.  </w:t>
      </w:r>
    </w:p>
    <w:p w:rsidR="00000000" w:rsidRDefault="00000000"/>
    <w:p w:rsidR="00000000" w:rsidRDefault="00000000">
      <w:r>
        <w:t>253.</w:t>
      </w:r>
      <w:r>
        <w:tab/>
        <w:t>Начиная с 1 апреля 1998 года суды могут определять отцовство, исходя из того, что мужчина является отцом ребенка или что мужчина как партнер матери согласился на акт, в результате которого произошло зачатие ребенка.  Ходатайства об определении отцовства могут подаваться  а)  матерью, если ребенок не достиг 16</w:t>
      </w:r>
      <w:r>
        <w:noBreakHyphen/>
        <w:t xml:space="preserve">летнего возраста, или  </w:t>
      </w:r>
      <w:r>
        <w:rPr>
          <w:lang w:val="en-US"/>
        </w:rPr>
        <w:t>b</w:t>
      </w:r>
      <w:r>
        <w:t xml:space="preserve">)  ребенком.  В этой связи смерть мужчины препятствием не является.  Отцовство не может быть признано, если  а)  у ребенка уже есть признанный отец,  </w:t>
      </w:r>
      <w:r>
        <w:rPr>
          <w:lang w:val="en-US"/>
        </w:rPr>
        <w:t>b</w:t>
      </w:r>
      <w:r>
        <w:t>)</w:t>
      </w:r>
      <w:r>
        <w:rPr>
          <w:lang w:val="en-US"/>
        </w:rPr>
        <w:t>  </w:t>
      </w:r>
      <w:r>
        <w:t>брак между мужчиной и матерью ребенка запрещен по закону или с)  мужчина является несовершеннолетним лицом в возрасте младше 16 лет.  Ходатайство должно подаваться в течение пяти лет после рождения ребенка или в течение 5 лет со дня установления матерью личности и места нахождения отца ребенка.</w:t>
      </w:r>
    </w:p>
    <w:p w:rsidR="00000000" w:rsidRDefault="00000000"/>
    <w:p w:rsidR="00000000" w:rsidRDefault="00000000">
      <w:pPr>
        <w:keepNext/>
        <w:rPr>
          <w:b/>
          <w:bCs/>
        </w:rPr>
      </w:pPr>
      <w:r>
        <w:rPr>
          <w:b/>
          <w:bCs/>
        </w:rPr>
        <w:t>Ответственность родителей за несовершеннолетнего ребенка</w:t>
      </w:r>
    </w:p>
    <w:p w:rsidR="00000000" w:rsidRDefault="00000000">
      <w:pPr>
        <w:keepNext/>
        <w:rPr>
          <w:b/>
          <w:bCs/>
        </w:rPr>
      </w:pPr>
    </w:p>
    <w:p w:rsidR="00000000" w:rsidRDefault="00000000">
      <w:r>
        <w:t>254.</w:t>
      </w:r>
      <w:r>
        <w:tab/>
        <w:t xml:space="preserve">Родители ребенка, рожденного в браке, автоматически несут за него совместную ответственность (пункт 1 статьи 1:251 Гражданского кодекса).  Родители, никогда не вступавшие в брак друг с другом или никогда не выполнявшие совместных родительских обязанностей в отношении своих детей, могут брать на себя такие совместные обязанности, если по просьбе обеих сторон официально оформляется совместное попечительство родителей (пункт 1 статьи 1:252 Гражданского кодекса).  Родители не обязаны проживать вместе, но они должны поддерживать отношения с ребенком по семейному праву.  Если установлено, что у ребенка имеется только мать, или если родители ребенка никогда не состояли в браке и никогда не несли совместных родительских обязанностей, мать автоматически берет на себя опеку над ребенком (пункт 1 статьи 1:253 </w:t>
      </w:r>
      <w:r>
        <w:rPr>
          <w:lang w:val="en-US"/>
        </w:rPr>
        <w:t>b</w:t>
      </w:r>
      <w:r>
        <w:t>) Гражданского кодекса).</w:t>
      </w:r>
    </w:p>
    <w:p w:rsidR="00000000" w:rsidRDefault="00000000"/>
    <w:p w:rsidR="00000000" w:rsidRDefault="00000000">
      <w:r>
        <w:t>255.</w:t>
      </w:r>
      <w:r>
        <w:tab/>
        <w:t>Когда родители вступают в отношения зарегистрированного партнерства, они автоматически несут совместные обязанности в отношении ребенка, рожденного от их связи (статья 1:253 аа) Гражданского кодекса).  В этом случае они обязаны также поддерживать отношения с ребенком по семейному праву.</w:t>
      </w:r>
    </w:p>
    <w:p w:rsidR="00000000" w:rsidRDefault="00000000"/>
    <w:p w:rsidR="00000000" w:rsidRDefault="00000000">
      <w:r>
        <w:t>256.</w:t>
      </w:r>
      <w:r>
        <w:tab/>
        <w:t>При рождении ребенка в браке или при наличии зарегистрированного партнерства между родителем и неродителем (например, в случае заключения брака между двумя женщинами) родители или партнеры автоматически несут совместные опекунские обязанности по отношению к ребенку, если только последний не состоит в отношениях по семейному праву с другим лицом (например, в порядке признания отцовства) (статья 1:253 </w:t>
      </w:r>
      <w:r>
        <w:rPr>
          <w:lang w:val="en-US"/>
        </w:rPr>
        <w:t>sa</w:t>
      </w:r>
      <w:r>
        <w:t>) Гражданского кодекса).</w:t>
      </w:r>
    </w:p>
    <w:p w:rsidR="00000000" w:rsidRDefault="00000000"/>
    <w:p w:rsidR="00000000" w:rsidRDefault="00000000">
      <w:pPr>
        <w:keepNext/>
        <w:rPr>
          <w:b/>
          <w:bCs/>
        </w:rPr>
      </w:pPr>
      <w:r>
        <w:rPr>
          <w:b/>
          <w:bCs/>
        </w:rPr>
        <w:t>Родительские обязанности после юридического оформления раздельного проживания и развода</w:t>
      </w:r>
    </w:p>
    <w:p w:rsidR="00000000" w:rsidRDefault="00000000">
      <w:pPr>
        <w:keepNext/>
        <w:rPr>
          <w:b/>
          <w:bCs/>
        </w:rPr>
      </w:pPr>
    </w:p>
    <w:p w:rsidR="00000000" w:rsidRDefault="00000000">
      <w:r>
        <w:t>257.</w:t>
      </w:r>
      <w:r>
        <w:tab/>
        <w:t>1 января 1998 года в Гражданский кодекс Нидерландов были внесены поправки.  Родители разделяют обязанности по уходу за своими детьми даже после юридического оформления раздельного проживания или развода.  Такое положение может изменяться только в том случае, если оба родителя или один из них ходатайствуют перед судом о принятии судебного решения в отношении возложения на одного из них таких обязанностей в наилучших интересах ребенка.  В этом случае вступает в действие принцип, согласно которому развод должен как можно меньше нарушать право на уважение к семейной жизни (пункт 2 статьи 1:251 Гражданского кодекса).</w:t>
      </w:r>
    </w:p>
    <w:p w:rsidR="00000000" w:rsidRDefault="00000000"/>
    <w:p w:rsidR="00000000" w:rsidRDefault="00000000">
      <w:pPr>
        <w:keepNext/>
        <w:rPr>
          <w:b/>
          <w:bCs/>
        </w:rPr>
      </w:pPr>
      <w:r>
        <w:rPr>
          <w:b/>
          <w:bCs/>
        </w:rPr>
        <w:t>Воссоединение семьи</w:t>
      </w:r>
    </w:p>
    <w:p w:rsidR="00000000" w:rsidRDefault="00000000">
      <w:pPr>
        <w:keepNext/>
        <w:rPr>
          <w:b/>
          <w:bCs/>
        </w:rPr>
      </w:pPr>
    </w:p>
    <w:p w:rsidR="00000000" w:rsidRDefault="00000000">
      <w:r>
        <w:t>258.</w:t>
      </w:r>
      <w:r>
        <w:tab/>
        <w:t>Требования в отношении воссоединения семьи одинаково применяются как к трудящимся-мигрантам, так и голландским гражданам.  В этой связи трудящиеся-мигранты должны располагать достаточными средствами для обеспечения существования своей супруги и/или семьи, иными словами, их чистый доход должен быть по меньшей мере эквивалентным стандартному пособию, выплачиваемому в качестве социальной помощи супружеским парам/семьям.  Предполагается, что этот доход трудящегося-мигранта позволяет ему обеспечивать достаточное жилище.</w:t>
      </w:r>
    </w:p>
    <w:p w:rsidR="00000000" w:rsidRDefault="00000000"/>
    <w:p w:rsidR="00000000" w:rsidRDefault="00000000">
      <w:r>
        <w:t>259.</w:t>
      </w:r>
      <w:r>
        <w:tab/>
        <w:t>На воссоединение семьи имеют право ближайшие члены семьи трудящегося-мигранта (его партнер/партнерша или супруг/супруга или несовершеннолетние дети).  Другим членам семьи трудящегося-мигранта также может предоставляться вид на жительство в целях воссоединения семьи, если, по мнению министра, этот иностранец в стране его происхождения фактически входит или уже входил в домашнее хозяйство лица, с которым он намеревается проживать, или, если, по мнению министра, их отдельное проживание будет создавать излишние трудности.</w:t>
      </w:r>
    </w:p>
    <w:p w:rsidR="00000000" w:rsidRDefault="00000000"/>
    <w:p w:rsidR="00000000" w:rsidRDefault="00000000">
      <w:r>
        <w:t>260.</w:t>
      </w:r>
      <w:r>
        <w:tab/>
        <w:t>В целях воссоединения семьи в страну может разрешаться въезд детям младше 17 лет.  Это же относится к детям, достигшим возраста совершеннолетия.  Таким образом, совершеннолетнему ребенку может быть разрешен въезд в целях воссоединения семьи при условии, что он, по мнению министра, в стране происхождения фактически входит или уже входил в домашнее хозяйство лица, с которым он намеревается проживать, или если, по мнению министра, отдельное проживание будет создавать излишние трудности.</w:t>
      </w:r>
    </w:p>
    <w:p w:rsidR="00000000" w:rsidRDefault="00000000"/>
    <w:p w:rsidR="00000000" w:rsidRDefault="00000000">
      <w:pPr>
        <w:keepNext/>
        <w:rPr>
          <w:b/>
          <w:bCs/>
        </w:rPr>
      </w:pPr>
      <w:r>
        <w:rPr>
          <w:b/>
          <w:bCs/>
        </w:rPr>
        <w:t>Возможность для обеспечения семейного ухода</w:t>
      </w:r>
    </w:p>
    <w:p w:rsidR="00000000" w:rsidRDefault="00000000">
      <w:pPr>
        <w:keepNext/>
        <w:rPr>
          <w:b/>
          <w:bCs/>
        </w:rPr>
      </w:pPr>
    </w:p>
    <w:p w:rsidR="00000000" w:rsidRDefault="00000000">
      <w:r>
        <w:t>261.</w:t>
      </w:r>
      <w:r>
        <w:tab/>
        <w:t xml:space="preserve">Политика Нидерландов в этой области предполагает, что родители/опекуны несут первостепенную ответственность за воспитание своих детей.  Кроме того, государство обеспечивает ряд услуг для поддержки родителей в выполнении ими своих обязанностей.  К числу наиболее важных мер в этой области относятся процедуры предоставления родителям отпусков, уход за детьми, деятельность дошкольных учреждений, внеклассные мероприятия для подростков и поддержка родителей.  </w:t>
      </w:r>
    </w:p>
    <w:p w:rsidR="00000000" w:rsidRDefault="00000000"/>
    <w:p w:rsidR="00000000" w:rsidRDefault="00000000">
      <w:pPr>
        <w:keepNext/>
        <w:rPr>
          <w:b/>
          <w:bCs/>
        </w:rPr>
      </w:pPr>
      <w:r>
        <w:rPr>
          <w:b/>
          <w:bCs/>
        </w:rPr>
        <w:t>Труд и семейные обязанности</w:t>
      </w:r>
    </w:p>
    <w:p w:rsidR="00000000" w:rsidRDefault="00000000">
      <w:pPr>
        <w:keepNext/>
        <w:rPr>
          <w:b/>
          <w:bCs/>
        </w:rPr>
      </w:pPr>
    </w:p>
    <w:p w:rsidR="00000000" w:rsidRDefault="00000000">
      <w:r>
        <w:t>262.</w:t>
      </w:r>
      <w:r>
        <w:tab/>
        <w:t>За последние 15 лет нидерландское правительство разработало целый ряд мер для поддержки семей, в которых оба или один родитель (в случае родителей-одиночек) работают.</w:t>
      </w:r>
    </w:p>
    <w:p w:rsidR="00000000" w:rsidRDefault="00000000"/>
    <w:p w:rsidR="00000000" w:rsidRDefault="00000000">
      <w:r>
        <w:t>263.</w:t>
      </w:r>
      <w:r>
        <w:tab/>
        <w:t>В настоящее время основным инструментом поддержки являются Закон о труде и уходе, вступивший в силу 1 декабря 2001 года, и Закон об изменении рабочих графиков (ЗРГ).  Закон о труде и уходе включает существующие и новые процедуры предоставления отпуска, позволяющие трудящимся брать отпуск, когда это необходимо или желательно для обеспечения ухода.  Закон дает право на отпуск по беременности и родам, отпуск для усыновления ребенка, отпуск в чрезвычайных обстоятельствах и другие краткие отпуска, кратковременный отпуск по уходу и отпуск для выполнения родительских обязанностей.  Во время отпуска по беременности и отпуска в связи с усыновлением ребенка трудящиеся получают пособия, равные 100% их последней максимальной заработной платы из Общего фонда для безработных (ОФБ).  Во время отпуска по родам, отпуска в чрезвычайных обстоятельствах и других краткосрочных отпусков работодатель обязан продолжать выплачивать работнику полный оклад;  трудящиеся, находящиеся в краткосрочных отпусках по уходу, получают 70% своего оклада.  Отпуск для выполнения родительских обязанностей не оплачивается.</w:t>
      </w:r>
    </w:p>
    <w:p w:rsidR="00000000" w:rsidRDefault="00000000"/>
    <w:p w:rsidR="00000000" w:rsidRDefault="00000000">
      <w:r>
        <w:t>264.</w:t>
      </w:r>
      <w:r>
        <w:tab/>
        <w:t>Закон об изменении рабочих графиков дает рабочим право на индивидуальной основе увеличивать или уменьшать продолжительность своего рабочего дня.  Этот Закон не применяется к компаниям, в которых работает менее десяти трудящихся;  в этом случае предполагается, что работодатели сами будут устанавливать рабочие графики.</w:t>
      </w:r>
    </w:p>
    <w:p w:rsidR="00000000" w:rsidRDefault="00000000"/>
    <w:p w:rsidR="00000000" w:rsidRDefault="00000000">
      <w:r>
        <w:t>265.</w:t>
      </w:r>
      <w:r>
        <w:tab/>
        <w:t>Что касается труда и семейных обязанностей, то при разработке политики в этой области особо учитывалась роль государства и социальных партнеров.  В</w:t>
      </w:r>
      <w:r>
        <w:rPr>
          <w:lang w:val="en-US"/>
        </w:rPr>
        <w:t> </w:t>
      </w:r>
      <w:r>
        <w:t>результате сформировалось мнение о том, что интересам работодателей, трудящихся и общества в целом отвечает развитие инициатив для оказания помощи в более эффективном совмещении труда и семейных обязанностей.  Содержащиеся в Законе о труде и уходе положения о праве на отпуск учитывают интересы работодателей, четко оговаривая условия предоставления таких отпусков и категории трудящихся, имеющих на них право.  Так, в случае краткосрочного отпуска по уходу работник обязан убедительно обосновать его необходимость.  Это касается не только ухода за ребенком, партнером или родителем, но и того обстоятельства, что такой уход не может предоставляться кем-либо иным и что другие возможности в этом плане у данного работника отсутствуют.</w:t>
      </w:r>
    </w:p>
    <w:p w:rsidR="00000000" w:rsidRDefault="00000000"/>
    <w:p w:rsidR="00000000" w:rsidRDefault="00000000">
      <w:r>
        <w:t>266.</w:t>
      </w:r>
      <w:r>
        <w:tab/>
        <w:t>Кроме того, Закон о труде и уходе и Закон об изменении рабочих графиков предусматривают принятие решений, отвечающих индивидуальным потребностям:  например, возможны определенные исключения, осуществление конкретных прав оговаривается рядом условий, и в некоторых случаях можно заменять отпуск другими видами компенсации.</w:t>
      </w:r>
    </w:p>
    <w:p w:rsidR="00000000" w:rsidRDefault="00000000"/>
    <w:p w:rsidR="00000000" w:rsidRDefault="00000000">
      <w:r>
        <w:t>267.</w:t>
      </w:r>
      <w:r>
        <w:tab/>
        <w:t>Исключения возможны в силу того факта, что в Законе устанавливается, какие именно механизмы, регулирующие правила предоставления отпусков, могут более гибко толковаться сторонами коллективных трудовых соглашений, трудовыми советами или представителями трудящихся.  Термин "оговаривается рядом условий" означает, что работодатель может отклонить просьбу работника, если при ее удовлетворении серьезно пострадают интересы предприятия или учреждения.  Замена отпусков предполагает, что отпуск может заменяться компенсацией свыше установленного минимума, компенсироваться более продолжительным рабочим днем, сверхурочной работой или более коротким рабочим днем.  Такие гибкие подходы могут приводить к тому, что у работников не будет необходимости накапливать ненужные отпускные дни.  В установленных рамках работодатели и трудящиеся могут находить решения, удовлетворяющие обе стороны.</w:t>
      </w:r>
    </w:p>
    <w:p w:rsidR="00000000" w:rsidRDefault="00000000"/>
    <w:p w:rsidR="00000000" w:rsidRDefault="00000000">
      <w:r>
        <w:t>268.</w:t>
      </w:r>
      <w:r>
        <w:tab/>
        <w:t>Кроме того, Закон о труде и уходе предусматривает схему финансового обеспечения в случае перерыва в трудовой деятельности, которая может использоваться для финансирования неоплачиваемого отпуска по уходу или отпуска в целях учебы.  При некоторых условиях работник, находящийся в неоплачиваемом отпуске, может получать выплаты из Общего фонда для безработных.  Помимо этого существуют две бюджетно-финансовые схемы, предусматривающие помощь трудящимся, которые берут неоплачиваемые отпуска.  Схема налоговой льготы в случае отпуска родителям поощряет работодателей продолжать выплачивать полное или частичное жалование своим работникам, находящимся в таких отпусках.  Согласно этой схеме, работодатель при соблюдении некоторых условий имеет право претендовать на сокращение налога по заработной плате и своих взносов на социальное обеспечение.  Схема сбережений на случай отпуска позволяет трудящимся накапливать сбережения, с тем чтобы в будущем пользоваться более длительным неоплачиваемым отпуском.  Согласно этой схеме трудящиеся откладывают на специальный сберегательный счет до 10% своей ежегодной зарплаты до вычетов.  Такие счета не подлежат налогообложению до тех пор, пока накопленная сумма фактически используется.</w:t>
      </w:r>
    </w:p>
    <w:p w:rsidR="00000000" w:rsidRDefault="00000000"/>
    <w:p w:rsidR="00000000" w:rsidRDefault="00000000">
      <w:r>
        <w:t>269.</w:t>
      </w:r>
      <w:r>
        <w:tab/>
        <w:t>Схемы для финансирования более длительных неоплачиваемых отпусков могут применяться в сочетании с новой "схемой пожизненных сбережений", о внедрении которой в 2002 году объявило предыдущее правительство и которая была подтверждена нынешним правительством в его коалиционном соглашении.  Такая льготная сберегательная схема будет предоставлять трудящимся финансовую возможность брать неоплачиваемый отпуск (с любой целью) на протяжении всей трудовой карьеры.</w:t>
      </w:r>
    </w:p>
    <w:p w:rsidR="00000000" w:rsidRDefault="00000000"/>
    <w:p w:rsidR="00000000" w:rsidRDefault="00000000">
      <w:r>
        <w:t>270.</w:t>
      </w:r>
      <w:r>
        <w:tab/>
        <w:t>Разумеется, Закон о труде и уходе не предусматривает какого-либо права на отпуск для самостоятельно занятых трудящихся, однако в некоторых случаях они также имеют право на получение выплат за период, равный отпуску наемного работника.  Это относится к 16</w:t>
      </w:r>
      <w:r>
        <w:noBreakHyphen/>
        <w:t>недельному пособию до и после рождения ребенка и к 4-недельному пособию в случае усыновления ребенка.  Эти выплаты производятся из Фонда для нетрудоспособных и самостоятельно занятых трудящихся (ФНСЗ).  Нынешнее правительство намеревается отменить обязательное страхование самостоятельно занятых трудящихся по инвалидности и упразднить соответствующий фонд.  В настоящее время продолжается изучение последствий такого решения для выплаты самостоятельно занятым трудящимся пособий по беременности и родам и в связи с усыновлением ребенка.</w:t>
      </w:r>
    </w:p>
    <w:p w:rsidR="00000000" w:rsidRDefault="00000000"/>
    <w:p w:rsidR="00000000" w:rsidRDefault="00000000">
      <w:r>
        <w:t>271.</w:t>
      </w:r>
      <w:r>
        <w:tab/>
        <w:t>В настоящее время производится оценка действия как Закона о труде и уходе, так и Закона об изменении рабочих графиков.  Важное значение имеет вопрос о том, насколько эффективной является проводимая политика, иными словами, действительно ли это законодательство в достаточной степени удовлетворяет потребностям соответствующей категории населения (и групп в каждой из этих категорий).  Соответствует ли количество наемных работников и самостоятельно занятых трудящихся, нуждающихся в таких схемах, количеству лиц, которые фактически ими пользуются?  Существуют ли препятствия, мешающие применению схем в области труда и ухода?  Можно и необходимо ли устранять эти препятствия при помощи дополнительных директивных мер?</w:t>
      </w:r>
    </w:p>
    <w:p w:rsidR="00000000" w:rsidRDefault="00000000"/>
    <w:p w:rsidR="00000000" w:rsidRDefault="00000000">
      <w:r>
        <w:t>272.</w:t>
      </w:r>
      <w:r>
        <w:tab/>
        <w:t>К концу 2003 года правительство на основе этой оценки примет решение о необходимости внесения поправок к Закону об изменении рабочих графиков.  Документ о позиции правительства в отношении Закона о труде и уходе будет представлен на рассмотрение парламента в конце 2004 года.</w:t>
      </w:r>
    </w:p>
    <w:p w:rsidR="00000000" w:rsidRDefault="00000000"/>
    <w:p w:rsidR="00000000" w:rsidRDefault="00000000">
      <w:pPr>
        <w:rPr>
          <w:i/>
          <w:iCs/>
        </w:rPr>
      </w:pPr>
      <w:r>
        <w:rPr>
          <w:i/>
          <w:iCs/>
        </w:rPr>
        <w:t>Уход за детьми</w:t>
      </w:r>
    </w:p>
    <w:p w:rsidR="00000000" w:rsidRDefault="00000000">
      <w:pPr>
        <w:rPr>
          <w:i/>
          <w:iCs/>
        </w:rPr>
      </w:pPr>
    </w:p>
    <w:p w:rsidR="00000000" w:rsidRDefault="00000000">
      <w:r>
        <w:t>273.</w:t>
      </w:r>
      <w:r>
        <w:tab/>
        <w:t>В Нидерландах существуют два вида учреждений для детей дошкольного возраста.  Дети в возрасте 2-4 года могут посещать дошкольные игровые группы по полдня несколько раз в неделю.  Они используются в основном с воспитательной целью:  предоставить детям в раннем возрасте возможности для игр и общения.  Работа этих учреждений приобрела в последние годы социальную и политическую значимость, особенно с точки зрения профилактики, поскольку они позволяют на раннем этапе выявить проблемы с развитием ребенка.  Игровыми группами пользуются в основном семьи, в которых один из родителей не работает.</w:t>
      </w:r>
    </w:p>
    <w:p w:rsidR="00000000" w:rsidRDefault="00000000"/>
    <w:p w:rsidR="00000000" w:rsidRDefault="00000000">
      <w:r>
        <w:t>274.</w:t>
      </w:r>
      <w:r>
        <w:tab/>
        <w:t>Услуги по уходу за детьми предназначены, главным образом, для лиц, которые сочетают труд с выполнением семейных обязанностей.  Они предоставляются учреждениями дневного ухода для детей в возрасте до четырех лет, учреждениями домашнего типа и группами продленного дня для школьников в возрасте 4-12 лет, а также  учреждениями для организации внеклассных мероприятий для подростков в возрасте 12</w:t>
      </w:r>
      <w:r>
        <w:noBreakHyphen/>
        <w:t>16 лет.  Кроме того, родители пользуются целым рядом неформальных услуг по уходу в дополнение к услугам, предоставляемым официальными учреждениями.</w:t>
      </w:r>
    </w:p>
    <w:p w:rsidR="00000000" w:rsidRDefault="00000000"/>
    <w:p w:rsidR="00000000" w:rsidRDefault="00000000">
      <w:r>
        <w:t>275.</w:t>
      </w:r>
      <w:r>
        <w:tab/>
        <w:t>Что касается предоставления и регламентирования общих услуг по уходу за детьми, то на протяжении многих лет Нидерланды отставали от других европейских стран.  В настоящее время Нидерланды стремятся восполнить этот пробел и, среди прочего, готовят к принятию новое законодательство по уходу за детьми.  Программа расширения ухода за детьми и организации групп продленного дня предусматривает также создание большого количества дополнительных мест.  Одним из последних изменений в этой области является предоставление услуг для подростков.  В настоящее время осуществляются экспериментальные проекты, по итогам которых будут разработаны рекомендации о предоставлении такого ухода в будущем.</w:t>
      </w:r>
    </w:p>
    <w:p w:rsidR="00000000" w:rsidRDefault="00000000">
      <w:pPr>
        <w:rPr>
          <w:lang w:val="en-US"/>
        </w:rPr>
      </w:pPr>
    </w:p>
    <w:p w:rsidR="00000000" w:rsidRDefault="00000000">
      <w:r>
        <w:t>276.</w:t>
      </w:r>
      <w:r>
        <w:tab/>
        <w:t>Детские учреждения по закону обязаны создавать родительские комитеты.  Они выполняют роль дискуссионных форумов, а их члены могут предоставлять консультации по любым вопросам, касающимся обслуживания семей или организации работы учреждения.  В целом участие родителей постепенно расширяется, как и объем предоставляемой им информации.</w:t>
      </w:r>
    </w:p>
    <w:p w:rsidR="00000000" w:rsidRDefault="00000000"/>
    <w:p w:rsidR="00000000" w:rsidRDefault="00000000">
      <w:pPr>
        <w:rPr>
          <w:i/>
          <w:iCs/>
        </w:rPr>
      </w:pPr>
      <w:r>
        <w:rPr>
          <w:i/>
          <w:iCs/>
        </w:rPr>
        <w:t>Поддержка родителей и поощрение развития ребенка</w:t>
      </w:r>
    </w:p>
    <w:p w:rsidR="00000000" w:rsidRDefault="00000000">
      <w:pPr>
        <w:rPr>
          <w:i/>
          <w:iCs/>
        </w:rPr>
      </w:pPr>
    </w:p>
    <w:p w:rsidR="00000000" w:rsidRDefault="00000000">
      <w:r>
        <w:t>277.</w:t>
      </w:r>
      <w:r>
        <w:tab/>
        <w:t>Поддержка родителей в воспитании детей является существенно важным элементом политики в области профилактики молодежных проблем.  Правительство страны сформулировало два условия для предоставления такой поддержки:</w:t>
      </w:r>
    </w:p>
    <w:p w:rsidR="00000000" w:rsidRDefault="00000000"/>
    <w:p w:rsidR="00000000" w:rsidRDefault="00000000">
      <w:pPr>
        <w:ind w:left="1122" w:hanging="1122"/>
      </w:pPr>
      <w:r>
        <w:tab/>
        <w:t>-</w:t>
      </w:r>
      <w:r>
        <w:tab/>
        <w:t>поддержка в воспитании детей должна быть направлена на укрепление существующих потенциалов и активное участие родителей и детей, а не их зависимость от таких услуг или учреждений;</w:t>
      </w:r>
    </w:p>
    <w:p w:rsidR="00000000" w:rsidRDefault="00000000">
      <w:pPr>
        <w:ind w:left="1122" w:hanging="1122"/>
      </w:pPr>
    </w:p>
    <w:p w:rsidR="00000000" w:rsidRDefault="00000000">
      <w:pPr>
        <w:ind w:left="1122" w:hanging="1122"/>
      </w:pPr>
      <w:r>
        <w:tab/>
        <w:t>-</w:t>
      </w:r>
      <w:r>
        <w:tab/>
        <w:t>поддержка должна учитывать культуру и особые потребности родителей.</w:t>
      </w:r>
    </w:p>
    <w:p w:rsidR="00000000" w:rsidRDefault="00000000">
      <w:pPr>
        <w:ind w:left="1122" w:hanging="1122"/>
      </w:pPr>
    </w:p>
    <w:p w:rsidR="00000000" w:rsidRDefault="00000000">
      <w:pPr>
        <w:tabs>
          <w:tab w:val="clear" w:pos="1134"/>
          <w:tab w:val="left" w:pos="1122"/>
        </w:tabs>
      </w:pPr>
      <w:r>
        <w:t>Правительство страны стремится применять последовательный, стимулирующий и ориентированный на потребности родителей подход, с тем чтобы родители сами могли решать возникающие проблемы.</w:t>
      </w:r>
    </w:p>
    <w:p w:rsidR="00000000" w:rsidRDefault="00000000">
      <w:pPr>
        <w:tabs>
          <w:tab w:val="clear" w:pos="1134"/>
          <w:tab w:val="left" w:pos="1122"/>
        </w:tabs>
      </w:pPr>
    </w:p>
    <w:p w:rsidR="00000000" w:rsidRDefault="00000000">
      <w:pPr>
        <w:tabs>
          <w:tab w:val="clear" w:pos="1134"/>
          <w:tab w:val="left" w:pos="1122"/>
        </w:tabs>
      </w:pPr>
      <w:r>
        <w:t>278.</w:t>
      </w:r>
      <w:r>
        <w:tab/>
        <w:t>Министерство юстиции и Министерство здравоохранения, благосостояния и спорта предприняли совместную инициативу по внедрению программы поддержки родителей и стимулирования развития детей на общинном уровне.  Эта программа, рассчитанная до конца 2002 года, призвана укреплять сети формальных и неформальных учреждений по оказанию поддержки родителям, а также помогать им использовать собственный потенциал.  Программа охватывает весь спектр помощи родителям - от общей до специальной и от поощрительной до активной.  Проводимые мероприятия включают обмен информацией и разработку программ, расширение доступа, а также комплексные и основанные на конкретных проектах подходы.  Существуют различные учреждения, в частности бюро по поддержке родителей, где родители могут получить ответы на свои вопросы, общинные организации, а также учебные программы, такие, как курсы по воспитанию детей или программа подготовки родителей на дому с помощью видеоматериалов.</w:t>
      </w:r>
    </w:p>
    <w:p w:rsidR="00000000" w:rsidRDefault="00000000">
      <w:pPr>
        <w:tabs>
          <w:tab w:val="clear" w:pos="1134"/>
          <w:tab w:val="left" w:pos="1122"/>
        </w:tabs>
      </w:pPr>
    </w:p>
    <w:p w:rsidR="00000000" w:rsidRDefault="00000000">
      <w:pPr>
        <w:tabs>
          <w:tab w:val="clear" w:pos="1134"/>
          <w:tab w:val="left" w:pos="1122"/>
        </w:tabs>
        <w:rPr>
          <w:i/>
          <w:iCs/>
        </w:rPr>
      </w:pPr>
      <w:r>
        <w:rPr>
          <w:i/>
          <w:iCs/>
        </w:rPr>
        <w:t>Поддержка детей и молодежи</w:t>
      </w:r>
    </w:p>
    <w:p w:rsidR="00000000" w:rsidRDefault="00000000">
      <w:pPr>
        <w:tabs>
          <w:tab w:val="clear" w:pos="1134"/>
          <w:tab w:val="left" w:pos="1122"/>
        </w:tabs>
        <w:rPr>
          <w:i/>
          <w:iCs/>
        </w:rPr>
      </w:pPr>
    </w:p>
    <w:p w:rsidR="00000000" w:rsidRDefault="00000000">
      <w:pPr>
        <w:tabs>
          <w:tab w:val="clear" w:pos="1134"/>
          <w:tab w:val="left" w:pos="1122"/>
        </w:tabs>
      </w:pPr>
      <w:r>
        <w:t>279.</w:t>
      </w:r>
      <w:r>
        <w:tab/>
        <w:t>Программы поддержки родителей ориентированы, главным образом, на родителей.  Однако в 1979 году также учреждена служба для детей и молодежи под названием "Детская линия", которая предоставляет помощь, консультации и информацию по телефону всем детям и молодым людям в возрасте 8-18 лет.  Операторы "Детской линии" не выясняют фамилию или адрес позвонивших детей, а вся полученная информация является конфиденциальной, что способствует беспрепятственному обращению в эту службу лиц, стремящихся воспользоваться ее услугами.  Сотрудники "Детской линии" обращаются к вспомогательным учреждениям только по конкретной просьбе самого ребенка или в том случае, если сами считают это необходимым.  "Детская линия" обеспечивает подготовку лиц, работающих с детьми, в частности преподавателей, школьных врачей и т.п.  Операторами "Детской линии" работают в основном добровольцы, которых консультируют специалисты.</w:t>
      </w:r>
    </w:p>
    <w:p w:rsidR="00000000" w:rsidRDefault="00000000">
      <w:pPr>
        <w:tabs>
          <w:tab w:val="clear" w:pos="1134"/>
          <w:tab w:val="left" w:pos="1122"/>
        </w:tabs>
      </w:pPr>
    </w:p>
    <w:p w:rsidR="00000000" w:rsidRDefault="00000000">
      <w:pPr>
        <w:tabs>
          <w:tab w:val="clear" w:pos="1134"/>
          <w:tab w:val="left" w:pos="1122"/>
        </w:tabs>
        <w:rPr>
          <w:i/>
          <w:iCs/>
        </w:rPr>
      </w:pPr>
      <w:r>
        <w:rPr>
          <w:i/>
          <w:iCs/>
        </w:rPr>
        <w:t>Защита детей и подростков в семье</w:t>
      </w:r>
    </w:p>
    <w:p w:rsidR="00000000" w:rsidRDefault="00000000">
      <w:pPr>
        <w:tabs>
          <w:tab w:val="clear" w:pos="1134"/>
          <w:tab w:val="left" w:pos="1122"/>
        </w:tabs>
        <w:rPr>
          <w:i/>
          <w:iCs/>
        </w:rPr>
      </w:pPr>
    </w:p>
    <w:p w:rsidR="00000000" w:rsidRDefault="00000000">
      <w:pPr>
        <w:tabs>
          <w:tab w:val="clear" w:pos="1134"/>
          <w:tab w:val="left" w:pos="1122"/>
        </w:tabs>
      </w:pPr>
      <w:r>
        <w:t>280.</w:t>
      </w:r>
      <w:r>
        <w:tab/>
        <w:t>В Нидерландах имеется обширная ресурсная сеть для оказания помощи детям и подросткам, которые испытывают определенные проблемы или имеют сложности в развитии и переходе к взрослой жизни.  Деятельность в этой области может включать вмешательство в семейные дела.  В подобных случаях предусматривается обязательная помощь, предоставляемая детям, которые серьезно отстают в развитии и/или подвергаются дома жестокому обращению.  Такая помощь оказывается детям и подросткам в возрасте до 18 лет.</w:t>
      </w:r>
    </w:p>
    <w:p w:rsidR="00000000" w:rsidRDefault="00000000">
      <w:pPr>
        <w:tabs>
          <w:tab w:val="clear" w:pos="1134"/>
          <w:tab w:val="left" w:pos="1122"/>
        </w:tabs>
      </w:pPr>
    </w:p>
    <w:p w:rsidR="00000000" w:rsidRDefault="00000000">
      <w:pPr>
        <w:tabs>
          <w:tab w:val="clear" w:pos="1134"/>
          <w:tab w:val="left" w:pos="1122"/>
        </w:tabs>
        <w:rPr>
          <w:i/>
          <w:iCs/>
        </w:rPr>
      </w:pPr>
      <w:r>
        <w:rPr>
          <w:i/>
          <w:iCs/>
        </w:rPr>
        <w:t>Совет по защите детей</w:t>
      </w:r>
    </w:p>
    <w:p w:rsidR="00000000" w:rsidRDefault="00000000">
      <w:pPr>
        <w:tabs>
          <w:tab w:val="clear" w:pos="1134"/>
          <w:tab w:val="left" w:pos="1122"/>
        </w:tabs>
        <w:rPr>
          <w:i/>
          <w:iCs/>
        </w:rPr>
      </w:pPr>
    </w:p>
    <w:p w:rsidR="00000000" w:rsidRDefault="00000000">
      <w:pPr>
        <w:tabs>
          <w:tab w:val="clear" w:pos="1134"/>
          <w:tab w:val="left" w:pos="1122"/>
        </w:tabs>
      </w:pPr>
      <w:r>
        <w:t>281.</w:t>
      </w:r>
      <w:r>
        <w:tab/>
        <w:t>Совет по защите детей, действующий под эгидой Министерства юстиции, принимает меры в ситуациях, когда дети сталкиваются с серьезными проблемами в развитии.  Этот Совет не предоставляет непосредственной помощи, но определяет, какие меры и формы ухода лучше всего отвечают интересам ребенка и родителей.  На Совет возложены три важные задачи:  защита детей, развод родителей и обеспечение их права на общение с ребенком и уголовно-процессуальные действия в отношении несовершеннолетних.  Кроме того, Совет уполномочен заниматься другими вопросами, затрагивающими интересы ребенка, такие, как усыновление/удочерение, изменение фамилии и помещение детей под опеку.  Совет также отвечает за реабилитацию несовершеннолетних и привлечение молодых правонарушителей к обязательным общественным работам.</w:t>
      </w:r>
    </w:p>
    <w:p w:rsidR="00000000" w:rsidRDefault="00000000">
      <w:pPr>
        <w:tabs>
          <w:tab w:val="clear" w:pos="1134"/>
          <w:tab w:val="left" w:pos="1122"/>
        </w:tabs>
      </w:pPr>
    </w:p>
    <w:p w:rsidR="00000000" w:rsidRDefault="00000000">
      <w:pPr>
        <w:tabs>
          <w:tab w:val="clear" w:pos="1134"/>
          <w:tab w:val="left" w:pos="1122"/>
        </w:tabs>
      </w:pPr>
      <w:r>
        <w:t>282.</w:t>
      </w:r>
      <w:r>
        <w:tab/>
        <w:t>Одной из основных задач Совета является предоставление защиты.  В ситуациях, когда развитие ребенка находится под угрозой, Совет проводит расследование и может ходатайствовать в суде о принятии постановления о защите ребенка (в обязательном или добровольном порядке).</w:t>
      </w:r>
    </w:p>
    <w:p w:rsidR="00000000" w:rsidRDefault="00000000">
      <w:pPr>
        <w:tabs>
          <w:tab w:val="clear" w:pos="1134"/>
          <w:tab w:val="left" w:pos="1122"/>
        </w:tabs>
      </w:pPr>
    </w:p>
    <w:p w:rsidR="00000000" w:rsidRDefault="00000000">
      <w:pPr>
        <w:tabs>
          <w:tab w:val="clear" w:pos="1134"/>
          <w:tab w:val="left" w:pos="1122"/>
        </w:tabs>
      </w:pPr>
      <w:r>
        <w:t>283.</w:t>
      </w:r>
      <w:r>
        <w:tab/>
        <w:t>Развод и право родителей на общение с детьми.  После развода родители имеют право на общение со своими детьми.  Как правило, считается, что родители должны сами договариваться между собой.  Однако, когда родители не могут согласовать свои действия, Совет представляет в суд соответствующую рекомендацию, исходя из наилучших интересов ребенка.</w:t>
      </w:r>
    </w:p>
    <w:p w:rsidR="00000000" w:rsidRDefault="00000000">
      <w:pPr>
        <w:tabs>
          <w:tab w:val="clear" w:pos="1134"/>
          <w:tab w:val="left" w:pos="1122"/>
        </w:tabs>
      </w:pPr>
    </w:p>
    <w:p w:rsidR="00000000" w:rsidRDefault="00000000">
      <w:pPr>
        <w:tabs>
          <w:tab w:val="clear" w:pos="1134"/>
          <w:tab w:val="left" w:pos="1122"/>
        </w:tabs>
      </w:pPr>
      <w:r>
        <w:t>284.</w:t>
      </w:r>
      <w:r>
        <w:tab/>
        <w:t>Наказание.  Совет занимается случаями привлечения несовершеннолетних к суду по подозрению в совершении преступлений.  Он рекомендует назначить меру наказания, направленную на изменение поведения ребенка.  Кроме того, Совет всегда интересуется, нуждается ли ребенок в помощи.</w:t>
      </w:r>
    </w:p>
    <w:p w:rsidR="00000000" w:rsidRDefault="00000000">
      <w:pPr>
        <w:tabs>
          <w:tab w:val="clear" w:pos="1134"/>
          <w:tab w:val="left" w:pos="1122"/>
        </w:tabs>
      </w:pPr>
    </w:p>
    <w:p w:rsidR="00000000" w:rsidRDefault="00000000">
      <w:pPr>
        <w:tabs>
          <w:tab w:val="clear" w:pos="1134"/>
          <w:tab w:val="left" w:pos="1122"/>
        </w:tabs>
      </w:pPr>
      <w:r>
        <w:t>285.</w:t>
      </w:r>
      <w:r>
        <w:tab/>
        <w:t>Семейная опека.  Если развитие ребенка находится под серьезной угрозой, Совет проводит расследование и представляет рекомендацию судье по делам детей.  Это может быть рекомендация в отношении назначения обязательного или добровольного лечения.  Если выясняется, что родители пренебрегают воспитанием своих детей, подвергая тем самым угрозе их физическое и психическое благополучие, Совет может рекомендовать суду принять постановление о взятии ребенка под защиту, например о лишении родителей родительских прав.  Менее кардинальной мерой является постановление о надзоре за положением в семье.  Это означает прикрепление к семье социального работника из агентства по надзору за положением в семьях.  Социальный работник контролирует ситуацию в семье и представляет доклады судье по делам детей.</w:t>
      </w:r>
    </w:p>
    <w:p w:rsidR="00000000" w:rsidRDefault="00000000">
      <w:pPr>
        <w:tabs>
          <w:tab w:val="clear" w:pos="1134"/>
          <w:tab w:val="left" w:pos="1122"/>
        </w:tabs>
      </w:pPr>
    </w:p>
    <w:p w:rsidR="00000000" w:rsidRDefault="00000000">
      <w:pPr>
        <w:tabs>
          <w:tab w:val="clear" w:pos="1134"/>
          <w:tab w:val="left" w:pos="1122"/>
        </w:tabs>
        <w:rPr>
          <w:i/>
          <w:iCs/>
        </w:rPr>
      </w:pPr>
      <w:r>
        <w:rPr>
          <w:i/>
          <w:iCs/>
        </w:rPr>
        <w:t>Помещение в приемную семью и усыновление/удочерение</w:t>
      </w:r>
    </w:p>
    <w:p w:rsidR="00000000" w:rsidRDefault="00000000">
      <w:pPr>
        <w:tabs>
          <w:tab w:val="clear" w:pos="1134"/>
          <w:tab w:val="left" w:pos="1122"/>
        </w:tabs>
        <w:rPr>
          <w:i/>
          <w:iCs/>
        </w:rPr>
      </w:pPr>
    </w:p>
    <w:p w:rsidR="00000000" w:rsidRDefault="00000000">
      <w:pPr>
        <w:tabs>
          <w:tab w:val="clear" w:pos="1134"/>
          <w:tab w:val="left" w:pos="1122"/>
        </w:tabs>
      </w:pPr>
      <w:r>
        <w:t>286.</w:t>
      </w:r>
      <w:r>
        <w:tab/>
        <w:t>Помещение ребенка в приемную семью имеет конечной целью возвращение ребенка в его собственную семью, хотя это и не всегда оказывается возможным.  В настоящее время в Нидерландах прилагаются активные усилия для улучшения системы ухода за детьми в приемных семьях.  Если дети не могут продолжать жить в своей семье, может предлагаться их усыновление/удочерение.  Нидерланды подписали и ратифицировали Гаагскую конвенцию о межгосударственном усыновлении, которая направлена на обеспечение того, чтобы усыновление/удочерение проводилось прежде всего в интересах ребенка и с соблюдением его конституционных прав в соответствии с международным правом.  Одно из положений Конвенции предусматривает, что каждая страна должна стремиться оставлять детей в стране их происхождения.</w:t>
      </w:r>
    </w:p>
    <w:p w:rsidR="00000000" w:rsidRDefault="00000000">
      <w:pPr>
        <w:tabs>
          <w:tab w:val="clear" w:pos="1134"/>
          <w:tab w:val="left" w:pos="1122"/>
        </w:tabs>
      </w:pPr>
    </w:p>
    <w:p w:rsidR="00000000" w:rsidRDefault="00000000">
      <w:pPr>
        <w:rPr>
          <w:i/>
          <w:iCs/>
        </w:rPr>
      </w:pPr>
      <w:r>
        <w:rPr>
          <w:i/>
          <w:iCs/>
        </w:rPr>
        <w:t>Центры по консультированию и приему сообщений о случаях жестокого обращения и отсутствия заботы в отношении детей</w:t>
      </w:r>
    </w:p>
    <w:p w:rsidR="00000000" w:rsidRDefault="00000000">
      <w:pPr>
        <w:rPr>
          <w:i/>
          <w:iCs/>
        </w:rPr>
      </w:pPr>
    </w:p>
    <w:p w:rsidR="00000000" w:rsidRDefault="00000000">
      <w:r>
        <w:t>287.</w:t>
      </w:r>
      <w:r>
        <w:tab/>
        <w:t>В 70-х годах в Нидерландах была создана национальная сеть учреждений - консультативных центров, укомплектованных штатом врачей, - конкретно занимающихся вопросами жестокого обращения в отношении детей (включая отсутствие заботы и сексуальные надругательства).  В 1996 году эти бюро были объединены в центры по консультированию и приему сообщений о случаях жестокого обращения и отсутствия заботы в отношении детей.  Это - централизованные учреждения, которые занимаются проблемами жестокого обращения в отношении детей и предоставляют соответствующие консультации.  В каждой провинции и крупных городских районах создано по одному такому центру.  Центры тесно сотрудничают с Советом по защите детей.  Все сообщения о случаях жестокого обращения или просьбы о консультировании документально регистрируются.</w:t>
      </w:r>
    </w:p>
    <w:p w:rsidR="00000000" w:rsidRDefault="00000000"/>
    <w:p w:rsidR="00000000" w:rsidRDefault="00000000">
      <w:r>
        <w:t>288.</w:t>
      </w:r>
      <w:r>
        <w:tab/>
        <w:t xml:space="preserve">Жестокое обращение в отношении детей включает широкий круг угрожающих ребенку деяний физического, психического или сексуального характера со стороны лиц, обязанных воспитывать ребенка, которые могут причинить ребенку тяжелый физический или психологический ущерб.  В этой связи были выделены пять видов неправомерного поведения в отношении ребенка:  жестокое физическое обращение, жестокое психологическое обращение, отсутствие заботы о физическом состоянии ребенка, отсутствие заботы о психическом состоянии и сексуальное надругательство.  Опыт последних лет показал, что большинство случаев представляет собой комбинацию различных категорий такого поведения.  Оказание помощи родителям и ребенку зависит от того, какие именно проблемы характерны для ситуации в конкретной семье.  Первый шаг представляет собой добровольное согласие на оказание помощи.  При необходимости на более позднем этапе в ситуацию может вмешиваться Совет по защите детей.  </w:t>
      </w:r>
    </w:p>
    <w:p w:rsidR="00000000" w:rsidRDefault="00000000"/>
    <w:p w:rsidR="00000000" w:rsidRDefault="00000000">
      <w:r>
        <w:t>289.</w:t>
      </w:r>
      <w:r>
        <w:tab/>
        <w:t>В каждой провинции работают группы специалистов по профилактике жестокого обращения в отношении детей, которые, по соответствующей просьбе, организуют различные мероприятия, включая информационные сессии, курсы по выявлению признаков жестокого обращения в отношении детей и т.п.  Целевые группы состоят из специалистов в области ухода за детьми, преподавателей, сотрудников, занимающихся проблемами молодежи, семейных врачей, родителей и т.п.</w:t>
      </w:r>
    </w:p>
    <w:p w:rsidR="00000000" w:rsidRDefault="00000000"/>
    <w:p w:rsidR="00000000" w:rsidRDefault="00000000">
      <w:pPr>
        <w:rPr>
          <w:b/>
          <w:bCs/>
        </w:rPr>
      </w:pPr>
      <w:r>
        <w:rPr>
          <w:b/>
          <w:bCs/>
        </w:rPr>
        <w:t>Семьи с минимальным доходом</w:t>
      </w:r>
    </w:p>
    <w:p w:rsidR="00000000" w:rsidRDefault="00000000">
      <w:pPr>
        <w:rPr>
          <w:b/>
          <w:bCs/>
        </w:rPr>
      </w:pPr>
    </w:p>
    <w:p w:rsidR="00000000" w:rsidRDefault="00000000">
      <w:r>
        <w:t>290.</w:t>
      </w:r>
      <w:r>
        <w:tab/>
        <w:t>Забота о детях возлагается на родителей.  Государство помогает семьям, предоставляя пособия на детей.  Это относится и к семьям с минимальным доходом.</w:t>
      </w:r>
    </w:p>
    <w:p w:rsidR="00000000" w:rsidRDefault="00000000"/>
    <w:p w:rsidR="00000000" w:rsidRDefault="00000000">
      <w:r>
        <w:t>291.</w:t>
      </w:r>
      <w:r>
        <w:tab/>
        <w:t>В таблице 15 приводятся сведения о положении малоимущих семей с детьми в период 1995-2002 годов, согласно которым динамика роста их общей покупательной способности была лучше, чем у бездетных семей.</w:t>
      </w:r>
    </w:p>
    <w:p w:rsidR="00000000" w:rsidRDefault="00000000"/>
    <w:p w:rsidR="00000000" w:rsidRDefault="00000000">
      <w:pPr>
        <w:spacing w:line="240" w:lineRule="auto"/>
        <w:jc w:val="center"/>
        <w:rPr>
          <w:b/>
          <w:bCs/>
        </w:rPr>
      </w:pPr>
      <w:r>
        <w:rPr>
          <w:b/>
          <w:bCs/>
        </w:rPr>
        <w:t>Таблица 15</w:t>
      </w:r>
    </w:p>
    <w:p w:rsidR="00000000" w:rsidRDefault="00000000">
      <w:pPr>
        <w:spacing w:line="240" w:lineRule="auto"/>
        <w:jc w:val="center"/>
        <w:rPr>
          <w:b/>
          <w:bCs/>
        </w:rPr>
      </w:pPr>
    </w:p>
    <w:p w:rsidR="00000000" w:rsidRDefault="00000000">
      <w:pPr>
        <w:spacing w:line="240" w:lineRule="auto"/>
        <w:jc w:val="center"/>
        <w:rPr>
          <w:b/>
          <w:bCs/>
        </w:rPr>
      </w:pPr>
      <w:r>
        <w:rPr>
          <w:b/>
          <w:bCs/>
        </w:rPr>
        <w:t>Динамика роста общей покупательной способности семей</w:t>
      </w:r>
    </w:p>
    <w:p w:rsidR="00000000" w:rsidRDefault="00000000">
      <w:pPr>
        <w:jc w:val="center"/>
        <w:rPr>
          <w:b/>
          <w:bCs/>
        </w:rPr>
      </w:pPr>
      <w:r>
        <w:rPr>
          <w:b/>
          <w:bCs/>
        </w:rPr>
        <w:t>с гарантированным минимальным доходом</w:t>
      </w:r>
    </w:p>
    <w:p w:rsidR="00000000" w:rsidRDefault="00000000">
      <w:pPr>
        <w:jc w:val="center"/>
        <w:rPr>
          <w:b/>
          <w:bCs/>
        </w:rPr>
      </w:pPr>
      <w:r>
        <w:rPr>
          <w:b/>
          <w:bCs/>
        </w:rPr>
        <w:t>в % за год</w:t>
      </w:r>
    </w:p>
    <w:tbl>
      <w:tblPr>
        <w:tblW w:w="0" w:type="auto"/>
        <w:jc w:val="center"/>
        <w:tblInd w:w="28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79"/>
        <w:gridCol w:w="687"/>
        <w:gridCol w:w="687"/>
        <w:gridCol w:w="687"/>
        <w:gridCol w:w="687"/>
        <w:gridCol w:w="687"/>
        <w:gridCol w:w="687"/>
        <w:gridCol w:w="687"/>
        <w:gridCol w:w="687"/>
        <w:gridCol w:w="1127"/>
      </w:tblGrid>
      <w:tr w:rsidR="00000000">
        <w:tblPrEx>
          <w:tblCellMar>
            <w:top w:w="0" w:type="dxa"/>
            <w:left w:w="0" w:type="dxa"/>
            <w:bottom w:w="0" w:type="dxa"/>
            <w:right w:w="0" w:type="dxa"/>
          </w:tblCellMar>
        </w:tblPrEx>
        <w:trPr>
          <w:jc w:val="center"/>
        </w:trPr>
        <w:tc>
          <w:tcPr>
            <w:tcW w:w="1979"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1995</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1996</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1997</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1998</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1999</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2000</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2001</w:t>
            </w:r>
          </w:p>
        </w:tc>
        <w:tc>
          <w:tcPr>
            <w:tcW w:w="68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2002</w:t>
            </w:r>
          </w:p>
        </w:tc>
        <w:tc>
          <w:tcPr>
            <w:tcW w:w="1127" w:type="dxa"/>
            <w:tcBorders>
              <w:top w:val="single" w:sz="4" w:space="0" w:color="auto"/>
              <w:bottom w:val="single" w:sz="4" w:space="0" w:color="auto"/>
            </w:tcBorders>
            <w:vAlign w:val="center"/>
          </w:tcPr>
          <w:p w:rsidR="00000000" w:rsidRDefault="00000000">
            <w:pPr>
              <w:overflowPunct w:val="0"/>
              <w:autoSpaceDE w:val="0"/>
              <w:autoSpaceDN w:val="0"/>
              <w:spacing w:line="240" w:lineRule="auto"/>
              <w:jc w:val="center"/>
            </w:pPr>
            <w:r>
              <w:t>Сводные данные</w:t>
            </w:r>
          </w:p>
        </w:tc>
      </w:tr>
      <w:tr w:rsidR="00000000">
        <w:tblPrEx>
          <w:tblCellMar>
            <w:top w:w="0" w:type="dxa"/>
            <w:left w:w="0" w:type="dxa"/>
            <w:bottom w:w="0" w:type="dxa"/>
            <w:right w:w="0" w:type="dxa"/>
          </w:tblCellMar>
        </w:tblPrEx>
        <w:trPr>
          <w:jc w:val="center"/>
        </w:trPr>
        <w:tc>
          <w:tcPr>
            <w:tcW w:w="1979" w:type="dxa"/>
            <w:tcBorders>
              <w:top w:val="single" w:sz="4" w:space="0" w:color="auto"/>
            </w:tcBorders>
          </w:tcPr>
          <w:p w:rsidR="00000000" w:rsidRDefault="00000000">
            <w:pPr>
              <w:overflowPunct w:val="0"/>
              <w:autoSpaceDE w:val="0"/>
              <w:autoSpaceDN w:val="0"/>
              <w:spacing w:line="240" w:lineRule="auto"/>
            </w:pPr>
            <w:r>
              <w:t>Одинокие лица</w:t>
            </w:r>
          </w:p>
        </w:tc>
        <w:tc>
          <w:tcPr>
            <w:tcW w:w="687" w:type="dxa"/>
            <w:tcBorders>
              <w:top w:val="single" w:sz="4" w:space="0" w:color="auto"/>
            </w:tcBorders>
          </w:tcPr>
          <w:p w:rsidR="00000000" w:rsidRDefault="00000000">
            <w:pPr>
              <w:overflowPunct w:val="0"/>
              <w:autoSpaceDE w:val="0"/>
              <w:autoSpaceDN w:val="0"/>
              <w:spacing w:line="240" w:lineRule="auto"/>
              <w:jc w:val="center"/>
            </w:pPr>
            <w:r>
              <w:t>-0,4</w:t>
            </w:r>
          </w:p>
        </w:tc>
        <w:tc>
          <w:tcPr>
            <w:tcW w:w="687" w:type="dxa"/>
            <w:tcBorders>
              <w:top w:val="single" w:sz="4" w:space="0" w:color="auto"/>
            </w:tcBorders>
          </w:tcPr>
          <w:p w:rsidR="00000000" w:rsidRDefault="00000000">
            <w:pPr>
              <w:overflowPunct w:val="0"/>
              <w:autoSpaceDE w:val="0"/>
              <w:autoSpaceDN w:val="0"/>
              <w:spacing w:line="240" w:lineRule="auto"/>
              <w:jc w:val="center"/>
            </w:pPr>
            <w:r>
              <w:t>-0,1</w:t>
            </w:r>
          </w:p>
        </w:tc>
        <w:tc>
          <w:tcPr>
            <w:tcW w:w="687" w:type="dxa"/>
            <w:tcBorders>
              <w:top w:val="single" w:sz="4" w:space="0" w:color="auto"/>
            </w:tcBorders>
          </w:tcPr>
          <w:p w:rsidR="00000000" w:rsidRDefault="00000000">
            <w:pPr>
              <w:overflowPunct w:val="0"/>
              <w:autoSpaceDE w:val="0"/>
              <w:autoSpaceDN w:val="0"/>
              <w:spacing w:line="240" w:lineRule="auto"/>
              <w:jc w:val="center"/>
            </w:pPr>
            <w:r>
              <w:t>0,3</w:t>
            </w:r>
          </w:p>
        </w:tc>
        <w:tc>
          <w:tcPr>
            <w:tcW w:w="687" w:type="dxa"/>
            <w:tcBorders>
              <w:top w:val="single" w:sz="4" w:space="0" w:color="auto"/>
            </w:tcBorders>
          </w:tcPr>
          <w:p w:rsidR="00000000" w:rsidRDefault="00000000">
            <w:pPr>
              <w:overflowPunct w:val="0"/>
              <w:autoSpaceDE w:val="0"/>
              <w:autoSpaceDN w:val="0"/>
              <w:spacing w:line="240" w:lineRule="auto"/>
              <w:jc w:val="center"/>
            </w:pPr>
            <w:r>
              <w:t>2,0</w:t>
            </w:r>
          </w:p>
        </w:tc>
        <w:tc>
          <w:tcPr>
            <w:tcW w:w="687" w:type="dxa"/>
            <w:tcBorders>
              <w:top w:val="single" w:sz="4" w:space="0" w:color="auto"/>
            </w:tcBorders>
          </w:tcPr>
          <w:p w:rsidR="00000000" w:rsidRDefault="00000000">
            <w:pPr>
              <w:overflowPunct w:val="0"/>
              <w:autoSpaceDE w:val="0"/>
              <w:autoSpaceDN w:val="0"/>
              <w:spacing w:line="240" w:lineRule="auto"/>
              <w:jc w:val="center"/>
            </w:pPr>
            <w:r>
              <w:t>0,3</w:t>
            </w:r>
          </w:p>
        </w:tc>
        <w:tc>
          <w:tcPr>
            <w:tcW w:w="687" w:type="dxa"/>
            <w:tcBorders>
              <w:top w:val="single" w:sz="4" w:space="0" w:color="auto"/>
            </w:tcBorders>
          </w:tcPr>
          <w:p w:rsidR="00000000" w:rsidRDefault="00000000">
            <w:pPr>
              <w:overflowPunct w:val="0"/>
              <w:autoSpaceDE w:val="0"/>
              <w:autoSpaceDN w:val="0"/>
              <w:spacing w:line="240" w:lineRule="auto"/>
              <w:jc w:val="center"/>
            </w:pPr>
            <w:r>
              <w:t>1,2</w:t>
            </w:r>
          </w:p>
        </w:tc>
        <w:tc>
          <w:tcPr>
            <w:tcW w:w="687" w:type="dxa"/>
            <w:tcBorders>
              <w:top w:val="single" w:sz="4" w:space="0" w:color="auto"/>
            </w:tcBorders>
          </w:tcPr>
          <w:p w:rsidR="00000000" w:rsidRDefault="00000000">
            <w:pPr>
              <w:overflowPunct w:val="0"/>
              <w:autoSpaceDE w:val="0"/>
              <w:autoSpaceDN w:val="0"/>
              <w:spacing w:line="240" w:lineRule="auto"/>
              <w:jc w:val="center"/>
            </w:pPr>
            <w:r>
              <w:t>2,9</w:t>
            </w:r>
          </w:p>
        </w:tc>
        <w:tc>
          <w:tcPr>
            <w:tcW w:w="687" w:type="dxa"/>
            <w:tcBorders>
              <w:top w:val="single" w:sz="4" w:space="0" w:color="auto"/>
            </w:tcBorders>
          </w:tcPr>
          <w:p w:rsidR="00000000" w:rsidRDefault="00000000">
            <w:pPr>
              <w:overflowPunct w:val="0"/>
              <w:autoSpaceDE w:val="0"/>
              <w:autoSpaceDN w:val="0"/>
              <w:spacing w:line="240" w:lineRule="auto"/>
              <w:jc w:val="center"/>
            </w:pPr>
            <w:r>
              <w:t>1,4</w:t>
            </w:r>
          </w:p>
        </w:tc>
        <w:tc>
          <w:tcPr>
            <w:tcW w:w="1127" w:type="dxa"/>
            <w:tcBorders>
              <w:top w:val="single" w:sz="4" w:space="0" w:color="auto"/>
            </w:tcBorders>
          </w:tcPr>
          <w:p w:rsidR="00000000" w:rsidRDefault="00000000">
            <w:pPr>
              <w:overflowPunct w:val="0"/>
              <w:autoSpaceDE w:val="0"/>
              <w:autoSpaceDN w:val="0"/>
              <w:spacing w:line="240" w:lineRule="auto"/>
              <w:jc w:val="center"/>
            </w:pPr>
            <w:r>
              <w:t>8,1</w:t>
            </w:r>
          </w:p>
        </w:tc>
      </w:tr>
      <w:tr w:rsidR="00000000">
        <w:tblPrEx>
          <w:tblCellMar>
            <w:top w:w="0" w:type="dxa"/>
            <w:left w:w="0" w:type="dxa"/>
            <w:bottom w:w="0" w:type="dxa"/>
            <w:right w:w="0" w:type="dxa"/>
          </w:tblCellMar>
        </w:tblPrEx>
        <w:trPr>
          <w:jc w:val="center"/>
        </w:trPr>
        <w:tc>
          <w:tcPr>
            <w:tcW w:w="1979" w:type="dxa"/>
          </w:tcPr>
          <w:p w:rsidR="00000000" w:rsidRDefault="00000000">
            <w:pPr>
              <w:overflowPunct w:val="0"/>
              <w:autoSpaceDE w:val="0"/>
              <w:autoSpaceDN w:val="0"/>
              <w:spacing w:line="240" w:lineRule="auto"/>
            </w:pPr>
            <w:r>
              <w:t>Семьи с одним родителем</w:t>
            </w:r>
          </w:p>
        </w:tc>
        <w:tc>
          <w:tcPr>
            <w:tcW w:w="687" w:type="dxa"/>
          </w:tcPr>
          <w:p w:rsidR="00000000" w:rsidRDefault="00000000">
            <w:pPr>
              <w:overflowPunct w:val="0"/>
              <w:autoSpaceDE w:val="0"/>
              <w:autoSpaceDN w:val="0"/>
              <w:spacing w:line="240" w:lineRule="auto"/>
              <w:jc w:val="center"/>
            </w:pPr>
            <w:r>
              <w:t>-0,2</w:t>
            </w:r>
          </w:p>
        </w:tc>
        <w:tc>
          <w:tcPr>
            <w:tcW w:w="687" w:type="dxa"/>
          </w:tcPr>
          <w:p w:rsidR="00000000" w:rsidRDefault="00000000">
            <w:pPr>
              <w:overflowPunct w:val="0"/>
              <w:autoSpaceDE w:val="0"/>
              <w:autoSpaceDN w:val="0"/>
              <w:spacing w:line="240" w:lineRule="auto"/>
              <w:jc w:val="center"/>
            </w:pPr>
            <w:r>
              <w:t>0,0</w:t>
            </w:r>
          </w:p>
        </w:tc>
        <w:tc>
          <w:tcPr>
            <w:tcW w:w="687" w:type="dxa"/>
          </w:tcPr>
          <w:p w:rsidR="00000000" w:rsidRDefault="00000000">
            <w:pPr>
              <w:overflowPunct w:val="0"/>
              <w:autoSpaceDE w:val="0"/>
              <w:autoSpaceDN w:val="0"/>
              <w:spacing w:line="240" w:lineRule="auto"/>
              <w:jc w:val="center"/>
            </w:pPr>
            <w:r>
              <w:t>0,2</w:t>
            </w:r>
          </w:p>
        </w:tc>
        <w:tc>
          <w:tcPr>
            <w:tcW w:w="687" w:type="dxa"/>
          </w:tcPr>
          <w:p w:rsidR="00000000" w:rsidRDefault="00000000">
            <w:pPr>
              <w:overflowPunct w:val="0"/>
              <w:autoSpaceDE w:val="0"/>
              <w:autoSpaceDN w:val="0"/>
              <w:spacing w:line="240" w:lineRule="auto"/>
              <w:jc w:val="center"/>
            </w:pPr>
            <w:r>
              <w:t>1,9</w:t>
            </w:r>
          </w:p>
        </w:tc>
        <w:tc>
          <w:tcPr>
            <w:tcW w:w="687" w:type="dxa"/>
          </w:tcPr>
          <w:p w:rsidR="00000000" w:rsidRDefault="00000000">
            <w:pPr>
              <w:overflowPunct w:val="0"/>
              <w:autoSpaceDE w:val="0"/>
              <w:autoSpaceDN w:val="0"/>
              <w:spacing w:line="240" w:lineRule="auto"/>
              <w:jc w:val="center"/>
            </w:pPr>
            <w:r>
              <w:t>0,4</w:t>
            </w:r>
          </w:p>
        </w:tc>
        <w:tc>
          <w:tcPr>
            <w:tcW w:w="687" w:type="dxa"/>
          </w:tcPr>
          <w:p w:rsidR="00000000" w:rsidRDefault="00000000">
            <w:pPr>
              <w:overflowPunct w:val="0"/>
              <w:autoSpaceDE w:val="0"/>
              <w:autoSpaceDN w:val="0"/>
              <w:spacing w:line="240" w:lineRule="auto"/>
              <w:jc w:val="center"/>
            </w:pPr>
            <w:r>
              <w:t>1,4</w:t>
            </w:r>
          </w:p>
        </w:tc>
        <w:tc>
          <w:tcPr>
            <w:tcW w:w="687" w:type="dxa"/>
          </w:tcPr>
          <w:p w:rsidR="00000000" w:rsidRDefault="00000000">
            <w:pPr>
              <w:overflowPunct w:val="0"/>
              <w:autoSpaceDE w:val="0"/>
              <w:autoSpaceDN w:val="0"/>
              <w:spacing w:line="240" w:lineRule="auto"/>
              <w:jc w:val="center"/>
            </w:pPr>
            <w:r>
              <w:t>4,1</w:t>
            </w:r>
          </w:p>
        </w:tc>
        <w:tc>
          <w:tcPr>
            <w:tcW w:w="687" w:type="dxa"/>
          </w:tcPr>
          <w:p w:rsidR="00000000" w:rsidRDefault="00000000">
            <w:pPr>
              <w:overflowPunct w:val="0"/>
              <w:autoSpaceDE w:val="0"/>
              <w:autoSpaceDN w:val="0"/>
              <w:spacing w:line="240" w:lineRule="auto"/>
              <w:jc w:val="center"/>
            </w:pPr>
            <w:r>
              <w:t>2,0</w:t>
            </w:r>
          </w:p>
        </w:tc>
        <w:tc>
          <w:tcPr>
            <w:tcW w:w="1127" w:type="dxa"/>
          </w:tcPr>
          <w:p w:rsidR="00000000" w:rsidRDefault="00000000">
            <w:pPr>
              <w:overflowPunct w:val="0"/>
              <w:autoSpaceDE w:val="0"/>
              <w:autoSpaceDN w:val="0"/>
              <w:spacing w:line="240" w:lineRule="auto"/>
              <w:jc w:val="center"/>
            </w:pPr>
            <w:r>
              <w:t>9,8</w:t>
            </w:r>
          </w:p>
        </w:tc>
      </w:tr>
      <w:tr w:rsidR="00000000">
        <w:tblPrEx>
          <w:tblCellMar>
            <w:top w:w="0" w:type="dxa"/>
            <w:left w:w="0" w:type="dxa"/>
            <w:bottom w:w="0" w:type="dxa"/>
            <w:right w:w="0" w:type="dxa"/>
          </w:tblCellMar>
        </w:tblPrEx>
        <w:trPr>
          <w:jc w:val="center"/>
        </w:trPr>
        <w:tc>
          <w:tcPr>
            <w:tcW w:w="1979" w:type="dxa"/>
          </w:tcPr>
          <w:p w:rsidR="00000000" w:rsidRDefault="00000000">
            <w:pPr>
              <w:overflowPunct w:val="0"/>
              <w:autoSpaceDE w:val="0"/>
              <w:autoSpaceDN w:val="0"/>
              <w:spacing w:line="240" w:lineRule="auto"/>
            </w:pPr>
            <w:r>
              <w:rPr>
                <w:lang w:val="en-GB"/>
              </w:rPr>
              <w:t>C</w:t>
            </w:r>
            <w:proofErr w:type="spellStart"/>
            <w:r>
              <w:t>упружеские</w:t>
            </w:r>
            <w:proofErr w:type="spellEnd"/>
            <w:r>
              <w:t xml:space="preserve"> пары без детей</w:t>
            </w:r>
          </w:p>
        </w:tc>
        <w:tc>
          <w:tcPr>
            <w:tcW w:w="687" w:type="dxa"/>
          </w:tcPr>
          <w:p w:rsidR="00000000" w:rsidRDefault="00000000">
            <w:pPr>
              <w:overflowPunct w:val="0"/>
              <w:autoSpaceDE w:val="0"/>
              <w:autoSpaceDN w:val="0"/>
              <w:spacing w:line="240" w:lineRule="auto"/>
              <w:jc w:val="center"/>
            </w:pPr>
            <w:r>
              <w:t>-0,4</w:t>
            </w:r>
          </w:p>
        </w:tc>
        <w:tc>
          <w:tcPr>
            <w:tcW w:w="687" w:type="dxa"/>
          </w:tcPr>
          <w:p w:rsidR="00000000" w:rsidRDefault="00000000">
            <w:pPr>
              <w:overflowPunct w:val="0"/>
              <w:autoSpaceDE w:val="0"/>
              <w:autoSpaceDN w:val="0"/>
              <w:spacing w:line="240" w:lineRule="auto"/>
              <w:jc w:val="center"/>
            </w:pPr>
            <w:r>
              <w:t>-0,2</w:t>
            </w:r>
          </w:p>
        </w:tc>
        <w:tc>
          <w:tcPr>
            <w:tcW w:w="687" w:type="dxa"/>
          </w:tcPr>
          <w:p w:rsidR="00000000" w:rsidRDefault="00000000">
            <w:pPr>
              <w:overflowPunct w:val="0"/>
              <w:autoSpaceDE w:val="0"/>
              <w:autoSpaceDN w:val="0"/>
              <w:spacing w:line="240" w:lineRule="auto"/>
              <w:jc w:val="center"/>
            </w:pPr>
            <w:r>
              <w:t>0,5</w:t>
            </w:r>
          </w:p>
        </w:tc>
        <w:tc>
          <w:tcPr>
            <w:tcW w:w="687" w:type="dxa"/>
          </w:tcPr>
          <w:p w:rsidR="00000000" w:rsidRDefault="00000000">
            <w:pPr>
              <w:overflowPunct w:val="0"/>
              <w:autoSpaceDE w:val="0"/>
              <w:autoSpaceDN w:val="0"/>
              <w:spacing w:line="240" w:lineRule="auto"/>
              <w:jc w:val="center"/>
            </w:pPr>
            <w:r>
              <w:t>1,9</w:t>
            </w:r>
          </w:p>
        </w:tc>
        <w:tc>
          <w:tcPr>
            <w:tcW w:w="687" w:type="dxa"/>
          </w:tcPr>
          <w:p w:rsidR="00000000" w:rsidRDefault="00000000">
            <w:pPr>
              <w:overflowPunct w:val="0"/>
              <w:autoSpaceDE w:val="0"/>
              <w:autoSpaceDN w:val="0"/>
              <w:spacing w:line="240" w:lineRule="auto"/>
              <w:jc w:val="center"/>
            </w:pPr>
            <w:r>
              <w:t>0,1</w:t>
            </w:r>
          </w:p>
        </w:tc>
        <w:tc>
          <w:tcPr>
            <w:tcW w:w="687" w:type="dxa"/>
          </w:tcPr>
          <w:p w:rsidR="00000000" w:rsidRDefault="00000000">
            <w:pPr>
              <w:overflowPunct w:val="0"/>
              <w:autoSpaceDE w:val="0"/>
              <w:autoSpaceDN w:val="0"/>
              <w:spacing w:line="240" w:lineRule="auto"/>
              <w:jc w:val="center"/>
            </w:pPr>
            <w:r>
              <w:t>0,8</w:t>
            </w:r>
          </w:p>
        </w:tc>
        <w:tc>
          <w:tcPr>
            <w:tcW w:w="687" w:type="dxa"/>
          </w:tcPr>
          <w:p w:rsidR="00000000" w:rsidRDefault="00000000">
            <w:pPr>
              <w:overflowPunct w:val="0"/>
              <w:autoSpaceDE w:val="0"/>
              <w:autoSpaceDN w:val="0"/>
              <w:spacing w:line="240" w:lineRule="auto"/>
              <w:jc w:val="center"/>
            </w:pPr>
            <w:r>
              <w:t>3,2</w:t>
            </w:r>
          </w:p>
        </w:tc>
        <w:tc>
          <w:tcPr>
            <w:tcW w:w="687" w:type="dxa"/>
          </w:tcPr>
          <w:p w:rsidR="00000000" w:rsidRDefault="00000000">
            <w:pPr>
              <w:overflowPunct w:val="0"/>
              <w:autoSpaceDE w:val="0"/>
              <w:autoSpaceDN w:val="0"/>
              <w:spacing w:line="240" w:lineRule="auto"/>
              <w:jc w:val="center"/>
            </w:pPr>
            <w:r>
              <w:t>1,3</w:t>
            </w:r>
          </w:p>
        </w:tc>
        <w:tc>
          <w:tcPr>
            <w:tcW w:w="1127" w:type="dxa"/>
          </w:tcPr>
          <w:p w:rsidR="00000000" w:rsidRDefault="00000000">
            <w:pPr>
              <w:overflowPunct w:val="0"/>
              <w:autoSpaceDE w:val="0"/>
              <w:autoSpaceDN w:val="0"/>
              <w:spacing w:line="240" w:lineRule="auto"/>
              <w:jc w:val="center"/>
            </w:pPr>
            <w:r>
              <w:t>7,5</w:t>
            </w:r>
          </w:p>
        </w:tc>
      </w:tr>
      <w:tr w:rsidR="00000000">
        <w:tblPrEx>
          <w:tblCellMar>
            <w:top w:w="0" w:type="dxa"/>
            <w:left w:w="0" w:type="dxa"/>
            <w:bottom w:w="0" w:type="dxa"/>
            <w:right w:w="0" w:type="dxa"/>
          </w:tblCellMar>
        </w:tblPrEx>
        <w:trPr>
          <w:jc w:val="center"/>
        </w:trPr>
        <w:tc>
          <w:tcPr>
            <w:tcW w:w="1979" w:type="dxa"/>
          </w:tcPr>
          <w:p w:rsidR="00000000" w:rsidRDefault="00000000">
            <w:pPr>
              <w:overflowPunct w:val="0"/>
              <w:autoSpaceDE w:val="0"/>
              <w:autoSpaceDN w:val="0"/>
              <w:spacing w:line="240" w:lineRule="auto"/>
            </w:pPr>
            <w:r>
              <w:rPr>
                <w:lang w:val="en-GB"/>
              </w:rPr>
              <w:t>C</w:t>
            </w:r>
            <w:proofErr w:type="spellStart"/>
            <w:r>
              <w:t>упружеские</w:t>
            </w:r>
            <w:proofErr w:type="spellEnd"/>
            <w:r>
              <w:t xml:space="preserve"> пары с детьми</w:t>
            </w:r>
          </w:p>
        </w:tc>
        <w:tc>
          <w:tcPr>
            <w:tcW w:w="687" w:type="dxa"/>
          </w:tcPr>
          <w:p w:rsidR="00000000" w:rsidRDefault="00000000">
            <w:pPr>
              <w:overflowPunct w:val="0"/>
              <w:autoSpaceDE w:val="0"/>
              <w:autoSpaceDN w:val="0"/>
              <w:spacing w:line="240" w:lineRule="auto"/>
              <w:jc w:val="center"/>
            </w:pPr>
            <w:r>
              <w:t>-0,2</w:t>
            </w:r>
          </w:p>
        </w:tc>
        <w:tc>
          <w:tcPr>
            <w:tcW w:w="687" w:type="dxa"/>
          </w:tcPr>
          <w:p w:rsidR="00000000" w:rsidRDefault="00000000">
            <w:pPr>
              <w:overflowPunct w:val="0"/>
              <w:autoSpaceDE w:val="0"/>
              <w:autoSpaceDN w:val="0"/>
              <w:spacing w:line="240" w:lineRule="auto"/>
              <w:jc w:val="center"/>
            </w:pPr>
            <w:r>
              <w:t>-0,2</w:t>
            </w:r>
          </w:p>
        </w:tc>
        <w:tc>
          <w:tcPr>
            <w:tcW w:w="687" w:type="dxa"/>
          </w:tcPr>
          <w:p w:rsidR="00000000" w:rsidRDefault="00000000">
            <w:pPr>
              <w:overflowPunct w:val="0"/>
              <w:autoSpaceDE w:val="0"/>
              <w:autoSpaceDN w:val="0"/>
              <w:spacing w:line="240" w:lineRule="auto"/>
              <w:jc w:val="center"/>
            </w:pPr>
            <w:r>
              <w:t>0,4</w:t>
            </w:r>
          </w:p>
        </w:tc>
        <w:tc>
          <w:tcPr>
            <w:tcW w:w="687" w:type="dxa"/>
          </w:tcPr>
          <w:p w:rsidR="00000000" w:rsidRDefault="00000000">
            <w:pPr>
              <w:overflowPunct w:val="0"/>
              <w:autoSpaceDE w:val="0"/>
              <w:autoSpaceDN w:val="0"/>
              <w:spacing w:line="240" w:lineRule="auto"/>
              <w:jc w:val="center"/>
            </w:pPr>
            <w:r>
              <w:t>1,9</w:t>
            </w:r>
          </w:p>
        </w:tc>
        <w:tc>
          <w:tcPr>
            <w:tcW w:w="687" w:type="dxa"/>
          </w:tcPr>
          <w:p w:rsidR="00000000" w:rsidRDefault="00000000">
            <w:pPr>
              <w:overflowPunct w:val="0"/>
              <w:autoSpaceDE w:val="0"/>
              <w:autoSpaceDN w:val="0"/>
              <w:spacing w:line="240" w:lineRule="auto"/>
              <w:jc w:val="center"/>
            </w:pPr>
            <w:r>
              <w:t>0,1</w:t>
            </w:r>
          </w:p>
        </w:tc>
        <w:tc>
          <w:tcPr>
            <w:tcW w:w="687" w:type="dxa"/>
          </w:tcPr>
          <w:p w:rsidR="00000000" w:rsidRDefault="00000000">
            <w:pPr>
              <w:overflowPunct w:val="0"/>
              <w:autoSpaceDE w:val="0"/>
              <w:autoSpaceDN w:val="0"/>
              <w:spacing w:line="240" w:lineRule="auto"/>
              <w:jc w:val="center"/>
            </w:pPr>
            <w:r>
              <w:t>1,3</w:t>
            </w:r>
          </w:p>
        </w:tc>
        <w:tc>
          <w:tcPr>
            <w:tcW w:w="687" w:type="dxa"/>
          </w:tcPr>
          <w:p w:rsidR="00000000" w:rsidRDefault="00000000">
            <w:pPr>
              <w:overflowPunct w:val="0"/>
              <w:autoSpaceDE w:val="0"/>
              <w:autoSpaceDN w:val="0"/>
              <w:spacing w:line="240" w:lineRule="auto"/>
              <w:jc w:val="center"/>
            </w:pPr>
            <w:r>
              <w:t>4,3</w:t>
            </w:r>
          </w:p>
        </w:tc>
        <w:tc>
          <w:tcPr>
            <w:tcW w:w="687" w:type="dxa"/>
          </w:tcPr>
          <w:p w:rsidR="00000000" w:rsidRDefault="00000000">
            <w:pPr>
              <w:overflowPunct w:val="0"/>
              <w:autoSpaceDE w:val="0"/>
              <w:autoSpaceDN w:val="0"/>
              <w:spacing w:line="240" w:lineRule="auto"/>
              <w:jc w:val="center"/>
            </w:pPr>
            <w:r>
              <w:t>1,8</w:t>
            </w:r>
          </w:p>
        </w:tc>
        <w:tc>
          <w:tcPr>
            <w:tcW w:w="1127" w:type="dxa"/>
          </w:tcPr>
          <w:p w:rsidR="00000000" w:rsidRDefault="00000000">
            <w:pPr>
              <w:overflowPunct w:val="0"/>
              <w:autoSpaceDE w:val="0"/>
              <w:autoSpaceDN w:val="0"/>
              <w:spacing w:line="240" w:lineRule="auto"/>
              <w:jc w:val="center"/>
            </w:pPr>
            <w:r>
              <w:t>9,8</w:t>
            </w:r>
          </w:p>
        </w:tc>
      </w:tr>
    </w:tbl>
    <w:p w:rsidR="00000000" w:rsidRDefault="00000000"/>
    <w:p w:rsidR="00000000" w:rsidRDefault="00000000">
      <w:r>
        <w:tab/>
      </w:r>
      <w:r>
        <w:rPr>
          <w:i/>
          <w:iCs/>
        </w:rPr>
        <w:t xml:space="preserve">Источник:  </w:t>
      </w:r>
      <w:r>
        <w:t>Министерство социальных дел и по вопросам занятости.</w:t>
      </w:r>
    </w:p>
    <w:p w:rsidR="00000000" w:rsidRDefault="00000000"/>
    <w:p w:rsidR="00000000" w:rsidRDefault="00000000">
      <w:r>
        <w:t>292.</w:t>
      </w:r>
      <w:r>
        <w:tab/>
        <w:t>Улучшение покупательной способности семей с детьми объясняется в основном увеличением размеров пособия на детей (особенно в 1996 и 2000 годах) и внедрением так называемой "детской налоговой льготы" и комбинированной налоговой льготы в 2001 году.  В сведениях о росте общей покупательной способности семей, приведенных в таблице выше, не учитываются особые меры, такие, как выплата пособий на образование и политика муниципалитетов по обеспечению дохода.  В 1998-2002 годах размеры пособия на образование увеличились.</w:t>
      </w:r>
    </w:p>
    <w:p w:rsidR="00000000" w:rsidRDefault="00000000"/>
    <w:p w:rsidR="00000000" w:rsidRDefault="00000000">
      <w:r>
        <w:t>293.</w:t>
      </w:r>
      <w:r>
        <w:tab/>
        <w:t>Начиная с 1995 года количество детей в семьях с минимальным доходом стало сокращаться.  Примерно шесть из десяти детей в домашних хозяйствах с доходом, близким к минимальному, растут в семьях с одним родителем.  Минимальный доход получает все меньшая доля семей с одним родителем.  Если в 1995 году минимальным доходом располагали больше половины семей с одним родителем (</w:t>
      </w:r>
      <w:proofErr w:type="spellStart"/>
      <w:r>
        <w:t>54%</w:t>
      </w:r>
      <w:proofErr w:type="spellEnd"/>
      <w:r>
        <w:t xml:space="preserve">), то в 2000 году их доля сократилась до </w:t>
      </w:r>
      <w:proofErr w:type="spellStart"/>
      <w:r>
        <w:t>39%</w:t>
      </w:r>
      <w:proofErr w:type="spellEnd"/>
      <w:r>
        <w:t>.  Помимо роста занятости, это объяснялось и такими благоприятными факторами, как увеличение количества мест в детских учреждениях и активизация проводимой политики.</w:t>
      </w:r>
    </w:p>
    <w:p w:rsidR="00000000" w:rsidRDefault="00000000"/>
    <w:p w:rsidR="00000000" w:rsidRDefault="00000000">
      <w:r>
        <w:t>294.</w:t>
      </w:r>
      <w:r>
        <w:tab/>
        <w:t xml:space="preserve">Из таблицы 16 явствует, что в период 1995-2000 годов количество детей в семьях с доходом, близким к минимальному, сократилось с </w:t>
      </w:r>
      <w:proofErr w:type="spellStart"/>
      <w:r>
        <w:t>11%</w:t>
      </w:r>
      <w:proofErr w:type="spellEnd"/>
      <w:r>
        <w:t xml:space="preserve"> до </w:t>
      </w:r>
      <w:proofErr w:type="spellStart"/>
      <w:r>
        <w:t>9%</w:t>
      </w:r>
      <w:proofErr w:type="spellEnd"/>
      <w:r>
        <w:t>.  Это связано с существенным увеличением занятости после 1995 года, который также оказал благотворное воздействие на малоимущие семьи с детьми.</w:t>
      </w:r>
    </w:p>
    <w:p w:rsidR="00000000" w:rsidRDefault="00000000"/>
    <w:p w:rsidR="00000000" w:rsidRDefault="00000000">
      <w:pPr>
        <w:spacing w:line="240" w:lineRule="auto"/>
        <w:jc w:val="center"/>
        <w:rPr>
          <w:b/>
          <w:bCs/>
        </w:rPr>
      </w:pPr>
      <w:r>
        <w:rPr>
          <w:b/>
          <w:bCs/>
        </w:rPr>
        <w:t>Таблица 16</w:t>
      </w:r>
    </w:p>
    <w:p w:rsidR="00000000" w:rsidRDefault="00000000">
      <w:pPr>
        <w:spacing w:line="240" w:lineRule="auto"/>
        <w:jc w:val="center"/>
        <w:rPr>
          <w:b/>
          <w:bCs/>
        </w:rPr>
      </w:pPr>
    </w:p>
    <w:p w:rsidR="00000000" w:rsidRDefault="00000000">
      <w:pPr>
        <w:spacing w:line="240" w:lineRule="auto"/>
        <w:jc w:val="center"/>
        <w:rPr>
          <w:b/>
          <w:bCs/>
        </w:rPr>
      </w:pPr>
      <w:r>
        <w:rPr>
          <w:b/>
          <w:bCs/>
        </w:rPr>
        <w:t>Изменения в количестве детей в возрасте до 18 лет и в количестве</w:t>
      </w:r>
    </w:p>
    <w:p w:rsidR="00000000" w:rsidRDefault="00000000">
      <w:pPr>
        <w:spacing w:line="240" w:lineRule="auto"/>
        <w:jc w:val="center"/>
        <w:rPr>
          <w:b/>
          <w:bCs/>
        </w:rPr>
      </w:pPr>
      <w:r>
        <w:rPr>
          <w:b/>
          <w:bCs/>
        </w:rPr>
        <w:t xml:space="preserve">семей с одним родителем, имеющих доход до </w:t>
      </w:r>
      <w:proofErr w:type="spellStart"/>
      <w:r>
        <w:rPr>
          <w:b/>
          <w:bCs/>
        </w:rPr>
        <w:t>105%</w:t>
      </w:r>
      <w:proofErr w:type="spellEnd"/>
    </w:p>
    <w:p w:rsidR="00000000" w:rsidRDefault="00000000">
      <w:pPr>
        <w:spacing w:line="240" w:lineRule="auto"/>
        <w:jc w:val="center"/>
        <w:rPr>
          <w:b/>
          <w:bCs/>
        </w:rPr>
      </w:pPr>
      <w:r>
        <w:rPr>
          <w:b/>
          <w:bCs/>
        </w:rPr>
        <w:t>гарантированного минимального дохода</w:t>
      </w:r>
    </w:p>
    <w:p w:rsidR="00000000" w:rsidRDefault="00000000">
      <w:pPr>
        <w:spacing w:line="240" w:lineRule="auto"/>
        <w:jc w:val="center"/>
        <w:rPr>
          <w:b/>
          <w:bCs/>
        </w:rPr>
      </w:pPr>
    </w:p>
    <w:tbl>
      <w:tblPr>
        <w:tblW w:w="0" w:type="auto"/>
        <w:jc w:val="center"/>
        <w:tblInd w:w="9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B7" w:firstRow="1" w:lastRow="0" w:firstColumn="1" w:lastColumn="0" w:noHBand="0" w:noVBand="0"/>
      </w:tblPr>
      <w:tblGrid>
        <w:gridCol w:w="3374"/>
        <w:gridCol w:w="730"/>
        <w:gridCol w:w="731"/>
        <w:gridCol w:w="731"/>
        <w:gridCol w:w="730"/>
        <w:gridCol w:w="731"/>
        <w:gridCol w:w="731"/>
      </w:tblGrid>
      <w:tr w:rsidR="00000000">
        <w:tblPrEx>
          <w:tblCellMar>
            <w:top w:w="0" w:type="dxa"/>
            <w:bottom w:w="0" w:type="dxa"/>
          </w:tblCellMar>
        </w:tblPrEx>
        <w:trPr>
          <w:jc w:val="center"/>
        </w:trPr>
        <w:tc>
          <w:tcPr>
            <w:tcW w:w="3374" w:type="dxa"/>
            <w:tcBorders>
              <w:top w:val="single" w:sz="4" w:space="0" w:color="auto"/>
              <w:bottom w:val="single" w:sz="4" w:space="0" w:color="auto"/>
            </w:tcBorders>
            <w:vAlign w:val="center"/>
          </w:tcPr>
          <w:p w:rsidR="00000000" w:rsidRDefault="00000000">
            <w:pPr>
              <w:spacing w:line="240" w:lineRule="auto"/>
              <w:jc w:val="center"/>
              <w:rPr>
                <w:i/>
              </w:rPr>
            </w:pPr>
          </w:p>
          <w:p w:rsidR="00000000" w:rsidRDefault="00000000">
            <w:pPr>
              <w:spacing w:line="240" w:lineRule="auto"/>
              <w:jc w:val="center"/>
              <w:rPr>
                <w:i/>
              </w:rPr>
            </w:pPr>
          </w:p>
        </w:tc>
        <w:tc>
          <w:tcPr>
            <w:tcW w:w="730" w:type="dxa"/>
            <w:tcBorders>
              <w:top w:val="single" w:sz="4" w:space="0" w:color="auto"/>
              <w:bottom w:val="single" w:sz="4" w:space="0" w:color="auto"/>
            </w:tcBorders>
            <w:vAlign w:val="center"/>
          </w:tcPr>
          <w:p w:rsidR="00000000" w:rsidRDefault="00000000">
            <w:pPr>
              <w:spacing w:line="240" w:lineRule="auto"/>
              <w:jc w:val="center"/>
            </w:pPr>
            <w:r>
              <w:t>1995</w:t>
            </w:r>
          </w:p>
        </w:tc>
        <w:tc>
          <w:tcPr>
            <w:tcW w:w="731" w:type="dxa"/>
            <w:tcBorders>
              <w:top w:val="single" w:sz="4" w:space="0" w:color="auto"/>
              <w:bottom w:val="single" w:sz="4" w:space="0" w:color="auto"/>
            </w:tcBorders>
            <w:vAlign w:val="center"/>
          </w:tcPr>
          <w:p w:rsidR="00000000" w:rsidRDefault="00000000">
            <w:pPr>
              <w:spacing w:line="240" w:lineRule="auto"/>
              <w:jc w:val="center"/>
            </w:pPr>
            <w:r>
              <w:t>1996</w:t>
            </w:r>
          </w:p>
        </w:tc>
        <w:tc>
          <w:tcPr>
            <w:tcW w:w="731" w:type="dxa"/>
            <w:tcBorders>
              <w:top w:val="single" w:sz="4" w:space="0" w:color="auto"/>
              <w:bottom w:val="single" w:sz="4" w:space="0" w:color="auto"/>
            </w:tcBorders>
            <w:vAlign w:val="center"/>
          </w:tcPr>
          <w:p w:rsidR="00000000" w:rsidRDefault="00000000">
            <w:pPr>
              <w:spacing w:line="240" w:lineRule="auto"/>
              <w:jc w:val="center"/>
            </w:pPr>
            <w:r>
              <w:t>1997</w:t>
            </w:r>
          </w:p>
        </w:tc>
        <w:tc>
          <w:tcPr>
            <w:tcW w:w="730" w:type="dxa"/>
            <w:tcBorders>
              <w:top w:val="single" w:sz="4" w:space="0" w:color="auto"/>
              <w:bottom w:val="single" w:sz="4" w:space="0" w:color="auto"/>
            </w:tcBorders>
            <w:vAlign w:val="center"/>
          </w:tcPr>
          <w:p w:rsidR="00000000" w:rsidRDefault="00000000">
            <w:pPr>
              <w:spacing w:line="240" w:lineRule="auto"/>
              <w:jc w:val="center"/>
            </w:pPr>
            <w:r>
              <w:t>1998</w:t>
            </w:r>
          </w:p>
        </w:tc>
        <w:tc>
          <w:tcPr>
            <w:tcW w:w="731" w:type="dxa"/>
            <w:tcBorders>
              <w:top w:val="single" w:sz="4" w:space="0" w:color="auto"/>
              <w:bottom w:val="single" w:sz="4" w:space="0" w:color="auto"/>
            </w:tcBorders>
            <w:vAlign w:val="center"/>
          </w:tcPr>
          <w:p w:rsidR="00000000" w:rsidRDefault="00000000">
            <w:pPr>
              <w:spacing w:line="240" w:lineRule="auto"/>
              <w:jc w:val="center"/>
            </w:pPr>
            <w:r>
              <w:t>1999</w:t>
            </w:r>
          </w:p>
        </w:tc>
        <w:tc>
          <w:tcPr>
            <w:tcW w:w="731" w:type="dxa"/>
            <w:tcBorders>
              <w:top w:val="single" w:sz="4" w:space="0" w:color="auto"/>
              <w:bottom w:val="single" w:sz="4" w:space="0" w:color="auto"/>
            </w:tcBorders>
            <w:vAlign w:val="center"/>
          </w:tcPr>
          <w:p w:rsidR="00000000" w:rsidRDefault="00000000">
            <w:pPr>
              <w:spacing w:line="240" w:lineRule="auto"/>
              <w:jc w:val="center"/>
            </w:pPr>
            <w:r>
              <w:t>2000*</w:t>
            </w:r>
          </w:p>
        </w:tc>
      </w:tr>
      <w:tr w:rsidR="00000000">
        <w:tblPrEx>
          <w:tblCellMar>
            <w:top w:w="0" w:type="dxa"/>
            <w:bottom w:w="0" w:type="dxa"/>
          </w:tblCellMar>
        </w:tblPrEx>
        <w:trPr>
          <w:trHeight w:val="522"/>
          <w:jc w:val="center"/>
        </w:trPr>
        <w:tc>
          <w:tcPr>
            <w:tcW w:w="3374" w:type="dxa"/>
            <w:tcBorders>
              <w:top w:val="single" w:sz="4" w:space="0" w:color="auto"/>
            </w:tcBorders>
          </w:tcPr>
          <w:p w:rsidR="00000000" w:rsidRDefault="00000000">
            <w:pPr>
              <w:spacing w:line="240" w:lineRule="auto"/>
            </w:pPr>
            <w:r>
              <w:t>Количество детей (1 000 человек)</w:t>
            </w:r>
          </w:p>
        </w:tc>
        <w:tc>
          <w:tcPr>
            <w:tcW w:w="730" w:type="dxa"/>
            <w:tcBorders>
              <w:top w:val="single" w:sz="4" w:space="0" w:color="auto"/>
            </w:tcBorders>
          </w:tcPr>
          <w:p w:rsidR="00000000" w:rsidRDefault="00000000">
            <w:pPr>
              <w:spacing w:line="240" w:lineRule="auto"/>
              <w:jc w:val="center"/>
            </w:pPr>
            <w:r>
              <w:t>367</w:t>
            </w:r>
          </w:p>
        </w:tc>
        <w:tc>
          <w:tcPr>
            <w:tcW w:w="731" w:type="dxa"/>
            <w:tcBorders>
              <w:top w:val="single" w:sz="4" w:space="0" w:color="auto"/>
            </w:tcBorders>
          </w:tcPr>
          <w:p w:rsidR="00000000" w:rsidRDefault="00000000">
            <w:pPr>
              <w:spacing w:line="240" w:lineRule="auto"/>
              <w:jc w:val="center"/>
            </w:pPr>
            <w:r>
              <w:t>359</w:t>
            </w:r>
          </w:p>
        </w:tc>
        <w:tc>
          <w:tcPr>
            <w:tcW w:w="731" w:type="dxa"/>
            <w:tcBorders>
              <w:top w:val="single" w:sz="4" w:space="0" w:color="auto"/>
            </w:tcBorders>
          </w:tcPr>
          <w:p w:rsidR="00000000" w:rsidRDefault="00000000">
            <w:pPr>
              <w:spacing w:line="240" w:lineRule="auto"/>
              <w:jc w:val="center"/>
            </w:pPr>
            <w:r>
              <w:t>357</w:t>
            </w:r>
          </w:p>
        </w:tc>
        <w:tc>
          <w:tcPr>
            <w:tcW w:w="730" w:type="dxa"/>
            <w:tcBorders>
              <w:top w:val="single" w:sz="4" w:space="0" w:color="auto"/>
            </w:tcBorders>
          </w:tcPr>
          <w:p w:rsidR="00000000" w:rsidRDefault="00000000">
            <w:pPr>
              <w:spacing w:line="240" w:lineRule="auto"/>
              <w:jc w:val="center"/>
            </w:pPr>
            <w:r>
              <w:t>341</w:t>
            </w:r>
          </w:p>
        </w:tc>
        <w:tc>
          <w:tcPr>
            <w:tcW w:w="731" w:type="dxa"/>
            <w:tcBorders>
              <w:top w:val="single" w:sz="4" w:space="0" w:color="auto"/>
            </w:tcBorders>
          </w:tcPr>
          <w:p w:rsidR="00000000" w:rsidRDefault="00000000">
            <w:pPr>
              <w:spacing w:line="240" w:lineRule="auto"/>
              <w:jc w:val="center"/>
            </w:pPr>
            <w:r>
              <w:t>329</w:t>
            </w:r>
          </w:p>
        </w:tc>
        <w:tc>
          <w:tcPr>
            <w:tcW w:w="731" w:type="dxa"/>
            <w:tcBorders>
              <w:top w:val="single" w:sz="4" w:space="0" w:color="auto"/>
            </w:tcBorders>
          </w:tcPr>
          <w:p w:rsidR="00000000" w:rsidRDefault="00000000">
            <w:pPr>
              <w:spacing w:line="240" w:lineRule="auto"/>
              <w:jc w:val="center"/>
            </w:pPr>
            <w:r>
              <w:t>324</w:t>
            </w:r>
          </w:p>
        </w:tc>
      </w:tr>
      <w:tr w:rsidR="00000000">
        <w:tblPrEx>
          <w:tblCellMar>
            <w:top w:w="0" w:type="dxa"/>
            <w:bottom w:w="0" w:type="dxa"/>
          </w:tblCellMar>
        </w:tblPrEx>
        <w:trPr>
          <w:jc w:val="center"/>
        </w:trPr>
        <w:tc>
          <w:tcPr>
            <w:tcW w:w="3374" w:type="dxa"/>
          </w:tcPr>
          <w:p w:rsidR="00000000" w:rsidRDefault="00000000">
            <w:pPr>
              <w:spacing w:line="240" w:lineRule="auto"/>
            </w:pPr>
            <w:r>
              <w:t>Процент от общего количества детей</w:t>
            </w:r>
          </w:p>
        </w:tc>
        <w:tc>
          <w:tcPr>
            <w:tcW w:w="730" w:type="dxa"/>
          </w:tcPr>
          <w:p w:rsidR="00000000" w:rsidRDefault="00000000">
            <w:pPr>
              <w:spacing w:line="240" w:lineRule="auto"/>
              <w:jc w:val="center"/>
            </w:pPr>
            <w:proofErr w:type="spellStart"/>
            <w:r>
              <w:t>11%</w:t>
            </w:r>
            <w:proofErr w:type="spellEnd"/>
          </w:p>
        </w:tc>
        <w:tc>
          <w:tcPr>
            <w:tcW w:w="731" w:type="dxa"/>
          </w:tcPr>
          <w:p w:rsidR="00000000" w:rsidRDefault="00000000">
            <w:pPr>
              <w:spacing w:line="240" w:lineRule="auto"/>
              <w:jc w:val="center"/>
            </w:pPr>
            <w:proofErr w:type="spellStart"/>
            <w:r>
              <w:t>11%</w:t>
            </w:r>
            <w:proofErr w:type="spellEnd"/>
          </w:p>
        </w:tc>
        <w:tc>
          <w:tcPr>
            <w:tcW w:w="731" w:type="dxa"/>
          </w:tcPr>
          <w:p w:rsidR="00000000" w:rsidRDefault="00000000">
            <w:pPr>
              <w:spacing w:line="240" w:lineRule="auto"/>
              <w:jc w:val="center"/>
            </w:pPr>
            <w:proofErr w:type="spellStart"/>
            <w:r>
              <w:t>11%</w:t>
            </w:r>
            <w:proofErr w:type="spellEnd"/>
          </w:p>
        </w:tc>
        <w:tc>
          <w:tcPr>
            <w:tcW w:w="730" w:type="dxa"/>
          </w:tcPr>
          <w:p w:rsidR="00000000" w:rsidRDefault="00000000">
            <w:pPr>
              <w:spacing w:line="240" w:lineRule="auto"/>
              <w:jc w:val="center"/>
            </w:pPr>
            <w:proofErr w:type="spellStart"/>
            <w:r>
              <w:t>10%</w:t>
            </w:r>
            <w:proofErr w:type="spellEnd"/>
          </w:p>
        </w:tc>
        <w:tc>
          <w:tcPr>
            <w:tcW w:w="731" w:type="dxa"/>
          </w:tcPr>
          <w:p w:rsidR="00000000" w:rsidRDefault="00000000">
            <w:pPr>
              <w:spacing w:line="240" w:lineRule="auto"/>
              <w:jc w:val="center"/>
            </w:pPr>
            <w:proofErr w:type="spellStart"/>
            <w:r>
              <w:t>10%</w:t>
            </w:r>
            <w:proofErr w:type="spellEnd"/>
          </w:p>
        </w:tc>
        <w:tc>
          <w:tcPr>
            <w:tcW w:w="731" w:type="dxa"/>
          </w:tcPr>
          <w:p w:rsidR="00000000" w:rsidRDefault="00000000">
            <w:pPr>
              <w:spacing w:line="240" w:lineRule="auto"/>
              <w:jc w:val="center"/>
            </w:pPr>
            <w:proofErr w:type="spellStart"/>
            <w:r>
              <w:t>9%</w:t>
            </w:r>
            <w:proofErr w:type="spellEnd"/>
          </w:p>
        </w:tc>
      </w:tr>
      <w:tr w:rsidR="00000000">
        <w:tblPrEx>
          <w:tblCellMar>
            <w:top w:w="0" w:type="dxa"/>
            <w:bottom w:w="0" w:type="dxa"/>
          </w:tblCellMar>
        </w:tblPrEx>
        <w:trPr>
          <w:jc w:val="center"/>
        </w:trPr>
        <w:tc>
          <w:tcPr>
            <w:tcW w:w="3374" w:type="dxa"/>
          </w:tcPr>
          <w:p w:rsidR="00000000" w:rsidRDefault="00000000">
            <w:pPr>
              <w:spacing w:line="240" w:lineRule="auto"/>
            </w:pPr>
            <w:r>
              <w:t>Количество семей с одним родителем (1 000 семей)</w:t>
            </w:r>
          </w:p>
        </w:tc>
        <w:tc>
          <w:tcPr>
            <w:tcW w:w="730" w:type="dxa"/>
          </w:tcPr>
          <w:p w:rsidR="00000000" w:rsidRDefault="00000000">
            <w:pPr>
              <w:spacing w:line="240" w:lineRule="auto"/>
              <w:jc w:val="center"/>
            </w:pPr>
            <w:r>
              <w:t>122</w:t>
            </w:r>
          </w:p>
        </w:tc>
        <w:tc>
          <w:tcPr>
            <w:tcW w:w="731" w:type="dxa"/>
          </w:tcPr>
          <w:p w:rsidR="00000000" w:rsidRDefault="00000000">
            <w:pPr>
              <w:spacing w:line="240" w:lineRule="auto"/>
              <w:jc w:val="center"/>
            </w:pPr>
            <w:r>
              <w:t>116</w:t>
            </w:r>
          </w:p>
        </w:tc>
        <w:tc>
          <w:tcPr>
            <w:tcW w:w="731" w:type="dxa"/>
          </w:tcPr>
          <w:p w:rsidR="00000000" w:rsidRDefault="00000000">
            <w:pPr>
              <w:spacing w:line="240" w:lineRule="auto"/>
              <w:jc w:val="center"/>
            </w:pPr>
            <w:r>
              <w:t>117</w:t>
            </w:r>
          </w:p>
        </w:tc>
        <w:tc>
          <w:tcPr>
            <w:tcW w:w="730" w:type="dxa"/>
          </w:tcPr>
          <w:p w:rsidR="00000000" w:rsidRDefault="00000000">
            <w:pPr>
              <w:spacing w:line="240" w:lineRule="auto"/>
              <w:jc w:val="center"/>
            </w:pPr>
            <w:r>
              <w:t>110</w:t>
            </w:r>
          </w:p>
        </w:tc>
        <w:tc>
          <w:tcPr>
            <w:tcW w:w="731" w:type="dxa"/>
          </w:tcPr>
          <w:p w:rsidR="00000000" w:rsidRDefault="00000000">
            <w:pPr>
              <w:spacing w:line="240" w:lineRule="auto"/>
              <w:jc w:val="center"/>
            </w:pPr>
            <w:r>
              <w:t>111</w:t>
            </w:r>
          </w:p>
        </w:tc>
        <w:tc>
          <w:tcPr>
            <w:tcW w:w="731" w:type="dxa"/>
          </w:tcPr>
          <w:p w:rsidR="00000000" w:rsidRDefault="00000000">
            <w:pPr>
              <w:spacing w:line="240" w:lineRule="auto"/>
              <w:jc w:val="center"/>
            </w:pPr>
            <w:r>
              <w:t>109</w:t>
            </w:r>
          </w:p>
        </w:tc>
      </w:tr>
      <w:tr w:rsidR="00000000">
        <w:tblPrEx>
          <w:tblCellMar>
            <w:top w:w="0" w:type="dxa"/>
            <w:bottom w:w="0" w:type="dxa"/>
          </w:tblCellMar>
        </w:tblPrEx>
        <w:trPr>
          <w:jc w:val="center"/>
        </w:trPr>
        <w:tc>
          <w:tcPr>
            <w:tcW w:w="3374" w:type="dxa"/>
          </w:tcPr>
          <w:p w:rsidR="00000000" w:rsidRDefault="00000000">
            <w:pPr>
              <w:spacing w:line="240" w:lineRule="auto"/>
            </w:pPr>
            <w:r>
              <w:t>Процент от общего количества семей с одним родителем</w:t>
            </w:r>
          </w:p>
        </w:tc>
        <w:tc>
          <w:tcPr>
            <w:tcW w:w="730" w:type="dxa"/>
          </w:tcPr>
          <w:p w:rsidR="00000000" w:rsidRDefault="00000000">
            <w:pPr>
              <w:spacing w:line="240" w:lineRule="auto"/>
              <w:jc w:val="center"/>
            </w:pPr>
            <w:proofErr w:type="spellStart"/>
            <w:r>
              <w:t>54%</w:t>
            </w:r>
            <w:proofErr w:type="spellEnd"/>
          </w:p>
        </w:tc>
        <w:tc>
          <w:tcPr>
            <w:tcW w:w="731" w:type="dxa"/>
          </w:tcPr>
          <w:p w:rsidR="00000000" w:rsidRDefault="00000000">
            <w:pPr>
              <w:spacing w:line="240" w:lineRule="auto"/>
              <w:jc w:val="center"/>
            </w:pPr>
            <w:proofErr w:type="spellStart"/>
            <w:r>
              <w:t>50%</w:t>
            </w:r>
            <w:proofErr w:type="spellEnd"/>
          </w:p>
        </w:tc>
        <w:tc>
          <w:tcPr>
            <w:tcW w:w="731" w:type="dxa"/>
          </w:tcPr>
          <w:p w:rsidR="00000000" w:rsidRDefault="00000000">
            <w:pPr>
              <w:spacing w:line="240" w:lineRule="auto"/>
              <w:jc w:val="center"/>
            </w:pPr>
            <w:proofErr w:type="spellStart"/>
            <w:r>
              <w:t>49%</w:t>
            </w:r>
            <w:proofErr w:type="spellEnd"/>
          </w:p>
        </w:tc>
        <w:tc>
          <w:tcPr>
            <w:tcW w:w="730" w:type="dxa"/>
          </w:tcPr>
          <w:p w:rsidR="00000000" w:rsidRDefault="00000000">
            <w:pPr>
              <w:spacing w:line="240" w:lineRule="auto"/>
              <w:jc w:val="center"/>
            </w:pPr>
            <w:proofErr w:type="spellStart"/>
            <w:r>
              <w:t>44%</w:t>
            </w:r>
            <w:proofErr w:type="spellEnd"/>
          </w:p>
        </w:tc>
        <w:tc>
          <w:tcPr>
            <w:tcW w:w="731" w:type="dxa"/>
          </w:tcPr>
          <w:p w:rsidR="00000000" w:rsidRDefault="00000000">
            <w:pPr>
              <w:spacing w:line="240" w:lineRule="auto"/>
              <w:jc w:val="center"/>
            </w:pPr>
            <w:proofErr w:type="spellStart"/>
            <w:r>
              <w:t>42%</w:t>
            </w:r>
            <w:proofErr w:type="spellEnd"/>
          </w:p>
        </w:tc>
        <w:tc>
          <w:tcPr>
            <w:tcW w:w="731" w:type="dxa"/>
          </w:tcPr>
          <w:p w:rsidR="00000000" w:rsidRDefault="00000000">
            <w:pPr>
              <w:spacing w:line="240" w:lineRule="auto"/>
              <w:jc w:val="center"/>
            </w:pPr>
            <w:proofErr w:type="spellStart"/>
            <w:r>
              <w:t>39%</w:t>
            </w:r>
            <w:proofErr w:type="spellEnd"/>
          </w:p>
        </w:tc>
      </w:tr>
    </w:tbl>
    <w:p w:rsidR="00000000" w:rsidRDefault="00000000"/>
    <w:p w:rsidR="00000000" w:rsidRDefault="00000000">
      <w:r>
        <w:tab/>
      </w:r>
      <w:r>
        <w:tab/>
      </w:r>
      <w:r>
        <w:rPr>
          <w:i/>
          <w:iCs/>
        </w:rPr>
        <w:t xml:space="preserve">Источник:  </w:t>
      </w:r>
      <w:r>
        <w:t>Нидерландское статистическое управление (</w:t>
      </w:r>
      <w:proofErr w:type="spellStart"/>
      <w:r>
        <w:t>НСУ</w:t>
      </w:r>
      <w:proofErr w:type="spellEnd"/>
      <w:r>
        <w:t>).</w:t>
      </w:r>
    </w:p>
    <w:p w:rsidR="00000000" w:rsidRDefault="00000000">
      <w:pPr>
        <w:spacing w:line="216" w:lineRule="auto"/>
        <w:rPr>
          <w:sz w:val="16"/>
        </w:rPr>
      </w:pPr>
    </w:p>
    <w:p w:rsidR="00000000" w:rsidRDefault="00000000">
      <w:r>
        <w:tab/>
        <w:t>*</w:t>
      </w:r>
      <w:r>
        <w:tab/>
        <w:t>Предварительные данные.</w:t>
      </w:r>
    </w:p>
    <w:p w:rsidR="00000000" w:rsidRDefault="00000000"/>
    <w:p w:rsidR="00000000" w:rsidRDefault="00000000">
      <w:pPr>
        <w:rPr>
          <w:b/>
          <w:bCs/>
        </w:rPr>
      </w:pPr>
      <w:r>
        <w:rPr>
          <w:b/>
          <w:bCs/>
        </w:rPr>
        <w:t>Поощрение родителей-одиночек к участию в жизни общества</w:t>
      </w:r>
    </w:p>
    <w:p w:rsidR="00000000" w:rsidRDefault="00000000">
      <w:pPr>
        <w:rPr>
          <w:b/>
          <w:bCs/>
        </w:rPr>
      </w:pPr>
    </w:p>
    <w:p w:rsidR="00000000" w:rsidRDefault="00000000">
      <w:r>
        <w:t>295.</w:t>
      </w:r>
      <w:r>
        <w:tab/>
        <w:t xml:space="preserve">Многие муниципалитеты участвуют в программах поощрения участия граждан в жизни общества, включая общественные, спортивные и культурные мероприятия и праздники.  </w:t>
      </w:r>
    </w:p>
    <w:p w:rsidR="00000000" w:rsidRDefault="00000000"/>
    <w:p w:rsidR="00000000" w:rsidRDefault="00000000">
      <w:r>
        <w:t>296.</w:t>
      </w:r>
      <w:r>
        <w:tab/>
        <w:t>До 2001 года с муниципалитетами не заключались специальные соглашения о социальной интеграции безработных родителей-одиночек с детьми в возрасте до пяти лет.  В 2001 году несколько муниципалитетов подписали административные соглашения, согласно которым они обязались уделять больше внимания интеграции в жизнь общества родителей-одиночек, получающих социальную помощь и составляющих третью часть всех бенефициаров социальной помощи.  Родители-одиночки с детьми в возрасте до пяти лет, которые по смыслу Закона о государственной помощи (</w:t>
      </w:r>
      <w:proofErr w:type="spellStart"/>
      <w:r>
        <w:t>ЗГП</w:t>
      </w:r>
      <w:proofErr w:type="spellEnd"/>
      <w:r>
        <w:t xml:space="preserve">) освобождаются от обязанности заниматься поисками работы, также были охвачены мерами по их </w:t>
      </w:r>
      <w:proofErr w:type="spellStart"/>
      <w:r>
        <w:t>реинтеграции</w:t>
      </w:r>
      <w:proofErr w:type="spellEnd"/>
      <w:r>
        <w:t xml:space="preserve"> в сферу труда.  Муниципалитеты должны искать индивидуальные решения, позволяющие учитывать потенциальные возможности отдельных родителей.</w:t>
      </w:r>
    </w:p>
    <w:p w:rsidR="00000000" w:rsidRDefault="00000000"/>
    <w:p w:rsidR="00000000" w:rsidRDefault="00000000">
      <w:r>
        <w:t>297.</w:t>
      </w:r>
      <w:r>
        <w:tab/>
        <w:t>Для поощрения социальной интеграции родителей-одиночек и их исключения из программ социальной помощи муниципалитеты располагают рядом инструментов, некоторые из которых специально предназначены для таких лиц.  Одним из них является схема, позволяющая одиноким родителям с детьми в возрасте до 5 лет зарабатывать определенную сумму и сохраняющая за ними право на социальное пособие (минимум 86 </w:t>
      </w:r>
      <w:proofErr w:type="spellStart"/>
      <w:r>
        <w:t>евро</w:t>
      </w:r>
      <w:proofErr w:type="spellEnd"/>
      <w:r>
        <w:t xml:space="preserve"> плюс половина остального заработка на максимальную сумму в размере 158 </w:t>
      </w:r>
      <w:proofErr w:type="spellStart"/>
      <w:r>
        <w:t>евро</w:t>
      </w:r>
      <w:proofErr w:type="spellEnd"/>
      <w:r>
        <w:t xml:space="preserve">).  Для этого существуют дополнительные фонды, в частности для покрытия расходов по уходу за детьми.  </w:t>
      </w:r>
    </w:p>
    <w:p w:rsidR="00000000" w:rsidRDefault="00000000"/>
    <w:p w:rsidR="00000000" w:rsidRDefault="00000000">
      <w:pPr>
        <w:tabs>
          <w:tab w:val="clear" w:pos="2268"/>
          <w:tab w:val="clear" w:pos="6237"/>
          <w:tab w:val="left" w:pos="2352"/>
          <w:tab w:val="left" w:pos="6299"/>
        </w:tabs>
        <w:jc w:val="center"/>
        <w:rPr>
          <w:b/>
          <w:bCs/>
        </w:rPr>
      </w:pPr>
      <w:r>
        <w:rPr>
          <w:b/>
          <w:bCs/>
        </w:rPr>
        <w:t>3.5.4    Охрана материнства</w:t>
      </w:r>
    </w:p>
    <w:p w:rsidR="00000000" w:rsidRDefault="00000000">
      <w:pPr>
        <w:tabs>
          <w:tab w:val="clear" w:pos="2268"/>
          <w:tab w:val="clear" w:pos="6237"/>
          <w:tab w:val="left" w:pos="2352"/>
          <w:tab w:val="left" w:pos="6299"/>
        </w:tabs>
        <w:jc w:val="center"/>
        <w:rPr>
          <w:b/>
          <w:bCs/>
        </w:rPr>
      </w:pPr>
    </w:p>
    <w:p w:rsidR="00000000" w:rsidRDefault="00000000">
      <w:pPr>
        <w:jc w:val="center"/>
        <w:rPr>
          <w:b/>
          <w:bCs/>
        </w:rPr>
      </w:pPr>
      <w:r>
        <w:rPr>
          <w:b/>
          <w:bCs/>
        </w:rPr>
        <w:t>3.5.4.1    Различные формы защиты</w:t>
      </w:r>
    </w:p>
    <w:p w:rsidR="00000000" w:rsidRDefault="00000000">
      <w:pPr>
        <w:jc w:val="center"/>
        <w:rPr>
          <w:b/>
          <w:bCs/>
        </w:rPr>
      </w:pPr>
    </w:p>
    <w:p w:rsidR="00000000" w:rsidRDefault="00000000">
      <w:r>
        <w:t>298.</w:t>
      </w:r>
      <w:r>
        <w:tab/>
        <w:t>Закон о продолжительности рабочего дня предусматривает ряд специальных положений, касающихся беременности и материнства.  Беременные работницы имеют право на дополнительные перерывы и в принципе не обязаны трудиться в ночное время или сверхурочно.  Они также имеют право на стабильный и регулярный график рабочего времени и перерывов.  Работодатель обязан организовать труд таким образом, чтобы работницы освобождались от труда за четыре недели до предполагаемой даты рождения ребенка и в течение шести недель после этого.</w:t>
      </w:r>
    </w:p>
    <w:p w:rsidR="00000000" w:rsidRDefault="00000000"/>
    <w:p w:rsidR="00000000" w:rsidRDefault="00000000">
      <w:pPr>
        <w:keepNext/>
        <w:rPr>
          <w:b/>
          <w:bCs/>
        </w:rPr>
      </w:pPr>
      <w:r>
        <w:rPr>
          <w:b/>
          <w:bCs/>
        </w:rPr>
        <w:t>Общая продолжительность отпуска по беременности и родам</w:t>
      </w:r>
    </w:p>
    <w:p w:rsidR="00000000" w:rsidRDefault="00000000">
      <w:pPr>
        <w:keepNext/>
        <w:rPr>
          <w:b/>
          <w:bCs/>
        </w:rPr>
      </w:pPr>
    </w:p>
    <w:p w:rsidR="00000000" w:rsidRDefault="00000000">
      <w:r>
        <w:t>299.</w:t>
      </w:r>
      <w:r>
        <w:tab/>
        <w:t xml:space="preserve">Согласно Закону о труде и уходе работающие женщины имеют право на отпуск по беременности и родам продолжительностью не менее 16 недель, который начинается за шесть недель до предполагаемой даты рождения ребенка (но не позднее чем за четыре недели до нее) и продолжается 10 недель после родов.  Если женщина уходит в отпуск менее чем за шесть недель до родов, остальные дни включаются в ее послеродовой отпуск.  Общая продолжительность отпуска по беременности и родам может превышать 16 недель, если время дородового отпуска составляет более шести недель.  Это может происходить, например, в случае рождения ребенка позднее предполагаемой даты.  </w:t>
      </w:r>
    </w:p>
    <w:p w:rsidR="00000000" w:rsidRDefault="00000000"/>
    <w:p w:rsidR="00000000" w:rsidRDefault="00000000">
      <w:pPr>
        <w:rPr>
          <w:b/>
          <w:bCs/>
        </w:rPr>
      </w:pPr>
      <w:r>
        <w:rPr>
          <w:b/>
          <w:bCs/>
        </w:rPr>
        <w:t>Пособия (денежные выплаты по линии социального обеспечения)</w:t>
      </w:r>
    </w:p>
    <w:p w:rsidR="00000000" w:rsidRDefault="00000000">
      <w:pPr>
        <w:rPr>
          <w:b/>
          <w:bCs/>
        </w:rPr>
      </w:pPr>
    </w:p>
    <w:p w:rsidR="00000000" w:rsidRDefault="00000000">
      <w:r>
        <w:t>300.</w:t>
      </w:r>
      <w:r>
        <w:tab/>
        <w:t xml:space="preserve">Согласно голландскому законодательству оплата отпуска по беременности и родам обеспечивается в соответствии с Законом о труде и уходе.  Для получения пособия женщина через своего работодателя или, при отсутствии такового, самостоятельно обращается в Орган по осуществлению схем страхования трудящихся (ОСТ).  Пособие по беременности и родам равно </w:t>
      </w:r>
      <w:proofErr w:type="spellStart"/>
      <w:r>
        <w:t>100%</w:t>
      </w:r>
      <w:proofErr w:type="spellEnd"/>
      <w:r>
        <w:t xml:space="preserve"> ее поденной заработной платы и выплачивается из Общего фонда для безработных, за исключением суммы, предоставляемой государством из Фонда целевых выплат.</w:t>
      </w:r>
    </w:p>
    <w:p w:rsidR="00000000" w:rsidRDefault="00000000"/>
    <w:p w:rsidR="00000000" w:rsidRDefault="00000000">
      <w:r>
        <w:t>301.</w:t>
      </w:r>
      <w:r>
        <w:tab/>
        <w:t>На работниц, которые в результате послеродовых осложнений утрачивают трудоспособность на период, превышающий установленный срок отпуска по беременности и родам, распространяется действие Закона о пособиях по болезни (</w:t>
      </w:r>
      <w:proofErr w:type="spellStart"/>
      <w:r>
        <w:t>ЗПБ</w:t>
      </w:r>
      <w:proofErr w:type="spellEnd"/>
      <w:r>
        <w:t>), согласно которому выплата пособия продолжается до 52 недель.</w:t>
      </w:r>
    </w:p>
    <w:p w:rsidR="00000000" w:rsidRDefault="00000000">
      <w:pPr>
        <w:spacing w:line="240" w:lineRule="auto"/>
      </w:pPr>
    </w:p>
    <w:p w:rsidR="00000000" w:rsidRDefault="00000000">
      <w:pPr>
        <w:spacing w:line="240" w:lineRule="auto"/>
        <w:jc w:val="center"/>
        <w:rPr>
          <w:b/>
          <w:bCs/>
        </w:rPr>
      </w:pPr>
      <w:r>
        <w:rPr>
          <w:b/>
          <w:bCs/>
        </w:rPr>
        <w:t>3.5.4.2    Группы женщин, не охватываемые мерами защиты</w:t>
      </w:r>
    </w:p>
    <w:p w:rsidR="00000000" w:rsidRDefault="00000000">
      <w:pPr>
        <w:spacing w:line="240" w:lineRule="auto"/>
        <w:jc w:val="center"/>
        <w:rPr>
          <w:b/>
          <w:bCs/>
        </w:rPr>
      </w:pPr>
    </w:p>
    <w:p w:rsidR="00000000" w:rsidRDefault="00000000">
      <w:r>
        <w:t>302.</w:t>
      </w:r>
      <w:r>
        <w:tab/>
        <w:t>В отношении таких групп см. пункт 270 раздела 3.5.3, касающегося исключений для самостоятельно занятых трудящихся.  Домашняя прислуга полностью охвачена страхованием, за исключением лиц, обычно работающих менее трех дней в неделю.</w:t>
      </w:r>
    </w:p>
    <w:p w:rsidR="00000000" w:rsidRDefault="00000000"/>
    <w:p w:rsidR="00000000" w:rsidRDefault="00000000">
      <w:pPr>
        <w:jc w:val="center"/>
        <w:rPr>
          <w:b/>
          <w:bCs/>
        </w:rPr>
      </w:pPr>
      <w:r>
        <w:rPr>
          <w:b/>
          <w:bCs/>
        </w:rPr>
        <w:t>3.5.5    Меры по обеспечению защиты и помощи для детей и молодежи</w:t>
      </w:r>
    </w:p>
    <w:p w:rsidR="00000000" w:rsidRDefault="00000000">
      <w:pPr>
        <w:jc w:val="center"/>
        <w:rPr>
          <w:b/>
          <w:bCs/>
        </w:rPr>
      </w:pPr>
    </w:p>
    <w:p w:rsidR="00000000" w:rsidRDefault="00000000">
      <w:r>
        <w:t>303.</w:t>
      </w:r>
      <w:r>
        <w:tab/>
        <w:t>В Нидерландах правовыми рамками, регламентирующими труд лиц в возрасте до 18 лет, являются Закон о продолжительности рабочего дня (</w:t>
      </w:r>
      <w:proofErr w:type="spellStart"/>
      <w:r>
        <w:t>ЗПРД</w:t>
      </w:r>
      <w:proofErr w:type="spellEnd"/>
      <w:r>
        <w:t xml:space="preserve">), Положения о детском труде, принятые на основе этого Закона, Государственные правила о труде на непромышленных/легких вспомогательных работах, Государственные правила об исключениях из норм, касающихся запрещения детского труда, Закон об условиях труда и Постановление об условиях труда, принятое на основе этого Закона.  Все эти законодательные нормы, касающиеся детей и молодежи, вступили в силу 1 января 1995 года или были поэтапно приняты после этой даты вместо существующего, но устаревшего законодательства, предоставлявшего больше возможностей для оказания помощи лицам в деле их </w:t>
      </w:r>
      <w:proofErr w:type="spellStart"/>
      <w:r>
        <w:t>реинтеграции</w:t>
      </w:r>
      <w:proofErr w:type="spellEnd"/>
      <w:r>
        <w:t xml:space="preserve"> на рынок труда.</w:t>
      </w:r>
    </w:p>
    <w:p w:rsidR="00000000" w:rsidRDefault="00000000"/>
    <w:p w:rsidR="00000000" w:rsidRDefault="00000000">
      <w:r>
        <w:t>304.</w:t>
      </w:r>
      <w:r>
        <w:tab/>
        <w:t xml:space="preserve">Законодательство, регламентирующее труд лиц в возрасте до 18 лет, призвано обеспечить отсутствие угрозы для безопасности, здоровья и благосостояния ребенка в любое время и неблагоприятного воздействия выполняемого труда на физическое или психическое развитие ребенка.  Основной принцип состоит в том, что лица в возрасте до 16 лет не должны заниматься трудовой деятельностью, хотя возможны некоторые исключения.  Этот принцип учитывает существующие в обществе стандарты и ценности и обеспечивает заботу общества о ребенке.  Исследования показали, что выполнение оплачиваемой работы в свободное от учебы в школе время необязательно оказывает только негативное воздействие на детей (и молодых лиц).  Оно может также благотворно влиять на формирование личности детей, позволяя им накапливать опыт, устанавливать социальные контакты и на личном примере составлять представление о рынке труда.  Согласно результатам исследований, сама по себе трудовая деятельность детей представляется положительным моментом, если только она не является тяжелой, продолжительной и не препятствует посещению школы.  Кроме того, в нормативных положениях следует отразить тот факт, что разрешенный труд не может оказывать неблагоприятное воздействие на здоровье, безопасность и развитие ребенка.  Запрет на занятие трудовой деятельностью не касается 16 и 17-летних подростков, которые могут ею заниматься в рамках вышеупомянутых правовых положений.  По законодательству ряд трудовых операций для лиц в возрасте 16 и 17 лет запрещен или допускается только под строгим квалифицированным надзором.  Это объясняется тем, что в широком смысле подростки лучше физически и психологически развиты, чем дети.  Это отражено в положениях о продолжительности рабочего времени и перерывов, которые применяются к молодым лицам (согласно Закону о продолжительности рабочего дня) и дают им более широкие возможности по сравнению с детьми.  Вместе с тем существующие нормы учитывают то обстоятельство, что на молодых людей распространяется требование об </w:t>
      </w:r>
      <w:proofErr w:type="spellStart"/>
      <w:r>
        <w:t>уделении</w:t>
      </w:r>
      <w:proofErr w:type="spellEnd"/>
      <w:r>
        <w:t xml:space="preserve"> части времени обязательному образованию, и поэтому любая выполняемая ими работа не должна мешать учебному процессу (статья 4:4(1) Закона о продолжительности рабочего дня).</w:t>
      </w:r>
    </w:p>
    <w:p w:rsidR="00000000" w:rsidRDefault="00000000"/>
    <w:p w:rsidR="00000000" w:rsidRDefault="00000000">
      <w:r>
        <w:t>305.</w:t>
      </w:r>
      <w:r>
        <w:tab/>
        <w:t>Как упоминалось выше, существует ряд исключений из положений, запрещающих труд лиц в возрасте до 16 лет.  Эти исключения содержатся в Положениях о детском труде, действующих для возрастной группы 13-15 лет и касающихся того, как часто, в какое время и сколько часов можно заниматься трудовой деятельностью.  Они охватывают также такие аспекты, как помощь, надзор и содержат разъяснения в отношении того, какие именно виды труда разрешены.  Все эти аспекты подробно регламентируются Государственными правилами о труде на непромышленных/легких вспомогательных работах.</w:t>
      </w:r>
    </w:p>
    <w:p w:rsidR="00000000" w:rsidRDefault="00000000"/>
    <w:p w:rsidR="00000000" w:rsidRDefault="00000000">
      <w:r>
        <w:t>306.</w:t>
      </w:r>
      <w:r>
        <w:tab/>
        <w:t>Наконец, следует отметить, что, согласно статье 1.37 Постановления об условиях труда, труд молодых работников на предприятии или в учреждении должен надлежащим образом контролироваться профессиональными работниками, а если условия труда сопряжены с особой опасностью, он не может выполняться без организации надлежащего надзора.</w:t>
      </w:r>
    </w:p>
    <w:p w:rsidR="00000000" w:rsidRDefault="00000000"/>
    <w:p w:rsidR="00000000" w:rsidRDefault="00000000">
      <w:r>
        <w:rPr>
          <w:b/>
          <w:bCs/>
        </w:rPr>
        <w:t>Наихудшие формы детского труда</w:t>
      </w:r>
    </w:p>
    <w:p w:rsidR="00000000" w:rsidRDefault="00000000"/>
    <w:p w:rsidR="00000000" w:rsidRDefault="00000000">
      <w:r>
        <w:t>307.</w:t>
      </w:r>
      <w:r>
        <w:tab/>
        <w:t>В феврале 2002 года Нидерланды ратифицировали Конвенцию МОТ № 182 о запрещении и немедленных мерах по искоренению наихудших форм детского труда.  В Конвенции указано, что положения о наихудших формах детского труда распространяются на лиц в возрасте до 18 лет.</w:t>
      </w:r>
    </w:p>
    <w:p w:rsidR="00000000" w:rsidRDefault="00000000"/>
    <w:p w:rsidR="00000000" w:rsidRDefault="00000000">
      <w:r>
        <w:t>308.</w:t>
      </w:r>
      <w:r>
        <w:tab/>
        <w:t xml:space="preserve">Национальное законодательство уже в значительной степени соответствует положениям вышеуказанной Конвенции.  Однако, что касается статьи 3 </w:t>
      </w:r>
      <w:proofErr w:type="spellStart"/>
      <w:r>
        <w:t>b</w:t>
      </w:r>
      <w:proofErr w:type="spellEnd"/>
      <w:r>
        <w:t>), то недавно в законодательство были внесены поправки, отражающие закрепленные в Конвенции обязательства.  1 октября 2000 года вступил в силу Общий закон о запрещении (упразднении) публичных домов, согласно которому эксплуатация несовершеннолетних проституток и совершение полового акта с проституткой в возрасте 16 или 17 лет стали квалифицироваться в качестве уголовных преступлений.  1 октября 2002 года были внесены некоторые поправки в законодательство об общественной морали, в соответствии с которыми для целей квалификации детской порнографии предельный возраст был увеличен с 16 до 18 лет, а виртуальная детская порнография и эксплуатация несовершеннолетних в целях порнографии стали относиться к категории уголовных преступлений.</w:t>
      </w:r>
    </w:p>
    <w:p w:rsidR="00000000" w:rsidRDefault="00000000"/>
    <w:p w:rsidR="00000000" w:rsidRDefault="00000000">
      <w:r>
        <w:t>309.</w:t>
      </w:r>
      <w:r>
        <w:tab/>
        <w:t>В настоящее время преследование по факту сексуального надругательства над несовершеннолетним в возрасте 12</w:t>
      </w:r>
      <w:r>
        <w:noBreakHyphen/>
        <w:t xml:space="preserve">16 лет может возбуждаться без подачи соответствующей жалобы.  До внесения изменений в законодательство лицо, совершившее это правонарушение, можно было преследовать только в случае предъявления обвинений жертвой, ее юридическими представителями или Советом по защите детей.  Сейчас жертвы из указанной возрастной группы могут давать показания, имея возможность представить факты в своем изложении. </w:t>
      </w:r>
    </w:p>
    <w:p w:rsidR="00000000" w:rsidRDefault="00000000"/>
    <w:p w:rsidR="00000000" w:rsidRDefault="00000000">
      <w:r>
        <w:t>310.</w:t>
      </w:r>
      <w:r>
        <w:tab/>
        <w:t xml:space="preserve">Как отмечалось, возраст молодых лиц, фигурирующих в порнографических материалах, был увеличен с 16 до 18 лет.  Это означает, что, если в порнографических материалах демонстрируется лицо младше 18 лет, их распространение, экспонирование, производство, рассылка таких материалов и обладание ими являются уголовным преступлением.  </w:t>
      </w:r>
    </w:p>
    <w:p w:rsidR="00000000" w:rsidRDefault="00000000"/>
    <w:p w:rsidR="00000000" w:rsidRDefault="00000000">
      <w:r>
        <w:t>311.</w:t>
      </w:r>
      <w:r>
        <w:tab/>
        <w:t>1 октября 2002 года в число уголовных преступлений была также включена виртуальная детская порнография.  Современная технология позволяет осуществлять такие цифровые манипуляции изображениями, чтобы избегать обвинений в детской порнографии, даже если злоупотребление фактически могло иметь место.  На практике факт такого злоупотребления трудно доказать.  Для эффективной борьбы с детской порнографией, в частности в Интернете, в настоящее время виртуальная детская порнография объявлена уголовным преступлением, подлежащим пресечению даже в тех случаях, когда невозможно достоверно установить наличие или отсутствие факта злоупотребления в отношении ребенка.</w:t>
      </w:r>
    </w:p>
    <w:p w:rsidR="00000000" w:rsidRDefault="00000000"/>
    <w:p w:rsidR="00000000" w:rsidRDefault="00000000">
      <w:r>
        <w:t>312.</w:t>
      </w:r>
      <w:r>
        <w:tab/>
        <w:t>Статья 6 Конвенции МОТ № 182 налагает обязательство разрабатывать и осуществлять программы действий для искоренения в приоритетном порядке наихудших форм детского труда.  Голландское правительство исходит из того, что в законодательстве страны уже в достаточной степени запрещены наихудшие формы детского труда.  Поэтому разработанная в Нидерландах программа действий – в отличие от многих других стран – направлена не столько на искоренение наихудших форм детского труда при помощи регламентационных мер, сколько на профилактику эксплуатации детского труда и обеспечение выполнения действующего законодательства о запрещении наихудших форм детского труда.  Это означает, что цель проектов, реализуемых в рамках программы действий, состоит прежде всего в профилактике, информировании общественности и контроле.  Однако в силу того, что голландское правительство придает большую важность искоренению наихудших форм детского труда во всем мире, программа включает также обзор международной деятельности Нидерландов в этой области.</w:t>
      </w:r>
    </w:p>
    <w:p w:rsidR="00000000" w:rsidRDefault="00000000"/>
    <w:p w:rsidR="00000000" w:rsidRDefault="00000000">
      <w:r>
        <w:t>313.</w:t>
      </w:r>
      <w:r>
        <w:tab/>
        <w:t>Программа действий состоит из трех частей (А, В и С).  Часть А содержит краткое описание функций Трудовой инспекции по наблюдению за выполнением законодательства о трудовой деятельности молодых лиц и по информированию общественности.  Часть В касается усилий по борьбе с сексуальным насилием в отношении детей и Национального плана действий по борьбе с сексуальными злоупотреблениями в отношении детей (</w:t>
      </w:r>
      <w:proofErr w:type="spellStart"/>
      <w:r>
        <w:t>НПДС</w:t>
      </w:r>
      <w:proofErr w:type="spellEnd"/>
      <w:r>
        <w:t xml:space="preserve">), который был представлен парламенту 19 апреля 2000 года.  Выполнение </w:t>
      </w:r>
      <w:proofErr w:type="spellStart"/>
      <w:r>
        <w:t>НПДС</w:t>
      </w:r>
      <w:proofErr w:type="spellEnd"/>
      <w:r>
        <w:t xml:space="preserve"> было завершено в 2002 году.  Наконец, в части С рассматривается международная деятельность Нидерландов и дается обзор ряда международных проектов и программ, осуществляемых при поддержке Нидерландов.</w:t>
      </w:r>
    </w:p>
    <w:p w:rsidR="00000000" w:rsidRDefault="00000000"/>
    <w:p w:rsidR="00000000" w:rsidRDefault="00000000">
      <w:r>
        <w:t>314.</w:t>
      </w:r>
      <w:r>
        <w:tab/>
        <w:t>В соответствии со статьей 6 Конвенции МОТ № 182 программа действий разрабатывается и осуществляется в консультации с компетентными государственными учреждениями и социальными партнерами и с учетом мнений других заинтересованных сторон (НПО).  Первые консультации состоялись еще до начала работы по подготовке программы действий и проводились прежде всего с целью учета пожеланий вышеупомянутых организаций.  По итогам этих консультаций был подготовлен общий проект программы действий, который был представлен парламенту вместе с законопроектом, пояснительным меморандумом и подробным докладом.  В процессе доработки проекта вновь были проведены консультации с социальными партнерами и рядом НПО, представивших свои мнения как в устном, так и в письменном виде.  Окончательный вариант программы действий был представлен на рассмотрение парламента в марте 2001 года.</w:t>
      </w:r>
    </w:p>
    <w:p w:rsidR="00000000" w:rsidRDefault="00000000"/>
    <w:p w:rsidR="00000000" w:rsidRDefault="00000000">
      <w:r>
        <w:t>315.</w:t>
      </w:r>
      <w:r>
        <w:tab/>
        <w:t>При ратификации государством подписанной им Конвенции оно автоматически берет на себя обязательство периодически представлять доклады об осуществлении Конвенции.  Правительство обязано представлять доклад по Конвенции МОТ № 182 каждые два года, указывая при этом текущее состояние соответствующего законодательства, практические меры по осуществлению и любые проблемы, с которыми государство - участник Конвенции может сталкиваться при осуществлении закрепленных в ней норм.  Этот доклад будет включать также информацию о ходе выполнения программы действий и о любых вносимых в нее изменениях.</w:t>
      </w:r>
    </w:p>
    <w:p w:rsidR="00000000" w:rsidRDefault="00000000"/>
    <w:p w:rsidR="00000000" w:rsidRDefault="00000000">
      <w:r>
        <w:t>316.</w:t>
      </w:r>
      <w:r>
        <w:tab/>
        <w:t>В феврале 2002 года в Нидерландах была организована международная конференция по проблемам детского труда под названием "Профилактика детского труда:  объединение усилий для борьбы с опасными формами труда".  Проведение этой конференции преследовало двуединую цель:  во</w:t>
      </w:r>
      <w:r>
        <w:noBreakHyphen/>
        <w:t>первых, обмен экспертными оценками и опытом по вопросу об определении опасных форм труда и практическому осуществлению и обеспечению выполнения норм и положений в этой области;  и во-вторых, поощрение сотрудничества между различными сторонами в качестве важной предпосылки эффективной борьбы с детским трудом.  На конференцию прибыли делегаты из более чем 40 стран, представлявшие правительства, социальных партнеров, трудовые инспекции, международные организации и НПО.</w:t>
      </w:r>
    </w:p>
    <w:p w:rsidR="00000000" w:rsidRDefault="00000000"/>
    <w:p w:rsidR="00000000" w:rsidRDefault="00000000">
      <w:r>
        <w:t>317.</w:t>
      </w:r>
      <w:r>
        <w:tab/>
        <w:t>После проведенной в Гааге конференции по борьбе с детским трудом с Трудовой инспекцией Нидерландов был согласован вопрос об учреждении справочной службы Международной ассоциации трудовой инспекции (</w:t>
      </w:r>
      <w:proofErr w:type="spellStart"/>
      <w:r>
        <w:t>МАТИ</w:t>
      </w:r>
      <w:proofErr w:type="spellEnd"/>
      <w:r>
        <w:t>) по вопросам опасных форм детского труда (</w:t>
      </w:r>
      <w:hyperlink r:id="rId12" w:history="1">
        <w:r>
          <w:rPr>
            <w:rStyle w:val="Hyperlink"/>
            <w:lang w:val="en-US"/>
          </w:rPr>
          <w:t>www</w:t>
        </w:r>
        <w:r>
          <w:rPr>
            <w:rStyle w:val="Hyperlink"/>
          </w:rPr>
          <w:t>.</w:t>
        </w:r>
        <w:proofErr w:type="spellStart"/>
        <w:r>
          <w:rPr>
            <w:rStyle w:val="Hyperlink"/>
            <w:lang w:val="en-US"/>
          </w:rPr>
          <w:t>iali</w:t>
        </w:r>
        <w:proofErr w:type="spellEnd"/>
        <w:r>
          <w:rPr>
            <w:rStyle w:val="Hyperlink"/>
          </w:rPr>
          <w:t>-</w:t>
        </w:r>
        <w:proofErr w:type="spellStart"/>
        <w:r>
          <w:rPr>
            <w:rStyle w:val="Hyperlink"/>
            <w:lang w:val="en-US"/>
          </w:rPr>
          <w:t>aiit</w:t>
        </w:r>
        <w:proofErr w:type="spellEnd"/>
        <w:r>
          <w:rPr>
            <w:rStyle w:val="Hyperlink"/>
          </w:rPr>
          <w:t>.</w:t>
        </w:r>
        <w:r>
          <w:rPr>
            <w:rStyle w:val="Hyperlink"/>
            <w:lang w:val="en-US"/>
          </w:rPr>
          <w:t>org</w:t>
        </w:r>
      </w:hyperlink>
      <w:r>
        <w:t xml:space="preserve">).  В настоящее время эта справочная служба доступна для членов </w:t>
      </w:r>
      <w:proofErr w:type="spellStart"/>
      <w:r>
        <w:t>МАТИ</w:t>
      </w:r>
      <w:proofErr w:type="spellEnd"/>
      <w:r>
        <w:t xml:space="preserve"> и выполняет посреднические функции, предлагая услуги в деле поиска информации о различных вариантах сотрудничества в целях взаимной поддержки.  Она также действует как центр обмена информацией, в частности по стратегиям борьбы с детским трудом, которые оказались успешными.  Эта база данных будет расширяться по мере дальнейшего развития справочной службы.</w:t>
      </w:r>
    </w:p>
    <w:p w:rsidR="00000000" w:rsidRDefault="00000000"/>
    <w:p w:rsidR="00000000" w:rsidRDefault="00000000">
      <w:r>
        <w:t>318.</w:t>
      </w:r>
      <w:r>
        <w:tab/>
        <w:t>Кроме того, голландские трудовые инспекторы принимают участие в рабочих совещаниях по подготовке трудовых инспекторов из развивающихся стран в области детского труда, техники безопасности на производстве и гигиены труда.</w:t>
      </w:r>
    </w:p>
    <w:p w:rsidR="00000000" w:rsidRDefault="00000000"/>
    <w:p w:rsidR="00000000" w:rsidRDefault="00000000">
      <w:r>
        <w:t>319.</w:t>
      </w:r>
      <w:r>
        <w:tab/>
        <w:t xml:space="preserve">В 2002 году Министерство социальных дел и по вопросам занятости создало на своем </w:t>
      </w:r>
      <w:proofErr w:type="spellStart"/>
      <w:r>
        <w:t>вебсайте</w:t>
      </w:r>
      <w:proofErr w:type="spellEnd"/>
      <w:r>
        <w:t xml:space="preserve"> (</w:t>
      </w:r>
      <w:hyperlink r:id="rId13" w:history="1">
        <w:r>
          <w:rPr>
            <w:rStyle w:val="Hyperlink"/>
            <w:lang w:val="en-US"/>
          </w:rPr>
          <w:t>www</w:t>
        </w:r>
        <w:r>
          <w:rPr>
            <w:rStyle w:val="Hyperlink"/>
          </w:rPr>
          <w:t>.</w:t>
        </w:r>
        <w:proofErr w:type="spellStart"/>
        <w:r>
          <w:rPr>
            <w:rStyle w:val="Hyperlink"/>
            <w:lang w:val="en-US"/>
          </w:rPr>
          <w:t>minszw</w:t>
        </w:r>
        <w:proofErr w:type="spellEnd"/>
        <w:r>
          <w:rPr>
            <w:rStyle w:val="Hyperlink"/>
          </w:rPr>
          <w:t>.</w:t>
        </w:r>
        <w:proofErr w:type="spellStart"/>
        <w:r>
          <w:rPr>
            <w:rStyle w:val="Hyperlink"/>
            <w:lang w:val="en-US"/>
          </w:rPr>
          <w:t>nl</w:t>
        </w:r>
        <w:proofErr w:type="spellEnd"/>
      </w:hyperlink>
      <w:r>
        <w:t>) специальную справочную службу для молодых лиц (</w:t>
      </w:r>
      <w:proofErr w:type="spellStart"/>
      <w:r>
        <w:rPr>
          <w:lang w:val="en-US"/>
        </w:rPr>
        <w:t>Jongerenloket</w:t>
      </w:r>
      <w:proofErr w:type="spellEnd"/>
      <w:r>
        <w:t xml:space="preserve">), в которой можно получить информацию о работе (работа по выходным, минимальная заработная плата, налоги) и о том, какую работу могут или не могут выполнять молодые люди различного возраста.  Посетители этого </w:t>
      </w:r>
      <w:proofErr w:type="spellStart"/>
      <w:r>
        <w:t>сайта</w:t>
      </w:r>
      <w:proofErr w:type="spellEnd"/>
      <w:r>
        <w:t xml:space="preserve"> могут также задавать вопросы министру социальных дел и по вопросам занятости.</w:t>
      </w:r>
    </w:p>
    <w:p w:rsidR="00000000" w:rsidRDefault="00000000"/>
    <w:p w:rsidR="00000000" w:rsidRDefault="00000000">
      <w:pPr>
        <w:jc w:val="center"/>
        <w:rPr>
          <w:b/>
          <w:bCs/>
        </w:rPr>
      </w:pPr>
      <w:r>
        <w:rPr>
          <w:b/>
          <w:bCs/>
        </w:rPr>
        <w:t>3.5.5.1</w:t>
      </w:r>
      <w:r>
        <w:rPr>
          <w:b/>
          <w:bCs/>
        </w:rPr>
        <w:tab/>
        <w:t>Оплачиваемый труд</w:t>
      </w:r>
    </w:p>
    <w:p w:rsidR="00000000" w:rsidRDefault="00000000">
      <w:pPr>
        <w:jc w:val="center"/>
        <w:rPr>
          <w:b/>
          <w:bCs/>
        </w:rPr>
      </w:pPr>
    </w:p>
    <w:p w:rsidR="00000000" w:rsidRDefault="00000000">
      <w:r>
        <w:t>320.</w:t>
      </w:r>
      <w:r>
        <w:tab/>
        <w:t>В 2000 году Трудовая инспекция Нидерландов завершила исследование, озаглавленное "Молодые люди на рынке труда" (имеется только на голландском языке) (Добавление 10).</w:t>
      </w:r>
    </w:p>
    <w:p w:rsidR="00000000" w:rsidRDefault="00000000"/>
    <w:p w:rsidR="00000000" w:rsidRDefault="00000000">
      <w:pPr>
        <w:jc w:val="center"/>
        <w:rPr>
          <w:b/>
          <w:bCs/>
        </w:rPr>
      </w:pPr>
      <w:r>
        <w:rPr>
          <w:b/>
          <w:bCs/>
        </w:rPr>
        <w:t>3.5.5.2</w:t>
      </w:r>
      <w:r>
        <w:rPr>
          <w:b/>
          <w:bCs/>
        </w:rPr>
        <w:tab/>
        <w:t>Труд на семейных предприятиях и в домашних хозяйствах</w:t>
      </w:r>
    </w:p>
    <w:p w:rsidR="00000000" w:rsidRDefault="00000000">
      <w:pPr>
        <w:jc w:val="center"/>
        <w:rPr>
          <w:b/>
          <w:bCs/>
        </w:rPr>
      </w:pPr>
    </w:p>
    <w:p w:rsidR="00000000" w:rsidRDefault="00000000">
      <w:r>
        <w:t>321.</w:t>
      </w:r>
      <w:r>
        <w:tab/>
        <w:t xml:space="preserve">Детям в возрасте 13 лет и старше разрешается выполнять легкую работу непромышленного характера на фермах и семейных предприятиях розничной торговли.  Несмотря на мониторинг положения в области детского труда, какие-либо надежные и точные данные о трудовой деятельности детей на семейных сельскохозяйственных участках и предприятиях сектора розничной торговли отсутствуют.  </w:t>
      </w:r>
    </w:p>
    <w:p w:rsidR="00000000" w:rsidRDefault="00000000"/>
    <w:p w:rsidR="00000000" w:rsidRDefault="00000000">
      <w:pPr>
        <w:jc w:val="center"/>
        <w:rPr>
          <w:b/>
          <w:bCs/>
        </w:rPr>
      </w:pPr>
      <w:r>
        <w:rPr>
          <w:b/>
          <w:bCs/>
        </w:rPr>
        <w:t>3.5.5.3</w:t>
      </w:r>
      <w:r>
        <w:rPr>
          <w:b/>
          <w:bCs/>
        </w:rPr>
        <w:tab/>
        <w:t>Защита конкретных групп детей</w:t>
      </w:r>
    </w:p>
    <w:p w:rsidR="00000000" w:rsidRDefault="00000000">
      <w:pPr>
        <w:jc w:val="center"/>
        <w:rPr>
          <w:b/>
          <w:bCs/>
        </w:rPr>
      </w:pPr>
    </w:p>
    <w:p w:rsidR="00000000" w:rsidRDefault="00000000">
      <w:pPr>
        <w:rPr>
          <w:b/>
          <w:bCs/>
        </w:rPr>
      </w:pPr>
      <w:r>
        <w:rPr>
          <w:b/>
          <w:bCs/>
        </w:rPr>
        <w:t>Постановление о надзоре за семьей</w:t>
      </w:r>
    </w:p>
    <w:p w:rsidR="00000000" w:rsidRDefault="00000000">
      <w:pPr>
        <w:rPr>
          <w:b/>
          <w:bCs/>
        </w:rPr>
      </w:pPr>
    </w:p>
    <w:p w:rsidR="00000000" w:rsidRDefault="00000000">
      <w:r>
        <w:t>322.</w:t>
      </w:r>
      <w:r>
        <w:tab/>
        <w:t>Если несовершеннолетнее лицо растет в условиях, подвергающих его нравственное или психическое благополучие серьезной угрозе, а другие способы устранения этой угрозы оказываются тщетными, суд может вынести постановление о постановке такой семьи под надзор (согласно пункту 1 статьи 1:254 Гражданского кодекса).  Официальное ходатайство об этом может направляться судье по делам детей одним из родителей, другим лицом, опекающим и воспитывающим несовершеннолетнего как члена своей семьи, Советом по защите детей или прокуратурой.  Однако на практике ходатайство о принятии постановления о постановке семьи под надзор почти всегда подается Советом по защите детей после проведения им независимого расследования.  В принципе Совет возбуждает расследование после получения соответствующей информации от Бюро по делам молодежи.  После издания судом постановления о надзоре за семьей Бюро по делам молодежи контролирует положение несовершеннолетнего и предлагает несовершеннолетним и лицам, выполняющим родительские обязанности, свою помощь и поддержку.  Таким образом, родители не лишаются родительских прав в отношении их детей, однако эти права могут ограничиваться:</w:t>
      </w:r>
    </w:p>
    <w:p w:rsidR="00000000" w:rsidRDefault="00000000"/>
    <w:p w:rsidR="00000000" w:rsidRDefault="00000000">
      <w:pPr>
        <w:ind w:left="1134" w:hanging="1134"/>
      </w:pPr>
      <w:r>
        <w:tab/>
        <w:t>-</w:t>
      </w:r>
      <w:r>
        <w:tab/>
        <w:t>письменными инструкциями относительно опеки и воспитания несовершеннолетнего.  Эти инструкции обязательны как для родителей, так и для несовершеннолетних;</w:t>
      </w:r>
    </w:p>
    <w:p w:rsidR="00000000" w:rsidRDefault="00000000">
      <w:pPr>
        <w:ind w:left="1134" w:hanging="1134"/>
      </w:pPr>
    </w:p>
    <w:p w:rsidR="00000000" w:rsidRDefault="00000000">
      <w:pPr>
        <w:ind w:left="1134" w:hanging="1134"/>
      </w:pPr>
      <w:r>
        <w:tab/>
        <w:t>-</w:t>
      </w:r>
      <w:r>
        <w:tab/>
        <w:t>при помещении ребенка под опеку.  Эта мера может приниматься только согласно постановлению об опеке, изданному судьей по делам детей.  Принятие такого постановления производится на основе оценки наилучших интересов ребенка.  Оно действует на срок до одного года и может возобновляться еще на 12 месяцев.  По окончании первого года судья по делам детей вновь оценивает ситуацию.  Решения судьи по делам детей могут быть обжалованы соответствующими лицами или другими заинтересованными сторонами.</w:t>
      </w:r>
    </w:p>
    <w:p w:rsidR="00000000" w:rsidRDefault="00000000">
      <w:pPr>
        <w:ind w:left="1134" w:hanging="1134"/>
      </w:pPr>
    </w:p>
    <w:p w:rsidR="00000000" w:rsidRDefault="00000000">
      <w:pPr>
        <w:rPr>
          <w:b/>
          <w:bCs/>
        </w:rPr>
      </w:pPr>
      <w:r>
        <w:rPr>
          <w:b/>
          <w:bCs/>
        </w:rPr>
        <w:t>Лишение родительских прав</w:t>
      </w:r>
    </w:p>
    <w:p w:rsidR="00000000" w:rsidRDefault="00000000">
      <w:pPr>
        <w:rPr>
          <w:b/>
          <w:bCs/>
        </w:rPr>
      </w:pPr>
    </w:p>
    <w:p w:rsidR="00000000" w:rsidRDefault="00000000">
      <w:r>
        <w:t>323.</w:t>
      </w:r>
      <w:r>
        <w:tab/>
        <w:t xml:space="preserve">Постановления о лишении родительских прав с согласия родителей могут приниматься, если один из родителей не способен или не в состоянии обеспечивать уход за ребенком и его воспитание.  Если родители возражают против лишения их родительских прав, такое постановление может приниматься на особых основаниях, в частности после наблюдения за семьей в течение шести месяцев или после 18 месяцев действия постановления об опеке.  При вынесении постановления соответствующий родитель утрачивает свои родительские права.  Для лишения родительских прав без согласия родителей необходимы более серьезные основания, такие, как наличие злоупотреблений в отношении ребенка или грубое игнорирование его потребностей, равно как и совершение определенных преступлений против ребенка.  В этом случае родитель также лишается своих родительских прав.  </w:t>
      </w:r>
    </w:p>
    <w:p w:rsidR="00000000" w:rsidRDefault="00000000"/>
    <w:p w:rsidR="00000000" w:rsidRDefault="00000000">
      <w:pPr>
        <w:keepNext/>
        <w:rPr>
          <w:b/>
          <w:bCs/>
        </w:rPr>
      </w:pPr>
      <w:r>
        <w:rPr>
          <w:b/>
          <w:bCs/>
        </w:rPr>
        <w:t>Несопровождаемые несовершеннолетние иностранцы</w:t>
      </w:r>
    </w:p>
    <w:p w:rsidR="00000000" w:rsidRDefault="00000000">
      <w:pPr>
        <w:keepNext/>
        <w:rPr>
          <w:b/>
          <w:bCs/>
        </w:rPr>
      </w:pPr>
    </w:p>
    <w:p w:rsidR="00000000" w:rsidRDefault="00000000">
      <w:r>
        <w:t>324.</w:t>
      </w:r>
      <w:r>
        <w:tab/>
        <w:t xml:space="preserve">Несопровождаемым несовершеннолетним иностранцам уделяется особое внимание в проводимой Нидерландами политике в отношении иностранцев.  Такие лица могут подавать ходатайство об убежище, которое тщательно рассматривается с точки зрения возможности предоставления вида на жительство в порядке временного убежища в соответствии со стандартной политикой в отношении иностранцев.  Рассмотрение проводится на тех же основаниях, что и для взрослых просителей убежища, но с учетом особого положения, в котором могут находиться несовершеннолетние. </w:t>
      </w:r>
    </w:p>
    <w:p w:rsidR="00000000" w:rsidRDefault="00000000"/>
    <w:p w:rsidR="00000000" w:rsidRDefault="00000000">
      <w:r>
        <w:t>325.</w:t>
      </w:r>
      <w:r>
        <w:tab/>
        <w:t xml:space="preserve">Несопровождаемые несовершеннолетние просители убежища, получившие вид на жительство, передаются в ведение Агентства по семейному надзору и опеке "Нидос", которое традиционно занимается интеграцией этих молодых людей в голландское общество.  </w:t>
      </w:r>
    </w:p>
    <w:p w:rsidR="00000000" w:rsidRDefault="00000000"/>
    <w:p w:rsidR="00000000" w:rsidRDefault="00000000">
      <w:r>
        <w:t>326.</w:t>
      </w:r>
      <w:r>
        <w:tab/>
        <w:t>В своей политике власти исходят из того принципа, что несопровождаемые несовершеннолетние иностранцы, чье ходатайство о виде на жительство в порядке убежища было отклонено, обязаны возвратиться в страну своего происхождения или, когда для этого имеются основания, - в другую страну.  Это также отвечает интересам ребенка.  Проживание отдельно от родителей и своего домашнего окружения может в конечном счете пойти на пользу лишь тем немногим детям, которые утратили свои родственные связи или стали бездомными.  В принципе интересы ребенка требуют восстановления связей с родителями, семьей и/или социальным окружением.  Поэтому для определения того, возможна и целесообразна ли репатриация, каждый отдельный случай рассматривается по существу.  Если репатриация нецелесообразна, несовершеннолетний может при определенных условиях получить право на обычный временный вид на жительство с ограничивающей формулировкой "пребывание в качестве несопровождаемого несовершеннолетнего иностранца".  Вместе с тем временный вид на жительство не дается по ходатайству;  в соответствующих случаях он предоставляется по усмотрению компетентных властей.  Однако даже при выдаче этого обычного вида на жительство продолжает действовать принцип, согласно которому несопровождаемые несовершеннолетние иностранцы должны как можно скорее выехать из страны, в любом случае до достижения ими 18-летнего возраста.</w:t>
      </w:r>
    </w:p>
    <w:p w:rsidR="00000000" w:rsidRDefault="00000000"/>
    <w:p w:rsidR="00000000" w:rsidRDefault="00000000">
      <w:r>
        <w:t>327.</w:t>
      </w:r>
      <w:r>
        <w:tab/>
        <w:t>Для поощрения репатриации и подготовки к ней несовершеннолетних в 2002 и 2003 годах в голландских городах Вюгт и Делен были осуществлены два опытных проекта.  Проживание несовершеннолетних было организовано по принципу общежития для учащихся, в котором действуют определенные внутренние правила и нормы.  Проводилась программа подготовки несовершеннолетних к возвращению в свою страну происхождения.  Общежитие функционировало в соответствии с "транскультурной методикой, ориентированной на сознательность".  Работа проводилась в два этапа:</w:t>
      </w:r>
    </w:p>
    <w:p w:rsidR="00000000" w:rsidRDefault="00000000"/>
    <w:p w:rsidR="00000000" w:rsidRDefault="00000000">
      <w:pPr>
        <w:ind w:left="1134" w:hanging="1134"/>
      </w:pPr>
      <w:r>
        <w:tab/>
        <w:t>-</w:t>
      </w:r>
      <w:r>
        <w:tab/>
        <w:t>на первом этапе основная цель заключалась в создании безопасной и стабильной среды проживания, что позволило бы несовершеннолетнему адаптироваться к действующим в общежитии правилам и распорядку и научиться жить отдельно и вместе с другими;</w:t>
      </w:r>
    </w:p>
    <w:p w:rsidR="00000000" w:rsidRDefault="00000000">
      <w:pPr>
        <w:ind w:left="1134" w:hanging="1134"/>
      </w:pPr>
    </w:p>
    <w:p w:rsidR="00000000" w:rsidRDefault="00000000">
      <w:pPr>
        <w:ind w:left="1134" w:hanging="1134"/>
      </w:pPr>
      <w:r>
        <w:tab/>
        <w:t>-</w:t>
      </w:r>
      <w:r>
        <w:tab/>
        <w:t>на последующем этапе (примерно через восемь недель после прибытия) упор делался на развитие у несовершеннолетних чувства ответственности.</w:t>
      </w:r>
    </w:p>
    <w:p w:rsidR="00000000" w:rsidRDefault="00000000">
      <w:pPr>
        <w:ind w:left="1134" w:hanging="1134"/>
      </w:pPr>
    </w:p>
    <w:p w:rsidR="00000000" w:rsidRDefault="00000000">
      <w:r>
        <w:t>Осуществление данного проекта ежемесячно контролировалось всеми сторонами, на разных этапах участвующими в процедуре предоставления убежища.  Результаты оценки хода работы будут опубликованы летом 2003 года.  Окончательная оценка состоится примерно 1 января 2004 года по завершении опытных проектов.  Итоги этой оценки будут рассмотрены с целью определения целесообразности внедрения модели общежития на долгосрочной основе.</w:t>
      </w:r>
    </w:p>
    <w:p w:rsidR="00000000" w:rsidRDefault="00000000"/>
    <w:p w:rsidR="00000000" w:rsidRDefault="00000000">
      <w:pPr>
        <w:jc w:val="center"/>
        <w:rPr>
          <w:b/>
          <w:bCs/>
        </w:rPr>
      </w:pPr>
      <w:r>
        <w:rPr>
          <w:b/>
          <w:bCs/>
        </w:rPr>
        <w:t>3.6    Статья 11</w:t>
      </w:r>
    </w:p>
    <w:p w:rsidR="00000000" w:rsidRDefault="00000000">
      <w:pPr>
        <w:jc w:val="center"/>
        <w:rPr>
          <w:b/>
          <w:bCs/>
        </w:rPr>
      </w:pPr>
    </w:p>
    <w:p w:rsidR="00000000" w:rsidRDefault="00000000">
      <w:pPr>
        <w:jc w:val="center"/>
        <w:rPr>
          <w:b/>
          <w:bCs/>
        </w:rPr>
      </w:pPr>
      <w:r>
        <w:rPr>
          <w:b/>
          <w:bCs/>
        </w:rPr>
        <w:t>3.6.1    Право на достаточный жизненный уровень</w:t>
      </w:r>
    </w:p>
    <w:p w:rsidR="00000000" w:rsidRDefault="00000000">
      <w:pPr>
        <w:jc w:val="center"/>
        <w:rPr>
          <w:b/>
          <w:bCs/>
        </w:rPr>
      </w:pPr>
    </w:p>
    <w:p w:rsidR="00000000" w:rsidRDefault="00000000">
      <w:pPr>
        <w:jc w:val="center"/>
        <w:rPr>
          <w:b/>
          <w:bCs/>
        </w:rPr>
      </w:pPr>
      <w:r>
        <w:rPr>
          <w:b/>
          <w:bCs/>
        </w:rPr>
        <w:t>3.6.1.1    Уровень жизни в настоящее время</w:t>
      </w:r>
    </w:p>
    <w:p w:rsidR="00000000" w:rsidRDefault="00000000">
      <w:pPr>
        <w:jc w:val="center"/>
        <w:rPr>
          <w:b/>
          <w:bCs/>
        </w:rPr>
      </w:pPr>
    </w:p>
    <w:p w:rsidR="00000000" w:rsidRDefault="00000000">
      <w:r>
        <w:t>328.</w:t>
      </w:r>
      <w:r>
        <w:tab/>
        <w:t>С 1990 по 1995 год уровень чистых доходов домашних хозяйств повысился на 14%, что равнялось темпам инфляции за этот период.  С 1995 по 2000 год рост доходов превышал темпы инфляции.  Отчасти это было обусловлено ростом уровня занятости.  Достигнутое улучшение имело благоприятные последствия для всех групп населения, как это показано в таблице 17.</w:t>
      </w:r>
    </w:p>
    <w:p w:rsidR="00000000" w:rsidRDefault="00000000"/>
    <w:p w:rsidR="00000000" w:rsidRDefault="00000000">
      <w:pPr>
        <w:spacing w:line="216" w:lineRule="auto"/>
        <w:jc w:val="center"/>
        <w:rPr>
          <w:b/>
          <w:bCs/>
        </w:rPr>
      </w:pPr>
      <w:r>
        <w:rPr>
          <w:b/>
          <w:bCs/>
        </w:rPr>
        <w:t>Таблица 17</w:t>
      </w:r>
    </w:p>
    <w:p w:rsidR="00000000" w:rsidRDefault="00000000">
      <w:pPr>
        <w:spacing w:line="216" w:lineRule="auto"/>
        <w:jc w:val="center"/>
        <w:rPr>
          <w:b/>
          <w:bCs/>
        </w:rPr>
      </w:pPr>
    </w:p>
    <w:p w:rsidR="00000000" w:rsidRDefault="00000000">
      <w:pPr>
        <w:spacing w:line="216" w:lineRule="auto"/>
        <w:jc w:val="center"/>
        <w:rPr>
          <w:b/>
          <w:bCs/>
        </w:rPr>
      </w:pPr>
      <w:r>
        <w:rPr>
          <w:b/>
          <w:bCs/>
        </w:rPr>
        <w:t>Средний уровень чистых доходов домашних хозяйств в 1990-2000 годах</w:t>
      </w:r>
    </w:p>
    <w:p w:rsidR="00000000" w:rsidRDefault="00000000">
      <w:pPr>
        <w:spacing w:line="216"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A0" w:firstRow="1" w:lastRow="0" w:firstColumn="1" w:lastColumn="1" w:noHBand="0" w:noVBand="0"/>
      </w:tblPr>
      <w:tblGrid>
        <w:gridCol w:w="3250"/>
        <w:gridCol w:w="1120"/>
        <w:gridCol w:w="1122"/>
        <w:gridCol w:w="1126"/>
        <w:gridCol w:w="1496"/>
        <w:gridCol w:w="1380"/>
      </w:tblGrid>
      <w:tr w:rsidR="00000000">
        <w:tblPrEx>
          <w:tblCellMar>
            <w:top w:w="0" w:type="dxa"/>
            <w:bottom w:w="0" w:type="dxa"/>
          </w:tblCellMar>
        </w:tblPrEx>
        <w:trPr>
          <w:cantSplit/>
          <w:tblHeader/>
        </w:trPr>
        <w:tc>
          <w:tcPr>
            <w:tcW w:w="1711" w:type="pct"/>
            <w:vMerge w:val="restart"/>
          </w:tcPr>
          <w:p w:rsidR="00000000" w:rsidRDefault="00000000"/>
        </w:tc>
        <w:tc>
          <w:tcPr>
            <w:tcW w:w="1774" w:type="pct"/>
            <w:gridSpan w:val="3"/>
          </w:tcPr>
          <w:p w:rsidR="00000000" w:rsidRDefault="00000000">
            <w:pPr>
              <w:jc w:val="center"/>
              <w:rPr>
                <w:sz w:val="20"/>
              </w:rPr>
            </w:pPr>
            <w:r>
              <w:rPr>
                <w:sz w:val="20"/>
              </w:rPr>
              <w:t xml:space="preserve">Средний уровень чистых доходов домохозяйств (в тыс. </w:t>
            </w:r>
            <w:proofErr w:type="spellStart"/>
            <w:r>
              <w:rPr>
                <w:sz w:val="20"/>
              </w:rPr>
              <w:t>евро</w:t>
            </w:r>
            <w:proofErr w:type="spellEnd"/>
            <w:r>
              <w:rPr>
                <w:sz w:val="20"/>
              </w:rPr>
              <w:t>)</w:t>
            </w:r>
          </w:p>
        </w:tc>
        <w:tc>
          <w:tcPr>
            <w:tcW w:w="788" w:type="pct"/>
            <w:vMerge w:val="restart"/>
          </w:tcPr>
          <w:p w:rsidR="00000000" w:rsidRDefault="00000000">
            <w:pPr>
              <w:jc w:val="center"/>
              <w:rPr>
                <w:sz w:val="20"/>
              </w:rPr>
            </w:pPr>
            <w:r>
              <w:rPr>
                <w:sz w:val="20"/>
              </w:rPr>
              <w:t>Рост</w:t>
            </w:r>
          </w:p>
          <w:p w:rsidR="00000000" w:rsidRDefault="00000000">
            <w:pPr>
              <w:jc w:val="center"/>
              <w:rPr>
                <w:sz w:val="20"/>
              </w:rPr>
            </w:pPr>
            <w:r>
              <w:rPr>
                <w:sz w:val="20"/>
              </w:rPr>
              <w:t>1990-1995 (%)</w:t>
            </w:r>
          </w:p>
        </w:tc>
        <w:tc>
          <w:tcPr>
            <w:tcW w:w="727" w:type="pct"/>
            <w:vMerge w:val="restart"/>
          </w:tcPr>
          <w:p w:rsidR="00000000" w:rsidRDefault="00000000">
            <w:pPr>
              <w:jc w:val="center"/>
              <w:rPr>
                <w:sz w:val="20"/>
              </w:rPr>
            </w:pPr>
            <w:r>
              <w:rPr>
                <w:sz w:val="20"/>
              </w:rPr>
              <w:t>Рост</w:t>
            </w:r>
          </w:p>
          <w:p w:rsidR="00000000" w:rsidRDefault="00000000">
            <w:pPr>
              <w:jc w:val="center"/>
              <w:rPr>
                <w:sz w:val="20"/>
              </w:rPr>
            </w:pPr>
            <w:r>
              <w:rPr>
                <w:sz w:val="20"/>
              </w:rPr>
              <w:t>1995-2000 (%)</w:t>
            </w:r>
          </w:p>
        </w:tc>
      </w:tr>
      <w:tr w:rsidR="00000000">
        <w:tblPrEx>
          <w:tblCellMar>
            <w:top w:w="0" w:type="dxa"/>
            <w:bottom w:w="0" w:type="dxa"/>
          </w:tblCellMar>
        </w:tblPrEx>
        <w:trPr>
          <w:cantSplit/>
          <w:tblHeader/>
        </w:trPr>
        <w:tc>
          <w:tcPr>
            <w:tcW w:w="1711" w:type="pct"/>
            <w:vMerge/>
          </w:tcPr>
          <w:p w:rsidR="00000000" w:rsidRDefault="00000000"/>
        </w:tc>
        <w:tc>
          <w:tcPr>
            <w:tcW w:w="590" w:type="pct"/>
          </w:tcPr>
          <w:p w:rsidR="00000000" w:rsidRDefault="00000000">
            <w:pPr>
              <w:tabs>
                <w:tab w:val="clear" w:pos="567"/>
              </w:tabs>
              <w:ind w:right="116"/>
              <w:jc w:val="center"/>
            </w:pPr>
            <w:r>
              <w:t>1990</w:t>
            </w:r>
          </w:p>
        </w:tc>
        <w:tc>
          <w:tcPr>
            <w:tcW w:w="591" w:type="pct"/>
          </w:tcPr>
          <w:p w:rsidR="00000000" w:rsidRDefault="00000000">
            <w:pPr>
              <w:tabs>
                <w:tab w:val="clear" w:pos="567"/>
              </w:tabs>
              <w:ind w:right="116"/>
              <w:jc w:val="center"/>
            </w:pPr>
            <w:r>
              <w:t>1995</w:t>
            </w:r>
          </w:p>
        </w:tc>
        <w:tc>
          <w:tcPr>
            <w:tcW w:w="592" w:type="pct"/>
          </w:tcPr>
          <w:p w:rsidR="00000000" w:rsidRDefault="00000000">
            <w:pPr>
              <w:tabs>
                <w:tab w:val="clear" w:pos="567"/>
                <w:tab w:val="clear" w:pos="1134"/>
              </w:tabs>
              <w:ind w:right="120"/>
              <w:jc w:val="center"/>
            </w:pPr>
            <w:r>
              <w:t>2000</w:t>
            </w:r>
          </w:p>
        </w:tc>
        <w:tc>
          <w:tcPr>
            <w:tcW w:w="788" w:type="pct"/>
            <w:vMerge/>
          </w:tcPr>
          <w:p w:rsidR="00000000" w:rsidRDefault="00000000"/>
        </w:tc>
        <w:tc>
          <w:tcPr>
            <w:tcW w:w="727" w:type="pct"/>
            <w:vMerge/>
          </w:tcPr>
          <w:p w:rsidR="00000000" w:rsidRDefault="00000000"/>
        </w:tc>
      </w:tr>
      <w:tr w:rsidR="00000000">
        <w:tblPrEx>
          <w:tblCellMar>
            <w:top w:w="0" w:type="dxa"/>
            <w:bottom w:w="0" w:type="dxa"/>
          </w:tblCellMar>
        </w:tblPrEx>
        <w:tc>
          <w:tcPr>
            <w:tcW w:w="1711" w:type="pct"/>
          </w:tcPr>
          <w:p w:rsidR="00000000" w:rsidRDefault="00000000">
            <w:r>
              <w:t>Всего все домохозяйства</w:t>
            </w:r>
          </w:p>
        </w:tc>
        <w:tc>
          <w:tcPr>
            <w:tcW w:w="590" w:type="pct"/>
          </w:tcPr>
          <w:p w:rsidR="00000000" w:rsidRDefault="00000000">
            <w:pPr>
              <w:tabs>
                <w:tab w:val="clear" w:pos="567"/>
              </w:tabs>
              <w:ind w:right="116"/>
              <w:jc w:val="center"/>
            </w:pPr>
            <w:r>
              <w:t>18,4</w:t>
            </w:r>
          </w:p>
        </w:tc>
        <w:tc>
          <w:tcPr>
            <w:tcW w:w="591" w:type="pct"/>
          </w:tcPr>
          <w:p w:rsidR="00000000" w:rsidRDefault="00000000">
            <w:pPr>
              <w:tabs>
                <w:tab w:val="clear" w:pos="567"/>
              </w:tabs>
              <w:ind w:right="116"/>
              <w:jc w:val="center"/>
            </w:pPr>
            <w:r>
              <w:t>20,9</w:t>
            </w:r>
          </w:p>
        </w:tc>
        <w:tc>
          <w:tcPr>
            <w:tcW w:w="592" w:type="pct"/>
          </w:tcPr>
          <w:p w:rsidR="00000000" w:rsidRDefault="00000000">
            <w:pPr>
              <w:tabs>
                <w:tab w:val="clear" w:pos="567"/>
              </w:tabs>
              <w:ind w:right="120"/>
              <w:jc w:val="center"/>
            </w:pPr>
            <w:r>
              <w:t>24,8</w:t>
            </w:r>
          </w:p>
        </w:tc>
        <w:tc>
          <w:tcPr>
            <w:tcW w:w="788" w:type="pct"/>
          </w:tcPr>
          <w:p w:rsidR="00000000" w:rsidRDefault="00000000">
            <w:pPr>
              <w:jc w:val="center"/>
            </w:pPr>
            <w:r>
              <w:rPr>
                <w:lang w:val="en-GB"/>
              </w:rPr>
              <w:t>14</w:t>
            </w:r>
          </w:p>
        </w:tc>
        <w:tc>
          <w:tcPr>
            <w:tcW w:w="727" w:type="pct"/>
          </w:tcPr>
          <w:p w:rsidR="00000000" w:rsidRDefault="00000000">
            <w:pPr>
              <w:jc w:val="center"/>
              <w:rPr>
                <w:lang w:val="en-GB"/>
              </w:rPr>
            </w:pPr>
            <w:r>
              <w:rPr>
                <w:lang w:val="en-GB"/>
              </w:rPr>
              <w:t>19</w:t>
            </w:r>
          </w:p>
        </w:tc>
      </w:tr>
      <w:tr w:rsidR="00000000">
        <w:tblPrEx>
          <w:tblCellMar>
            <w:top w:w="0" w:type="dxa"/>
            <w:bottom w:w="0" w:type="dxa"/>
          </w:tblCellMar>
        </w:tblPrEx>
        <w:tc>
          <w:tcPr>
            <w:tcW w:w="1711" w:type="pct"/>
          </w:tcPr>
          <w:p w:rsidR="00000000" w:rsidRDefault="00000000">
            <w:r>
              <w:t>С детьми до 18 лет</w:t>
            </w:r>
          </w:p>
        </w:tc>
        <w:tc>
          <w:tcPr>
            <w:tcW w:w="590" w:type="pct"/>
          </w:tcPr>
          <w:p w:rsidR="00000000" w:rsidRDefault="00000000">
            <w:pPr>
              <w:tabs>
                <w:tab w:val="clear" w:pos="567"/>
              </w:tabs>
              <w:ind w:right="116"/>
              <w:jc w:val="center"/>
            </w:pPr>
            <w:r>
              <w:t>21,7</w:t>
            </w:r>
          </w:p>
        </w:tc>
        <w:tc>
          <w:tcPr>
            <w:tcW w:w="591" w:type="pct"/>
          </w:tcPr>
          <w:p w:rsidR="00000000" w:rsidRDefault="00000000">
            <w:pPr>
              <w:tabs>
                <w:tab w:val="clear" w:pos="567"/>
              </w:tabs>
              <w:ind w:right="116"/>
              <w:jc w:val="center"/>
            </w:pPr>
            <w:r>
              <w:t>25,0</w:t>
            </w:r>
          </w:p>
        </w:tc>
        <w:tc>
          <w:tcPr>
            <w:tcW w:w="592" w:type="pct"/>
          </w:tcPr>
          <w:p w:rsidR="00000000" w:rsidRDefault="00000000">
            <w:pPr>
              <w:tabs>
                <w:tab w:val="clear" w:pos="567"/>
              </w:tabs>
              <w:ind w:right="120"/>
              <w:jc w:val="center"/>
            </w:pPr>
            <w:r>
              <w:t>29,9</w:t>
            </w:r>
          </w:p>
        </w:tc>
        <w:tc>
          <w:tcPr>
            <w:tcW w:w="788" w:type="pct"/>
          </w:tcPr>
          <w:p w:rsidR="00000000" w:rsidRDefault="00000000">
            <w:pPr>
              <w:jc w:val="center"/>
              <w:rPr>
                <w:lang w:val="en-GB"/>
              </w:rPr>
            </w:pPr>
            <w:r>
              <w:rPr>
                <w:lang w:val="en-GB"/>
              </w:rPr>
              <w:t>15</w:t>
            </w:r>
          </w:p>
        </w:tc>
        <w:tc>
          <w:tcPr>
            <w:tcW w:w="727" w:type="pct"/>
          </w:tcPr>
          <w:p w:rsidR="00000000" w:rsidRDefault="00000000">
            <w:pPr>
              <w:jc w:val="center"/>
              <w:rPr>
                <w:lang w:val="en-GB"/>
              </w:rPr>
            </w:pPr>
            <w:r>
              <w:rPr>
                <w:lang w:val="en-GB"/>
              </w:rPr>
              <w:t>20</w:t>
            </w:r>
          </w:p>
        </w:tc>
      </w:tr>
      <w:tr w:rsidR="00000000">
        <w:tblPrEx>
          <w:tblCellMar>
            <w:top w:w="0" w:type="dxa"/>
            <w:bottom w:w="0" w:type="dxa"/>
          </w:tblCellMar>
        </w:tblPrEx>
        <w:tc>
          <w:tcPr>
            <w:tcW w:w="1711" w:type="pct"/>
          </w:tcPr>
          <w:p w:rsidR="00000000" w:rsidRDefault="00000000">
            <w:pPr>
              <w:rPr>
                <w:lang w:val="en-GB"/>
              </w:rPr>
            </w:pPr>
            <w:r>
              <w:t>Нижние</w:t>
            </w:r>
            <w:r>
              <w:rPr>
                <w:lang w:val="en-GB"/>
              </w:rPr>
              <w:t xml:space="preserve"> 25% </w:t>
            </w:r>
            <w:r>
              <w:t>домохозяйств</w:t>
            </w:r>
          </w:p>
        </w:tc>
        <w:tc>
          <w:tcPr>
            <w:tcW w:w="590" w:type="pct"/>
          </w:tcPr>
          <w:p w:rsidR="00000000" w:rsidRDefault="00000000">
            <w:pPr>
              <w:tabs>
                <w:tab w:val="clear" w:pos="567"/>
              </w:tabs>
              <w:ind w:right="116"/>
              <w:jc w:val="center"/>
              <w:rPr>
                <w:lang w:val="en-GB"/>
              </w:rPr>
            </w:pPr>
            <w:r>
              <w:rPr>
                <w:lang w:val="en-GB"/>
              </w:rPr>
              <w:t>10,6</w:t>
            </w:r>
          </w:p>
        </w:tc>
        <w:tc>
          <w:tcPr>
            <w:tcW w:w="591" w:type="pct"/>
          </w:tcPr>
          <w:p w:rsidR="00000000" w:rsidRDefault="00000000">
            <w:pPr>
              <w:tabs>
                <w:tab w:val="clear" w:pos="567"/>
              </w:tabs>
              <w:ind w:right="116"/>
              <w:jc w:val="center"/>
              <w:rPr>
                <w:lang w:val="en-GB"/>
              </w:rPr>
            </w:pPr>
            <w:r>
              <w:rPr>
                <w:lang w:val="en-GB"/>
              </w:rPr>
              <w:t>12,0</w:t>
            </w:r>
          </w:p>
        </w:tc>
        <w:tc>
          <w:tcPr>
            <w:tcW w:w="592" w:type="pct"/>
          </w:tcPr>
          <w:p w:rsidR="00000000" w:rsidRDefault="00000000">
            <w:pPr>
              <w:tabs>
                <w:tab w:val="clear" w:pos="567"/>
              </w:tabs>
              <w:ind w:right="120"/>
              <w:jc w:val="center"/>
              <w:rPr>
                <w:lang w:val="en-GB"/>
              </w:rPr>
            </w:pPr>
            <w:r>
              <w:rPr>
                <w:lang w:val="en-GB"/>
              </w:rPr>
              <w:t>14,3</w:t>
            </w:r>
          </w:p>
        </w:tc>
        <w:tc>
          <w:tcPr>
            <w:tcW w:w="788" w:type="pct"/>
          </w:tcPr>
          <w:p w:rsidR="00000000" w:rsidRDefault="00000000">
            <w:pPr>
              <w:jc w:val="center"/>
              <w:rPr>
                <w:lang w:val="en-GB"/>
              </w:rPr>
            </w:pPr>
            <w:r>
              <w:rPr>
                <w:lang w:val="en-GB"/>
              </w:rPr>
              <w:t>13</w:t>
            </w:r>
          </w:p>
        </w:tc>
        <w:tc>
          <w:tcPr>
            <w:tcW w:w="727" w:type="pct"/>
          </w:tcPr>
          <w:p w:rsidR="00000000" w:rsidRDefault="00000000">
            <w:pPr>
              <w:jc w:val="center"/>
              <w:rPr>
                <w:lang w:val="en-GB"/>
              </w:rPr>
            </w:pPr>
            <w:r>
              <w:rPr>
                <w:lang w:val="en-GB"/>
              </w:rPr>
              <w:t>19</w:t>
            </w:r>
          </w:p>
        </w:tc>
      </w:tr>
      <w:tr w:rsidR="00000000">
        <w:tblPrEx>
          <w:tblCellMar>
            <w:top w:w="0" w:type="dxa"/>
            <w:bottom w:w="0" w:type="dxa"/>
          </w:tblCellMar>
        </w:tblPrEx>
        <w:tc>
          <w:tcPr>
            <w:tcW w:w="1711" w:type="pct"/>
          </w:tcPr>
          <w:p w:rsidR="00000000" w:rsidRDefault="00000000">
            <w:r>
              <w:t>Верхние 25% домохозяйств</w:t>
            </w:r>
          </w:p>
        </w:tc>
        <w:tc>
          <w:tcPr>
            <w:tcW w:w="590" w:type="pct"/>
          </w:tcPr>
          <w:p w:rsidR="00000000" w:rsidRDefault="00000000">
            <w:pPr>
              <w:tabs>
                <w:tab w:val="clear" w:pos="567"/>
              </w:tabs>
              <w:ind w:right="116"/>
              <w:jc w:val="right"/>
            </w:pPr>
            <w:r>
              <w:t>33,3</w:t>
            </w:r>
          </w:p>
        </w:tc>
        <w:tc>
          <w:tcPr>
            <w:tcW w:w="591" w:type="pct"/>
          </w:tcPr>
          <w:p w:rsidR="00000000" w:rsidRDefault="00000000">
            <w:pPr>
              <w:tabs>
                <w:tab w:val="clear" w:pos="567"/>
              </w:tabs>
              <w:ind w:right="116"/>
              <w:jc w:val="right"/>
            </w:pPr>
            <w:r>
              <w:t>37,4</w:t>
            </w:r>
          </w:p>
        </w:tc>
        <w:tc>
          <w:tcPr>
            <w:tcW w:w="592" w:type="pct"/>
          </w:tcPr>
          <w:p w:rsidR="00000000" w:rsidRDefault="00000000">
            <w:pPr>
              <w:tabs>
                <w:tab w:val="clear" w:pos="567"/>
              </w:tabs>
              <w:ind w:right="120"/>
              <w:jc w:val="right"/>
            </w:pPr>
            <w:r>
              <w:t>44,8</w:t>
            </w:r>
          </w:p>
        </w:tc>
        <w:tc>
          <w:tcPr>
            <w:tcW w:w="788" w:type="pct"/>
          </w:tcPr>
          <w:p w:rsidR="00000000" w:rsidRDefault="00000000">
            <w:pPr>
              <w:jc w:val="center"/>
            </w:pPr>
            <w:r>
              <w:t>12</w:t>
            </w:r>
          </w:p>
        </w:tc>
        <w:tc>
          <w:tcPr>
            <w:tcW w:w="727" w:type="pct"/>
          </w:tcPr>
          <w:p w:rsidR="00000000" w:rsidRDefault="00000000">
            <w:pPr>
              <w:jc w:val="center"/>
            </w:pPr>
            <w:r>
              <w:t>20</w:t>
            </w:r>
          </w:p>
        </w:tc>
      </w:tr>
      <w:tr w:rsidR="00000000">
        <w:tblPrEx>
          <w:tblCellMar>
            <w:top w:w="0" w:type="dxa"/>
            <w:bottom w:w="0" w:type="dxa"/>
          </w:tblCellMar>
        </w:tblPrEx>
        <w:tc>
          <w:tcPr>
            <w:tcW w:w="1711" w:type="pct"/>
          </w:tcPr>
          <w:p w:rsidR="00000000" w:rsidRDefault="00000000">
            <w:r>
              <w:t xml:space="preserve">   В возрасте до 25 лет</w:t>
            </w:r>
          </w:p>
        </w:tc>
        <w:tc>
          <w:tcPr>
            <w:tcW w:w="590" w:type="pct"/>
          </w:tcPr>
          <w:p w:rsidR="00000000" w:rsidRDefault="00000000">
            <w:pPr>
              <w:tabs>
                <w:tab w:val="clear" w:pos="567"/>
              </w:tabs>
              <w:ind w:right="116"/>
              <w:jc w:val="right"/>
            </w:pPr>
            <w:r>
              <w:t>7,8</w:t>
            </w:r>
          </w:p>
        </w:tc>
        <w:tc>
          <w:tcPr>
            <w:tcW w:w="591" w:type="pct"/>
          </w:tcPr>
          <w:p w:rsidR="00000000" w:rsidRDefault="00000000">
            <w:pPr>
              <w:tabs>
                <w:tab w:val="clear" w:pos="567"/>
              </w:tabs>
              <w:ind w:right="116"/>
              <w:jc w:val="right"/>
            </w:pPr>
            <w:r>
              <w:t>8,5</w:t>
            </w:r>
          </w:p>
        </w:tc>
        <w:tc>
          <w:tcPr>
            <w:tcW w:w="592" w:type="pct"/>
          </w:tcPr>
          <w:p w:rsidR="00000000" w:rsidRDefault="00000000">
            <w:pPr>
              <w:tabs>
                <w:tab w:val="clear" w:pos="567"/>
              </w:tabs>
              <w:ind w:right="120"/>
              <w:jc w:val="right"/>
            </w:pPr>
            <w:r>
              <w:t>10,3</w:t>
            </w:r>
          </w:p>
        </w:tc>
        <w:tc>
          <w:tcPr>
            <w:tcW w:w="788" w:type="pct"/>
          </w:tcPr>
          <w:p w:rsidR="00000000" w:rsidRDefault="00000000">
            <w:pPr>
              <w:jc w:val="center"/>
            </w:pPr>
            <w:r>
              <w:t>9</w:t>
            </w:r>
          </w:p>
        </w:tc>
        <w:tc>
          <w:tcPr>
            <w:tcW w:w="727" w:type="pct"/>
          </w:tcPr>
          <w:p w:rsidR="00000000" w:rsidRDefault="00000000">
            <w:pPr>
              <w:jc w:val="center"/>
            </w:pPr>
            <w:r>
              <w:t>21</w:t>
            </w:r>
          </w:p>
        </w:tc>
      </w:tr>
      <w:tr w:rsidR="00000000">
        <w:tblPrEx>
          <w:tblCellMar>
            <w:top w:w="0" w:type="dxa"/>
            <w:bottom w:w="0" w:type="dxa"/>
          </w:tblCellMar>
        </w:tblPrEx>
        <w:tc>
          <w:tcPr>
            <w:tcW w:w="1711" w:type="pct"/>
          </w:tcPr>
          <w:p w:rsidR="00000000" w:rsidRDefault="00000000">
            <w:r>
              <w:t xml:space="preserve">   В возрасте старше 65 лет</w:t>
            </w:r>
          </w:p>
        </w:tc>
        <w:tc>
          <w:tcPr>
            <w:tcW w:w="590" w:type="pct"/>
          </w:tcPr>
          <w:p w:rsidR="00000000" w:rsidRDefault="00000000">
            <w:pPr>
              <w:tabs>
                <w:tab w:val="clear" w:pos="567"/>
              </w:tabs>
              <w:ind w:right="116"/>
              <w:jc w:val="right"/>
            </w:pPr>
            <w:r>
              <w:t>14,7</w:t>
            </w:r>
          </w:p>
        </w:tc>
        <w:tc>
          <w:tcPr>
            <w:tcW w:w="591" w:type="pct"/>
          </w:tcPr>
          <w:p w:rsidR="00000000" w:rsidRDefault="00000000">
            <w:pPr>
              <w:tabs>
                <w:tab w:val="clear" w:pos="567"/>
              </w:tabs>
              <w:ind w:right="116"/>
              <w:jc w:val="right"/>
            </w:pPr>
            <w:r>
              <w:t>16,7</w:t>
            </w:r>
          </w:p>
        </w:tc>
        <w:tc>
          <w:tcPr>
            <w:tcW w:w="592" w:type="pct"/>
          </w:tcPr>
          <w:p w:rsidR="00000000" w:rsidRDefault="00000000">
            <w:pPr>
              <w:tabs>
                <w:tab w:val="clear" w:pos="567"/>
              </w:tabs>
              <w:ind w:right="120"/>
              <w:jc w:val="right"/>
            </w:pPr>
            <w:r>
              <w:t>20,1</w:t>
            </w:r>
          </w:p>
        </w:tc>
        <w:tc>
          <w:tcPr>
            <w:tcW w:w="788" w:type="pct"/>
          </w:tcPr>
          <w:p w:rsidR="00000000" w:rsidRDefault="00000000">
            <w:pPr>
              <w:jc w:val="center"/>
              <w:rPr>
                <w:lang w:val="en-GB"/>
              </w:rPr>
            </w:pPr>
            <w:r>
              <w:rPr>
                <w:lang w:val="en-GB"/>
              </w:rPr>
              <w:t>14</w:t>
            </w:r>
          </w:p>
        </w:tc>
        <w:tc>
          <w:tcPr>
            <w:tcW w:w="727" w:type="pct"/>
          </w:tcPr>
          <w:p w:rsidR="00000000" w:rsidRDefault="00000000">
            <w:pPr>
              <w:jc w:val="center"/>
              <w:rPr>
                <w:lang w:val="en-GB"/>
              </w:rPr>
            </w:pPr>
            <w:r>
              <w:rPr>
                <w:lang w:val="en-GB"/>
              </w:rPr>
              <w:t>20</w:t>
            </w:r>
          </w:p>
        </w:tc>
      </w:tr>
      <w:tr w:rsidR="00000000">
        <w:tblPrEx>
          <w:tblCellMar>
            <w:top w:w="0" w:type="dxa"/>
            <w:bottom w:w="0" w:type="dxa"/>
          </w:tblCellMar>
        </w:tblPrEx>
        <w:tc>
          <w:tcPr>
            <w:tcW w:w="1711" w:type="pct"/>
          </w:tcPr>
          <w:p w:rsidR="00000000" w:rsidRDefault="00000000">
            <w:r>
              <w:t>Занятые</w:t>
            </w:r>
          </w:p>
        </w:tc>
        <w:tc>
          <w:tcPr>
            <w:tcW w:w="590" w:type="pct"/>
          </w:tcPr>
          <w:p w:rsidR="00000000" w:rsidRDefault="00000000">
            <w:pPr>
              <w:tabs>
                <w:tab w:val="clear" w:pos="567"/>
              </w:tabs>
              <w:ind w:right="116"/>
              <w:jc w:val="right"/>
              <w:rPr>
                <w:lang w:val="en-GB"/>
              </w:rPr>
            </w:pPr>
            <w:r>
              <w:rPr>
                <w:lang w:val="en-GB"/>
              </w:rPr>
              <w:t>21,1</w:t>
            </w:r>
          </w:p>
        </w:tc>
        <w:tc>
          <w:tcPr>
            <w:tcW w:w="591" w:type="pct"/>
          </w:tcPr>
          <w:p w:rsidR="00000000" w:rsidRDefault="00000000">
            <w:pPr>
              <w:tabs>
                <w:tab w:val="clear" w:pos="567"/>
              </w:tabs>
              <w:ind w:right="116"/>
              <w:jc w:val="right"/>
              <w:rPr>
                <w:lang w:val="en-GB"/>
              </w:rPr>
            </w:pPr>
            <w:r>
              <w:rPr>
                <w:lang w:val="en-GB"/>
              </w:rPr>
              <w:t>24,3</w:t>
            </w:r>
          </w:p>
        </w:tc>
        <w:tc>
          <w:tcPr>
            <w:tcW w:w="592" w:type="pct"/>
          </w:tcPr>
          <w:p w:rsidR="00000000" w:rsidRDefault="00000000">
            <w:pPr>
              <w:tabs>
                <w:tab w:val="clear" w:pos="567"/>
              </w:tabs>
              <w:ind w:right="120"/>
              <w:jc w:val="right"/>
              <w:rPr>
                <w:lang w:val="en-GB"/>
              </w:rPr>
            </w:pPr>
            <w:r>
              <w:rPr>
                <w:lang w:val="en-GB"/>
              </w:rPr>
              <w:t>27,9</w:t>
            </w:r>
          </w:p>
        </w:tc>
        <w:tc>
          <w:tcPr>
            <w:tcW w:w="788" w:type="pct"/>
          </w:tcPr>
          <w:p w:rsidR="00000000" w:rsidRDefault="00000000">
            <w:pPr>
              <w:jc w:val="center"/>
              <w:rPr>
                <w:lang w:val="en-GB"/>
              </w:rPr>
            </w:pPr>
            <w:r>
              <w:rPr>
                <w:lang w:val="en-GB"/>
              </w:rPr>
              <w:t>15</w:t>
            </w:r>
          </w:p>
        </w:tc>
        <w:tc>
          <w:tcPr>
            <w:tcW w:w="727" w:type="pct"/>
          </w:tcPr>
          <w:p w:rsidR="00000000" w:rsidRDefault="00000000">
            <w:pPr>
              <w:jc w:val="center"/>
              <w:rPr>
                <w:lang w:val="en-GB"/>
              </w:rPr>
            </w:pPr>
            <w:r>
              <w:rPr>
                <w:lang w:val="en-GB"/>
              </w:rPr>
              <w:t>15</w:t>
            </w:r>
          </w:p>
        </w:tc>
      </w:tr>
      <w:tr w:rsidR="00000000">
        <w:tblPrEx>
          <w:tblCellMar>
            <w:top w:w="0" w:type="dxa"/>
            <w:bottom w:w="0" w:type="dxa"/>
          </w:tblCellMar>
        </w:tblPrEx>
        <w:tc>
          <w:tcPr>
            <w:tcW w:w="1711" w:type="pct"/>
          </w:tcPr>
          <w:p w:rsidR="00000000" w:rsidRDefault="00000000">
            <w:r>
              <w:t>Безработные, инвалиды</w:t>
            </w:r>
          </w:p>
        </w:tc>
        <w:tc>
          <w:tcPr>
            <w:tcW w:w="590" w:type="pct"/>
          </w:tcPr>
          <w:p w:rsidR="00000000" w:rsidRDefault="00000000">
            <w:pPr>
              <w:tabs>
                <w:tab w:val="clear" w:pos="567"/>
              </w:tabs>
              <w:ind w:right="116"/>
              <w:jc w:val="right"/>
            </w:pPr>
            <w:r>
              <w:t>9,9</w:t>
            </w:r>
          </w:p>
        </w:tc>
        <w:tc>
          <w:tcPr>
            <w:tcW w:w="591" w:type="pct"/>
          </w:tcPr>
          <w:p w:rsidR="00000000" w:rsidRDefault="00000000">
            <w:pPr>
              <w:tabs>
                <w:tab w:val="clear" w:pos="567"/>
              </w:tabs>
              <w:ind w:right="116"/>
              <w:jc w:val="right"/>
            </w:pPr>
            <w:r>
              <w:t>11,5</w:t>
            </w:r>
          </w:p>
        </w:tc>
        <w:tc>
          <w:tcPr>
            <w:tcW w:w="592" w:type="pct"/>
          </w:tcPr>
          <w:p w:rsidR="00000000" w:rsidRDefault="00000000">
            <w:pPr>
              <w:tabs>
                <w:tab w:val="clear" w:pos="567"/>
              </w:tabs>
              <w:ind w:right="120"/>
              <w:jc w:val="right"/>
            </w:pPr>
            <w:r>
              <w:t>13,5</w:t>
            </w:r>
          </w:p>
        </w:tc>
        <w:tc>
          <w:tcPr>
            <w:tcW w:w="788" w:type="pct"/>
          </w:tcPr>
          <w:p w:rsidR="00000000" w:rsidRDefault="00000000">
            <w:pPr>
              <w:jc w:val="center"/>
            </w:pPr>
            <w:r>
              <w:t>16</w:t>
            </w:r>
          </w:p>
        </w:tc>
        <w:tc>
          <w:tcPr>
            <w:tcW w:w="727" w:type="pct"/>
          </w:tcPr>
          <w:p w:rsidR="00000000" w:rsidRDefault="00000000">
            <w:pPr>
              <w:jc w:val="center"/>
            </w:pPr>
            <w:r>
              <w:t>17</w:t>
            </w:r>
          </w:p>
        </w:tc>
      </w:tr>
      <w:tr w:rsidR="00000000">
        <w:tblPrEx>
          <w:tblCellMar>
            <w:top w:w="0" w:type="dxa"/>
            <w:bottom w:w="0" w:type="dxa"/>
          </w:tblCellMar>
        </w:tblPrEx>
        <w:tc>
          <w:tcPr>
            <w:tcW w:w="1711" w:type="pct"/>
          </w:tcPr>
          <w:p w:rsidR="00000000" w:rsidRDefault="00000000">
            <w:r>
              <w:t>Темпы инфляции</w:t>
            </w:r>
          </w:p>
        </w:tc>
        <w:tc>
          <w:tcPr>
            <w:tcW w:w="590" w:type="pct"/>
          </w:tcPr>
          <w:p w:rsidR="00000000" w:rsidRDefault="00000000">
            <w:pPr>
              <w:tabs>
                <w:tab w:val="clear" w:pos="567"/>
              </w:tabs>
              <w:ind w:right="116"/>
              <w:jc w:val="right"/>
            </w:pPr>
          </w:p>
        </w:tc>
        <w:tc>
          <w:tcPr>
            <w:tcW w:w="591" w:type="pct"/>
          </w:tcPr>
          <w:p w:rsidR="00000000" w:rsidRDefault="00000000">
            <w:pPr>
              <w:tabs>
                <w:tab w:val="clear" w:pos="567"/>
              </w:tabs>
              <w:ind w:right="116"/>
              <w:jc w:val="right"/>
            </w:pPr>
          </w:p>
        </w:tc>
        <w:tc>
          <w:tcPr>
            <w:tcW w:w="592" w:type="pct"/>
          </w:tcPr>
          <w:p w:rsidR="00000000" w:rsidRDefault="00000000">
            <w:pPr>
              <w:tabs>
                <w:tab w:val="clear" w:pos="567"/>
              </w:tabs>
              <w:ind w:right="120"/>
              <w:jc w:val="right"/>
            </w:pPr>
          </w:p>
        </w:tc>
        <w:tc>
          <w:tcPr>
            <w:tcW w:w="788" w:type="pct"/>
          </w:tcPr>
          <w:p w:rsidR="00000000" w:rsidRDefault="00000000">
            <w:pPr>
              <w:jc w:val="center"/>
            </w:pPr>
            <w:r>
              <w:t>14</w:t>
            </w:r>
          </w:p>
        </w:tc>
        <w:tc>
          <w:tcPr>
            <w:tcW w:w="727" w:type="pct"/>
          </w:tcPr>
          <w:p w:rsidR="00000000" w:rsidRDefault="00000000">
            <w:pPr>
              <w:jc w:val="center"/>
            </w:pPr>
            <w:r>
              <w:t>12</w:t>
            </w:r>
          </w:p>
        </w:tc>
      </w:tr>
    </w:tbl>
    <w:p w:rsidR="00000000" w:rsidRDefault="00000000"/>
    <w:p w:rsidR="00000000" w:rsidRDefault="00000000">
      <w:pPr>
        <w:jc w:val="center"/>
        <w:rPr>
          <w:b/>
          <w:bCs/>
        </w:rPr>
      </w:pPr>
      <w:r>
        <w:rPr>
          <w:b/>
          <w:bCs/>
        </w:rPr>
        <w:t>3.6.1.2    Экономическое положение (основные статистические</w:t>
      </w:r>
    </w:p>
    <w:p w:rsidR="00000000" w:rsidRDefault="00000000">
      <w:pPr>
        <w:jc w:val="center"/>
        <w:rPr>
          <w:b/>
          <w:bCs/>
        </w:rPr>
      </w:pPr>
      <w:r>
        <w:rPr>
          <w:b/>
          <w:bCs/>
        </w:rPr>
        <w:t>данные и показатели)</w:t>
      </w:r>
    </w:p>
    <w:p w:rsidR="00000000" w:rsidRDefault="00000000">
      <w:pPr>
        <w:jc w:val="center"/>
        <w:rPr>
          <w:b/>
          <w:bCs/>
        </w:rPr>
      </w:pPr>
    </w:p>
    <w:p w:rsidR="00000000" w:rsidRDefault="00000000">
      <w:r>
        <w:t>329.</w:t>
      </w:r>
      <w:r>
        <w:tab/>
        <w:t>Нидерланды имеют всеобъемлющую систему социальных пособий, гарантирующую гражданам страны надлежащий минимальный доход.  Размер этих пособий рассчитывается на основе официально установленного уровня минимальной заработной платы.  Изменения общего официально установленного уровня минимального оклада в свою очередь зависят от динамики ставок заработной платы.  Предусмотрены дополнительные выплаты для покрытия особых расходов на жилье и детей.  Муниципалитеты могут оказывать специальную помощь в покрытии расходов, которые не охватываются другими программами.</w:t>
      </w:r>
    </w:p>
    <w:p w:rsidR="00000000" w:rsidRDefault="00000000"/>
    <w:p w:rsidR="00000000" w:rsidRDefault="00000000">
      <w:r>
        <w:t>330.</w:t>
      </w:r>
      <w:r>
        <w:tab/>
        <w:t>Чистый минимальный размер пособий варьируется в зависимости от типа домашнего хозяйства.  В 2000 году он составлял порядка 5 900 </w:t>
      </w:r>
      <w:proofErr w:type="spellStart"/>
      <w:r>
        <w:t>евро</w:t>
      </w:r>
      <w:proofErr w:type="spellEnd"/>
      <w:r>
        <w:t xml:space="preserve"> для одиноких лиц, 8 300 </w:t>
      </w:r>
      <w:proofErr w:type="spellStart"/>
      <w:r>
        <w:t>евро</w:t>
      </w:r>
      <w:proofErr w:type="spellEnd"/>
      <w:r>
        <w:t xml:space="preserve"> для родителей-одиночек и 11 900 </w:t>
      </w:r>
      <w:proofErr w:type="spellStart"/>
      <w:r>
        <w:t>евро</w:t>
      </w:r>
      <w:proofErr w:type="spellEnd"/>
      <w:r>
        <w:t xml:space="preserve"> для семейных пар.  Эти цифры не включают дополнительные пособия, которые могут составлять еще 30-35% чистого размера пособий.  С 1995 по 2000 год доля всех домашних хозяйств с минимальным уровнем дохода сократилась с 8,5% до 7,7%.  Это было обусловлено в основном ростом уровня занятости.</w:t>
      </w:r>
    </w:p>
    <w:p w:rsidR="00000000" w:rsidRDefault="00000000"/>
    <w:p w:rsidR="00000000" w:rsidRDefault="00000000">
      <w:pPr>
        <w:jc w:val="center"/>
        <w:rPr>
          <w:b/>
          <w:bCs/>
        </w:rPr>
      </w:pPr>
      <w:r>
        <w:rPr>
          <w:b/>
          <w:bCs/>
        </w:rPr>
        <w:t>3.6.2    Право на питание</w:t>
      </w:r>
    </w:p>
    <w:p w:rsidR="00000000" w:rsidRDefault="00000000">
      <w:pPr>
        <w:jc w:val="center"/>
        <w:rPr>
          <w:b/>
          <w:bCs/>
        </w:rPr>
      </w:pPr>
    </w:p>
    <w:p w:rsidR="00000000" w:rsidRDefault="00000000">
      <w:pPr>
        <w:jc w:val="center"/>
        <w:rPr>
          <w:b/>
          <w:bCs/>
        </w:rPr>
      </w:pPr>
      <w:r>
        <w:rPr>
          <w:b/>
          <w:bCs/>
        </w:rPr>
        <w:t>3.6.2.1    Осуществление этого права</w:t>
      </w:r>
    </w:p>
    <w:p w:rsidR="00000000" w:rsidRDefault="00000000">
      <w:pPr>
        <w:jc w:val="center"/>
        <w:rPr>
          <w:b/>
          <w:bCs/>
        </w:rPr>
      </w:pPr>
    </w:p>
    <w:p w:rsidR="00000000" w:rsidRDefault="00000000">
      <w:r>
        <w:t>331.</w:t>
      </w:r>
      <w:r>
        <w:tab/>
        <w:t>Нидерланды являются нетто-экспортером продовольствия и пищевых продуктов, поэтому объем продовольствия, имеющегося в Нидерландах, намного превышает внутренний спрос.  Импорт продовольствия, как правило, обусловлен нехваткой конкретных пищевых продуктов, связанной с климатическими условиями или носящей сезонный характер.  Определенную роль могут играть также ценовые соображения.</w:t>
      </w:r>
    </w:p>
    <w:p w:rsidR="00000000" w:rsidRDefault="00000000"/>
    <w:p w:rsidR="00000000" w:rsidRDefault="00000000">
      <w:pPr>
        <w:jc w:val="center"/>
        <w:rPr>
          <w:b/>
          <w:bCs/>
        </w:rPr>
      </w:pPr>
      <w:r>
        <w:rPr>
          <w:b/>
          <w:bCs/>
        </w:rPr>
        <w:t>3.6.2.2    Государственная политика в области производства</w:t>
      </w:r>
    </w:p>
    <w:p w:rsidR="00000000" w:rsidRDefault="00000000">
      <w:pPr>
        <w:jc w:val="center"/>
        <w:rPr>
          <w:b/>
          <w:bCs/>
        </w:rPr>
      </w:pPr>
      <w:r>
        <w:rPr>
          <w:b/>
          <w:bCs/>
        </w:rPr>
        <w:t>продуктов питания</w:t>
      </w:r>
    </w:p>
    <w:p w:rsidR="00000000" w:rsidRDefault="00000000">
      <w:pPr>
        <w:jc w:val="center"/>
        <w:rPr>
          <w:b/>
          <w:bCs/>
        </w:rPr>
      </w:pPr>
    </w:p>
    <w:p w:rsidR="00000000" w:rsidRDefault="00000000">
      <w:r>
        <w:t>332.</w:t>
      </w:r>
      <w:r>
        <w:tab/>
        <w:t>Ввиду обилия продовольственных товаров, предлагаемых на внутреннем рынке, деятельность государства сосредоточена главным образом на вопросах безопасности и качества имеющихся пищевых продуктов и на последствиях их производства для окружающей среды и для структуры потребления.  Действия государства все больше определяются стратегиями Европейского союза и соответствующими законодательными актами.</w:t>
      </w:r>
    </w:p>
    <w:p w:rsidR="00000000" w:rsidRDefault="00000000"/>
    <w:p w:rsidR="00000000" w:rsidRDefault="00000000">
      <w:r>
        <w:t>333.</w:t>
      </w:r>
      <w:r>
        <w:tab/>
        <w:t>Крупным событием в области обеспечения продовольственной безопасности явилось принятие Регламента общего продовольственного законодательства ЕС, в котором содержатся важные положения по таким вопросам, как прослеживаемость происхождения пищевых продуктов.  Ответственность за обеспечение соблюдения норм продовольственной безопасности в Нидерландах лежит на Администрации по безопасности продовольственных и потребительских товаров (</w:t>
      </w:r>
      <w:r>
        <w:rPr>
          <w:lang w:val="en-US"/>
        </w:rPr>
        <w:t>VWA</w:t>
      </w:r>
      <w:r>
        <w:t>).</w:t>
      </w:r>
    </w:p>
    <w:p w:rsidR="00000000" w:rsidRDefault="00000000"/>
    <w:p w:rsidR="00000000" w:rsidRDefault="00000000">
      <w:r>
        <w:t>334.</w:t>
      </w:r>
      <w:r>
        <w:tab/>
        <w:t>В вопросах качества пищевых продуктов все большее значение придается ответственности самой пищевой промышленности за обеспечение качества своей продукции.  Юридические ограничения в отношении характеристик пищевых продуктов, помимо основных требований, предъявляемых к качеству, сокращаются.  Здесь также имеются признаки растущего влияния законодательства ЕС в таких аспектах, как "органическое" земледелие, географические показатели, обозначение происхождения и гарантии качества традиционных местных продуктов.</w:t>
      </w:r>
    </w:p>
    <w:p w:rsidR="00000000" w:rsidRDefault="00000000"/>
    <w:p w:rsidR="00000000" w:rsidRDefault="00000000">
      <w:r>
        <w:t>335.</w:t>
      </w:r>
      <w:r>
        <w:tab/>
        <w:t>Несмотря на наличие признаков растущего интереса к таким европейским механизмам контроля качества пищевых продуктов, эти механизмы не находят широкого применения в Нидерландах.  Голландское сельское хозяйство традиционно сконцентрировано на производстве не каких-то определенных местных пищевых продуктов, а больших количеств однородных высококачественных продовольственных товаров.  В любом случае, экстенсивные формы ведения сельского хозяйства довольно трудно практиковать в такой густонаселенной стране, как Нидерланды.</w:t>
      </w:r>
    </w:p>
    <w:p w:rsidR="00000000" w:rsidRDefault="00000000"/>
    <w:p w:rsidR="00000000" w:rsidRDefault="00000000">
      <w:r>
        <w:t>336.</w:t>
      </w:r>
      <w:r>
        <w:tab/>
        <w:t>К сельскому хозяйству в Нидерландах применяются все более строгие меры контроля, направленные на обеспечение охраны окружающей среды, условий труда, условий содержания животных и продовольственной безопасности.  Эти меры также в основном связаны с требованиями ЕС.  Особо серьезное влияние на методы ведения сельского хозяйства оказали правила применения минеральных удобрений и пестицидов.</w:t>
      </w:r>
    </w:p>
    <w:p w:rsidR="00000000" w:rsidRDefault="00000000"/>
    <w:p w:rsidR="00000000" w:rsidRDefault="00000000">
      <w:r>
        <w:t>337.</w:t>
      </w:r>
      <w:r>
        <w:tab/>
        <w:t>Наряду с этим расширяются усилия по взаимной интеграции сельскохозяйственной деятельности и мер охраны окружающей среды.  Цель состоит в изменении методов ведения сельского хозяйства таким образом, чтобы они были не только продуктивными, но и служили таким целям охраны окружающей среды, как защита определенных видов растений и животных, находящихся под угрозой исчезновения, рациональные методы управления водными ресурсами и землепользования и т.д.  Если это сопряжено с дополнительными издержками для фермерских хозяйств, то при определенных условиях им может выплачиваться соответствующая компенсация.</w:t>
      </w:r>
    </w:p>
    <w:p w:rsidR="00000000" w:rsidRDefault="00000000"/>
    <w:p w:rsidR="00000000" w:rsidRDefault="00000000">
      <w:r>
        <w:t>338.</w:t>
      </w:r>
      <w:r>
        <w:tab/>
        <w:t>Стратегии в области выращивания генетически измененных культур осуществляются с особой осторожностью.  Поощряются исследования и разработки новых разновидностей, но введение генетически измененных разновидностей в окружающую среду подлежит строгим мерам лицензионного контроля.  Что касается продажи генетически измененных пищевых продуктов, то политика в этой области нацелена на то, чтобы дать потребителям максимально возможную свободу выбора.  Это достигается посредством проведения широких информационных кампаний и соответствующей маркировки товара.</w:t>
      </w:r>
    </w:p>
    <w:p w:rsidR="00000000" w:rsidRDefault="00000000"/>
    <w:p w:rsidR="00000000" w:rsidRDefault="00000000">
      <w:pPr>
        <w:jc w:val="center"/>
        <w:rPr>
          <w:b/>
          <w:bCs/>
        </w:rPr>
      </w:pPr>
      <w:r>
        <w:rPr>
          <w:b/>
          <w:bCs/>
        </w:rPr>
        <w:t>3.6.2.3    Информация о питании</w:t>
      </w:r>
    </w:p>
    <w:p w:rsidR="00000000" w:rsidRDefault="00000000">
      <w:pPr>
        <w:jc w:val="center"/>
        <w:rPr>
          <w:b/>
          <w:bCs/>
        </w:rPr>
      </w:pPr>
    </w:p>
    <w:p w:rsidR="00000000" w:rsidRDefault="00000000">
      <w:r>
        <w:t>339.</w:t>
      </w:r>
      <w:r>
        <w:tab/>
        <w:t>Просвещение в вопросах питания направлено в основном на стимулирование здорового режима питания.  Ведущую роль в этом играет Бюро информации по вопросам продовольствия и питания - организация, финансируемая Министерством сельского хозяйства, охраны природы и качества пищевых продуктов и Министерством здравоохранения, благосостояния и спорта.  Кампании по вопросам здорового питания направлены на предотвращение ожирения, обеспечение сбалансированных рационов питания, пищевую гигиену, борьбу с аллергией и т.д.</w:t>
      </w:r>
    </w:p>
    <w:p w:rsidR="00000000" w:rsidRDefault="00000000"/>
    <w:p w:rsidR="00000000" w:rsidRDefault="00000000">
      <w:pPr>
        <w:keepNext/>
        <w:jc w:val="center"/>
        <w:rPr>
          <w:b/>
          <w:bCs/>
        </w:rPr>
      </w:pPr>
      <w:r>
        <w:rPr>
          <w:b/>
          <w:bCs/>
        </w:rPr>
        <w:t>3.6.2.4</w:t>
      </w:r>
      <w:r>
        <w:rPr>
          <w:b/>
          <w:bCs/>
        </w:rPr>
        <w:tab/>
        <w:t>Справедливое распределение мировых запасов продовольствия</w:t>
      </w:r>
    </w:p>
    <w:p w:rsidR="00000000" w:rsidRDefault="00000000">
      <w:pPr>
        <w:keepNext/>
        <w:jc w:val="center"/>
        <w:rPr>
          <w:b/>
          <w:bCs/>
        </w:rPr>
      </w:pPr>
    </w:p>
    <w:p w:rsidR="00000000" w:rsidRDefault="00000000">
      <w:r>
        <w:t>340.</w:t>
      </w:r>
      <w:r>
        <w:tab/>
        <w:t>Усилия Нидерландов в этой области сосредоточены на следующих аспектах:</w:t>
      </w:r>
    </w:p>
    <w:p w:rsidR="00000000" w:rsidRDefault="00000000"/>
    <w:p w:rsidR="00000000" w:rsidRDefault="00000000">
      <w:pPr>
        <w:ind w:left="1134" w:hanging="1134"/>
      </w:pPr>
      <w:r>
        <w:tab/>
      </w:r>
      <w:r>
        <w:noBreakHyphen/>
      </w:r>
      <w:r>
        <w:tab/>
        <w:t>укрепление потенциала развивающихся стран в вопросах анализа причин отсутствия продовольственной безопасности среди уязвимых групп населения, вопросах мониторинга этой проблемы и ее решения;</w:t>
      </w:r>
    </w:p>
    <w:p w:rsidR="00000000" w:rsidRDefault="00000000">
      <w:pPr>
        <w:ind w:left="1134" w:hanging="1134"/>
      </w:pPr>
    </w:p>
    <w:p w:rsidR="00000000" w:rsidRDefault="00000000">
      <w:pPr>
        <w:ind w:left="1134" w:hanging="1134"/>
      </w:pPr>
      <w:r>
        <w:tab/>
      </w:r>
      <w:r>
        <w:noBreakHyphen/>
      </w:r>
      <w:r>
        <w:tab/>
        <w:t>финансирование продовольственной помощи, предназначенной для уязвимых групп населения.</w:t>
      </w:r>
    </w:p>
    <w:p w:rsidR="00000000" w:rsidRDefault="00000000">
      <w:pPr>
        <w:ind w:left="1134" w:hanging="1134"/>
      </w:pPr>
    </w:p>
    <w:p w:rsidR="00000000" w:rsidRDefault="00000000">
      <w:r>
        <w:t>341.</w:t>
      </w:r>
      <w:r>
        <w:tab/>
        <w:t>В мае 2001 года Нидерланды приступили к осуществлению программы партнерства с ФАО, нацеленной на укрепление потенциала этой организации в деле оказания помощи развивающимся странам в области продовольственной безопасности, агробиоразнообразия и лесного хозяйства.  В сфере продовольственной безопасности эта программа призвана укрепить потенциал организации в деле оказания помощи развивающимся странам в вопросах анализа причин отсутствия продовольственной безопасности, мониторинга этой проблемы и ее решения, а также наращивания местного потенциала на этом направлении.  Ежегодный финансовый взнос на цели обеспечения продовольственной безопасности составляет 3 млн. евро.</w:t>
      </w:r>
    </w:p>
    <w:p w:rsidR="00000000" w:rsidRDefault="00000000"/>
    <w:p w:rsidR="00000000" w:rsidRDefault="00000000">
      <w:r>
        <w:t>342.</w:t>
      </w:r>
      <w:r>
        <w:tab/>
        <w:t>Небольшие финансовые пособия выделяются неправительственным организациям, работающим в области оказания гуманитарной помощи, однако наибольшая часть голландской продовольственной помощи предоставляется по линии МПП в форме денежных дотаций, в частности на цели оказания продовольственной помощи в чрезвычайных ситуациях и в условиях затяжных кризисов и проблем беженцев.  Нидерланды внесли также существенные средства в финансирование операции ФАО по оказанию поддержки в деле посткризисного восстановления.  Важным компонентом служит улучшение доступа к семенным фондам и сельскохозяйственному инвентарю.  За отчетный период общий объем ассигнований составлял порядка 60 млн. евро в год.  МККК также является крупным получателем голландских средств на цели гуманитарной помощи (около 30 млн. евро в год), часть которых используется для оказания продовольственной помощи.</w:t>
      </w:r>
    </w:p>
    <w:p w:rsidR="00000000" w:rsidRDefault="00000000"/>
    <w:p w:rsidR="00000000" w:rsidRDefault="00000000">
      <w:r>
        <w:t>343.</w:t>
      </w:r>
      <w:r>
        <w:tab/>
        <w:t xml:space="preserve">Поскольку Нидерланды считают, что отсутствие продовольственной безопасности </w:t>
      </w:r>
      <w:r>
        <w:noBreakHyphen/>
        <w:t xml:space="preserve"> это в основном проблема доступа к продовольствию, а не его наличия, они уделяют первоочередное внимание предоставлению продовольственной помощи на основе местных закупок.  Для этого вся продовольственная помощь на протяжении отчетного периода предоставлялась без каких-либо увязок.  Нидерланды убеждены, что эта форма предоставления продовольственной помощи имеет важное значение для обеспечения справедливого распределения мирового производства продовольственных товаров и торговли ими.  Это стимулирует развитие экономики сельскохозяйственных районов на местном уровне, расширяет возможности получения доходов и снижает риск зависимости от помощи.</w:t>
      </w:r>
    </w:p>
    <w:p w:rsidR="00000000" w:rsidRDefault="00000000"/>
    <w:p w:rsidR="00000000" w:rsidRDefault="00000000">
      <w:pPr>
        <w:keepNext/>
        <w:jc w:val="center"/>
        <w:rPr>
          <w:b/>
          <w:bCs/>
        </w:rPr>
      </w:pPr>
      <w:r>
        <w:rPr>
          <w:b/>
          <w:bCs/>
        </w:rPr>
        <w:t>3.6.3</w:t>
      </w:r>
      <w:r>
        <w:rPr>
          <w:b/>
          <w:bCs/>
        </w:rPr>
        <w:tab/>
        <w:t xml:space="preserve">  Право на жилище</w:t>
      </w:r>
    </w:p>
    <w:p w:rsidR="00000000" w:rsidRDefault="00000000">
      <w:pPr>
        <w:keepNext/>
        <w:jc w:val="center"/>
        <w:rPr>
          <w:b/>
          <w:bCs/>
        </w:rPr>
      </w:pPr>
    </w:p>
    <w:p w:rsidR="00000000" w:rsidRDefault="00000000">
      <w:pPr>
        <w:keepNext/>
        <w:jc w:val="center"/>
        <w:rPr>
          <w:b/>
          <w:bCs/>
        </w:rPr>
      </w:pPr>
      <w:r>
        <w:rPr>
          <w:b/>
          <w:bCs/>
        </w:rPr>
        <w:t>3.6.3.1</w:t>
      </w:r>
      <w:r>
        <w:rPr>
          <w:b/>
          <w:bCs/>
        </w:rPr>
        <w:tab/>
        <w:t>Информация о положении в этой области в Нидерландах</w:t>
      </w:r>
    </w:p>
    <w:p w:rsidR="00000000" w:rsidRDefault="00000000">
      <w:pPr>
        <w:keepNext/>
        <w:jc w:val="center"/>
        <w:rPr>
          <w:b/>
          <w:bCs/>
        </w:rPr>
      </w:pPr>
    </w:p>
    <w:p w:rsidR="00000000" w:rsidRDefault="00000000">
      <w:r>
        <w:t>344.</w:t>
      </w:r>
      <w:r>
        <w:tab/>
        <w:t>Подробные статистические данные о положении в области жилищного обеспечения в Нидерландах содержатся в следующих основных источниках:</w:t>
      </w:r>
    </w:p>
    <w:p w:rsidR="00000000" w:rsidRDefault="00000000"/>
    <w:p w:rsidR="00000000" w:rsidRDefault="00000000">
      <w:pPr>
        <w:ind w:left="1134" w:hanging="1134"/>
      </w:pPr>
      <w:r>
        <w:tab/>
      </w:r>
      <w:r>
        <w:noBreakHyphen/>
      </w:r>
      <w:r>
        <w:tab/>
        <w:t>"</w:t>
      </w:r>
      <w:proofErr w:type="spellStart"/>
      <w:r>
        <w:rPr>
          <w:lang w:val="en-US"/>
        </w:rPr>
        <w:t>Cijfers</w:t>
      </w:r>
      <w:proofErr w:type="spellEnd"/>
      <w:r>
        <w:t xml:space="preserve"> </w:t>
      </w:r>
      <w:r>
        <w:rPr>
          <w:lang w:val="en-US"/>
        </w:rPr>
        <w:t>over</w:t>
      </w:r>
      <w:r>
        <w:t xml:space="preserve"> </w:t>
      </w:r>
      <w:proofErr w:type="spellStart"/>
      <w:r>
        <w:rPr>
          <w:lang w:val="en-US"/>
        </w:rPr>
        <w:t>wonen</w:t>
      </w:r>
      <w:proofErr w:type="spellEnd"/>
      <w:r>
        <w:t xml:space="preserve">" </w:t>
      </w:r>
      <w:r>
        <w:noBreakHyphen/>
        <w:t xml:space="preserve"> ежегодная публикация Министерства жилищного строительства, обустройства территорий и охраны окружающей среды Нидерландов (имеется только на голландском языке);</w:t>
      </w:r>
    </w:p>
    <w:p w:rsidR="00000000" w:rsidRDefault="00000000">
      <w:pPr>
        <w:ind w:left="1134" w:hanging="1134"/>
      </w:pPr>
    </w:p>
    <w:p w:rsidR="00000000" w:rsidRDefault="00000000">
      <w:pPr>
        <w:ind w:left="1134" w:hanging="1134"/>
      </w:pPr>
      <w:r>
        <w:tab/>
      </w:r>
      <w:r>
        <w:noBreakHyphen/>
      </w:r>
      <w:r>
        <w:tab/>
        <w:t>"</w:t>
      </w:r>
      <w:r>
        <w:rPr>
          <w:lang w:val="en-US"/>
        </w:rPr>
        <w:t>Statistics</w:t>
      </w:r>
      <w:r>
        <w:t xml:space="preserve"> </w:t>
      </w:r>
      <w:r>
        <w:rPr>
          <w:lang w:val="en-US"/>
        </w:rPr>
        <w:t>on</w:t>
      </w:r>
      <w:r>
        <w:t xml:space="preserve"> </w:t>
      </w:r>
      <w:r>
        <w:rPr>
          <w:lang w:val="en-US"/>
        </w:rPr>
        <w:t>Housing</w:t>
      </w:r>
      <w:r>
        <w:t xml:space="preserve"> </w:t>
      </w:r>
      <w:r>
        <w:rPr>
          <w:lang w:val="en-US"/>
        </w:rPr>
        <w:t>in</w:t>
      </w:r>
      <w:r>
        <w:t xml:space="preserve"> </w:t>
      </w:r>
      <w:r>
        <w:rPr>
          <w:lang w:val="en-US"/>
        </w:rPr>
        <w:t>the</w:t>
      </w:r>
      <w:r>
        <w:t xml:space="preserve"> </w:t>
      </w:r>
      <w:r>
        <w:rPr>
          <w:lang w:val="en-US"/>
        </w:rPr>
        <w:t>European</w:t>
      </w:r>
      <w:r>
        <w:t xml:space="preserve"> </w:t>
      </w:r>
      <w:r>
        <w:rPr>
          <w:lang w:val="en-US"/>
        </w:rPr>
        <w:t>Community</w:t>
      </w:r>
      <w:r>
        <w:t xml:space="preserve">" ("Статистические данные о жилищном секторе в Европейском сообществе") </w:t>
      </w:r>
      <w:r>
        <w:noBreakHyphen/>
        <w:t xml:space="preserve"> издание, публикуемое, как правило, на ежегодной основе для регулярных встреч министров жилищного обеспечения стран ЕС (и также содержащее конкретные данные по Нидерландам).  Издание 2003 года было опубликовано соответствующим министерством Финляндии в сотрудничестве с Нидерландами.</w:t>
      </w:r>
    </w:p>
    <w:p w:rsidR="00000000" w:rsidRDefault="00000000">
      <w:pPr>
        <w:ind w:left="1134" w:hanging="1134"/>
      </w:pPr>
    </w:p>
    <w:p w:rsidR="00000000" w:rsidRDefault="00000000">
      <w:pPr>
        <w:keepNext/>
        <w:ind w:left="567" w:hanging="567"/>
        <w:jc w:val="center"/>
        <w:rPr>
          <w:b/>
          <w:bCs/>
        </w:rPr>
      </w:pPr>
      <w:r>
        <w:rPr>
          <w:b/>
          <w:bCs/>
        </w:rPr>
        <w:t>3.6.3.2</w:t>
      </w:r>
      <w:r>
        <w:rPr>
          <w:b/>
          <w:bCs/>
        </w:rPr>
        <w:tab/>
        <w:t>Уязвимые и находящиеся в неблагоприятном положении группы общества</w:t>
      </w:r>
    </w:p>
    <w:p w:rsidR="00000000" w:rsidRDefault="00000000">
      <w:pPr>
        <w:keepNext/>
        <w:jc w:val="center"/>
        <w:rPr>
          <w:b/>
          <w:bCs/>
        </w:rPr>
      </w:pPr>
    </w:p>
    <w:p w:rsidR="00000000" w:rsidRDefault="00000000">
      <w:pPr>
        <w:keepNext/>
        <w:rPr>
          <w:b/>
          <w:bCs/>
        </w:rPr>
      </w:pPr>
      <w:r>
        <w:rPr>
          <w:b/>
          <w:bCs/>
        </w:rPr>
        <w:t>Бездомные лица и семьи</w:t>
      </w:r>
    </w:p>
    <w:p w:rsidR="00000000" w:rsidRDefault="00000000">
      <w:pPr>
        <w:keepNext/>
        <w:rPr>
          <w:b/>
          <w:bCs/>
        </w:rPr>
      </w:pPr>
    </w:p>
    <w:p w:rsidR="00000000" w:rsidRDefault="00000000">
      <w:r>
        <w:t>345.</w:t>
      </w:r>
      <w:r>
        <w:tab/>
        <w:t>В Нидерландах бездомные обычно сталкиваются с целым комплексом психологических и/или социальных проблем, и отсутствие конкретного места для проживания является лишь одним из аспектов этой сложной ситуации.  В Нидерландах ни один человек не является бездомным по причине нехватки жилья или отсутствия информации об имеющемся жилье.  По оценкам большинства экспертов, при общей численности населения в 16,1 млн. человек в настоящее время в стране насчитывается около 30 000 бездомных (цифры 2002 года).  Большинство из них обитают в своего рода приютах, ночлежных домах и т.д.  Жилищные ассоциации и другие органы в консультации с муниципальными, социальными службами и прочими структурами оказывают содействие в поиске подходящего отдельного жилья для бездомных.  Лишь незначительное меньшинство бездомных ночуют непосредственно на улицах (от 1 000 до 3 000 человек).  Министерство здравоохранения, благосостояния и спорта предоставляет специальную финансовую помощь для бездомных.</w:t>
      </w:r>
    </w:p>
    <w:p w:rsidR="00000000" w:rsidRDefault="00000000"/>
    <w:p w:rsidR="00000000" w:rsidRDefault="00000000">
      <w:pPr>
        <w:keepNext/>
      </w:pPr>
      <w:r>
        <w:rPr>
          <w:b/>
          <w:bCs/>
        </w:rPr>
        <w:t>Жилищные условия</w:t>
      </w:r>
    </w:p>
    <w:p w:rsidR="00000000" w:rsidRDefault="00000000">
      <w:pPr>
        <w:keepNext/>
      </w:pPr>
    </w:p>
    <w:p w:rsidR="00000000" w:rsidRDefault="00000000">
      <w:r>
        <w:t>346.</w:t>
      </w:r>
      <w:r>
        <w:tab/>
        <w:t>На основе анализа представительных выборок, сделанных в 1989</w:t>
      </w:r>
      <w:r>
        <w:noBreakHyphen/>
        <w:t>1991 годах, было установлено, что примерно 5% всех жилищ в Нидерландах "требуют серьезного ремонта", а еще 15% не имеют определенных элементарных удобств или не пригодны для проживания.  Статистические данные показывают, что доля жилищ без душа или ванной сократилась с 2% в 1994 году до 0% в 2000 году.  В том же году доля жилищ без индивидуального центрального отопления (или с другими типами отопительных установок) составляла 21%.  Примерно 960 000 жилищ - 18% всего жилого фонда - имеют те или иные технические недостатки.  В жилом фонде, сооруженном до второй мировой войны, насчитывается больше зданий, требующих той или иной степени ремонта, чем в жилом фонде послевоенной постройки.  В целом жилье, занимаемое индивидуальными вкладчиками, содержится лучше, чем арендуемые помещения.  В секторе арендуемого жилья наибольшего ремонта требует жилье, арендуемое в частном порядке.</w:t>
      </w:r>
    </w:p>
    <w:p w:rsidR="00000000" w:rsidRDefault="00000000"/>
    <w:p w:rsidR="00000000" w:rsidRDefault="00000000">
      <w:pPr>
        <w:keepNext/>
      </w:pPr>
      <w:r>
        <w:rPr>
          <w:b/>
          <w:bCs/>
        </w:rPr>
        <w:t>Незаконно занимаемое жилье</w:t>
      </w:r>
    </w:p>
    <w:p w:rsidR="00000000" w:rsidRDefault="00000000">
      <w:pPr>
        <w:keepNext/>
      </w:pPr>
    </w:p>
    <w:p w:rsidR="00000000" w:rsidRDefault="00000000">
      <w:r>
        <w:t>347.</w:t>
      </w:r>
      <w:r>
        <w:tab/>
        <w:t>Сокращение масштабов проблемы незаконно занимаемого жилья рассматривается сегодня как одна из важных задач.  Под незаконным занятием жилья понимается субаренда жилья в нарушение муниципальных правил, касающихся коллективного проживания на общей территории, и/или в нарушение условий аренды.  Точных данных о масштабах этой проблемы не имеется, однако можно утверждать, что она имеет место главным образом в районах с относительной нехваткой жилья и в крупных городах.  Усилия по борьбе с этим явлением предпринимаются муниципалитетами и владельцами жилья.  Некоторые случаи незаконного занятия жилья связаны с присутствием лиц, находящихся на территории Нидерландов на незаконных основаниях, или с ситуациями, когда жилье предлагается таким лицам.  Это порой приводит к переполненности жилищ и произвольным изменениям их интерьера, что может служить причиной опасных ситуаций (риск пожара или опасное снижение прочности структур).  Помимо действий муниципалитетов, нацеленных на обеспечение соблюдения строительных норм, правил коллективного проживания на общей территории и т.д., в таких случаях иногда возбуждаются также уголовные преследования.  Вместе с тем исследования показывают, что значительную часть лиц, незаконно занимающих жилье, составляют родственники или друзья законных жильцов.</w:t>
      </w:r>
    </w:p>
    <w:p w:rsidR="00000000" w:rsidRDefault="00000000"/>
    <w:p w:rsidR="00000000" w:rsidRDefault="00000000">
      <w:pPr>
        <w:keepNext/>
      </w:pPr>
      <w:r>
        <w:rPr>
          <w:b/>
          <w:bCs/>
        </w:rPr>
        <w:t>Выселения</w:t>
      </w:r>
    </w:p>
    <w:p w:rsidR="00000000" w:rsidRDefault="00000000">
      <w:pPr>
        <w:keepNext/>
      </w:pPr>
    </w:p>
    <w:p w:rsidR="00000000" w:rsidRDefault="00000000">
      <w:r>
        <w:t>348.</w:t>
      </w:r>
      <w:r>
        <w:tab/>
        <w:t>В 2002 году имело место некоторое сокращение числа случаев задолженности по оплате жилья.  Однако цифры по</w:t>
      </w:r>
      <w:r>
        <w:noBreakHyphen/>
        <w:t>прежнему остаются очень высокими, особенно в четырех основных городах.  В целом, жилищные ассоциации ведут информационно-разъяснительную работу по таким проблемам и в связи с этим имеют четкое представление о причинах задолженности по оплате жилья.  Они предпринимают различные меры для сокращения такой задолженности, что позволило сократить общее число связанных с этим выселений.  Вместе с тем отмечалось увеличение числа случаев выселений в связи с антиобщественным поведением.  Общее число случаев выселений по</w:t>
      </w:r>
      <w:r>
        <w:noBreakHyphen/>
        <w:t xml:space="preserve">прежнему остается очень незначительным, хотя точных цифр не имеется.  В Нидерландах нет недостатка в средствах правовой защиты от произвольного выселения.  Закон обеспечивает защиту для всех, кто подвергся выселению или кому грозит выселение.  </w:t>
      </w:r>
    </w:p>
    <w:p w:rsidR="00000000" w:rsidRDefault="00000000"/>
    <w:p w:rsidR="00000000" w:rsidRDefault="00000000">
      <w:pPr>
        <w:rPr>
          <w:b/>
          <w:bCs/>
        </w:rPr>
      </w:pPr>
      <w:r>
        <w:rPr>
          <w:b/>
          <w:bCs/>
        </w:rPr>
        <w:t>Доступность</w:t>
      </w:r>
    </w:p>
    <w:p w:rsidR="00000000" w:rsidRDefault="00000000">
      <w:pPr>
        <w:rPr>
          <w:b/>
          <w:bCs/>
        </w:rPr>
      </w:pPr>
    </w:p>
    <w:p w:rsidR="00000000" w:rsidRDefault="00000000">
      <w:r>
        <w:t>349.</w:t>
      </w:r>
      <w:r>
        <w:tab/>
        <w:t xml:space="preserve">Стратегии в области жилищного обеспечения, проводимые правительством Нидерландов, ориентированы главным образом на конкретные группы населения, которые не в состоянии позволить себе адекватное жилье или нуждаются при этом в некоторой помощи.  Эти группы определяются (в годовом жилищном бюджете 2002/2003 года) по уровню годового располагаемого дохода:  домохозяйства, состоящие из одного человека (в возрасте до 65 лет) и имеющие доход в размере 17 700 евро или менее;  домохозяйства в составе одного человека (в возрасте свыше 65 лет) с доходом в размере 15 725 евро или менее;  домохозяйства в составе нескольких человек, главой которых является лицо в возрасте до 65 лет и с доходом до 23 759 евро;  а также домохозяйства в составе нескольких человек, главой которых является лицо в возрасте свыше 65 лет и с доходом в размере 20 500 евро или менее.  К этим группам относятся около 2 282 080 домохозяйств.  Это составляет примерно 36,4% всех голландских домохозяйств (по состоянию на 1 января 2000 года).  При условии проживания в Нидерландах на законных основаниях и выполнения ряда требований все эти люди имеют право на получение тех или иных государственных жилищных пособий.  </w:t>
      </w:r>
    </w:p>
    <w:p w:rsidR="00000000" w:rsidRDefault="00000000"/>
    <w:p w:rsidR="00000000" w:rsidRDefault="00000000">
      <w:r>
        <w:t>350.</w:t>
      </w:r>
      <w:r>
        <w:tab/>
        <w:t xml:space="preserve">Согласно оценкам, по состоянию на 1 января 2000 года около 87 000 домохозяйств тратили на аренду жилья чрезмерную долю своего совокупного дохода, в то время как в 1994 году эта цифра составляла 106 000.  Это сокращение было достигнуто благодаря успеху политических мер, принятых за истекший период.  В основе таких политических мер лежит тот факт, что 60% имеющегося жилого фонда состоит из доступного арендуемого жилья, причем арендная плата составляет до 455 евро в месяц (по состоянию на 1 января 2000 года).  Это означает, что в принципе в стране имеется достаточное количество жилых помещений для размещения всех целевых групп.  С другой стороны, по имеющимся оценкам, примерно 726 000 домохозяйств тратят на аренду жилья крайне незначительную часть совокупного дохода.  Данные о количестве лиц, получающих жилищные пособия, которые помогают им оплачивать аренду жилья, а также описание мер, принимаемых для выплаты таких пособий, и другие данные содержатся в других разделах настоящего доклада.  Такими пособиями пользуются почти все лица, имеющие право на их получение.  </w:t>
      </w:r>
    </w:p>
    <w:p w:rsidR="00000000" w:rsidRDefault="00000000"/>
    <w:p w:rsidR="00000000" w:rsidRDefault="00000000">
      <w:pPr>
        <w:rPr>
          <w:b/>
          <w:bCs/>
        </w:rPr>
      </w:pPr>
      <w:r>
        <w:rPr>
          <w:b/>
          <w:bCs/>
        </w:rPr>
        <w:t>Получение жилья</w:t>
      </w:r>
    </w:p>
    <w:p w:rsidR="00000000" w:rsidRDefault="00000000">
      <w:pPr>
        <w:rPr>
          <w:b/>
          <w:bCs/>
        </w:rPr>
      </w:pPr>
    </w:p>
    <w:p w:rsidR="00000000" w:rsidRDefault="00000000">
      <w:r>
        <w:t>351.</w:t>
      </w:r>
      <w:r>
        <w:tab/>
        <w:t xml:space="preserve">Примерно 5% лиц, относящихся к целевым группам, испытывают острую потребность в получении жилья или в переселении (по состоянию на 1 января 1994 года).  Понятие "острая потребность" определяется муниципалитетом и/или соответствующей жилищной ассоциацией на основе муниципальных подзаконных актов, утвержденных вышестоящими властями.  Кандидаты, имеющие право на получение жилья, заносятся в лист ожидания.  Многие из них уже имеют какое-либо жилье, например арендуемую квартиру или квартиру, комнату или жилье, предоставленное им их родственниками или другими лицами, поэтому фактически они ищут альтернативное, более подходящее для них жилье.  Средний срок поиска альтернативного жилья для кандидатов, включенных в лист ожидания, составляет примерно 2 года.  Вместе с тем в чрезвычайных обстоятельствах период ожидания может быть сокращен.  При необходимости таким лицам может быть предоставлено временное жилье (например, во временных приютах или ночлежных домах).  К числу мер, принимаемых для уменьшения муниципальных листов ожидания, относится строительство нового субсидируемого жилья и поощрение людей к переезду в более дорогостоящее жилье, если это им позволяет уровень дохода.  На национальном уровне нехватка жилья сократилась с 3,5% в 1994 году до 1,8% в 1998 году.  </w:t>
      </w:r>
    </w:p>
    <w:p w:rsidR="00000000" w:rsidRDefault="00000000">
      <w:pPr>
        <w:rPr>
          <w:lang w:val="en-US"/>
        </w:rPr>
      </w:pPr>
    </w:p>
    <w:p w:rsidR="00000000" w:rsidRDefault="00000000">
      <w:pPr>
        <w:rPr>
          <w:b/>
          <w:bCs/>
        </w:rPr>
      </w:pPr>
      <w:r>
        <w:rPr>
          <w:b/>
          <w:bCs/>
        </w:rPr>
        <w:t>Типы жилищ</w:t>
      </w:r>
    </w:p>
    <w:p w:rsidR="00000000" w:rsidRDefault="00000000">
      <w:pPr>
        <w:rPr>
          <w:b/>
          <w:bCs/>
        </w:rPr>
      </w:pPr>
    </w:p>
    <w:p w:rsidR="00000000" w:rsidRDefault="00000000">
      <w:r>
        <w:t>352.</w:t>
      </w:r>
      <w:r>
        <w:tab/>
        <w:t>В 1994 году 52,4% всего жилого фонда Нидерландов относилось к категории арендуемого жилья;  остальные 47,6% составляли жилища, занимаемые индивидуальными владельцами.  К 1 января 2001 года доля жилищ, занимаемых индивидуальными владельцами, увеличилась до 53%.  Примерно 81% сектора арендуемого жилья составляют здания социального жилого фонда;  это - здания и помещения, находящиеся во владении жилищных ассоциаций (в 2003 году их насчитывалось 550) и других некоммерческих и муниципальных жилищных органов;  остальные 19% - это арендуемые в частном порядке жилища, принадлежащие частным лицам или коммерческим организациям, таким, как пенсионные фонды и страховые компании, и сдаваемые ими внаем.  ("Государственный жилой сектор" в смысле социального жилищного фонда, принадлежащего государству и сдаваемого им внаем, ограничивается жилыми помещениями, принадлежащими муниципальным жилищным органам.  Они обслуживают те же целевые группы, что и жилищные ассоциации.)  Эти процентные показатели примерно отражают число лиц, проживающих в различных категориях жилищ.</w:t>
      </w:r>
    </w:p>
    <w:p w:rsidR="00000000" w:rsidRDefault="00000000"/>
    <w:p w:rsidR="00000000" w:rsidRDefault="00000000">
      <w:r>
        <w:t>353.</w:t>
      </w:r>
      <w:r>
        <w:tab/>
        <w:t>Помимо обычных видов жилья, перечисленных в Декрете о жилищном строительстве (см. ниже), существуют и иные виды жилищ:  арендуемые комнаты, плавучие дома, студенческие квартиры, загородные дома и т.д.  В настоящее время их насчитывается порядка 450 000 единиц.  Они могут выполнять роль временных жилых помещений, но могут служить и в качестве долгосрочного жилья.  Почти половина семей, живущих в таких помещениях, - это молодые люди (студенты), проживающие отдельно, главным образом в крупных городских районах и средних по размеру населенных пунктах.</w:t>
      </w:r>
    </w:p>
    <w:p w:rsidR="00000000" w:rsidRDefault="00000000"/>
    <w:p w:rsidR="00000000" w:rsidRDefault="00000000">
      <w:pPr>
        <w:jc w:val="center"/>
        <w:rPr>
          <w:b/>
          <w:bCs/>
        </w:rPr>
      </w:pPr>
      <w:r>
        <w:rPr>
          <w:b/>
          <w:bCs/>
        </w:rPr>
        <w:t>3.6.3.3    Законодательство</w:t>
      </w:r>
    </w:p>
    <w:p w:rsidR="00000000" w:rsidRDefault="00000000">
      <w:pPr>
        <w:jc w:val="center"/>
        <w:rPr>
          <w:b/>
          <w:bCs/>
        </w:rPr>
      </w:pPr>
    </w:p>
    <w:p w:rsidR="00000000" w:rsidRDefault="00000000">
      <w:r>
        <w:t>354.</w:t>
      </w:r>
      <w:r>
        <w:tab/>
        <w:t>Статья 1 Конституции Нидерландов гласит, что отношение ко всем людям должно быть равным.  Дискриминация по каким бы то ни было признакам не допускается.  Это положение распространяется и на жилищный сектор.  В пункте 2 статьи 22 Конституции Нидерландов четко указывается, что государственные органы должны заботиться об обеспечении населению достаточного жизненного уровня.  Доступ в жилое помещение против воли проживающего там лица разрешается лишь в случаях, установленных актом парламента либо иными актами, изданными на его основе, лицам, соответствующим образом уполномоченным законом и выполняющим ряд конкретных условий (статья 12 Конституции Нидерландов).  Экспроприация разрешается лишь в интересах широкой общественности и лишь в чрезвычайных ситуациях с соблюдением установленных заранее гарантий, как это указывается в Законе (Закон об экспроприации).  Основной закон парламента, регулирующий деятельность жилищного сектора, - это Закон о жилье 1901 года.  С того времени в этот Закон неоднократно вносились поправки.  Этот Закон уполномочивает муниципальные органы Нидерландов принимать меры для предотвращения нежелательных ситуаций в жилищном секторе.  Основные элементы этого Закона состоят в следующем:</w:t>
      </w:r>
    </w:p>
    <w:p w:rsidR="00000000" w:rsidRDefault="00000000"/>
    <w:p w:rsidR="00000000" w:rsidRDefault="00000000">
      <w:r>
        <w:tab/>
        <w:t>a)</w:t>
      </w:r>
      <w:r>
        <w:tab/>
        <w:t>муниципальные советы обязаны издавать постановления о жилищном строительстве на основе Декрета о жилищном строительстве.  Этот декрет, который применяется ко всем муниципалитетам, содержит минимальные требования к качеству нового жилья, соответствующего жилищного хозяйства и его использования.  Муниципалитеты не имеют права устанавливать дополнительные требования (см. также ниже);</w:t>
      </w:r>
    </w:p>
    <w:p w:rsidR="00000000" w:rsidRDefault="00000000"/>
    <w:p w:rsidR="00000000" w:rsidRDefault="00000000">
      <w:r>
        <w:tab/>
        <w:t>b)</w:t>
      </w:r>
      <w:r>
        <w:tab/>
        <w:t>выдаваемое муниципалитетом разрешение на строительство должно быть получено до начала строительства, с тем чтобы муниципалитет имел возможность гарантировать соблюдение установленных минимальных требований к качеству.  Декрет о жилищном строительстве призван гарантировать качество жилых зданий с точки зрения безопасности, санитарных норм, функциональности и энергоэффективности.  Он соответствует законодательству Европейского союза в этой области.  1 января 2003 года вступили в силу новые поправки к Закону о жилье.  Сегодня этот Закон устанавливает три категории сооружений:  сооружения, для которых не требуется разрешения на строительство, сооружения, для которых требуется лишь ограниченное разрешение на строительство, и сооружения, для которых требуются полномасштабные процедуры строительного контроля.  В Законе определяются типы сооружений, относящиеся к первым двум категориям.  При этом в нем проводится различие между передней, боковой и задней частью жилого здания.  Строительные работы в задней части в меньшей степени требуют наличия разрешения на строительство.  Закон о жилье в его новой редакции предусматривает также более краткие сроки вынесения решений в отношении просьб о выдаче разрешений на строительство в пределах всей страны;</w:t>
      </w:r>
    </w:p>
    <w:p w:rsidR="00000000" w:rsidRDefault="00000000"/>
    <w:p w:rsidR="00000000" w:rsidRDefault="00000000">
      <w:r>
        <w:tab/>
        <w:t>с)</w:t>
      </w:r>
      <w:r>
        <w:tab/>
        <w:t>в просьбе о выдаче разрешения на строительство может быть отказано в том случае, если архитектурный план не соответствует планам пространственного планирования (землепользования) муниципалитета.  Такие планы землепользования регулируются Законом 1965 года о пространственном планировании с поправками, внесенными в 1985 году.  Центральную роль в таком планировании играют муниципалитеты.  Соответствующие положения Закона предусматривают и процедуры участия общественности;</w:t>
      </w:r>
    </w:p>
    <w:p w:rsidR="00000000" w:rsidRDefault="00000000"/>
    <w:p w:rsidR="00000000" w:rsidRDefault="00000000">
      <w:r>
        <w:tab/>
      </w:r>
      <w:r>
        <w:rPr>
          <w:lang w:val="en-US"/>
        </w:rPr>
        <w:t>d</w:t>
      </w:r>
      <w:r>
        <w:t>)</w:t>
      </w:r>
      <w:r>
        <w:tab/>
        <w:t>муниципалитеты обязаны обследовать качество существующего жилого фонда и принимать необходимые меры в случае недостаточного качества или перенаселенности жилых помещений;</w:t>
      </w:r>
    </w:p>
    <w:p w:rsidR="00000000" w:rsidRDefault="00000000"/>
    <w:p w:rsidR="00000000" w:rsidRDefault="00000000">
      <w:r>
        <w:tab/>
        <w:t>е)</w:t>
      </w:r>
      <w:r>
        <w:tab/>
        <w:t>муниципалитеты обязаны принимать меры по контролю за состоянием зданий и строительством;  в каждом муниципалитете должен существовать отдел инспекции жилых зданий и строительства, в задачу которого входит выдача разрешений на строительство, предъявление требований о выполнении необходимых работ, подготовка заключений о приемлемости зданий для проживания, а также обследование состояния жилого фонда в соответствующем муниципалитете;</w:t>
      </w:r>
    </w:p>
    <w:p w:rsidR="00000000" w:rsidRDefault="00000000"/>
    <w:p w:rsidR="00000000" w:rsidRDefault="00000000">
      <w:r>
        <w:tab/>
      </w:r>
      <w:r>
        <w:rPr>
          <w:lang w:val="en-US"/>
        </w:rPr>
        <w:t>f</w:t>
      </w:r>
      <w:r>
        <w:t>)</w:t>
      </w:r>
      <w:r>
        <w:tab/>
        <w:t>в обязанность центрального правительства входит инспектирование деятельности муниципалитетов и жилищных ассоциаций в сфере жилищного хозяйства (см. ниже).  После двух катастрофических пожаров </w:t>
      </w:r>
      <w:r>
        <w:noBreakHyphen/>
        <w:t xml:space="preserve"> на складе пиротехнических средств в </w:t>
      </w:r>
      <w:proofErr w:type="spellStart"/>
      <w:r>
        <w:t>Энсхеде</w:t>
      </w:r>
      <w:proofErr w:type="spellEnd"/>
      <w:r>
        <w:t xml:space="preserve"> (в мае 2000 года) и в кафе в Волендаме (в новогоднюю ночь 2001 года) </w:t>
      </w:r>
      <w:r>
        <w:noBreakHyphen/>
        <w:t xml:space="preserve"> муниципалитеты, власти провинций, центральное правительство и частный сектор приняли ряд новых мер.  Сегодня больше внимания уделяется безопасности и усилены меры по обеспечению соблюдения установленных норм.  Повышена строгость и периодичность инспекций, и налажено более тесное взаимодействие между соответствующими властями.  Объявлено о принятии различных мер нормативного характера;  </w:t>
      </w:r>
    </w:p>
    <w:p w:rsidR="00000000" w:rsidRDefault="00000000"/>
    <w:p w:rsidR="00000000" w:rsidRDefault="00000000">
      <w:r>
        <w:tab/>
      </w:r>
      <w:r>
        <w:rPr>
          <w:lang w:val="en-US"/>
        </w:rPr>
        <w:t>g</w:t>
      </w:r>
      <w:r>
        <w:t>)</w:t>
      </w:r>
      <w:r>
        <w:tab/>
        <w:t>в Законе затрагиваются различные вопросы, касающиеся официального признания жилищных ассоциаций.  Основная задача официально признанных жилищных ассоциаций, закрепленная в Законе, заключается в размещении лиц, которые из-за низкого уровня доходов или в силу личных обстоятельств не могут найти приемлемое жилье.  Такие ассоциации являются независимыми частными некоммерческими организациями, выполняющими общественную задачу.  Их функции и организационная структура регламентируются Постановлением об управлении сектором социального арендуемого жилья;</w:t>
      </w:r>
    </w:p>
    <w:p w:rsidR="00000000" w:rsidRDefault="00000000"/>
    <w:p w:rsidR="00000000" w:rsidRDefault="00000000">
      <w:r>
        <w:tab/>
      </w:r>
      <w:r>
        <w:rPr>
          <w:lang w:val="en-US"/>
        </w:rPr>
        <w:t>h</w:t>
      </w:r>
      <w:r>
        <w:t>)</w:t>
      </w:r>
      <w:r>
        <w:tab/>
        <w:t xml:space="preserve">в Законе затрагиваются также условия предоставления финансовой помощи.  Жилищные субсидии направлены на сокращение расходов на жилищное строительство (в соответствии с Постановлением о жилищных субсидиях), уменьшение стоимости земли, отводимой под жилищное строительство (постановление о субсидиях для приобретения земельных участков), и снижение уровня индивидуальной арендной платы (Закон о жилищных пособиях).  Постановление о жилищных субсидиях было аннулировано в 2000 году.  Закон о жилье служит основой для многочисленных постановлений (выше упомянуты лишь некоторые из них).  </w:t>
      </w:r>
    </w:p>
    <w:p w:rsidR="00000000" w:rsidRDefault="00000000"/>
    <w:p w:rsidR="00000000" w:rsidRDefault="00000000">
      <w:r>
        <w:t>355.</w:t>
      </w:r>
      <w:r>
        <w:tab/>
        <w:t>После второй мировой войны был принят целый ряд новых законов, касающихся жилищных вопросов.  Хотя многие из них первоначально разрабатывались как временные меры, они нередко приобретали более долгосрочный характер.  К числу основных из них относятся следующие:</w:t>
      </w:r>
    </w:p>
    <w:p w:rsidR="00000000" w:rsidRDefault="00000000"/>
    <w:p w:rsidR="00000000" w:rsidRDefault="00000000">
      <w:pPr>
        <w:ind w:left="1134" w:hanging="567"/>
      </w:pPr>
      <w:r>
        <w:t>-</w:t>
      </w:r>
      <w:r>
        <w:tab/>
        <w:t>Закон о (выделении) жилой площади 1947 года, который впоследствии был заменен практически одноименным Законом о выделении жилплощади (см. ниже);</w:t>
      </w:r>
    </w:p>
    <w:p w:rsidR="00000000" w:rsidRDefault="00000000">
      <w:pPr>
        <w:ind w:left="1134" w:hanging="567"/>
      </w:pPr>
    </w:p>
    <w:p w:rsidR="00000000" w:rsidRDefault="00000000">
      <w:pPr>
        <w:ind w:left="1134" w:hanging="567"/>
      </w:pPr>
      <w:r>
        <w:t>-</w:t>
      </w:r>
      <w:r>
        <w:tab/>
        <w:t>Закон о реконструкции 1950 года, который по большей части уже утратил свою силу;</w:t>
      </w:r>
    </w:p>
    <w:p w:rsidR="00000000" w:rsidRDefault="00000000">
      <w:pPr>
        <w:ind w:left="1134" w:hanging="567"/>
      </w:pPr>
    </w:p>
    <w:p w:rsidR="00000000" w:rsidRDefault="00000000">
      <w:pPr>
        <w:ind w:left="1134" w:hanging="1134"/>
      </w:pPr>
      <w:r>
        <w:rPr>
          <w:lang w:val="en-US"/>
        </w:rPr>
        <w:tab/>
      </w:r>
      <w:r>
        <w:t>-</w:t>
      </w:r>
      <w:r>
        <w:tab/>
        <w:t>Закон об аренде также 1950 года, на основе которого производится периодическое повышение арендной платы.  Этот Закон был заменен Законом о найме (аренде) 1979 года и Законом о комиссиях по вопросам аренды 1986 года.</w:t>
      </w:r>
    </w:p>
    <w:p w:rsidR="00000000" w:rsidRDefault="00000000"/>
    <w:p w:rsidR="00000000" w:rsidRDefault="00000000">
      <w:r>
        <w:tab/>
        <w:t xml:space="preserve">1 августа 2003 года Закон о найме (аренде) и Закон о комиссиях по вопросам аренды были аннулированы.  В тот же день гражданско-правовые положения Закона о найме, (аренде) были включены в обновленный раздел 7:4 Гражданского кодекса, а остальные положения этого Закона вместе с положениями Закона о комиссиях по вопросам аренды в их обновленном виде были включены в Закон о механизмах найма (аренды).  </w:t>
      </w:r>
    </w:p>
    <w:p w:rsidR="00000000" w:rsidRDefault="00000000"/>
    <w:p w:rsidR="00000000" w:rsidRDefault="00000000">
      <w:r>
        <w:t>356.</w:t>
      </w:r>
      <w:r>
        <w:tab/>
        <w:t xml:space="preserve">Закон о найме (аренде) содержит положения об аренде и сдаче внаем жилых помещений.  Этим Законом устанавливается единый общий свод правил, касающихся аренды, которые действуют на территории всей страны;  арендная плата за жилые помещения должна по возможности отражать качество жилья (для определения качества жилья и его стоимости был выработан конкретный и детальный метод оценки на основе соответствующей "оценочной шкалы ");  между квартиросъемщиками и владельцами жилья должно быть установлено сбалансированное распределение прав и обязанностей;  споры, касающиеся приемлемого уровня арендной платы должны разрешаться без использования крайней меры - расторжения соглашения об аренде, причем устанавливается четкая и эффективная процедура урегулирования арендных споров (через комиссии по вопросам аренды и отделы ограниченной юрисдикции районных судов).  Закон содержит также положения о назначении, задачах и процедурах комиссий по вопросам аренды.  </w:t>
      </w:r>
    </w:p>
    <w:p w:rsidR="00000000" w:rsidRDefault="00000000"/>
    <w:p w:rsidR="00000000" w:rsidRDefault="00000000">
      <w:r>
        <w:t>357.</w:t>
      </w:r>
      <w:r>
        <w:tab/>
        <w:t>В обязанности комиссий по вопросам аренды входит урегулирование споров о приемлемом уровне арендной платы и ее изменениях.  Более серьезные вопросы могут передаваться в суд.  Членами комиссий являются эксперты.  В настоящее время в стране насчитывается 59 комиссий по вопросам аренды.  Число секретариатов, обеспечивающих работу этих комиссий, было сокращено с 16 до всего лишь одного центрального секретариата в 2001 году.  С конца 90-х годов объем работы комиссий по вопросам аренды заметно сократился, однако, согласно имеющимся прогнозам, с 2003 года ежегодное количество дел, требующих их внимания, должно выровняться.  В 1994 году было рассмотрено 99 901 дело;  в 2002 году эта цифра сократилась до 70 000.  Закон о консультациях между владельцами жилья и квартиросъемщиками, который вступил в силу в 1998 году, обязывает владельцев жилья информировать квартиросъемщиков о любых планах проведения работ в арендуемых помещениях и на прилегающей территории, о сносе жилых зданий, о проводимой политике в вопросах распределения жилья и аренды, о политике в отношении уровней арендной платы и т.д.  Изданный в 1997 году Документ с изложением политики в области восстановления городских районов содержит описание задачи ремонтно-восстановительных работ в городских районах, которая предполагает физическое обновление городов посредством принятия комплексных мер по улучшению жилищного хозяйства, культурно-рекреационных объектов (места общественного пользования и озеленение) и качества окружающей среды (восстановление почв и снижение уровня шума).</w:t>
      </w:r>
    </w:p>
    <w:p w:rsidR="00000000" w:rsidRDefault="00000000"/>
    <w:p w:rsidR="00000000" w:rsidRDefault="00000000">
      <w:r>
        <w:t>358.</w:t>
      </w:r>
      <w:r>
        <w:tab/>
        <w:t xml:space="preserve">В 2000 году вступил в силу Закон о восстановительных работах в городских районах, цель которого состоит в достижении большей децентрализации процессов разработки и осуществления стратегий в области восстановления городских районов.  </w:t>
      </w:r>
    </w:p>
    <w:p w:rsidR="00000000" w:rsidRDefault="00000000"/>
    <w:p w:rsidR="00000000" w:rsidRDefault="00000000">
      <w:r>
        <w:t>359.</w:t>
      </w:r>
      <w:r>
        <w:tab/>
        <w:t>Политика в области восстановления городских районов нацелена на повышение качества жизни в городах.  Это должно быть достигнуто за счет сближения уровней предложения и спроса на рынке жилья, предотвращения переселения людей со средним и высоким уровнем доходов в пригородных районах и переоборудования/перестройки и обновления мест общественного пользования.  Политика в этой области призвана также способствовать улучшению социально-экономических условий и повышению уровня безопасности.</w:t>
      </w:r>
    </w:p>
    <w:p w:rsidR="00000000" w:rsidRDefault="00000000"/>
    <w:p w:rsidR="00000000" w:rsidRDefault="00000000">
      <w:r>
        <w:t>360.</w:t>
      </w:r>
      <w:r>
        <w:tab/>
        <w:t>Закон о восстановительных работах в городских районах предусматривает составление Инвестиционного бюджета для восстановления городских районов, который объединяет финансовые средства, мобилизуемые по линии ряда программ субсидирования восстановительных работ в городских районах (включая средства, направляемые на цели физического обновления городских центров) на период 2000</w:t>
      </w:r>
      <w:r>
        <w:noBreakHyphen/>
        <w:t>2010 годов.  Эти субсидии призваны в первую очередь стимулировать инвестиции со стороны других субъектов (жилищных ассоциаций, частных инвесторов, компаний, занимающихся разработкой проектов, и промышленности), которые должны стать основными источниками финансирования.</w:t>
      </w:r>
    </w:p>
    <w:p w:rsidR="00000000" w:rsidRDefault="00000000"/>
    <w:p w:rsidR="00000000" w:rsidRDefault="00000000">
      <w:r>
        <w:t>361.</w:t>
      </w:r>
      <w:r>
        <w:tab/>
        <w:t>Инвестиционный бюджет для восстановления городских районов предполагает участие нескольких министерств - жилищного строительства, обустройства территорий и охраны окружающей среды;  экономики (до 2005 года);  образования, науки и культуры (с 2005 года);  и сельского хозяйства, охраны природы и качества пищевых продуктов - и служит физической основой политики правительства по обновлению основных городов на основе комплексных мер по решению их физических, экономических и социальных проблем, а также проблем безопасности.  Тридцать муниципалитетов получают субсидии непосредственно из Инвестиционного бюджета для восстановления городских районов на цели финансирования ремонтно-восстановительных работ, намеченных в их долгосрочных инвестиционных планах.  Другие муниципалитеты могут получать такие средства через провинции.  В декабре 1999</w:t>
      </w:r>
      <w:r>
        <w:rPr>
          <w:lang w:val="en-US"/>
        </w:rPr>
        <w:t> </w:t>
      </w:r>
      <w:r>
        <w:t>года были подписаны договоренности с муниципалитетами, которые получают средства непосредственно из бюджета.  В середине 2000 года провинции заключили соглашение с остальными муниципалитетами.  На начальный период функционирования Инвестиционного бюджета для восстановления городских районов (2000-2005 годы) имеется немногим более 1,9 млрд. евро.  На второй период (2005-2010 годы) размер бюджета еще не определен.</w:t>
      </w:r>
    </w:p>
    <w:p w:rsidR="00000000" w:rsidRDefault="00000000"/>
    <w:p w:rsidR="00000000" w:rsidRDefault="00000000">
      <w:r>
        <w:t>362.</w:t>
      </w:r>
      <w:r>
        <w:tab/>
        <w:t>Закон о муниципалитетах (преференциальных правах) 1981 года наделяет муниципалитеты правом первого выбора в отношении земельных участков, выставляемых на продажу в их районах.  Этот Закон первоначально вступил в силу в 1985 году - одновременно с Законом о восстановительных работах в городских и сельских районах - и применялся лишь к центральным городским районам, в которых проводились ремонтно-восстановительные работы.  В 1996 году область применения этого Закона была распространена на муниципалитеты, отнесенные к категории пригородных районов.  Затем она была дополнительно распространена на все территории, предназначенные или переданные для несельскохозяйственного использования, текущее использование которых отличается от намеченного в плане.  При условии одобрения в сенате область применения этого Закона вскоре будет распространена на все муниципалитеты.</w:t>
      </w:r>
    </w:p>
    <w:p w:rsidR="00000000" w:rsidRDefault="00000000"/>
    <w:p w:rsidR="00000000" w:rsidRDefault="00000000">
      <w:r>
        <w:t>363.</w:t>
      </w:r>
      <w:r>
        <w:tab/>
        <w:t>Законом о жилищных пособиях 1985 года создана правовая основа для сокращения размера арендной платы отдельных квартиросъемщиков, которая фактически существовала приблизительно с 1970 года.  В 1997 году в этот Закон были внесены многочисленные поправки.</w:t>
      </w:r>
    </w:p>
    <w:p w:rsidR="00000000" w:rsidRDefault="00000000"/>
    <w:p w:rsidR="00000000" w:rsidRDefault="00000000">
      <w:r>
        <w:t>364.</w:t>
      </w:r>
      <w:r>
        <w:tab/>
        <w:t>Жилищные пособия являются главным инструментом жилищной политики в Нидерландах.  Социальная жилищная политика Нидерландов всегда учитывала необходимость защиты индивидуальных квартиросъемщиков в случае, например, чрезмерного повышения арендной платы.  Сегодня такую помощь получают около 1 млн. человек, что составляет примерно одну треть всего количества семей, проживающих в арендуемом жилье.  На протяжении последних лет количество получателей помощи постепенно увеличивалось с 917 000 в 1992 году до 963 000 в 2002 году.  Выделяемые в настоящее время государственные ассигнования на жилищные пособия составляют примерно 1,5 млрд. евро;  фактический объем затрачиваемых средств является приблизительно таким же.  Максимальная сумма ежегодного пособия на каждого получателя помощи составляет 3 600 евро (данные 2002</w:t>
      </w:r>
      <w:r>
        <w:rPr>
          <w:lang w:val="en-US"/>
        </w:rPr>
        <w:t> </w:t>
      </w:r>
      <w:r>
        <w:t>года), однако средний размер выплачиваемого пособия является намного меньшим - около 1 500 евро в год, что соответствует приблизительно 125 евро в месяц на одного получателя.  Размер жилищного пособия в среднем составляет около 42% от общей суммы арендной платы.  Около 40% получателей помощи составляют пенсионеры.  Семья из нескольких человек (независимо от количества членов семьи), имеющая минимальный доход, может получать жилищное пособие  в размере, эквивалентном примерно 15% ее доходов.  1 января 2002 года вступил в силу Закон о поощрении домовладения.  Цель этого законодательного акта состоит в поощрении домовладения среди людей с низким уровнем дохода посредством введения системы ссуд на приобретение недвижимости.  Эта программа ориентирована на ту же группу населения, что и программа жилищных пособий.  Однако из-за низкого предельного уровня цен, установленного для жилья, на приобретение которого могут быть получены ссуды, спрос на эти ссуды оказался намного ниже, чем ожидалось.  Закон 1981 года о незаселенных помещениях вступил в силу в 1986 году и последний раз был изменен в 1992 году.  Этот Закон регулирует порядок временной сдачи внаем незаселенных помещений.  Количество пустующих помещений в Нидерландах является сравнительно небольшим, и в 1990 году оно составило 2,3%, что отчасти является неизбежным и даже необходимым для обеспечения гибкого функционирования рынка жилья.  В настоящее время отдельные элементы Закона о незаселенных помещениях включены в Закон о распределении жилой площади (см. ниже).  Этот Закон позволяет муниципалитетам по своему усмотрению выдавать владельцам жилья на трехгодичный период разрешения на сдачу жилплощади на временной основе (максимальной продолжительностью на пять лет), если жилье в течение длительного времени оставалось незаселенным в результате реконструкции.  По истечении срока такой временной аренды квартиросъемщики более не имеют гарантий ее сохранения.  Законопроект, находящийся на рассмотрении в парламенте, предусматривает увеличение максимального периода с трех до пяти лет.  Кроме того, соответствующее министерство изучает возможность расширения применения концепции "острой потребности для собственных нужд" в качестве основания для прекращения договора аренды.  Это предусмотрено в разделе 7:4 Гражданского кодекса, с тем чтобы владельцы жилья, специализирующиеся на сдаче жилплощади студентам, могли легче прекращать действие договоров аренды по окончании срока обучения своих жильцов.  Владельцам жилья пришлось бы по</w:t>
      </w:r>
      <w:r>
        <w:noBreakHyphen/>
        <w:t>прежнему действовать через суд, однако процедура была упрощена.</w:t>
      </w:r>
    </w:p>
    <w:p w:rsidR="00000000" w:rsidRDefault="00000000"/>
    <w:p w:rsidR="00000000" w:rsidRDefault="00000000">
      <w:r>
        <w:t>365.</w:t>
      </w:r>
      <w:r>
        <w:tab/>
        <w:t xml:space="preserve">Закон о распределении жилой площади 1993 года заменил собой ранее действовавший Закон 1947 года.  Закон о распределении жилой площади направлен на обеспечение сбалансированного и справедливого распределения ограниченного количества жилых помещений.  Он касается как распределения, так и структуры жилого фонда.  В связи с правом на свободный выбор места жительства, правом на свободное владение частным имуществом и недискриминационным характером законодательства в этих законах содержится непосредственная ссылка на международные соглашения, в том числе на статью 12 Международного пакта о гражданских и политических правах, статью 13 Всеобщей декларации прав человека и статью 2 Протокола 4 к Европейской конвенции о защите прав человека и основных свобод.  </w:t>
      </w:r>
    </w:p>
    <w:p w:rsidR="00000000" w:rsidRDefault="00000000"/>
    <w:p w:rsidR="00000000" w:rsidRDefault="00000000">
      <w:r>
        <w:t>366.</w:t>
      </w:r>
      <w:r>
        <w:tab/>
        <w:t>В основе данного Закона лежит право на свободный выбор места жительства и право на владение имуществом.  Этот Закон действует на всей территории Нидерландов, однако применяется он лишь в случае нехватки жилых помещений для групп населения с низкими доходами.  Именно поэтому сфера действия данного Закона ограничивается жилыми помещениями с определенным максимальным уровнем арендной платы или стоимости;  в том случае, если эти уровни являются более низкими, требуется специальное разрешение для проживания в такой категории жилья.  Для жилых помещений с более высоким уровнем арендной платы или стоимости разрешения для проживания не требуется (за исключением определенных оговоренных случаев).  По сравнению с законодательными актами, действовавшими ранее, Закон о распределении жилой площади содержит менее жесткие требования, касающиеся получения разрешения на проживание, что также имеет своей целью повышение региональной жилищной мобильности.</w:t>
      </w:r>
    </w:p>
    <w:p w:rsidR="00000000" w:rsidRDefault="00000000"/>
    <w:p w:rsidR="00000000" w:rsidRDefault="00000000">
      <w:r>
        <w:t>367.</w:t>
      </w:r>
      <w:r>
        <w:tab/>
        <w:t>Целевой группой данного Закона являются муниципалитеты, в задачу которых входит обеспечение адекватного жилья для находящихся на их территории граждан, в особенности для лиц с низким уровнем доходов, престарелых, инвалидов и просителей убежища.  В задачу муниципалитетов входит обеспечение жильем групп лиц, находящихся в социально и экономически неблагоприятном положении.  Эта задача решается различными способами, например путем составления листов ожидания для определенных категорий населения, остро нуждающихся в жилье.</w:t>
      </w:r>
    </w:p>
    <w:p w:rsidR="00000000" w:rsidRDefault="00000000"/>
    <w:p w:rsidR="00000000" w:rsidRDefault="00000000">
      <w:r>
        <w:t>368.</w:t>
      </w:r>
      <w:r>
        <w:tab/>
        <w:t>Закон о распределении жилой площади дает муниципалитетам право реквизировать пустующие жилые помещения на срок до 10 лет.  Кроме того, он дает им право определять в своих постановлениях необходимость выдачи разрешения в случае раздела жилой площади и устанавливает основания для отказа в выдаче таких разрешений.</w:t>
      </w:r>
    </w:p>
    <w:p w:rsidR="00000000" w:rsidRDefault="00000000">
      <w:r>
        <w:t>Согласно этому Закону муниципалитеты имеют право решать вопрос о возможности использования жилой площади для других целей и вопрос о возможности объединения жилых помещений.  Цель всех этих положений состоит в сохранении имеющегося жилого фонда и повышении уровня его заселенности.</w:t>
      </w:r>
    </w:p>
    <w:p w:rsidR="00000000" w:rsidRDefault="00000000"/>
    <w:p w:rsidR="00000000" w:rsidRDefault="00000000">
      <w:r>
        <w:t>369.</w:t>
      </w:r>
      <w:r>
        <w:tab/>
        <w:t xml:space="preserve">К числу законодательных актов, касающихся землепользования, распределения земли, выделения земельных участков, районирования, установления предельной цены на землю, экспроприации (включая положение о компенсации) и земельного планирования, относятся Закон о пространственном планировании 1965 года, Закон об экспроприации 1851 года и Закон о муниципалитетах (преференциальных правах) 1981 года, которые были упомянуты выше. </w:t>
      </w:r>
    </w:p>
    <w:p w:rsidR="00000000" w:rsidRDefault="00000000"/>
    <w:p w:rsidR="00000000" w:rsidRDefault="00000000">
      <w:r>
        <w:t>370.</w:t>
      </w:r>
      <w:r>
        <w:tab/>
        <w:t>Положения, касающиеся права жильцов на гарантированное проживание и защиту от выселения, контроля за финансированием жилого фонда и арендной платы (или жилищных пособий), доступного жилья и т.д., содержатся в Гражданском кодексе, Законе о механизмах найма (аренды) и Законе о жилищных пособиях.</w:t>
      </w:r>
    </w:p>
    <w:p w:rsidR="00000000" w:rsidRDefault="00000000"/>
    <w:p w:rsidR="00000000" w:rsidRDefault="00000000">
      <w:r>
        <w:t>371.</w:t>
      </w:r>
      <w:r>
        <w:tab/>
        <w:t>Индивидуальные владельцы жилья имеют те же права в плане установления размера арендной платы, что и общественные частные владельцы (жилищные ассоциации).  Однако их жилой фонд является зачастую более старым (довоенная застройка) и нуждается в соответствующем обновлении и ремонте.  Кроме того, они нередко практикуют резкое повышение уровня арендной платы.  В 1999 году Министерство жилищного строительства приняло соответствующие меры для урегулирования этой ситуации.  Вместо введения более жесткой политики в отношении уровней арендной платы для частных владельцев оно разработало комплексную реформу законодательства по вопросам аренды, которая вступила в действие 1 августа 2003 года (см. предшествующий пункт) с включением положения о "процедуре ремонта" в Закон о найме (аренде).  Это позволяет комиссиям по вопросам аренды устанавливать намного более низкие уровни арендной платы (либо на временной, либо на постоянной основе) для жилых помещений с недостатками, которые серьезно снижают их пригодность для проживания.  Цель этой меры состоит в обеспечении того, чтобы владельцы жилья старались быстрее исправить такие недостатки.</w:t>
      </w:r>
    </w:p>
    <w:p w:rsidR="00000000" w:rsidRDefault="00000000"/>
    <w:p w:rsidR="00000000" w:rsidRDefault="00000000">
      <w:pPr>
        <w:rPr>
          <w:b/>
          <w:bCs/>
        </w:rPr>
      </w:pPr>
      <w:r>
        <w:rPr>
          <w:b/>
          <w:bCs/>
        </w:rPr>
        <w:t>Недискриминация</w:t>
      </w:r>
    </w:p>
    <w:p w:rsidR="00000000" w:rsidRDefault="00000000">
      <w:pPr>
        <w:rPr>
          <w:b/>
          <w:bCs/>
        </w:rPr>
      </w:pPr>
    </w:p>
    <w:p w:rsidR="00000000" w:rsidRDefault="00000000">
      <w:r>
        <w:t>372.</w:t>
      </w:r>
      <w:r>
        <w:tab/>
        <w:t xml:space="preserve">В этом контексте можно упомянуть ряд конкретных групп, хотя следует отметить, что любая дискриминация в их отношении </w:t>
      </w:r>
      <w:r>
        <w:noBreakHyphen/>
        <w:t xml:space="preserve"> в том числе в сфере жилищного обеспечения </w:t>
      </w:r>
      <w:r>
        <w:noBreakHyphen/>
        <w:t xml:space="preserve"> традиционно является позитивной.  Нынешняя цель заключается в том, чтобы жилищные потребности этих групп удовлетворялись по возможности в рамках общей жилищной политики.  Так, например, в Постановление о жилищных субсидиях, Постановление о жилищном строительстве и в Закон о найме (аренде) включены ранее действовавшие специальные законодательные положения, касающиеся лиц, проживающих в домах-фургонах, и мест стоянки таких автофургонов.  Вместе с тем это не означает, что в будущем могут потребоваться дополнительные конкретные меры.</w:t>
      </w:r>
    </w:p>
    <w:p w:rsidR="00000000" w:rsidRDefault="00000000"/>
    <w:p w:rsidR="00000000" w:rsidRDefault="00000000">
      <w:pPr>
        <w:rPr>
          <w:i/>
          <w:iCs/>
        </w:rPr>
      </w:pPr>
      <w:r>
        <w:rPr>
          <w:i/>
          <w:iCs/>
        </w:rPr>
        <w:t>Просители убежища</w:t>
      </w:r>
    </w:p>
    <w:p w:rsidR="00000000" w:rsidRDefault="00000000">
      <w:pPr>
        <w:rPr>
          <w:i/>
          <w:iCs/>
        </w:rPr>
      </w:pPr>
    </w:p>
    <w:p w:rsidR="00000000" w:rsidRDefault="00000000">
      <w:r>
        <w:t>373.</w:t>
      </w:r>
      <w:r>
        <w:tab/>
        <w:t xml:space="preserve">В законодательстве проводится различие между а)  просителями убежища, которые нуждаются в жилье до получения ими официального вида на жительство;  и </w:t>
      </w:r>
      <w:r>
        <w:rPr>
          <w:lang w:val="en-US"/>
        </w:rPr>
        <w:t>b</w:t>
      </w:r>
      <w:r>
        <w:t xml:space="preserve">)  просителями убежища, получившими временный или постоянный вид на жительство, для которых должно быть найдено постоянное жилье.  Примерно 60% этих групп состоят из одиноких людей, а 40% </w:t>
      </w:r>
      <w:r>
        <w:noBreakHyphen/>
        <w:t xml:space="preserve"> это полные или неполные семьи.  В настоящее время центральное правительство несет непосредственную ответственность за размещение лиц, принадлежащих к группе а).  Все эти лица размещаются в специально предназначенных для этого центрах по всей территории страны.</w:t>
      </w:r>
    </w:p>
    <w:p w:rsidR="00000000" w:rsidRDefault="00000000"/>
    <w:p w:rsidR="00000000" w:rsidRDefault="00000000">
      <w:r>
        <w:t>374.</w:t>
      </w:r>
      <w:r>
        <w:tab/>
        <w:t xml:space="preserve">Согласно Закону о распределении жилой площади размещением лиц, принадлежащих к группе b), занимаются муниципалитеты.  Каждые шесть месяцев министр юстиции (а в настоящее время - министр по делам интеграции и иммиграции) публикует в Правительственном вестнике количество беженцев и просителей убежища, которые получили вид на жительство и нуждаются в жилье.  Министерство жилищного строительства предоставляет дополнительные субсидии для содействия размещению этих лиц, в том числе на временной основе, с тем чтобы обеспечить их каким-либо жильем до завершения строительства зданий для постоянного проживания этих групп лиц.  Такие временные жилые помещения могут сооружаться в местах, которые пока не предназначаются для застройки в соответствии с муниципальными планами землепользования.  Процедуры распределения жилой площади (на основании постановлений муниципалитетов) были скорректированы таким образом, чтобы расширить возможности соответствующих лиц на рынке жилья.  </w:t>
      </w:r>
    </w:p>
    <w:p w:rsidR="00000000" w:rsidRDefault="00000000"/>
    <w:p w:rsidR="00000000" w:rsidRDefault="00000000">
      <w:r>
        <w:t>375.</w:t>
      </w:r>
      <w:r>
        <w:tab/>
        <w:t xml:space="preserve">Контракты об аренде таких временных жилых помещений регулируются обычным законодательством о сдаче в аренду и найме жилья (Гражданский кодекс, статья 7 А).  Все эти жилые помещения подпадают под действие вышеупомянутого Закона о найме (аренде).  Это означает, что их оценка, процентный расчет максимальной ренты и т.д. производятся таким же образом, как и в отношении любого другого арендуемого жилого помещения.  Требования, предъявляемые к качеству таких временных жилых помещений, должны соответствовать положениям Постановления о жилищном строительстве, касающемся обычного жилья.  В настоящее время использование таких временных жилых помещений является довольно ограниченным.  Это отчасти объясняется резким сокращением числа лиц, ищущих убежища, а это означает, что сейчас приемлемое жилье можно найти в рамках существующего жилого фонда.  </w:t>
      </w:r>
    </w:p>
    <w:p w:rsidR="00000000" w:rsidRDefault="00000000"/>
    <w:p w:rsidR="00000000" w:rsidRDefault="00000000">
      <w:r>
        <w:t>376.</w:t>
      </w:r>
      <w:r>
        <w:tab/>
        <w:t>В таблицах 18, 19 и 20 приведено общее количество просителей убежища и количество таких лиц, получивших временный или постоянный вид на жительство, за период с 1996 по 2002 год.</w:t>
      </w:r>
    </w:p>
    <w:p w:rsidR="00000000" w:rsidRDefault="00000000"/>
    <w:p w:rsidR="00000000" w:rsidRDefault="00000000">
      <w:pPr>
        <w:keepNext/>
        <w:spacing w:line="216" w:lineRule="auto"/>
        <w:jc w:val="center"/>
        <w:rPr>
          <w:b/>
          <w:bCs/>
        </w:rPr>
      </w:pPr>
      <w:r>
        <w:rPr>
          <w:b/>
          <w:bCs/>
        </w:rPr>
        <w:t>Таблица 18</w:t>
      </w:r>
    </w:p>
    <w:p w:rsidR="00000000" w:rsidRDefault="00000000">
      <w:pPr>
        <w:keepNext/>
        <w:spacing w:line="216" w:lineRule="auto"/>
        <w:jc w:val="center"/>
        <w:rPr>
          <w:b/>
          <w:bCs/>
        </w:rPr>
      </w:pPr>
    </w:p>
    <w:p w:rsidR="00000000" w:rsidRDefault="00000000">
      <w:pPr>
        <w:keepNext/>
        <w:spacing w:line="216" w:lineRule="auto"/>
        <w:jc w:val="center"/>
        <w:rPr>
          <w:b/>
          <w:bCs/>
        </w:rPr>
      </w:pPr>
      <w:r>
        <w:rPr>
          <w:b/>
          <w:bCs/>
        </w:rPr>
        <w:t>Количество просителей убежища</w:t>
      </w:r>
    </w:p>
    <w:p w:rsidR="00000000" w:rsidRDefault="00000000">
      <w:pPr>
        <w:keepNext/>
        <w:spacing w:line="216" w:lineRule="auto"/>
        <w:jc w:val="center"/>
        <w:rPr>
          <w:b/>
          <w:bCs/>
        </w:rPr>
      </w:pPr>
    </w:p>
    <w:tbl>
      <w:tblPr>
        <w:tblW w:w="0" w:type="auto"/>
        <w:jc w:val="center"/>
        <w:tblInd w:w="195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5"/>
        <w:gridCol w:w="2976"/>
      </w:tblGrid>
      <w:tr w:rsidR="00000000">
        <w:tblPrEx>
          <w:tblCellMar>
            <w:top w:w="0" w:type="dxa"/>
            <w:bottom w:w="0" w:type="dxa"/>
          </w:tblCellMar>
        </w:tblPrEx>
        <w:trPr>
          <w:jc w:val="center"/>
        </w:trPr>
        <w:tc>
          <w:tcPr>
            <w:tcW w:w="2975" w:type="dxa"/>
          </w:tcPr>
          <w:p w:rsidR="00000000" w:rsidRDefault="00000000">
            <w:pPr>
              <w:keepNext/>
              <w:jc w:val="center"/>
            </w:pPr>
            <w:r>
              <w:t>1996</w:t>
            </w:r>
          </w:p>
        </w:tc>
        <w:tc>
          <w:tcPr>
            <w:tcW w:w="2976" w:type="dxa"/>
          </w:tcPr>
          <w:p w:rsidR="00000000" w:rsidRDefault="00000000">
            <w:pPr>
              <w:keepNext/>
              <w:jc w:val="center"/>
            </w:pPr>
            <w:r>
              <w:t>19 900</w:t>
            </w:r>
          </w:p>
        </w:tc>
      </w:tr>
      <w:tr w:rsidR="00000000">
        <w:tblPrEx>
          <w:tblCellMar>
            <w:top w:w="0" w:type="dxa"/>
            <w:bottom w:w="0" w:type="dxa"/>
          </w:tblCellMar>
        </w:tblPrEx>
        <w:trPr>
          <w:jc w:val="center"/>
        </w:trPr>
        <w:tc>
          <w:tcPr>
            <w:tcW w:w="2975" w:type="dxa"/>
          </w:tcPr>
          <w:p w:rsidR="00000000" w:rsidRDefault="00000000">
            <w:pPr>
              <w:jc w:val="center"/>
            </w:pPr>
            <w:r>
              <w:t>1997</w:t>
            </w:r>
          </w:p>
        </w:tc>
        <w:tc>
          <w:tcPr>
            <w:tcW w:w="2976" w:type="dxa"/>
          </w:tcPr>
          <w:p w:rsidR="00000000" w:rsidRDefault="00000000">
            <w:pPr>
              <w:jc w:val="center"/>
            </w:pPr>
            <w:r>
              <w:t>31 500</w:t>
            </w:r>
          </w:p>
        </w:tc>
      </w:tr>
      <w:tr w:rsidR="00000000">
        <w:tblPrEx>
          <w:tblCellMar>
            <w:top w:w="0" w:type="dxa"/>
            <w:bottom w:w="0" w:type="dxa"/>
          </w:tblCellMar>
        </w:tblPrEx>
        <w:trPr>
          <w:jc w:val="center"/>
        </w:trPr>
        <w:tc>
          <w:tcPr>
            <w:tcW w:w="2975" w:type="dxa"/>
          </w:tcPr>
          <w:p w:rsidR="00000000" w:rsidRDefault="00000000">
            <w:pPr>
              <w:jc w:val="center"/>
            </w:pPr>
            <w:r>
              <w:t>1998</w:t>
            </w:r>
          </w:p>
        </w:tc>
        <w:tc>
          <w:tcPr>
            <w:tcW w:w="2976" w:type="dxa"/>
          </w:tcPr>
          <w:p w:rsidR="00000000" w:rsidRDefault="00000000">
            <w:pPr>
              <w:jc w:val="center"/>
            </w:pPr>
            <w:r>
              <w:t>42 000</w:t>
            </w:r>
          </w:p>
        </w:tc>
      </w:tr>
      <w:tr w:rsidR="00000000">
        <w:tblPrEx>
          <w:tblCellMar>
            <w:top w:w="0" w:type="dxa"/>
            <w:bottom w:w="0" w:type="dxa"/>
          </w:tblCellMar>
        </w:tblPrEx>
        <w:trPr>
          <w:jc w:val="center"/>
        </w:trPr>
        <w:tc>
          <w:tcPr>
            <w:tcW w:w="2975" w:type="dxa"/>
          </w:tcPr>
          <w:p w:rsidR="00000000" w:rsidRDefault="00000000">
            <w:pPr>
              <w:jc w:val="center"/>
            </w:pPr>
            <w:r>
              <w:t>1999</w:t>
            </w:r>
          </w:p>
        </w:tc>
        <w:tc>
          <w:tcPr>
            <w:tcW w:w="2976" w:type="dxa"/>
          </w:tcPr>
          <w:p w:rsidR="00000000" w:rsidRDefault="00000000">
            <w:pPr>
              <w:jc w:val="center"/>
            </w:pPr>
            <w:r>
              <w:t>38 300</w:t>
            </w:r>
          </w:p>
        </w:tc>
      </w:tr>
      <w:tr w:rsidR="00000000">
        <w:tblPrEx>
          <w:tblCellMar>
            <w:top w:w="0" w:type="dxa"/>
            <w:bottom w:w="0" w:type="dxa"/>
          </w:tblCellMar>
        </w:tblPrEx>
        <w:trPr>
          <w:jc w:val="center"/>
        </w:trPr>
        <w:tc>
          <w:tcPr>
            <w:tcW w:w="2975" w:type="dxa"/>
          </w:tcPr>
          <w:p w:rsidR="00000000" w:rsidRDefault="00000000">
            <w:pPr>
              <w:jc w:val="center"/>
            </w:pPr>
            <w:r>
              <w:t>2000</w:t>
            </w:r>
          </w:p>
        </w:tc>
        <w:tc>
          <w:tcPr>
            <w:tcW w:w="2976" w:type="dxa"/>
          </w:tcPr>
          <w:p w:rsidR="00000000" w:rsidRDefault="00000000">
            <w:pPr>
              <w:jc w:val="center"/>
            </w:pPr>
            <w:r>
              <w:t>33 600</w:t>
            </w:r>
          </w:p>
        </w:tc>
      </w:tr>
      <w:tr w:rsidR="00000000">
        <w:tblPrEx>
          <w:tblCellMar>
            <w:top w:w="0" w:type="dxa"/>
            <w:bottom w:w="0" w:type="dxa"/>
          </w:tblCellMar>
        </w:tblPrEx>
        <w:trPr>
          <w:jc w:val="center"/>
        </w:trPr>
        <w:tc>
          <w:tcPr>
            <w:tcW w:w="2975" w:type="dxa"/>
          </w:tcPr>
          <w:p w:rsidR="00000000" w:rsidRDefault="00000000">
            <w:pPr>
              <w:jc w:val="center"/>
            </w:pPr>
            <w:r>
              <w:t>2001</w:t>
            </w:r>
          </w:p>
        </w:tc>
        <w:tc>
          <w:tcPr>
            <w:tcW w:w="2976" w:type="dxa"/>
          </w:tcPr>
          <w:p w:rsidR="00000000" w:rsidRDefault="00000000">
            <w:pPr>
              <w:jc w:val="center"/>
            </w:pPr>
            <w:r>
              <w:t>25 300</w:t>
            </w:r>
          </w:p>
        </w:tc>
      </w:tr>
      <w:tr w:rsidR="00000000">
        <w:tblPrEx>
          <w:tblCellMar>
            <w:top w:w="0" w:type="dxa"/>
            <w:bottom w:w="0" w:type="dxa"/>
          </w:tblCellMar>
        </w:tblPrEx>
        <w:trPr>
          <w:trHeight w:val="299"/>
          <w:jc w:val="center"/>
        </w:trPr>
        <w:tc>
          <w:tcPr>
            <w:tcW w:w="2975" w:type="dxa"/>
          </w:tcPr>
          <w:p w:rsidR="00000000" w:rsidRDefault="00000000">
            <w:pPr>
              <w:jc w:val="center"/>
            </w:pPr>
            <w:r>
              <w:t>2002</w:t>
            </w:r>
          </w:p>
        </w:tc>
        <w:tc>
          <w:tcPr>
            <w:tcW w:w="2976" w:type="dxa"/>
          </w:tcPr>
          <w:p w:rsidR="00000000" w:rsidRDefault="00000000">
            <w:pPr>
              <w:jc w:val="center"/>
            </w:pPr>
            <w:r>
              <w:t>13 000</w:t>
            </w:r>
          </w:p>
        </w:tc>
      </w:tr>
    </w:tbl>
    <w:p w:rsidR="00000000" w:rsidRDefault="00000000">
      <w:pPr>
        <w:jc w:val="center"/>
        <w:rPr>
          <w:b/>
          <w:bCs/>
        </w:rPr>
      </w:pPr>
    </w:p>
    <w:p w:rsidR="00000000" w:rsidRDefault="00000000">
      <w:pPr>
        <w:jc w:val="center"/>
        <w:rPr>
          <w:b/>
          <w:bCs/>
        </w:rPr>
      </w:pPr>
      <w:r>
        <w:rPr>
          <w:b/>
          <w:bCs/>
        </w:rPr>
        <w:t>Таблица 19</w:t>
      </w:r>
    </w:p>
    <w:p w:rsidR="00000000" w:rsidRDefault="00000000">
      <w:pPr>
        <w:jc w:val="center"/>
        <w:rPr>
          <w:b/>
          <w:bCs/>
        </w:rPr>
      </w:pPr>
    </w:p>
    <w:p w:rsidR="00000000" w:rsidRDefault="00000000">
      <w:pPr>
        <w:jc w:val="center"/>
        <w:rPr>
          <w:b/>
          <w:bCs/>
        </w:rPr>
      </w:pPr>
      <w:r>
        <w:rPr>
          <w:b/>
          <w:bCs/>
        </w:rPr>
        <w:t>Количество просителей убежища, которые получили вид на жительство</w:t>
      </w:r>
    </w:p>
    <w:p w:rsidR="00000000" w:rsidRDefault="00000000">
      <w:pPr>
        <w:jc w:val="center"/>
        <w:rPr>
          <w:b/>
          <w:bCs/>
        </w:rPr>
      </w:pPr>
      <w:r>
        <w:rPr>
          <w:b/>
          <w:bCs/>
        </w:rPr>
        <w:t>и размещены в специальных центрах</w:t>
      </w:r>
    </w:p>
    <w:p w:rsidR="00000000" w:rsidRDefault="00000000">
      <w:pPr>
        <w:jc w:val="center"/>
        <w:rPr>
          <w:b/>
          <w:bCs/>
        </w:rPr>
      </w:pPr>
    </w:p>
    <w:tbl>
      <w:tblPr>
        <w:tblW w:w="0" w:type="auto"/>
        <w:jc w:val="center"/>
        <w:tblInd w:w="152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90"/>
        <w:gridCol w:w="3202"/>
      </w:tblGrid>
      <w:tr w:rsidR="00000000">
        <w:tblPrEx>
          <w:tblCellMar>
            <w:top w:w="0" w:type="dxa"/>
            <w:bottom w:w="0" w:type="dxa"/>
          </w:tblCellMar>
        </w:tblPrEx>
        <w:trPr>
          <w:jc w:val="center"/>
        </w:trPr>
        <w:tc>
          <w:tcPr>
            <w:tcW w:w="3090" w:type="dxa"/>
          </w:tcPr>
          <w:p w:rsidR="00000000" w:rsidRDefault="00000000">
            <w:pPr>
              <w:jc w:val="center"/>
            </w:pPr>
            <w:r>
              <w:t>1996</w:t>
            </w:r>
          </w:p>
        </w:tc>
        <w:tc>
          <w:tcPr>
            <w:tcW w:w="3202" w:type="dxa"/>
          </w:tcPr>
          <w:p w:rsidR="00000000" w:rsidRDefault="00000000">
            <w:pPr>
              <w:jc w:val="center"/>
            </w:pPr>
            <w:r>
              <w:t>22 300</w:t>
            </w:r>
          </w:p>
        </w:tc>
      </w:tr>
      <w:tr w:rsidR="00000000">
        <w:tblPrEx>
          <w:tblCellMar>
            <w:top w:w="0" w:type="dxa"/>
            <w:bottom w:w="0" w:type="dxa"/>
          </w:tblCellMar>
        </w:tblPrEx>
        <w:trPr>
          <w:jc w:val="center"/>
        </w:trPr>
        <w:tc>
          <w:tcPr>
            <w:tcW w:w="3090" w:type="dxa"/>
          </w:tcPr>
          <w:p w:rsidR="00000000" w:rsidRDefault="00000000">
            <w:pPr>
              <w:jc w:val="center"/>
            </w:pPr>
            <w:r>
              <w:t>1997</w:t>
            </w:r>
          </w:p>
        </w:tc>
        <w:tc>
          <w:tcPr>
            <w:tcW w:w="3202" w:type="dxa"/>
          </w:tcPr>
          <w:p w:rsidR="00000000" w:rsidRDefault="00000000">
            <w:pPr>
              <w:jc w:val="center"/>
            </w:pPr>
            <w:r>
              <w:t>17 000</w:t>
            </w:r>
          </w:p>
        </w:tc>
      </w:tr>
      <w:tr w:rsidR="00000000">
        <w:tblPrEx>
          <w:tblCellMar>
            <w:top w:w="0" w:type="dxa"/>
            <w:bottom w:w="0" w:type="dxa"/>
          </w:tblCellMar>
        </w:tblPrEx>
        <w:trPr>
          <w:jc w:val="center"/>
        </w:trPr>
        <w:tc>
          <w:tcPr>
            <w:tcW w:w="3090" w:type="dxa"/>
          </w:tcPr>
          <w:p w:rsidR="00000000" w:rsidRDefault="00000000">
            <w:pPr>
              <w:jc w:val="center"/>
            </w:pPr>
            <w:r>
              <w:t>1998</w:t>
            </w:r>
          </w:p>
        </w:tc>
        <w:tc>
          <w:tcPr>
            <w:tcW w:w="3202" w:type="dxa"/>
          </w:tcPr>
          <w:p w:rsidR="00000000" w:rsidRDefault="00000000">
            <w:pPr>
              <w:jc w:val="center"/>
            </w:pPr>
            <w:r>
              <w:t>15 000</w:t>
            </w:r>
          </w:p>
        </w:tc>
      </w:tr>
      <w:tr w:rsidR="00000000">
        <w:tblPrEx>
          <w:tblCellMar>
            <w:top w:w="0" w:type="dxa"/>
            <w:bottom w:w="0" w:type="dxa"/>
          </w:tblCellMar>
        </w:tblPrEx>
        <w:trPr>
          <w:jc w:val="center"/>
        </w:trPr>
        <w:tc>
          <w:tcPr>
            <w:tcW w:w="3090" w:type="dxa"/>
          </w:tcPr>
          <w:p w:rsidR="00000000" w:rsidRDefault="00000000">
            <w:pPr>
              <w:pStyle w:val="Header"/>
              <w:tabs>
                <w:tab w:val="clear" w:pos="4153"/>
                <w:tab w:val="clear" w:pos="8306"/>
              </w:tabs>
              <w:jc w:val="center"/>
            </w:pPr>
            <w:r>
              <w:t>1999</w:t>
            </w:r>
          </w:p>
        </w:tc>
        <w:tc>
          <w:tcPr>
            <w:tcW w:w="3202" w:type="dxa"/>
          </w:tcPr>
          <w:p w:rsidR="00000000" w:rsidRDefault="00000000">
            <w:pPr>
              <w:pStyle w:val="Header"/>
              <w:tabs>
                <w:tab w:val="clear" w:pos="4153"/>
                <w:tab w:val="clear" w:pos="8306"/>
              </w:tabs>
              <w:jc w:val="center"/>
            </w:pPr>
            <w:r>
              <w:t xml:space="preserve">  9 500</w:t>
            </w:r>
          </w:p>
        </w:tc>
      </w:tr>
      <w:tr w:rsidR="00000000">
        <w:tblPrEx>
          <w:tblCellMar>
            <w:top w:w="0" w:type="dxa"/>
            <w:bottom w:w="0" w:type="dxa"/>
          </w:tblCellMar>
        </w:tblPrEx>
        <w:trPr>
          <w:jc w:val="center"/>
        </w:trPr>
        <w:tc>
          <w:tcPr>
            <w:tcW w:w="3090" w:type="dxa"/>
          </w:tcPr>
          <w:p w:rsidR="00000000" w:rsidRDefault="00000000">
            <w:pPr>
              <w:jc w:val="center"/>
            </w:pPr>
            <w:r>
              <w:t>2000</w:t>
            </w:r>
          </w:p>
        </w:tc>
        <w:tc>
          <w:tcPr>
            <w:tcW w:w="3202" w:type="dxa"/>
          </w:tcPr>
          <w:p w:rsidR="00000000" w:rsidRDefault="00000000">
            <w:pPr>
              <w:jc w:val="center"/>
            </w:pPr>
            <w:r>
              <w:t xml:space="preserve">  9 700</w:t>
            </w:r>
          </w:p>
        </w:tc>
      </w:tr>
      <w:tr w:rsidR="00000000">
        <w:tblPrEx>
          <w:tblCellMar>
            <w:top w:w="0" w:type="dxa"/>
            <w:bottom w:w="0" w:type="dxa"/>
          </w:tblCellMar>
        </w:tblPrEx>
        <w:trPr>
          <w:jc w:val="center"/>
        </w:trPr>
        <w:tc>
          <w:tcPr>
            <w:tcW w:w="3090" w:type="dxa"/>
          </w:tcPr>
          <w:p w:rsidR="00000000" w:rsidRDefault="00000000">
            <w:pPr>
              <w:jc w:val="center"/>
            </w:pPr>
            <w:r>
              <w:t>2001</w:t>
            </w:r>
          </w:p>
        </w:tc>
        <w:tc>
          <w:tcPr>
            <w:tcW w:w="3202" w:type="dxa"/>
          </w:tcPr>
          <w:p w:rsidR="00000000" w:rsidRDefault="00000000">
            <w:pPr>
              <w:jc w:val="center"/>
            </w:pPr>
            <w:r>
              <w:t xml:space="preserve">  8 500</w:t>
            </w:r>
          </w:p>
        </w:tc>
      </w:tr>
      <w:tr w:rsidR="00000000">
        <w:tblPrEx>
          <w:tblCellMar>
            <w:top w:w="0" w:type="dxa"/>
            <w:bottom w:w="0" w:type="dxa"/>
          </w:tblCellMar>
        </w:tblPrEx>
        <w:trPr>
          <w:jc w:val="center"/>
        </w:trPr>
        <w:tc>
          <w:tcPr>
            <w:tcW w:w="3090" w:type="dxa"/>
          </w:tcPr>
          <w:p w:rsidR="00000000" w:rsidRDefault="00000000">
            <w:pPr>
              <w:jc w:val="center"/>
            </w:pPr>
            <w:r>
              <w:t>2002</w:t>
            </w:r>
          </w:p>
        </w:tc>
        <w:tc>
          <w:tcPr>
            <w:tcW w:w="3202" w:type="dxa"/>
          </w:tcPr>
          <w:p w:rsidR="00000000" w:rsidRDefault="00000000">
            <w:pPr>
              <w:jc w:val="center"/>
            </w:pPr>
            <w:r>
              <w:t xml:space="preserve">  8 900</w:t>
            </w:r>
          </w:p>
        </w:tc>
      </w:tr>
    </w:tbl>
    <w:p w:rsidR="00000000" w:rsidRDefault="00000000">
      <w:pPr>
        <w:jc w:val="center"/>
        <w:rPr>
          <w:b/>
          <w:bCs/>
        </w:rPr>
      </w:pPr>
    </w:p>
    <w:p w:rsidR="00000000" w:rsidRDefault="00000000">
      <w:pPr>
        <w:spacing w:line="240" w:lineRule="auto"/>
        <w:jc w:val="center"/>
        <w:rPr>
          <w:b/>
          <w:bCs/>
        </w:rPr>
      </w:pPr>
      <w:r>
        <w:rPr>
          <w:b/>
          <w:bCs/>
        </w:rPr>
        <w:t>Таблица 20</w:t>
      </w:r>
    </w:p>
    <w:p w:rsidR="00000000" w:rsidRDefault="00000000">
      <w:pPr>
        <w:spacing w:line="240" w:lineRule="auto"/>
        <w:jc w:val="center"/>
        <w:rPr>
          <w:b/>
          <w:bCs/>
        </w:rPr>
      </w:pPr>
    </w:p>
    <w:p w:rsidR="00000000" w:rsidRDefault="00000000">
      <w:pPr>
        <w:spacing w:line="240" w:lineRule="auto"/>
        <w:jc w:val="center"/>
        <w:rPr>
          <w:b/>
          <w:bCs/>
        </w:rPr>
      </w:pPr>
      <w:r>
        <w:rPr>
          <w:b/>
          <w:bCs/>
        </w:rPr>
        <w:t>Количество беженцев, которым предоставлено</w:t>
      </w:r>
    </w:p>
    <w:p w:rsidR="00000000" w:rsidRDefault="00000000">
      <w:pPr>
        <w:spacing w:line="240" w:lineRule="auto"/>
        <w:jc w:val="center"/>
        <w:rPr>
          <w:b/>
          <w:bCs/>
          <w:lang w:val="en-US"/>
        </w:rPr>
      </w:pPr>
      <w:r>
        <w:rPr>
          <w:b/>
          <w:bCs/>
        </w:rPr>
        <w:t>муниципальное жилье</w:t>
      </w:r>
    </w:p>
    <w:p w:rsidR="00000000" w:rsidRDefault="00000000">
      <w:pPr>
        <w:spacing w:line="240" w:lineRule="auto"/>
        <w:jc w:val="center"/>
        <w:rPr>
          <w:b/>
          <w:bCs/>
          <w:lang w:val="en-US"/>
        </w:rPr>
      </w:pPr>
    </w:p>
    <w:tbl>
      <w:tblPr>
        <w:tblW w:w="0" w:type="auto"/>
        <w:jc w:val="center"/>
        <w:tblInd w:w="1375"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241"/>
        <w:gridCol w:w="3169"/>
      </w:tblGrid>
      <w:tr w:rsidR="00000000">
        <w:tblPrEx>
          <w:tblCellMar>
            <w:top w:w="0" w:type="dxa"/>
            <w:bottom w:w="0" w:type="dxa"/>
          </w:tblCellMar>
        </w:tblPrEx>
        <w:trPr>
          <w:jc w:val="center"/>
        </w:trPr>
        <w:tc>
          <w:tcPr>
            <w:tcW w:w="3241" w:type="dxa"/>
          </w:tcPr>
          <w:p w:rsidR="00000000" w:rsidRDefault="00000000">
            <w:pPr>
              <w:pStyle w:val="Header"/>
              <w:tabs>
                <w:tab w:val="clear" w:pos="4153"/>
                <w:tab w:val="clear" w:pos="8306"/>
              </w:tabs>
              <w:jc w:val="center"/>
            </w:pPr>
            <w:r>
              <w:t>1996</w:t>
            </w:r>
          </w:p>
        </w:tc>
        <w:tc>
          <w:tcPr>
            <w:tcW w:w="3169" w:type="dxa"/>
          </w:tcPr>
          <w:p w:rsidR="00000000" w:rsidRDefault="00000000">
            <w:pPr>
              <w:pStyle w:val="Header"/>
              <w:tabs>
                <w:tab w:val="clear" w:pos="4153"/>
                <w:tab w:val="clear" w:pos="8306"/>
              </w:tabs>
              <w:jc w:val="center"/>
            </w:pPr>
            <w:r>
              <w:t>15 300</w:t>
            </w:r>
          </w:p>
        </w:tc>
      </w:tr>
      <w:tr w:rsidR="00000000">
        <w:tblPrEx>
          <w:tblCellMar>
            <w:top w:w="0" w:type="dxa"/>
            <w:bottom w:w="0" w:type="dxa"/>
          </w:tblCellMar>
        </w:tblPrEx>
        <w:trPr>
          <w:jc w:val="center"/>
        </w:trPr>
        <w:tc>
          <w:tcPr>
            <w:tcW w:w="3241" w:type="dxa"/>
          </w:tcPr>
          <w:p w:rsidR="00000000" w:rsidRDefault="00000000">
            <w:pPr>
              <w:jc w:val="center"/>
            </w:pPr>
            <w:r>
              <w:t>1997</w:t>
            </w:r>
          </w:p>
        </w:tc>
        <w:tc>
          <w:tcPr>
            <w:tcW w:w="3169" w:type="dxa"/>
          </w:tcPr>
          <w:p w:rsidR="00000000" w:rsidRDefault="00000000">
            <w:pPr>
              <w:jc w:val="center"/>
            </w:pPr>
            <w:r>
              <w:t>16 900</w:t>
            </w:r>
          </w:p>
        </w:tc>
      </w:tr>
      <w:tr w:rsidR="00000000">
        <w:tblPrEx>
          <w:tblCellMar>
            <w:top w:w="0" w:type="dxa"/>
            <w:bottom w:w="0" w:type="dxa"/>
          </w:tblCellMar>
        </w:tblPrEx>
        <w:trPr>
          <w:jc w:val="center"/>
        </w:trPr>
        <w:tc>
          <w:tcPr>
            <w:tcW w:w="3241" w:type="dxa"/>
          </w:tcPr>
          <w:p w:rsidR="00000000" w:rsidRDefault="00000000">
            <w:pPr>
              <w:jc w:val="center"/>
            </w:pPr>
            <w:r>
              <w:t>1998</w:t>
            </w:r>
          </w:p>
        </w:tc>
        <w:tc>
          <w:tcPr>
            <w:tcW w:w="3169" w:type="dxa"/>
          </w:tcPr>
          <w:p w:rsidR="00000000" w:rsidRDefault="00000000">
            <w:pPr>
              <w:jc w:val="center"/>
            </w:pPr>
            <w:r>
              <w:t>15 500</w:t>
            </w:r>
          </w:p>
        </w:tc>
      </w:tr>
      <w:tr w:rsidR="00000000">
        <w:tblPrEx>
          <w:tblCellMar>
            <w:top w:w="0" w:type="dxa"/>
            <w:bottom w:w="0" w:type="dxa"/>
          </w:tblCellMar>
        </w:tblPrEx>
        <w:trPr>
          <w:jc w:val="center"/>
        </w:trPr>
        <w:tc>
          <w:tcPr>
            <w:tcW w:w="3241" w:type="dxa"/>
          </w:tcPr>
          <w:p w:rsidR="00000000" w:rsidRDefault="00000000">
            <w:pPr>
              <w:jc w:val="center"/>
            </w:pPr>
            <w:r>
              <w:t>1999</w:t>
            </w:r>
          </w:p>
        </w:tc>
        <w:tc>
          <w:tcPr>
            <w:tcW w:w="3169" w:type="dxa"/>
          </w:tcPr>
          <w:p w:rsidR="00000000" w:rsidRDefault="00000000">
            <w:pPr>
              <w:jc w:val="center"/>
            </w:pPr>
            <w:r>
              <w:t>12 900</w:t>
            </w:r>
          </w:p>
        </w:tc>
      </w:tr>
      <w:tr w:rsidR="00000000">
        <w:tblPrEx>
          <w:tblCellMar>
            <w:top w:w="0" w:type="dxa"/>
            <w:bottom w:w="0" w:type="dxa"/>
          </w:tblCellMar>
        </w:tblPrEx>
        <w:trPr>
          <w:jc w:val="center"/>
        </w:trPr>
        <w:tc>
          <w:tcPr>
            <w:tcW w:w="3241" w:type="dxa"/>
          </w:tcPr>
          <w:p w:rsidR="00000000" w:rsidRDefault="00000000">
            <w:pPr>
              <w:jc w:val="center"/>
            </w:pPr>
            <w:r>
              <w:t>2000</w:t>
            </w:r>
          </w:p>
        </w:tc>
        <w:tc>
          <w:tcPr>
            <w:tcW w:w="3169" w:type="dxa"/>
          </w:tcPr>
          <w:p w:rsidR="00000000" w:rsidRDefault="00000000">
            <w:pPr>
              <w:jc w:val="center"/>
            </w:pPr>
            <w:r>
              <w:t>8 200</w:t>
            </w:r>
          </w:p>
        </w:tc>
      </w:tr>
      <w:tr w:rsidR="00000000">
        <w:tblPrEx>
          <w:tblCellMar>
            <w:top w:w="0" w:type="dxa"/>
            <w:bottom w:w="0" w:type="dxa"/>
          </w:tblCellMar>
        </w:tblPrEx>
        <w:trPr>
          <w:jc w:val="center"/>
        </w:trPr>
        <w:tc>
          <w:tcPr>
            <w:tcW w:w="3241" w:type="dxa"/>
          </w:tcPr>
          <w:p w:rsidR="00000000" w:rsidRDefault="00000000">
            <w:pPr>
              <w:jc w:val="center"/>
            </w:pPr>
            <w:r>
              <w:t>2001</w:t>
            </w:r>
          </w:p>
        </w:tc>
        <w:tc>
          <w:tcPr>
            <w:tcW w:w="3169" w:type="dxa"/>
          </w:tcPr>
          <w:p w:rsidR="00000000" w:rsidRDefault="00000000">
            <w:pPr>
              <w:jc w:val="center"/>
            </w:pPr>
            <w:r>
              <w:t>5 800</w:t>
            </w:r>
          </w:p>
        </w:tc>
      </w:tr>
      <w:tr w:rsidR="00000000">
        <w:tblPrEx>
          <w:tblCellMar>
            <w:top w:w="0" w:type="dxa"/>
            <w:bottom w:w="0" w:type="dxa"/>
          </w:tblCellMar>
        </w:tblPrEx>
        <w:trPr>
          <w:jc w:val="center"/>
        </w:trPr>
        <w:tc>
          <w:tcPr>
            <w:tcW w:w="3241" w:type="dxa"/>
          </w:tcPr>
          <w:p w:rsidR="00000000" w:rsidRDefault="00000000">
            <w:pPr>
              <w:jc w:val="center"/>
            </w:pPr>
            <w:r>
              <w:t>2002</w:t>
            </w:r>
          </w:p>
        </w:tc>
        <w:tc>
          <w:tcPr>
            <w:tcW w:w="3169" w:type="dxa"/>
          </w:tcPr>
          <w:p w:rsidR="00000000" w:rsidRDefault="00000000">
            <w:pPr>
              <w:jc w:val="center"/>
            </w:pPr>
            <w:r>
              <w:t>8 400</w:t>
            </w:r>
          </w:p>
        </w:tc>
      </w:tr>
    </w:tbl>
    <w:p w:rsidR="00000000" w:rsidRDefault="00000000">
      <w:pPr>
        <w:rPr>
          <w:b/>
          <w:bCs/>
        </w:rPr>
      </w:pPr>
    </w:p>
    <w:p w:rsidR="00000000" w:rsidRDefault="00000000">
      <w:r>
        <w:t>377.</w:t>
      </w:r>
      <w:r>
        <w:tab/>
        <w:t xml:space="preserve">Беженцы, получившие вид на жительство, имеют на рынке жилья те же права, что и любой другой гражданин Нидерландов.  С вступлением в силу Закона о праве на льготы (статус пребывания) с 1 июля 1998 года нелегальные иммигранты в Нидерландах более не имеют права на получение вида на жительство.  1 апреля 2001 года Закон об иностранцах, действовавший с 1967 года, был заменен новым одноименным Законом.  Закон об иностранцах 2000 года устанавливает, среди прочего, новые правила и процедуры подачи ходатайств о предоставлении убежища в Нидерландах.  Вместе с тем он не меняет порядок размещения просителей убежища, ожидающих исхода процедуры рассмотрения их ходатайств.  Не меняет он и порядок размещения лиц, чьи ходатайства были удовлетворены (беженцев).  Провинциальные администрации наделены полномочиями по осуществлению надзора.  Распределение обязанностей на различных административных уровнях осуществляется в соответствии с вышеуказанным Законом о распределении жилой площади.  </w:t>
      </w:r>
    </w:p>
    <w:p w:rsidR="00000000" w:rsidRDefault="00000000"/>
    <w:p w:rsidR="00000000" w:rsidRDefault="00000000">
      <w:pPr>
        <w:rPr>
          <w:i/>
          <w:iCs/>
        </w:rPr>
      </w:pPr>
      <w:r>
        <w:rPr>
          <w:i/>
          <w:iCs/>
        </w:rPr>
        <w:t>Престарелые</w:t>
      </w:r>
    </w:p>
    <w:p w:rsidR="00000000" w:rsidRDefault="00000000">
      <w:pPr>
        <w:rPr>
          <w:i/>
          <w:iCs/>
        </w:rPr>
      </w:pPr>
    </w:p>
    <w:p w:rsidR="00000000" w:rsidRDefault="00000000">
      <w:r>
        <w:t>378.</w:t>
      </w:r>
      <w:r>
        <w:tab/>
        <w:t xml:space="preserve">Рост среднего возраста населения требует принятия специальных мер в жилищном секторе.  Ожидается, что к 2015 году свыше 40% глав домохозяйств в Нидерландах будут составлять лица в возрасте свыше 55 лет.  Политика правительства нацелена на обеспечение того, чтобы престарелые могли вести, насколько это возможно, независимую жизнь.  Принимаемые меры включают установку лифтов и проведение необходимых внутренних работ по благоустройству в существующих жилых домах.  Кроме того, все больше внимания уделяется строительству такого жилья, планировка которого может меняться с учетом новых потребностей на более позднем этапе.  Для престарелых, нуждающихся в особом уходе и обслуживании, в последние годы была создана система домов-приютов.  Строительство таких домов обусловлено тем, что дома для престарелых уже не могут вмещать всех нуждающихся лиц.  В 1992 году в стране насчитывалось 1 498 домов для престарелых, где проживали 126 929 человек.  </w:t>
      </w:r>
    </w:p>
    <w:p w:rsidR="00000000" w:rsidRDefault="00000000"/>
    <w:p w:rsidR="00000000" w:rsidRDefault="00000000">
      <w:pPr>
        <w:rPr>
          <w:i/>
          <w:iCs/>
        </w:rPr>
      </w:pPr>
      <w:r>
        <w:rPr>
          <w:i/>
          <w:iCs/>
        </w:rPr>
        <w:t>Инвалиды</w:t>
      </w:r>
    </w:p>
    <w:p w:rsidR="00000000" w:rsidRDefault="00000000">
      <w:pPr>
        <w:rPr>
          <w:i/>
          <w:iCs/>
        </w:rPr>
      </w:pPr>
    </w:p>
    <w:p w:rsidR="00000000" w:rsidRDefault="00000000">
      <w:r>
        <w:tab/>
        <w:t xml:space="preserve">В законодательство внесен ряд изменений в связи с выделением ассигнований на переоборудование домов с учетом потребностей инвалидов.  Эти ассигнования выделяются в соответствии с Законом об обслуживании инвалидов из средств, находящихся в ведении муниципалитетов.  </w:t>
      </w:r>
    </w:p>
    <w:p w:rsidR="00000000" w:rsidRDefault="00000000"/>
    <w:p w:rsidR="00000000" w:rsidRDefault="00000000">
      <w:pPr>
        <w:rPr>
          <w:b/>
          <w:bCs/>
        </w:rPr>
      </w:pPr>
      <w:r>
        <w:rPr>
          <w:b/>
          <w:bCs/>
        </w:rPr>
        <w:t>Политика в отношении жилых автофургонов</w:t>
      </w:r>
    </w:p>
    <w:p w:rsidR="00000000" w:rsidRDefault="00000000">
      <w:pPr>
        <w:rPr>
          <w:b/>
          <w:bCs/>
        </w:rPr>
      </w:pPr>
    </w:p>
    <w:p w:rsidR="00000000" w:rsidRDefault="00000000">
      <w:r>
        <w:t>379.</w:t>
      </w:r>
      <w:r>
        <w:tab/>
        <w:t>Отмена Закона о жилых автофургонах 1 марта 1999 года явилась крупным шагом вперед в деле нормализации политики в отношении жилых автофургонов.  Муниципалитеты и жилищные ассоциации имеют свои соответствующие обязанности в вопросах жилищного обеспечения населения в пределах своих территорий, в том числе лиц, предпочитающих жить в автофургонах.  Муниципалитеты отвечают за местные жилищные стратегии, а жилищные ассоциации несут ответственность за обслуживание лиц, проживающих в автофургонах, которые относятся к их целевым группам.  С годами мест для стоянки автофургонов в Нидерландах становится все больше:  в 1994 году их насчитывалось 9 250 (например, в 1987 году их число составляло 7 058).  Нехватка мест для стоянки автофургонов является не столь острой по сравнению с общей нехваткой жилья.</w:t>
      </w:r>
    </w:p>
    <w:p w:rsidR="00000000" w:rsidRDefault="00000000"/>
    <w:p w:rsidR="00000000" w:rsidRDefault="00000000">
      <w:pPr>
        <w:rPr>
          <w:b/>
          <w:bCs/>
        </w:rPr>
      </w:pPr>
      <w:r>
        <w:rPr>
          <w:b/>
          <w:bCs/>
        </w:rPr>
        <w:t>Отмена или изменение существующих законов, препятствующих осуществлению права на жилье</w:t>
      </w:r>
    </w:p>
    <w:p w:rsidR="00000000" w:rsidRDefault="00000000">
      <w:pPr>
        <w:rPr>
          <w:b/>
          <w:bCs/>
        </w:rPr>
      </w:pPr>
    </w:p>
    <w:p w:rsidR="00000000" w:rsidRDefault="00000000">
      <w:r>
        <w:t>380.</w:t>
      </w:r>
      <w:r>
        <w:tab/>
        <w:t>Каких-либо мер по отмене или изменению вышеуказанного законодательства в стране не принималось.</w:t>
      </w:r>
    </w:p>
    <w:p w:rsidR="00000000" w:rsidRDefault="00000000"/>
    <w:p w:rsidR="00000000" w:rsidRDefault="00000000">
      <w:pPr>
        <w:rPr>
          <w:b/>
          <w:bCs/>
        </w:rPr>
      </w:pPr>
      <w:r>
        <w:rPr>
          <w:b/>
          <w:bCs/>
        </w:rPr>
        <w:t>Законодательство, препятствующее спекуляции жилыми помещениями или имуществом</w:t>
      </w:r>
    </w:p>
    <w:p w:rsidR="00000000" w:rsidRDefault="00000000">
      <w:pPr>
        <w:rPr>
          <w:b/>
          <w:bCs/>
        </w:rPr>
      </w:pPr>
    </w:p>
    <w:p w:rsidR="00000000" w:rsidRDefault="00000000">
      <w:r>
        <w:t>381.</w:t>
      </w:r>
      <w:r>
        <w:tab/>
        <w:t>В правила о социальных и других жилищных субсидиях ранее включались специальные положения о борьбе со спекулятивной практикой, с тем чтобы лица, занимающиеся продажей жилья (индивидуальные домовладельцы, получающие помощь, или жилищные ассоциации, владеющие субсидируемым жильем), не могли чрезмерно на этом наживаться.  Начиная с января 1989 года такие положения в правила о предоставлении субсидий более не включаются.  В настоящее время все полномочия по борьбе со спекулятивной практикой переданы соответствующим муниципалитетам.  Центральному правительству не разрешается вмешиваться в сферу их компетенции.  Как и ранее, муниципалитеты имеют также право устанавливать соответствующие условия в отношении несубсидируемой жилой площади.</w:t>
      </w:r>
    </w:p>
    <w:p w:rsidR="00000000" w:rsidRDefault="00000000"/>
    <w:p w:rsidR="00000000" w:rsidRDefault="00000000">
      <w:pPr>
        <w:rPr>
          <w:b/>
          <w:bCs/>
        </w:rPr>
      </w:pPr>
      <w:r>
        <w:rPr>
          <w:b/>
          <w:bCs/>
        </w:rPr>
        <w:t>Окружающая среда</w:t>
      </w:r>
    </w:p>
    <w:p w:rsidR="00000000" w:rsidRDefault="00000000">
      <w:pPr>
        <w:rPr>
          <w:b/>
          <w:bCs/>
        </w:rPr>
      </w:pPr>
    </w:p>
    <w:p w:rsidR="00000000" w:rsidRDefault="00000000">
      <w:r>
        <w:t>382.</w:t>
      </w:r>
      <w:r>
        <w:tab/>
        <w:t>Как указывалось выше, в Постановлении о жилищном строительстве содержится ряд минимальных требований к качеству, одно из которых касается санитарно-гигиенических условий.  Сюда относятся требования, касающиеся не только уровня шума, освещенности, влажности, вентиляции и качества воздуха, но и запрещение строительных материалов, наносящих вреда здоровью (например, формальдегида) и т.д.  Существует отдельное постановление в отношении удаления, хранения и использования асбеста.  В 1995 году Министерство жилищного строительства, обустройства территорий и охраны окружающей среды опубликовало свою политическую программу устойчивого жилищного строительства, в которой было объявлено о том, что устойчивое жилищное строительство будет поставлено на официальную основу.  Первым шагом в этом направлении стало включение в Постановление о жилищном строительстве показателя энергоэффективности (ПЭЭ).  В 1995 году ПЭЭ составлял 1,4.  В 1998 году он был снижен до более жесткого уровня - 1,2, а в 2000 году - до 1.  Кроме того, были изменены официальные меры контроля за строительством жилья в целях включения соответствующих экологических требований.  Эти полномочия пока не использовались.  Устойчивое жилищное строительство обеспечивается за счет добровольных соглашений с различными сторонами, участвующими в процессе жилищного строительства, и таких программ стимулирования, как Программа оказания консультативной помощи в вопросах энергетической эффективности для компаний, занимающихся строительством жилья.  Она была введена в 2000 году и осуществляется при финансовой поддержке, обеспечиваемой за счет таких налоговых стимулов, как энергетические скидки.</w:t>
      </w:r>
    </w:p>
    <w:p w:rsidR="00000000" w:rsidRDefault="00000000"/>
    <w:p w:rsidR="00000000" w:rsidRDefault="00000000">
      <w:r>
        <w:t>383.</w:t>
      </w:r>
      <w:r>
        <w:tab/>
        <w:t>Важные положения, касающиеся жилищного и экологического планирования в Нидерландах, содержатся также в Законе о рациональном использовании окружающей среды, Законе о защите почв и Законе о борьбе с шумом.</w:t>
      </w:r>
    </w:p>
    <w:p w:rsidR="00000000" w:rsidRDefault="00000000"/>
    <w:p w:rsidR="00000000" w:rsidRDefault="00000000">
      <w:pPr>
        <w:rPr>
          <w:b/>
          <w:bCs/>
        </w:rPr>
      </w:pPr>
      <w:r>
        <w:rPr>
          <w:b/>
          <w:bCs/>
        </w:rPr>
        <w:t>Жилищные ассоциации</w:t>
      </w:r>
    </w:p>
    <w:p w:rsidR="00000000" w:rsidRDefault="00000000">
      <w:pPr>
        <w:rPr>
          <w:b/>
          <w:bCs/>
        </w:rPr>
      </w:pPr>
    </w:p>
    <w:p w:rsidR="00000000" w:rsidRDefault="00000000">
      <w:r>
        <w:t>384.</w:t>
      </w:r>
      <w:r>
        <w:tab/>
        <w:t>На протяжении вот уже более столетия в Нидерландах существуют специальные организации, которые служат общественным интересам, предоставляя доступное жилье.  Такими организациями являются жилищные ассоциации.  В период после окончания второй мировой войны до середины 90-х годов центральное правительство предоставляло этим организациям (и муниципалитетам) ссуды и субсидии на строительство большого количества жилых зданий для решения проблемы послевоенной нехватки жилья.  Жилищные ассоциации - это независимые некоммерческие структуры частного сектора (ассоциации или фонды), которые функционируют на официальной основе, установленной в Законе о жилье и Постановлении об управлении сектором социального арендуемого жилья.  Они имеют давние традиции и обширный опыт в вопросах предоставления качественного доступного жилья.  В целом жилищным ассоциациям в Нидерландах принадлежит в общей сложности порядка 2,4 млн. единиц жилья (</w:t>
      </w:r>
      <w:proofErr w:type="spellStart"/>
      <w:r>
        <w:t>35%</w:t>
      </w:r>
      <w:proofErr w:type="spellEnd"/>
      <w:r>
        <w:t xml:space="preserve"> всего жилого фонда страны).  На момент составления настоящего доклада (середина 2003 года) в стране насчитывалось 550 жилищных ассоциаций.  Эта цифра говорит о существенном сокращении их числа за последние несколько лет в результате слияний.</w:t>
      </w:r>
    </w:p>
    <w:p w:rsidR="00000000" w:rsidRDefault="00000000"/>
    <w:p w:rsidR="00000000" w:rsidRDefault="00000000">
      <w:r>
        <w:t>385.</w:t>
      </w:r>
      <w:r>
        <w:tab/>
        <w:t>Деятельность жилищных ассоциаций имеет исключительно важное значение для достижения целей правительства в сфере жилищного обеспечения.  Являясь крупными владельцами собственности и обладая огромной финансовой мощью, они играют ключевую роль в деле обновления городских районов и в усилиях по обеспечению устойчивости и доступности национального жилого фонда.  В контексте этих усилий требуется уделять должное внимание росту численности престарелых в составе населения страны и стараться гарантировать неизменную доступность жилья в будущем.  На момент составления настоящего доклада центральное правительство предпринимало меры для обеспечения последовательности решений в финансовых вопросах и для предотвращения любого пренебрежения особыми прерогативами этих ассоциаций.  В статуте ассоциаций определены шесть основных направлений деятельности, и для каждого из этих направлений намечены конкретные цели.  Этими шестью направлениями являются качество жилого фонда, политика в области аренды жилья, качество жилой среды, жилищное обеспечение и обслуживание, участие квартиросъемщиков в разработке и осуществлении политики и в вопросах управления, а также последовательность решений в финансовых вопросах.  Ассоциации обязаны ежегодно отчитываться перед центральным правительством о своей деятельности на каждом из этих направлений.  Центральное правительство должно обеспечивать ассоциациям достаточную свободу для действий и в то же время активно поощрять/стимулировать их к повышению эффективности осуществляемой работы.  В 2000 и 2001 годах центральное правительство сформулировало новые приоритеты жилищной политики, в том числе в отношении роли жилищных ассоциаций.  Поощрение индивидуального домовладения является сегодня отдельной целью политики, и все большее значение придается двум направлениям - обновлению городских районов и жилищному обеспечению и обслуживанию.</w:t>
      </w:r>
    </w:p>
    <w:p w:rsidR="00000000" w:rsidRDefault="00000000"/>
    <w:p w:rsidR="00000000" w:rsidRDefault="00000000">
      <w:pPr>
        <w:rPr>
          <w:i/>
          <w:iCs/>
        </w:rPr>
      </w:pPr>
      <w:r>
        <w:rPr>
          <w:i/>
          <w:iCs/>
        </w:rPr>
        <w:t>Финансовая структура сектора жилищных ассоциаций</w:t>
      </w:r>
    </w:p>
    <w:p w:rsidR="00000000" w:rsidRDefault="00000000">
      <w:pPr>
        <w:rPr>
          <w:i/>
          <w:iCs/>
        </w:rPr>
      </w:pPr>
    </w:p>
    <w:p w:rsidR="00000000" w:rsidRDefault="00000000">
      <w:r>
        <w:t>386.</w:t>
      </w:r>
      <w:r>
        <w:tab/>
        <w:t>До середины 90-х годов система ссуд и субсидий обеспечивала тесную финансовую связь между центральным правительством и жилищными ассоциациями.  Эта связь была ликвидирована в 1995 году (специальным актом парламента, который аннулировал как непогашенные ссуды, предоставленные центральным правительством, так и субсидии, на получение которых могли рассчитывать жилищные ассоциации.  Результатом этого взаимного списания обязательств явилось финансовое оздоровление социального жилищного сектора.</w:t>
      </w:r>
    </w:p>
    <w:p w:rsidR="00000000" w:rsidRDefault="00000000"/>
    <w:p w:rsidR="00000000" w:rsidRDefault="00000000">
      <w:r>
        <w:t>387.</w:t>
      </w:r>
      <w:r>
        <w:tab/>
        <w:t xml:space="preserve">С тех пор центральное правительство предоставляет только такие субсидии, которые призваны стимулировать строительство жилья третьими сторонами.  Отношения между центральным правительством и жилищными ассоциациями основываются сегодня на осуществлении надзора за деятельностью на направлениях, упомянутых выше (указанные в Постановлении об управлении сектором социального арендуемого жилья).  Правовые и экономические вопросы, связанные с владением соответствующей частью национального жилого фонда, решаются сегодня самими жилищными ассоциациями.  </w:t>
      </w:r>
    </w:p>
    <w:p w:rsidR="00000000" w:rsidRDefault="00000000"/>
    <w:p w:rsidR="00000000" w:rsidRDefault="00000000">
      <w:r>
        <w:t>388.</w:t>
      </w:r>
      <w:r>
        <w:tab/>
        <w:t>Для обеспечения жизнеспособности финансовой структуры сектора были созданы два учреждения.  Центральный жилищный фонд (</w:t>
      </w:r>
      <w:proofErr w:type="spellStart"/>
      <w:r>
        <w:t>ЦЖФ</w:t>
      </w:r>
      <w:proofErr w:type="spellEnd"/>
      <w:r>
        <w:t xml:space="preserve">) - это орган центрального правительства, который уполномочен обязывать любую жилищную ассоциацию, сталкивающуюся с финансовыми трудностями, принимать меры для их преодоления.  Его ресурсы пополняются за счет </w:t>
      </w:r>
      <w:proofErr w:type="spellStart"/>
      <w:r>
        <w:t>общесекторальных</w:t>
      </w:r>
      <w:proofErr w:type="spellEnd"/>
      <w:r>
        <w:t xml:space="preserve"> сборов.  Кроме того, большинство ссуд в секторе (предоставляемых для целей инвестирования в проекты, связанные с проведением ремонтно-восстановительных работ и новым строительством) покрывается взаимными гарантиями ассоциаций, а местные органы власти и центральное правительство обеспечивают стабильное функционирование всей системы.  На практике это осуществляется через специальный Фонд социальных жилищных гарантий (</w:t>
      </w:r>
      <w:proofErr w:type="spellStart"/>
      <w:r>
        <w:t>ФСЖГ</w:t>
      </w:r>
      <w:proofErr w:type="spellEnd"/>
      <w:r>
        <w:t xml:space="preserve">), созданный специально для этой цели.  </w:t>
      </w:r>
      <w:proofErr w:type="spellStart"/>
      <w:r>
        <w:t>ФСЖГ</w:t>
      </w:r>
      <w:proofErr w:type="spellEnd"/>
      <w:r>
        <w:t xml:space="preserve"> заключил соглашения с местными органами власти и центральным правительством в отношении практических механизмов для выполнения их функции обеспечения стабильного функционирования всех систем.  Существование </w:t>
      </w:r>
      <w:proofErr w:type="spellStart"/>
      <w:r>
        <w:t>ФСЖГ</w:t>
      </w:r>
      <w:proofErr w:type="spellEnd"/>
      <w:r>
        <w:t xml:space="preserve"> и правительственного механизма обеспечения стабильного функционирования системы позволяет брать займы финансовых средств под значительно более низкие проценты.  Благодаря существованию </w:t>
      </w:r>
      <w:proofErr w:type="spellStart"/>
      <w:r>
        <w:t>ФСЖГ</w:t>
      </w:r>
      <w:proofErr w:type="spellEnd"/>
      <w:r>
        <w:t xml:space="preserve"> и </w:t>
      </w:r>
      <w:proofErr w:type="spellStart"/>
      <w:r>
        <w:t>ЦЖФ</w:t>
      </w:r>
      <w:proofErr w:type="spellEnd"/>
      <w:r>
        <w:t xml:space="preserve">, надзору центрального правительства и инициативе самих ассоциаций создан возобновляемый фонд и поддерживается качество социального жилья.  В результате этого изменения в жилом фонде зависят сегодня главным образом от изменений спроса на жилье и приоритетов политики в этой области и осуществляются на финансовой основе, которая в целом обеспечивает обширные возможности для проведения необходимых работ.  </w:t>
      </w:r>
    </w:p>
    <w:p w:rsidR="00000000" w:rsidRDefault="00000000"/>
    <w:p w:rsidR="00000000" w:rsidRDefault="00000000">
      <w:r>
        <w:t>389.</w:t>
      </w:r>
      <w:r>
        <w:tab/>
        <w:t xml:space="preserve">В последние годы финансовое положение сектора улучшилось.  Жилищные ассоциации увеличили свои активы, причем это было достигнуто не только в результате применения осторожного подхода к оценке риска и прогнозам в прошлом, но и благодаря росту голландской экономики до 2000 года, низким процентным ставкам и стремительному росту цен на жилье в Нидерландах.  Существенные прибыли принесла Нидерландам продажа собственности, сдававшейся внаем.  Однако на момент составления настоящего доклада прибыли от продажи арендной собственности пошли на убыль, поскольку потенциальным покупателям стало все труднее финансировать такие приобретения.  </w:t>
      </w:r>
    </w:p>
    <w:p w:rsidR="00000000" w:rsidRDefault="00000000"/>
    <w:p w:rsidR="00000000" w:rsidRDefault="00000000">
      <w:r>
        <w:t>390.</w:t>
      </w:r>
      <w:r>
        <w:tab/>
        <w:t xml:space="preserve">В середине 2002 года выяснилось, что совокупный объем активов сектора жилищных ассоциаций более чем на 9 млрд. </w:t>
      </w:r>
      <w:proofErr w:type="spellStart"/>
      <w:r>
        <w:t>евро</w:t>
      </w:r>
      <w:proofErr w:type="spellEnd"/>
      <w:r>
        <w:t xml:space="preserve"> превышает сумму, требующуюся для осуществления текущих жилищных стратегий с учетом всех будущих рисков, прибылей и необходимых капиталовложений в ремонт и эксплуатацию имеющегося жилого фонда.  В свете этой ситуации центральное правительство вынашивает стратегические планы использования избыточных активов для осуществления необходимых инвестиций в обновление городских районов, о котором говорилось выше (особенно в 50 намеченных в настоящее время приоритетных районах).</w:t>
      </w:r>
    </w:p>
    <w:p w:rsidR="00000000" w:rsidRDefault="00000000"/>
    <w:p w:rsidR="00000000" w:rsidRDefault="00000000">
      <w:pPr>
        <w:rPr>
          <w:b/>
          <w:bCs/>
        </w:rPr>
      </w:pPr>
      <w:r>
        <w:rPr>
          <w:b/>
          <w:bCs/>
        </w:rPr>
        <w:t>Доступное жилье</w:t>
      </w:r>
    </w:p>
    <w:p w:rsidR="00000000" w:rsidRDefault="00000000">
      <w:pPr>
        <w:rPr>
          <w:b/>
          <w:bCs/>
        </w:rPr>
      </w:pPr>
    </w:p>
    <w:p w:rsidR="00000000" w:rsidRDefault="00000000">
      <w:r>
        <w:t>391.</w:t>
      </w:r>
      <w:r>
        <w:tab/>
        <w:t>Постановление об управлении сектором социального арендуемого жилья 1993 года, о котором упоминалось выше, предоставляет жилищным ассоциациям значительную свободу действий и право самим определять собственную политику и более гибко реагировать на рыночные факторы.  Важной новой мерой, принятой в соответствии с этим Постановлением, является так называемое "регулирование совокупной арендной платы".  Эта мера позволяет жилищным ассоциациям проводить более четкую дифференциацию между различными видами жилой площади при повышении уровня арендной платы.  Ранее они были обязаны следовать общим принципам повышения арендной платы до уровней, устанавливаемых центральным правительством.  Сегодня они могут варьировать такие повышения для индивидуальных жилых объектов, однако общая сумма повышения арендной платы должна соответствовать уровню, установленному центральным правительством.  Приняты также новые меры, регулирующие взаимоотношения между жилищными ассоциациями (в качестве социального домовладельца) и квартиросъемщиками.  В настоящее время жилищные ассоциации обязаны привлекать квартиросъемщиков к разработке политики и управлению.  Кроме того, отменены существовавшие ранее подробные положения, касающиеся финансовых и других аспектов управления этими ассоциациями, что повышает их автономию и самостоятельность.  Вместе с тем от жилищных ассоциаций требуется представление ежегодных ретроспективных отчетов об их деятельности, особенно в плане выполнения их конкретной обязанности предоставлять приемлемое жилье семьям с низким уровнем доходов.  Эти отчеты должны направляться муниципальным органам, на территории которых функционируют эти ассоциации (нередко имеющие статус организаций местного уровня).  Тем не менее ответственность за осуществление надзора за деятельностью жилищных ассоциаций в конечном итоге лежит на министре жилищного строительства, который может по собственной инициативе проводить расследования и применять санкции.</w:t>
      </w:r>
    </w:p>
    <w:p w:rsidR="00000000" w:rsidRDefault="00000000"/>
    <w:p w:rsidR="00000000" w:rsidRDefault="00000000">
      <w:r>
        <w:t>392.</w:t>
      </w:r>
      <w:r>
        <w:tab/>
        <w:t>В силу того, что квартиросъемщики находятся в более слабом положении на рынке жилья, чем владельцы, сдающие жилье в аренду, они защищены от чрезмерных повышений арендной платы, обусловленных уровнем спроса, Законом о механизмах найма (аренды).  Закон предусматривает два основных средства защиты в этой области:  1)  предельный уровень для индивидуальных ставок арендной платы, определяемый на основе балльной системы оценки стоимости арендуемого жилья;  2)  предельный уровень для ежегодных повышений арендной платы.  Этот законодательный акт применяется к квартиросъемщикам, арендующим жилье у всех категорий владельцев </w:t>
      </w:r>
      <w:r>
        <w:noBreakHyphen/>
        <w:t xml:space="preserve"> будь то в социальном или коммерческом секторе, а также ко всему арендуемому жилью стоимостью ниже определенного уровня.  В настоящее время за рамками этого ценового уровня находится лишь около 5% всего арендуемого жилья.</w:t>
      </w:r>
    </w:p>
    <w:p w:rsidR="00000000" w:rsidRDefault="00000000"/>
    <w:p w:rsidR="00000000" w:rsidRDefault="00000000">
      <w:r>
        <w:t>393.</w:t>
      </w:r>
      <w:r>
        <w:tab/>
        <w:t>Для квартиросъемщиков, арендующих жилье по социальной линии, установлено дополнительное ограничение на период с 1 июля 2002 года по 1 июля 2005 года:  совокупный объем повышений арендной платы для постоянных квартиросъемщиков за этот период не должен превышать темпы инфляции более чем на 0,4%.  Это обеспечивает дополнительную защиту для таких квартиросъемщиков (зачастую это семьи с низким уровнем дохода).</w:t>
      </w:r>
    </w:p>
    <w:p w:rsidR="00000000" w:rsidRDefault="00000000"/>
    <w:p w:rsidR="00000000" w:rsidRDefault="00000000">
      <w:r>
        <w:t>294.</w:t>
      </w:r>
      <w:r>
        <w:tab/>
        <w:t>Жилищный сектор Нидерландов всегда характеризовался высоким уровнем субсидирования и наличием самых различных систем субсидий.  Хотя многие из этих систем существуют и поныне, государство более не берет на себя финансовых обязательств в рамках действовавших ранее схем;  все они будут постепенно сходить на нет и отменяться.</w:t>
      </w:r>
    </w:p>
    <w:p w:rsidR="00000000" w:rsidRDefault="00000000"/>
    <w:p w:rsidR="00000000" w:rsidRDefault="00000000">
      <w:r>
        <w:t>395.</w:t>
      </w:r>
      <w:r>
        <w:tab/>
        <w:t>Что касается субсидий на жилищное строительство/развитие жилищного сектора, то в настоящее время в стране разработаны две программы предоставления субсидий, осуществляемые на основании двух отдельных постановлений:</w:t>
      </w:r>
    </w:p>
    <w:p w:rsidR="00000000" w:rsidRDefault="00000000"/>
    <w:p w:rsidR="00000000" w:rsidRDefault="00000000">
      <w:pPr>
        <w:ind w:firstLine="567"/>
      </w:pPr>
      <w:r>
        <w:rPr>
          <w:lang w:val="en-US"/>
        </w:rPr>
        <w:t>a</w:t>
      </w:r>
      <w:r>
        <w:t>)</w:t>
      </w:r>
      <w:r>
        <w:tab/>
        <w:t>субсидии на жилищное строительство, предоставляемые в соответствии с Постановлением о жилищных субсидиях;  и</w:t>
      </w:r>
    </w:p>
    <w:p w:rsidR="00000000" w:rsidRDefault="00000000">
      <w:pPr>
        <w:ind w:firstLine="567"/>
      </w:pPr>
    </w:p>
    <w:p w:rsidR="00000000" w:rsidRDefault="00000000">
      <w:pPr>
        <w:ind w:firstLine="567"/>
      </w:pPr>
      <w:r>
        <w:rPr>
          <w:lang w:val="en-US"/>
        </w:rPr>
        <w:t>b</w:t>
      </w:r>
      <w:r>
        <w:t>)</w:t>
      </w:r>
      <w:r>
        <w:tab/>
        <w:t>земельные субсидии, предоставляемые в соответствии с Постановлением о земельных субсидиях.</w:t>
      </w:r>
    </w:p>
    <w:p w:rsidR="00000000" w:rsidRDefault="00000000">
      <w:pPr>
        <w:ind w:firstLine="567"/>
      </w:pPr>
    </w:p>
    <w:p w:rsidR="00000000" w:rsidRDefault="00000000">
      <w:r>
        <w:t>Обе эти программы ориентированы на развитие ряда конкретных крупных городских районов в Нидерландах, где в период 1995</w:t>
      </w:r>
      <w:r>
        <w:noBreakHyphen/>
        <w:t>2005 годов планируется построить в общей сложности 460 000 единиц жилой площади.</w:t>
      </w:r>
    </w:p>
    <w:p w:rsidR="00000000" w:rsidRDefault="00000000"/>
    <w:p w:rsidR="00000000" w:rsidRDefault="00000000">
      <w:r>
        <w:t>396.</w:t>
      </w:r>
      <w:r>
        <w:tab/>
        <w:t>Цель жилищных субсидий состоит в сокращении расходов на строительство дешевого (арендуемого на социальной основе) жилья, а следовательно, и на сокращение уровня арендной платы и повышение доступности такого жилья для групп с низким уровнем доходов.  Ожидается, что в период 1995</w:t>
      </w:r>
      <w:r>
        <w:noBreakHyphen/>
        <w:t>2005 годов будет субсидироваться лишь около четверти всего нового жилищного строительства.  Это примерно 25 000 единиц жилья в год, стоимость которого в среднем составляет примерно 12 000 гульденов на каждую жилую единицу.  Общие расходы на строительство таких домов (включая стоимость земли) оцениваются приблизительно в 140 000 гульденов.  Это значит, что средний первоначальный уровень арендной платы будет составлять 725 гульденов.  При этом уровне арендной платы квартиросъемщики будут по</w:t>
      </w:r>
      <w:r>
        <w:noBreakHyphen/>
        <w:t>прежнему иметь право </w:t>
      </w:r>
      <w:r>
        <w:noBreakHyphen/>
        <w:t xml:space="preserve"> по крайней мере по этому критерию </w:t>
      </w:r>
      <w:r>
        <w:noBreakHyphen/>
        <w:t xml:space="preserve"> на получение жилищного пособия (о котором неоднократно упоминается в настоящем документе).  Субсидии могут также выделяться на такие виды деятельности, как строительство мобильных домов или ремонт помещений, сдаваемых внаем в частном порядке.</w:t>
      </w:r>
    </w:p>
    <w:p w:rsidR="00000000" w:rsidRDefault="00000000"/>
    <w:p w:rsidR="00000000" w:rsidRDefault="00000000">
      <w:r>
        <w:t>397.</w:t>
      </w:r>
      <w:r>
        <w:tab/>
        <w:t>Земельные субсидии имеют своей целью сокращение расходов на освоение земельных участков для жилищного строительства.  Средний размер субсидии, предоставляемой для этой цели, составляет 4 500 гульденов на каждую жилую единицу.  Соответствующие муниципалитеты не обязаны давать полный отчет о порядке использования субсидий, описанных выше, однако они должны согласовывать свои действия с жилищными ассоциациями, разработчиками проектов и другими субъектами, действующими на рынке жилья, в интересах обеспечения строительства требуемого количества жилплощади.</w:t>
      </w:r>
    </w:p>
    <w:p w:rsidR="00000000" w:rsidRDefault="00000000"/>
    <w:p w:rsidR="00000000" w:rsidRDefault="00000000">
      <w:r>
        <w:t>398.</w:t>
      </w:r>
      <w:r>
        <w:tab/>
        <w:t>Помимо этих субсидий, необходимо упомянуть о следующих четырех фондах.  В 1988 году был создан Центральный жилищный фонд (</w:t>
      </w:r>
      <w:proofErr w:type="spellStart"/>
      <w:r>
        <w:t>ЦЖФ</w:t>
      </w:r>
      <w:proofErr w:type="spellEnd"/>
      <w:r>
        <w:t>).  Это - фонд, учрежденный жилищными ассоциациями и для жилищных ассоциаций.  Его капитал формируется за счет обязательных взносов этих ассоциаций.  Он именуется также "Фондом солидарности", поскольку его основная функция состоит в оказании финансовой помощи жилищным ассоциациям, не имеющим достаточных финансовых резервов.  В прошлом (до 1988 года) предоставление такой помощи входило в обязанности центрального правительства, муниципалитетов и соответствующих жилищных ассоциаций.  Однако после того, как было сочтено, что жилищные ассоциации аккумулировали достаточные финансовые ресурсы, эта обязанность была целиком возложена на них.  В настоящее время данный Фонд является независимым органом, в котором представлены также центральное правительство и Союз местных административных органов Нидерландов (</w:t>
      </w:r>
      <w:proofErr w:type="spellStart"/>
      <w:r>
        <w:t>СМАО</w:t>
      </w:r>
      <w:proofErr w:type="spellEnd"/>
      <w:r>
        <w:t>).</w:t>
      </w:r>
    </w:p>
    <w:p w:rsidR="00000000" w:rsidRDefault="00000000"/>
    <w:p w:rsidR="00000000" w:rsidRDefault="00000000">
      <w:r>
        <w:t>399.</w:t>
      </w:r>
      <w:r>
        <w:tab/>
        <w:t>Фонд социальных жилищных гарантий (ФСЖГ), созданный в 1984 году, представляет собой частный фонд, выступающий гарантом займов, выделяемых жилищным ассоциациям на строительство нового социального арендуемого жилья и ремонт существующих жилых помещений;  несколько лет назад сфера гарантийной деятельности Фонда была расширена.  Благодаря наличию этого Фонда можно получать займы по более низким процентным ставкам.  Средства Фонда пополняются за счет рынка капитала.  В качестве гаранта выступает центральное правительство.  Вместе с тем в настоящее время роль центрального правительства и муниципалитетов ограничивается подтверждением гарантий.</w:t>
      </w:r>
    </w:p>
    <w:p w:rsidR="00000000" w:rsidRDefault="00000000"/>
    <w:p w:rsidR="00000000" w:rsidRDefault="00000000">
      <w:r>
        <w:t>400.</w:t>
      </w:r>
      <w:r>
        <w:tab/>
        <w:t>Оба вышеуказанных Фонда действуют эффективно и предоставляют средства, необходимые жилищным ассоциациям.</w:t>
      </w:r>
    </w:p>
    <w:p w:rsidR="00000000" w:rsidRDefault="00000000"/>
    <w:p w:rsidR="00000000" w:rsidRDefault="00000000">
      <w:r>
        <w:t>401.</w:t>
      </w:r>
      <w:r>
        <w:tab/>
        <w:t>В январе 1995 года был создан Гарантийный фонд для частных домовладельцев (</w:t>
      </w:r>
      <w:proofErr w:type="spellStart"/>
      <w:r>
        <w:t>ГФЧД</w:t>
      </w:r>
      <w:proofErr w:type="spellEnd"/>
      <w:r>
        <w:t>).  Хотя этот Фонд и не предназначен для обслуживания сектора арендуемого жилья, о нем следует упомянуть, поскольку он позволяет лицам, не имеющим достаточных средств, приобрести индивидуальное жилье, получив из этого Фонда залоговую сумму.  Ранее эти средства предоставлялись центральным правительством и муниципалитетами в рамках механизма так называемой "муниципальной гарантии".  В настоящее время эту роль взял на себя Гарантийный фонд для частных домовладельцев, который предоставляет так называемую "национальную ипотечную гарантию".  Эта гарантия по своему характеру аналогична бывшей муниципальной гарантии и имеет целью содействовать расширению возможностей индивидуальных домовладельцев.  Средства Фонда формируются за счет вкладов самих ипотечных кредиторов.  Это позволяет Фонду иметь независимый финансовый статус.  Роль центрального правительства и муниципалитетов ограничивается мерами, препятствующими банкротству Фонда в случае возникновения финансовых трудностей.</w:t>
      </w:r>
    </w:p>
    <w:p w:rsidR="00000000" w:rsidRDefault="00000000"/>
    <w:p w:rsidR="00000000" w:rsidRDefault="00000000">
      <w:r>
        <w:t>402.</w:t>
      </w:r>
      <w:r>
        <w:tab/>
        <w:t>В 1985 году был создан Национальный фонд для ремонтно-восстановительных работ (</w:t>
      </w:r>
      <w:proofErr w:type="spellStart"/>
      <w:r>
        <w:t>НФРВР</w:t>
      </w:r>
      <w:proofErr w:type="spellEnd"/>
      <w:r>
        <w:t>).  Он предоставляет низкопроцентные ипотечные ссуды для проведения ремонтно-восстановительных работ в определенных зданиях, к числу которых отнесены сегодня, например, дешевые дома, построенные до второй мировой войны.  Средства Фонда формируются за счет взносов центрального правительства, и сам он функционирует как возобновляемый фонд.  1 сентября 2002 года НФРВР ввел новые механизмы, которые позволяют домовладельцам быстрее и проще финансировать ремонтно-восстановительные работы в своих домах.</w:t>
      </w:r>
    </w:p>
    <w:p w:rsidR="00000000" w:rsidRDefault="00000000"/>
    <w:p w:rsidR="00000000" w:rsidRDefault="00000000">
      <w:r>
        <w:rPr>
          <w:b/>
          <w:bCs/>
        </w:rPr>
        <w:t>Землепользование</w:t>
      </w:r>
    </w:p>
    <w:p w:rsidR="00000000" w:rsidRDefault="00000000"/>
    <w:p w:rsidR="00000000" w:rsidRDefault="00000000">
      <w:r>
        <w:t>403.</w:t>
      </w:r>
      <w:r>
        <w:tab/>
        <w:t>В принципе все меры, касающиеся вопросов землепользования, принимаются на муниципальном уровне в контексте местных планов землепользования, которые являются в Нидерландах единственными документами, регулирующими пространственное планирование и имеющими обязательную юридическую силу.  Практически каждый район страны имеет собственный план землепользования.  Это не означает, что другие органы власти (провинциальные и национальные) не оказывают существенного влияния на политику (в том числе на национальном уровне путем принятия директивных постановлений, руководящих положений и мер финансового контроля, а также на провинциальном уровне через региональные планы).</w:t>
      </w:r>
    </w:p>
    <w:p w:rsidR="00000000" w:rsidRDefault="00000000"/>
    <w:p w:rsidR="00000000" w:rsidRDefault="00000000">
      <w:r>
        <w:t>404.</w:t>
      </w:r>
      <w:r>
        <w:tab/>
        <w:t>Нидерланды представляют собой небольшую густонаселенную страну с разветвленной системой пространственного планирования, функционирующей на трех уровнях (муниципальном, провинциальном и национальном).  В ней практически нет неиспользуемой или малоиспользуемой земли.  К категории неправильно используемых земель относятся загрязненные участки (загрязнение нередко связано, например, с промышленным использованием).  В рамках национального плана экологической политики предпринимаются серьезные усилия для очистки этих участков и введения их в хозяйственный оборот.</w:t>
      </w:r>
    </w:p>
    <w:p w:rsidR="00000000" w:rsidRDefault="00000000"/>
    <w:p w:rsidR="00000000" w:rsidRDefault="00000000">
      <w:r>
        <w:t>405.</w:t>
      </w:r>
      <w:r>
        <w:tab/>
        <w:t>Жилищная политика в Нидерландах направлена в первую очередь на обеспечение максимального использования земель в границах существующих крупных и мелких городов (зоны "</w:t>
      </w:r>
      <w:proofErr w:type="spellStart"/>
      <w:r>
        <w:rPr>
          <w:lang w:val="en-GB"/>
        </w:rPr>
        <w:t>VINEX</w:t>
      </w:r>
      <w:proofErr w:type="spellEnd"/>
      <w:r>
        <w:t>").  При необходимости это осуществляется посредством интенсификации (т.е. повышения плотности застройки).  Эта политика нашла свое непосредственное выражение в директивном документе по проблемам национального пространственного планирования (известного под сокращением "</w:t>
      </w:r>
      <w:proofErr w:type="spellStart"/>
      <w:r>
        <w:rPr>
          <w:lang w:val="en-GB"/>
        </w:rPr>
        <w:t>VINEX</w:t>
      </w:r>
      <w:proofErr w:type="spellEnd"/>
      <w:r>
        <w:t>").  Если данный вариант оказывается неприемлемым (например, в Гааге, где практически нет свободных участков, которые могли бы использоваться для жилищной застройки), то в этом случае используются участки, находящиеся как можно ближе к существующему населенному пункту, даже если они требуют очистки, но при условии, что связанные с этим расходы не являются чрезмерно высокими.</w:t>
      </w:r>
    </w:p>
    <w:p w:rsidR="00000000" w:rsidRDefault="00000000"/>
    <w:p w:rsidR="00000000" w:rsidRDefault="00000000">
      <w:pPr>
        <w:keepNext/>
        <w:jc w:val="center"/>
        <w:rPr>
          <w:b/>
          <w:bCs/>
          <w:iCs/>
        </w:rPr>
      </w:pPr>
      <w:r>
        <w:rPr>
          <w:b/>
          <w:bCs/>
          <w:iCs/>
        </w:rPr>
        <w:t>Бюджет</w:t>
      </w:r>
    </w:p>
    <w:p w:rsidR="00000000" w:rsidRDefault="00000000">
      <w:pPr>
        <w:keepNext/>
        <w:jc w:val="center"/>
        <w:rPr>
          <w:b/>
          <w:bCs/>
          <w:iCs/>
        </w:rPr>
      </w:pPr>
    </w:p>
    <w:p w:rsidR="00000000" w:rsidRDefault="00000000">
      <w:r>
        <w:t xml:space="preserve">406. </w:t>
      </w:r>
      <w:r>
        <w:tab/>
        <w:t>В таблице 21 приведены расходы на жилищное обеспечение в рамках национального бюджета.</w:t>
      </w:r>
    </w:p>
    <w:p w:rsidR="00000000" w:rsidRDefault="00000000"/>
    <w:p w:rsidR="00000000" w:rsidRDefault="00000000">
      <w:pPr>
        <w:keepNext/>
        <w:spacing w:line="216" w:lineRule="auto"/>
        <w:jc w:val="center"/>
        <w:rPr>
          <w:b/>
          <w:bCs/>
        </w:rPr>
      </w:pPr>
      <w:r>
        <w:rPr>
          <w:b/>
          <w:bCs/>
        </w:rPr>
        <w:br w:type="page"/>
        <w:t>Таблица 21</w:t>
      </w:r>
    </w:p>
    <w:p w:rsidR="00000000" w:rsidRDefault="00000000">
      <w:pPr>
        <w:keepNext/>
        <w:spacing w:line="216" w:lineRule="auto"/>
        <w:jc w:val="center"/>
        <w:rPr>
          <w:b/>
          <w:bCs/>
        </w:rPr>
      </w:pPr>
    </w:p>
    <w:p w:rsidR="00000000" w:rsidRDefault="00000000">
      <w:pPr>
        <w:keepNext/>
        <w:spacing w:line="216" w:lineRule="auto"/>
        <w:jc w:val="center"/>
        <w:rPr>
          <w:b/>
          <w:bCs/>
        </w:rPr>
      </w:pPr>
      <w:r>
        <w:rPr>
          <w:b/>
          <w:bCs/>
        </w:rPr>
        <w:t>Национальный бюджет, бюджетные ассигнования на жилищное обеспечение и процентная доля жилищных ассигнований в рамках национального бюджета (в гульденах Нидерландов, если не указано иное)</w:t>
      </w:r>
    </w:p>
    <w:p w:rsidR="00000000" w:rsidRDefault="00000000">
      <w:pPr>
        <w:keepNext/>
        <w:spacing w:line="240" w:lineRule="auto"/>
      </w:pPr>
    </w:p>
    <w:tbl>
      <w:tblPr>
        <w:tblW w:w="0" w:type="auto"/>
        <w:tblInd w:w="57" w:type="dxa"/>
        <w:tblBorders>
          <w:top w:val="single" w:sz="4" w:space="0" w:color="auto"/>
          <w:left w:val="single" w:sz="4" w:space="0" w:color="auto"/>
          <w:bottom w:val="single" w:sz="4" w:space="0" w:color="auto"/>
          <w:right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344"/>
        <w:gridCol w:w="2393"/>
        <w:gridCol w:w="2394"/>
        <w:gridCol w:w="3206"/>
      </w:tblGrid>
      <w:tr w:rsidR="00000000">
        <w:trPr>
          <w:cantSplit/>
          <w:tblHeader/>
        </w:trPr>
        <w:tc>
          <w:tcPr>
            <w:tcW w:w="1344" w:type="dxa"/>
            <w:tcBorders>
              <w:bottom w:val="single" w:sz="4" w:space="0" w:color="auto"/>
              <w:right w:val="single" w:sz="4" w:space="0" w:color="auto"/>
            </w:tcBorders>
            <w:vAlign w:val="center"/>
          </w:tcPr>
          <w:p w:rsidR="00000000" w:rsidRDefault="00000000">
            <w:pPr>
              <w:keepNext/>
              <w:spacing w:line="240" w:lineRule="auto"/>
              <w:jc w:val="center"/>
            </w:pPr>
            <w:r>
              <w:t>Год</w:t>
            </w:r>
          </w:p>
        </w:tc>
        <w:tc>
          <w:tcPr>
            <w:tcW w:w="2393" w:type="dxa"/>
            <w:tcBorders>
              <w:top w:val="single" w:sz="4" w:space="0" w:color="auto"/>
              <w:left w:val="single" w:sz="4" w:space="0" w:color="auto"/>
              <w:bottom w:val="single" w:sz="4" w:space="0" w:color="auto"/>
            </w:tcBorders>
            <w:vAlign w:val="center"/>
          </w:tcPr>
          <w:p w:rsidR="00000000" w:rsidRDefault="00000000">
            <w:pPr>
              <w:keepNext/>
              <w:spacing w:line="240" w:lineRule="auto"/>
              <w:jc w:val="center"/>
            </w:pPr>
            <w:r>
              <w:t>Размер национального бюджета (в млн.)</w:t>
            </w:r>
          </w:p>
        </w:tc>
        <w:tc>
          <w:tcPr>
            <w:tcW w:w="2394" w:type="dxa"/>
            <w:tcBorders>
              <w:bottom w:val="single" w:sz="4" w:space="0" w:color="auto"/>
              <w:right w:val="single" w:sz="4" w:space="0" w:color="auto"/>
            </w:tcBorders>
            <w:vAlign w:val="center"/>
          </w:tcPr>
          <w:p w:rsidR="00000000" w:rsidRDefault="00000000">
            <w:pPr>
              <w:keepNext/>
              <w:spacing w:line="240" w:lineRule="auto"/>
              <w:jc w:val="center"/>
            </w:pPr>
            <w:r>
              <w:t>Расходы на жилищное обеспечение (в млн.)</w:t>
            </w:r>
          </w:p>
        </w:tc>
        <w:tc>
          <w:tcPr>
            <w:tcW w:w="3206" w:type="dxa"/>
            <w:tcBorders>
              <w:top w:val="single" w:sz="4" w:space="0" w:color="auto"/>
              <w:left w:val="single" w:sz="4" w:space="0" w:color="auto"/>
              <w:bottom w:val="single" w:sz="4" w:space="0" w:color="auto"/>
            </w:tcBorders>
            <w:vAlign w:val="center"/>
          </w:tcPr>
          <w:p w:rsidR="00000000" w:rsidRDefault="00000000">
            <w:pPr>
              <w:keepNext/>
              <w:spacing w:line="240" w:lineRule="auto"/>
              <w:jc w:val="center"/>
            </w:pPr>
            <w:r>
              <w:t>Процентная доля жилищных ассигнований в рамках национального бюджета</w:t>
            </w:r>
          </w:p>
        </w:tc>
      </w:tr>
      <w:tr w:rsidR="00000000">
        <w:trPr>
          <w:cantSplit/>
        </w:trPr>
        <w:tc>
          <w:tcPr>
            <w:tcW w:w="1344" w:type="dxa"/>
            <w:tcBorders>
              <w:top w:val="single" w:sz="4" w:space="0" w:color="auto"/>
              <w:bottom w:val="nil"/>
              <w:right w:val="single" w:sz="4" w:space="0" w:color="auto"/>
            </w:tcBorders>
          </w:tcPr>
          <w:p w:rsidR="00000000" w:rsidRDefault="00000000">
            <w:pPr>
              <w:spacing w:line="240" w:lineRule="auto"/>
              <w:jc w:val="center"/>
            </w:pPr>
            <w:r>
              <w:t>1970</w:t>
            </w:r>
          </w:p>
        </w:tc>
        <w:tc>
          <w:tcPr>
            <w:tcW w:w="2393" w:type="dxa"/>
            <w:tcBorders>
              <w:top w:val="single" w:sz="4" w:space="0" w:color="auto"/>
              <w:left w:val="single" w:sz="4" w:space="0" w:color="auto"/>
              <w:bottom w:val="nil"/>
            </w:tcBorders>
          </w:tcPr>
          <w:p w:rsidR="00000000" w:rsidRDefault="00000000">
            <w:pPr>
              <w:tabs>
                <w:tab w:val="clear" w:pos="567"/>
                <w:tab w:val="clear" w:pos="1134"/>
                <w:tab w:val="clear" w:pos="1701"/>
                <w:tab w:val="clear" w:pos="2268"/>
                <w:tab w:val="clear" w:pos="6237"/>
                <w:tab w:val="decimal" w:pos="1418"/>
              </w:tabs>
              <w:spacing w:line="240" w:lineRule="auto"/>
            </w:pPr>
            <w:r>
              <w:t>29 524</w:t>
            </w:r>
          </w:p>
        </w:tc>
        <w:tc>
          <w:tcPr>
            <w:tcW w:w="2394" w:type="dxa"/>
            <w:tcBorders>
              <w:top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2 590</w:t>
            </w:r>
          </w:p>
        </w:tc>
        <w:tc>
          <w:tcPr>
            <w:tcW w:w="3206" w:type="dxa"/>
            <w:tcBorders>
              <w:top w:val="single" w:sz="4" w:space="0" w:color="auto"/>
              <w:left w:val="single" w:sz="4" w:space="0" w:color="auto"/>
              <w:bottom w:val="nil"/>
            </w:tcBorders>
          </w:tcPr>
          <w:p w:rsidR="00000000" w:rsidRDefault="00000000">
            <w:pPr>
              <w:spacing w:line="240" w:lineRule="auto"/>
              <w:jc w:val="center"/>
            </w:pPr>
            <w:r>
              <w:t>8,77</w:t>
            </w:r>
          </w:p>
        </w:tc>
      </w:tr>
      <w:tr w:rsidR="00000000">
        <w:trPr>
          <w:cantSplit/>
        </w:trPr>
        <w:tc>
          <w:tcPr>
            <w:tcW w:w="1344" w:type="dxa"/>
            <w:tcBorders>
              <w:top w:val="nil"/>
              <w:right w:val="single" w:sz="4" w:space="0" w:color="auto"/>
            </w:tcBorders>
          </w:tcPr>
          <w:p w:rsidR="00000000" w:rsidRDefault="00000000">
            <w:pPr>
              <w:spacing w:line="240" w:lineRule="auto"/>
              <w:jc w:val="center"/>
            </w:pPr>
            <w:r>
              <w:t>1975</w:t>
            </w:r>
          </w:p>
        </w:tc>
        <w:tc>
          <w:tcPr>
            <w:tcW w:w="2393" w:type="dxa"/>
            <w:tcBorders>
              <w:top w:val="nil"/>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62 815</w:t>
            </w:r>
          </w:p>
        </w:tc>
        <w:tc>
          <w:tcPr>
            <w:tcW w:w="2394" w:type="dxa"/>
            <w:tcBorders>
              <w:top w:val="nil"/>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5 490</w:t>
            </w:r>
          </w:p>
        </w:tc>
        <w:tc>
          <w:tcPr>
            <w:tcW w:w="3206" w:type="dxa"/>
            <w:tcBorders>
              <w:top w:val="nil"/>
              <w:left w:val="single" w:sz="4" w:space="0" w:color="auto"/>
            </w:tcBorders>
          </w:tcPr>
          <w:p w:rsidR="00000000" w:rsidRDefault="00000000">
            <w:pPr>
              <w:spacing w:line="240" w:lineRule="auto"/>
              <w:jc w:val="center"/>
            </w:pPr>
            <w:r>
              <w:t>8,74</w:t>
            </w:r>
          </w:p>
        </w:tc>
      </w:tr>
      <w:tr w:rsidR="00000000">
        <w:trPr>
          <w:cantSplit/>
        </w:trPr>
        <w:tc>
          <w:tcPr>
            <w:tcW w:w="1344" w:type="dxa"/>
            <w:tcBorders>
              <w:right w:val="single" w:sz="4" w:space="0" w:color="auto"/>
            </w:tcBorders>
          </w:tcPr>
          <w:p w:rsidR="00000000" w:rsidRDefault="00000000">
            <w:pPr>
              <w:spacing w:line="240" w:lineRule="auto"/>
              <w:jc w:val="center"/>
            </w:pPr>
            <w:r>
              <w:t>1980</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114 893</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8 964</w:t>
            </w:r>
          </w:p>
        </w:tc>
        <w:tc>
          <w:tcPr>
            <w:tcW w:w="3206" w:type="dxa"/>
            <w:tcBorders>
              <w:left w:val="single" w:sz="4" w:space="0" w:color="auto"/>
            </w:tcBorders>
          </w:tcPr>
          <w:p w:rsidR="00000000" w:rsidRDefault="00000000">
            <w:pPr>
              <w:spacing w:line="240" w:lineRule="auto"/>
              <w:jc w:val="center"/>
            </w:pPr>
            <w:r>
              <w:t>7,80</w:t>
            </w:r>
          </w:p>
        </w:tc>
      </w:tr>
      <w:tr w:rsidR="00000000">
        <w:trPr>
          <w:cantSplit/>
        </w:trPr>
        <w:tc>
          <w:tcPr>
            <w:tcW w:w="1344" w:type="dxa"/>
            <w:tcBorders>
              <w:right w:val="single" w:sz="4" w:space="0" w:color="auto"/>
            </w:tcBorders>
          </w:tcPr>
          <w:p w:rsidR="00000000" w:rsidRDefault="00000000">
            <w:pPr>
              <w:spacing w:line="240" w:lineRule="auto"/>
              <w:jc w:val="center"/>
            </w:pPr>
            <w:r>
              <w:t>1985</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166 737</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14 360</w:t>
            </w:r>
          </w:p>
        </w:tc>
        <w:tc>
          <w:tcPr>
            <w:tcW w:w="3206" w:type="dxa"/>
            <w:tcBorders>
              <w:left w:val="single" w:sz="4" w:space="0" w:color="auto"/>
            </w:tcBorders>
          </w:tcPr>
          <w:p w:rsidR="00000000" w:rsidRDefault="00000000">
            <w:pPr>
              <w:spacing w:line="240" w:lineRule="auto"/>
              <w:jc w:val="center"/>
            </w:pPr>
            <w:r>
              <w:t>8,61</w:t>
            </w:r>
          </w:p>
        </w:tc>
      </w:tr>
      <w:tr w:rsidR="00000000">
        <w:trPr>
          <w:cantSplit/>
        </w:trPr>
        <w:tc>
          <w:tcPr>
            <w:tcW w:w="1344" w:type="dxa"/>
            <w:tcBorders>
              <w:right w:val="single" w:sz="4" w:space="0" w:color="auto"/>
            </w:tcBorders>
          </w:tcPr>
          <w:p w:rsidR="00000000" w:rsidRDefault="00000000">
            <w:pPr>
              <w:spacing w:line="240" w:lineRule="auto"/>
              <w:jc w:val="center"/>
            </w:pPr>
            <w:r>
              <w:t>1990</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186 029</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12 249</w:t>
            </w:r>
          </w:p>
        </w:tc>
        <w:tc>
          <w:tcPr>
            <w:tcW w:w="3206" w:type="dxa"/>
            <w:tcBorders>
              <w:left w:val="single" w:sz="4" w:space="0" w:color="auto"/>
            </w:tcBorders>
          </w:tcPr>
          <w:p w:rsidR="00000000" w:rsidRDefault="00000000">
            <w:pPr>
              <w:spacing w:line="240" w:lineRule="auto"/>
              <w:jc w:val="center"/>
            </w:pPr>
            <w:r>
              <w:t>6,58</w:t>
            </w:r>
          </w:p>
        </w:tc>
      </w:tr>
      <w:tr w:rsidR="00000000">
        <w:trPr>
          <w:cantSplit/>
        </w:trPr>
        <w:tc>
          <w:tcPr>
            <w:tcW w:w="1344" w:type="dxa"/>
            <w:tcBorders>
              <w:right w:val="single" w:sz="4" w:space="0" w:color="auto"/>
            </w:tcBorders>
          </w:tcPr>
          <w:p w:rsidR="00000000" w:rsidRDefault="00000000">
            <w:pPr>
              <w:spacing w:line="240" w:lineRule="auto"/>
              <w:jc w:val="center"/>
            </w:pPr>
            <w:r>
              <w:t>1995</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233 282</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43 287</w:t>
            </w:r>
            <w:r>
              <w:rPr>
                <w:b/>
                <w:bCs/>
                <w:vertAlign w:val="superscript"/>
                <w:lang w:val="en-GB"/>
              </w:rPr>
              <w:t>a</w:t>
            </w:r>
          </w:p>
        </w:tc>
        <w:tc>
          <w:tcPr>
            <w:tcW w:w="3206" w:type="dxa"/>
            <w:tcBorders>
              <w:left w:val="single" w:sz="4" w:space="0" w:color="auto"/>
            </w:tcBorders>
          </w:tcPr>
          <w:p w:rsidR="00000000" w:rsidRDefault="00000000">
            <w:pPr>
              <w:spacing w:line="240" w:lineRule="auto"/>
              <w:jc w:val="center"/>
            </w:pPr>
            <w:r>
              <w:t>18,56</w:t>
            </w:r>
          </w:p>
        </w:tc>
      </w:tr>
      <w:tr w:rsidR="00000000">
        <w:trPr>
          <w:cantSplit/>
        </w:trPr>
        <w:tc>
          <w:tcPr>
            <w:tcW w:w="1344" w:type="dxa"/>
            <w:tcBorders>
              <w:right w:val="single" w:sz="4" w:space="0" w:color="auto"/>
            </w:tcBorders>
          </w:tcPr>
          <w:p w:rsidR="00000000" w:rsidRDefault="00000000">
            <w:pPr>
              <w:spacing w:line="240" w:lineRule="auto"/>
              <w:jc w:val="center"/>
            </w:pPr>
            <w:r>
              <w:t>1996</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205 630</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5 663</w:t>
            </w:r>
          </w:p>
        </w:tc>
        <w:tc>
          <w:tcPr>
            <w:tcW w:w="3206" w:type="dxa"/>
            <w:tcBorders>
              <w:left w:val="single" w:sz="4" w:space="0" w:color="auto"/>
            </w:tcBorders>
          </w:tcPr>
          <w:p w:rsidR="00000000" w:rsidRDefault="00000000">
            <w:pPr>
              <w:spacing w:line="240" w:lineRule="auto"/>
              <w:jc w:val="center"/>
            </w:pPr>
            <w:r>
              <w:t>2,76</w:t>
            </w:r>
          </w:p>
        </w:tc>
      </w:tr>
      <w:tr w:rsidR="00000000">
        <w:trPr>
          <w:cantSplit/>
        </w:trPr>
        <w:tc>
          <w:tcPr>
            <w:tcW w:w="1344" w:type="dxa"/>
            <w:tcBorders>
              <w:right w:val="single" w:sz="4" w:space="0" w:color="auto"/>
            </w:tcBorders>
          </w:tcPr>
          <w:p w:rsidR="00000000" w:rsidRDefault="00000000">
            <w:pPr>
              <w:spacing w:line="240" w:lineRule="auto"/>
              <w:jc w:val="center"/>
            </w:pPr>
            <w:r>
              <w:t>1997</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210 898</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5 689</w:t>
            </w:r>
          </w:p>
        </w:tc>
        <w:tc>
          <w:tcPr>
            <w:tcW w:w="3206" w:type="dxa"/>
            <w:tcBorders>
              <w:left w:val="single" w:sz="4" w:space="0" w:color="auto"/>
            </w:tcBorders>
          </w:tcPr>
          <w:p w:rsidR="00000000" w:rsidRDefault="00000000">
            <w:pPr>
              <w:spacing w:line="240" w:lineRule="auto"/>
              <w:jc w:val="center"/>
            </w:pPr>
            <w:r>
              <w:t>2,70</w:t>
            </w:r>
          </w:p>
        </w:tc>
      </w:tr>
      <w:tr w:rsidR="00000000">
        <w:trPr>
          <w:cantSplit/>
        </w:trPr>
        <w:tc>
          <w:tcPr>
            <w:tcW w:w="1344" w:type="dxa"/>
            <w:tcBorders>
              <w:right w:val="single" w:sz="4" w:space="0" w:color="auto"/>
            </w:tcBorders>
          </w:tcPr>
          <w:p w:rsidR="00000000" w:rsidRDefault="00000000">
            <w:pPr>
              <w:spacing w:line="240" w:lineRule="auto"/>
              <w:jc w:val="center"/>
            </w:pPr>
            <w:r>
              <w:t>1998</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217 705</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5 704</w:t>
            </w:r>
          </w:p>
        </w:tc>
        <w:tc>
          <w:tcPr>
            <w:tcW w:w="3206" w:type="dxa"/>
            <w:tcBorders>
              <w:left w:val="single" w:sz="4" w:space="0" w:color="auto"/>
            </w:tcBorders>
          </w:tcPr>
          <w:p w:rsidR="00000000" w:rsidRDefault="00000000">
            <w:pPr>
              <w:spacing w:line="240" w:lineRule="auto"/>
              <w:jc w:val="center"/>
            </w:pPr>
            <w:r>
              <w:t>2,62</w:t>
            </w:r>
          </w:p>
        </w:tc>
      </w:tr>
      <w:tr w:rsidR="00000000">
        <w:trPr>
          <w:cantSplit/>
        </w:trPr>
        <w:tc>
          <w:tcPr>
            <w:tcW w:w="1344" w:type="dxa"/>
            <w:tcBorders>
              <w:right w:val="single" w:sz="4" w:space="0" w:color="auto"/>
            </w:tcBorders>
          </w:tcPr>
          <w:p w:rsidR="00000000" w:rsidRDefault="00000000">
            <w:pPr>
              <w:spacing w:line="240" w:lineRule="auto"/>
              <w:jc w:val="center"/>
            </w:pPr>
            <w:r>
              <w:t>1999</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225 260</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5 823</w:t>
            </w:r>
          </w:p>
        </w:tc>
        <w:tc>
          <w:tcPr>
            <w:tcW w:w="3206" w:type="dxa"/>
            <w:tcBorders>
              <w:left w:val="single" w:sz="4" w:space="0" w:color="auto"/>
            </w:tcBorders>
          </w:tcPr>
          <w:p w:rsidR="00000000" w:rsidRDefault="00000000">
            <w:pPr>
              <w:spacing w:line="240" w:lineRule="auto"/>
              <w:jc w:val="center"/>
            </w:pPr>
            <w:r>
              <w:t>2,59</w:t>
            </w:r>
          </w:p>
        </w:tc>
      </w:tr>
      <w:tr w:rsidR="00000000">
        <w:trPr>
          <w:cantSplit/>
        </w:trPr>
        <w:tc>
          <w:tcPr>
            <w:tcW w:w="1344" w:type="dxa"/>
            <w:tcBorders>
              <w:right w:val="single" w:sz="4" w:space="0" w:color="auto"/>
            </w:tcBorders>
          </w:tcPr>
          <w:p w:rsidR="00000000" w:rsidRDefault="00000000">
            <w:pPr>
              <w:spacing w:line="240" w:lineRule="auto"/>
              <w:jc w:val="center"/>
            </w:pPr>
            <w:r>
              <w:t>2000</w:t>
            </w:r>
          </w:p>
        </w:tc>
        <w:tc>
          <w:tcPr>
            <w:tcW w:w="2393" w:type="dxa"/>
            <w:tcBorders>
              <w:lef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283 870</w:t>
            </w:r>
          </w:p>
        </w:tc>
        <w:tc>
          <w:tcPr>
            <w:tcW w:w="2394" w:type="dxa"/>
            <w:tcBorders>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5 615</w:t>
            </w:r>
          </w:p>
        </w:tc>
        <w:tc>
          <w:tcPr>
            <w:tcW w:w="3206" w:type="dxa"/>
            <w:tcBorders>
              <w:left w:val="single" w:sz="4" w:space="0" w:color="auto"/>
            </w:tcBorders>
          </w:tcPr>
          <w:p w:rsidR="00000000" w:rsidRDefault="00000000">
            <w:pPr>
              <w:spacing w:line="240" w:lineRule="auto"/>
              <w:jc w:val="center"/>
            </w:pPr>
            <w:r>
              <w:t>1,98</w:t>
            </w:r>
          </w:p>
        </w:tc>
      </w:tr>
      <w:tr w:rsidR="00000000">
        <w:trPr>
          <w:cantSplit/>
        </w:trPr>
        <w:tc>
          <w:tcPr>
            <w:tcW w:w="1344" w:type="dxa"/>
            <w:tcBorders>
              <w:bottom w:val="nil"/>
              <w:right w:val="single" w:sz="4" w:space="0" w:color="auto"/>
            </w:tcBorders>
          </w:tcPr>
          <w:p w:rsidR="00000000" w:rsidRDefault="00000000">
            <w:pPr>
              <w:spacing w:line="240" w:lineRule="auto"/>
              <w:jc w:val="center"/>
            </w:pPr>
            <w:r>
              <w:t>2001</w:t>
            </w:r>
          </w:p>
        </w:tc>
        <w:tc>
          <w:tcPr>
            <w:tcW w:w="2393" w:type="dxa"/>
            <w:tcBorders>
              <w:left w:val="single" w:sz="4" w:space="0" w:color="auto"/>
              <w:bottom w:val="nil"/>
            </w:tcBorders>
          </w:tcPr>
          <w:p w:rsidR="00000000" w:rsidRDefault="00000000">
            <w:pPr>
              <w:tabs>
                <w:tab w:val="clear" w:pos="567"/>
                <w:tab w:val="clear" w:pos="1134"/>
                <w:tab w:val="clear" w:pos="1701"/>
                <w:tab w:val="clear" w:pos="2268"/>
                <w:tab w:val="clear" w:pos="6237"/>
                <w:tab w:val="decimal" w:pos="1418"/>
              </w:tabs>
              <w:spacing w:line="240" w:lineRule="auto"/>
            </w:pPr>
            <w:r>
              <w:t>286 500</w:t>
            </w:r>
          </w:p>
        </w:tc>
        <w:tc>
          <w:tcPr>
            <w:tcW w:w="2394" w:type="dxa"/>
            <w:tcBorders>
              <w:bottom w:val="nil"/>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5 583</w:t>
            </w:r>
          </w:p>
        </w:tc>
        <w:tc>
          <w:tcPr>
            <w:tcW w:w="3206" w:type="dxa"/>
            <w:tcBorders>
              <w:left w:val="single" w:sz="4" w:space="0" w:color="auto"/>
              <w:bottom w:val="nil"/>
            </w:tcBorders>
          </w:tcPr>
          <w:p w:rsidR="00000000" w:rsidRDefault="00000000">
            <w:pPr>
              <w:spacing w:line="240" w:lineRule="auto"/>
              <w:jc w:val="center"/>
            </w:pPr>
            <w:r>
              <w:t>1,95</w:t>
            </w:r>
          </w:p>
        </w:tc>
      </w:tr>
      <w:tr w:rsidR="00000000">
        <w:trPr>
          <w:cantSplit/>
        </w:trPr>
        <w:tc>
          <w:tcPr>
            <w:tcW w:w="1344" w:type="dxa"/>
            <w:tcBorders>
              <w:top w:val="nil"/>
              <w:bottom w:val="single" w:sz="4" w:space="0" w:color="auto"/>
              <w:right w:val="single" w:sz="4" w:space="0" w:color="auto"/>
            </w:tcBorders>
          </w:tcPr>
          <w:p w:rsidR="00000000" w:rsidRDefault="00000000">
            <w:pPr>
              <w:spacing w:line="240" w:lineRule="auto"/>
              <w:jc w:val="center"/>
            </w:pPr>
            <w:r>
              <w:t>2002</w:t>
            </w:r>
          </w:p>
        </w:tc>
        <w:tc>
          <w:tcPr>
            <w:tcW w:w="2393" w:type="dxa"/>
            <w:tcBorders>
              <w:top w:val="nil"/>
              <w:left w:val="single" w:sz="4" w:space="0" w:color="auto"/>
              <w:bottom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290 492</w:t>
            </w:r>
            <w:r>
              <w:br/>
              <w:t>(€131 820)</w:t>
            </w:r>
          </w:p>
        </w:tc>
        <w:tc>
          <w:tcPr>
            <w:tcW w:w="2394" w:type="dxa"/>
            <w:tcBorders>
              <w:top w:val="nil"/>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1418"/>
              </w:tabs>
              <w:spacing w:line="240" w:lineRule="auto"/>
            </w:pPr>
            <w:r>
              <w:t>4 952</w:t>
            </w:r>
            <w:r>
              <w:br/>
              <w:t>(€2 247)</w:t>
            </w:r>
          </w:p>
        </w:tc>
        <w:tc>
          <w:tcPr>
            <w:tcW w:w="3206" w:type="dxa"/>
            <w:tcBorders>
              <w:top w:val="nil"/>
              <w:left w:val="single" w:sz="4" w:space="0" w:color="auto"/>
              <w:bottom w:val="single" w:sz="4" w:space="0" w:color="auto"/>
            </w:tcBorders>
          </w:tcPr>
          <w:p w:rsidR="00000000" w:rsidRDefault="00000000">
            <w:pPr>
              <w:spacing w:line="240" w:lineRule="auto"/>
              <w:jc w:val="center"/>
            </w:pPr>
            <w:r>
              <w:t>1,71</w:t>
            </w:r>
          </w:p>
        </w:tc>
      </w:tr>
    </w:tbl>
    <w:p w:rsidR="00000000" w:rsidRDefault="00000000">
      <w:pPr>
        <w:spacing w:line="240" w:lineRule="auto"/>
      </w:pPr>
      <w:r>
        <w:br/>
      </w:r>
      <w:r>
        <w:rPr>
          <w:b/>
          <w:bCs/>
          <w:vertAlign w:val="superscript"/>
        </w:rPr>
        <w:t>а</w:t>
      </w:r>
      <w:r>
        <w:tab/>
        <w:t>Этот исключительно высокий показатель является следствием финансового компромисса, достигнутого между государством и жилищными ассоциациями/ учреждениями в целях повышения финансовой самостоятельности последних (взаимное списание обязательств, описанное в пункте 386).</w:t>
      </w:r>
    </w:p>
    <w:p w:rsidR="00000000" w:rsidRDefault="00000000"/>
    <w:p w:rsidR="00000000" w:rsidRDefault="00000000">
      <w:pPr>
        <w:keepNext/>
        <w:jc w:val="center"/>
        <w:rPr>
          <w:b/>
          <w:bCs/>
        </w:rPr>
      </w:pPr>
      <w:r>
        <w:rPr>
          <w:b/>
          <w:bCs/>
        </w:rPr>
        <w:t>3.7</w:t>
      </w:r>
      <w:r>
        <w:rPr>
          <w:b/>
          <w:bCs/>
        </w:rPr>
        <w:tab/>
        <w:t>Статья 12</w:t>
      </w:r>
    </w:p>
    <w:p w:rsidR="00000000" w:rsidRDefault="00000000">
      <w:pPr>
        <w:keepNext/>
        <w:jc w:val="center"/>
        <w:rPr>
          <w:b/>
          <w:bCs/>
        </w:rPr>
      </w:pPr>
    </w:p>
    <w:p w:rsidR="00000000" w:rsidRDefault="00000000">
      <w:pPr>
        <w:keepNext/>
        <w:jc w:val="center"/>
        <w:rPr>
          <w:b/>
          <w:bCs/>
        </w:rPr>
      </w:pPr>
      <w:r>
        <w:rPr>
          <w:b/>
          <w:bCs/>
        </w:rPr>
        <w:t>3.7.1    Государственные расходы (основные статистические</w:t>
      </w:r>
    </w:p>
    <w:p w:rsidR="00000000" w:rsidRDefault="00000000">
      <w:pPr>
        <w:keepNext/>
        <w:jc w:val="center"/>
        <w:rPr>
          <w:b/>
          <w:bCs/>
        </w:rPr>
      </w:pPr>
      <w:r>
        <w:rPr>
          <w:b/>
          <w:bCs/>
        </w:rPr>
        <w:t>данные и показатели)</w:t>
      </w:r>
    </w:p>
    <w:p w:rsidR="00000000" w:rsidRDefault="00000000">
      <w:pPr>
        <w:keepNext/>
        <w:jc w:val="center"/>
        <w:rPr>
          <w:b/>
          <w:bCs/>
        </w:rPr>
      </w:pPr>
    </w:p>
    <w:p w:rsidR="00000000" w:rsidRDefault="00000000">
      <w:r>
        <w:t>407.</w:t>
      </w:r>
      <w:r>
        <w:tab/>
        <w:t>Голландская система здравоохранения в определенном смысле уникальна.  В Нидерландах существует особая, смешанная система государственного и частного медицинского страхования.  Пользование эффективным медицинским обслуживанием расценивается как конституционное право.  В целях обеспечения этого обслуживания для населения Нидерландов правительство предпринимает активные усилия для разработки законодательных основ по вопросам здравоохранения и финансирования сферы медицинских услуг.  Различные законы служат основой для составления официальных страховых пакетов и устанавливают ставки страховых взносов и содержание этих пакетов.  Предусмотрено также дополнительное страхование для покрытия медицинских расходов, которое основано на нормах частного права и обычно именуется "частным страхованием".  Медицинское страхование в Нидерландах подразделяется на три категории:  1)  страхование, покрывающее серьезные медицинские расходы для всех граждан,  2)  медицинское страхование, связанное с уровнем доходов, и 3)  дополнительное страхование, которое может быть заключено на добровольной основе в дополнение к двум официальным программам.  Эти пакеты серьезно различаются между собой по содержанию, а также по ставкам страховых взносов и степени покрытия риска.  Цифры, приведенные в таблице 22, охватывают все три категории страхования.</w:t>
      </w:r>
    </w:p>
    <w:p w:rsidR="00000000" w:rsidRDefault="00000000"/>
    <w:p w:rsidR="00000000" w:rsidRDefault="00000000">
      <w:pPr>
        <w:keepNext/>
        <w:jc w:val="center"/>
        <w:rPr>
          <w:b/>
          <w:bCs/>
        </w:rPr>
      </w:pPr>
      <w:r>
        <w:rPr>
          <w:b/>
          <w:bCs/>
        </w:rPr>
        <w:t>Таблица 22</w:t>
      </w:r>
    </w:p>
    <w:p w:rsidR="00000000" w:rsidRDefault="00000000">
      <w:pPr>
        <w:keepNext/>
        <w:jc w:val="center"/>
        <w:rPr>
          <w:b/>
          <w:bCs/>
        </w:rPr>
      </w:pPr>
    </w:p>
    <w:p w:rsidR="00000000" w:rsidRDefault="00000000">
      <w:pPr>
        <w:keepNext/>
        <w:jc w:val="center"/>
        <w:rPr>
          <w:b/>
          <w:bCs/>
          <w:lang w:val="en-US"/>
        </w:rPr>
      </w:pPr>
      <w:r>
        <w:rPr>
          <w:b/>
          <w:bCs/>
        </w:rPr>
        <w:t>Процентная доля совокупных расходов на здравоохранение в рамках валового внутреннего продукта в Нидерландах</w:t>
      </w:r>
    </w:p>
    <w:p w:rsidR="00000000" w:rsidRDefault="00000000">
      <w:pPr>
        <w:keepNext/>
        <w:spacing w:line="240" w:lineRule="auto"/>
        <w:jc w:val="cente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851"/>
        <w:gridCol w:w="851"/>
        <w:gridCol w:w="851"/>
        <w:gridCol w:w="851"/>
        <w:gridCol w:w="851"/>
        <w:gridCol w:w="851"/>
        <w:gridCol w:w="851"/>
      </w:tblGrid>
      <w:tr w:rsidR="00000000">
        <w:trPr>
          <w:trHeight w:val="270"/>
          <w:jc w:val="center"/>
        </w:trPr>
        <w:tc>
          <w:tcPr>
            <w:tcW w:w="851" w:type="dxa"/>
            <w:vAlign w:val="bottom"/>
          </w:tcPr>
          <w:p w:rsidR="00000000" w:rsidRDefault="00000000">
            <w:pPr>
              <w:spacing w:line="240" w:lineRule="auto"/>
              <w:jc w:val="center"/>
              <w:rPr>
                <w:lang w:val="en-GB"/>
              </w:rPr>
            </w:pPr>
            <w:r>
              <w:rPr>
                <w:lang w:val="en-GB"/>
              </w:rPr>
              <w:t>1996</w:t>
            </w:r>
          </w:p>
        </w:tc>
        <w:tc>
          <w:tcPr>
            <w:tcW w:w="851" w:type="dxa"/>
            <w:vAlign w:val="bottom"/>
          </w:tcPr>
          <w:p w:rsidR="00000000" w:rsidRDefault="00000000">
            <w:pPr>
              <w:spacing w:line="240" w:lineRule="auto"/>
              <w:jc w:val="center"/>
              <w:rPr>
                <w:lang w:val="en-GB"/>
              </w:rPr>
            </w:pPr>
            <w:r>
              <w:rPr>
                <w:lang w:val="en-GB"/>
              </w:rPr>
              <w:t>1997</w:t>
            </w:r>
          </w:p>
        </w:tc>
        <w:tc>
          <w:tcPr>
            <w:tcW w:w="851" w:type="dxa"/>
            <w:vAlign w:val="bottom"/>
          </w:tcPr>
          <w:p w:rsidR="00000000" w:rsidRDefault="00000000">
            <w:pPr>
              <w:spacing w:line="240" w:lineRule="auto"/>
              <w:jc w:val="center"/>
              <w:rPr>
                <w:lang w:val="en-GB"/>
              </w:rPr>
            </w:pPr>
            <w:r>
              <w:rPr>
                <w:lang w:val="en-GB"/>
              </w:rPr>
              <w:t>1998</w:t>
            </w:r>
          </w:p>
        </w:tc>
        <w:tc>
          <w:tcPr>
            <w:tcW w:w="851" w:type="dxa"/>
            <w:vAlign w:val="bottom"/>
          </w:tcPr>
          <w:p w:rsidR="00000000" w:rsidRDefault="00000000">
            <w:pPr>
              <w:spacing w:line="240" w:lineRule="auto"/>
              <w:jc w:val="center"/>
              <w:rPr>
                <w:lang w:val="en-GB"/>
              </w:rPr>
            </w:pPr>
            <w:r>
              <w:rPr>
                <w:lang w:val="en-GB"/>
              </w:rPr>
              <w:t>1999</w:t>
            </w:r>
          </w:p>
        </w:tc>
        <w:tc>
          <w:tcPr>
            <w:tcW w:w="851" w:type="dxa"/>
            <w:vAlign w:val="bottom"/>
          </w:tcPr>
          <w:p w:rsidR="00000000" w:rsidRDefault="00000000">
            <w:pPr>
              <w:spacing w:line="240" w:lineRule="auto"/>
              <w:jc w:val="center"/>
              <w:rPr>
                <w:lang w:val="en-GB"/>
              </w:rPr>
            </w:pPr>
            <w:r>
              <w:rPr>
                <w:lang w:val="en-GB"/>
              </w:rPr>
              <w:t>2000</w:t>
            </w:r>
          </w:p>
        </w:tc>
        <w:tc>
          <w:tcPr>
            <w:tcW w:w="851" w:type="dxa"/>
            <w:vAlign w:val="bottom"/>
          </w:tcPr>
          <w:p w:rsidR="00000000" w:rsidRDefault="00000000">
            <w:pPr>
              <w:spacing w:line="240" w:lineRule="auto"/>
              <w:jc w:val="center"/>
              <w:rPr>
                <w:lang w:val="en-GB"/>
              </w:rPr>
            </w:pPr>
            <w:r>
              <w:rPr>
                <w:lang w:val="en-GB"/>
              </w:rPr>
              <w:t>2001</w:t>
            </w:r>
          </w:p>
        </w:tc>
        <w:tc>
          <w:tcPr>
            <w:tcW w:w="851" w:type="dxa"/>
            <w:vAlign w:val="bottom"/>
          </w:tcPr>
          <w:p w:rsidR="00000000" w:rsidRDefault="00000000">
            <w:pPr>
              <w:spacing w:line="240" w:lineRule="auto"/>
              <w:jc w:val="center"/>
              <w:rPr>
                <w:lang w:val="en-GB"/>
              </w:rPr>
            </w:pPr>
            <w:r>
              <w:rPr>
                <w:lang w:val="en-GB"/>
              </w:rPr>
              <w:t>2002</w:t>
            </w:r>
          </w:p>
        </w:tc>
      </w:tr>
      <w:tr w:rsidR="00000000">
        <w:trPr>
          <w:trHeight w:val="270"/>
          <w:jc w:val="center"/>
        </w:trPr>
        <w:tc>
          <w:tcPr>
            <w:tcW w:w="851" w:type="dxa"/>
            <w:vAlign w:val="center"/>
          </w:tcPr>
          <w:p w:rsidR="00000000" w:rsidRDefault="00000000">
            <w:pPr>
              <w:spacing w:line="240" w:lineRule="auto"/>
              <w:jc w:val="center"/>
              <w:rPr>
                <w:lang w:val="en-GB"/>
              </w:rPr>
            </w:pPr>
            <w:r>
              <w:rPr>
                <w:lang w:val="en-GB"/>
              </w:rPr>
              <w:t>8,3</w:t>
            </w:r>
          </w:p>
        </w:tc>
        <w:tc>
          <w:tcPr>
            <w:tcW w:w="851" w:type="dxa"/>
            <w:vAlign w:val="center"/>
          </w:tcPr>
          <w:p w:rsidR="00000000" w:rsidRDefault="00000000">
            <w:pPr>
              <w:spacing w:line="240" w:lineRule="auto"/>
              <w:jc w:val="center"/>
              <w:rPr>
                <w:lang w:val="en-GB"/>
              </w:rPr>
            </w:pPr>
            <w:r>
              <w:rPr>
                <w:lang w:val="en-GB"/>
              </w:rPr>
              <w:t>8,2</w:t>
            </w:r>
          </w:p>
        </w:tc>
        <w:tc>
          <w:tcPr>
            <w:tcW w:w="851" w:type="dxa"/>
            <w:vAlign w:val="center"/>
          </w:tcPr>
          <w:p w:rsidR="00000000" w:rsidRDefault="00000000">
            <w:pPr>
              <w:spacing w:line="240" w:lineRule="auto"/>
              <w:jc w:val="center"/>
              <w:rPr>
                <w:lang w:val="en-GB"/>
              </w:rPr>
            </w:pPr>
            <w:r>
              <w:rPr>
                <w:lang w:val="en-GB"/>
              </w:rPr>
              <w:t>8,1</w:t>
            </w:r>
          </w:p>
        </w:tc>
        <w:tc>
          <w:tcPr>
            <w:tcW w:w="851" w:type="dxa"/>
            <w:vAlign w:val="center"/>
          </w:tcPr>
          <w:p w:rsidR="00000000" w:rsidRDefault="00000000">
            <w:pPr>
              <w:spacing w:line="240" w:lineRule="auto"/>
              <w:jc w:val="center"/>
              <w:rPr>
                <w:lang w:val="en-GB"/>
              </w:rPr>
            </w:pPr>
            <w:r>
              <w:rPr>
                <w:lang w:val="en-GB"/>
              </w:rPr>
              <w:t>8,2</w:t>
            </w:r>
          </w:p>
        </w:tc>
        <w:tc>
          <w:tcPr>
            <w:tcW w:w="851" w:type="dxa"/>
            <w:vAlign w:val="center"/>
          </w:tcPr>
          <w:p w:rsidR="00000000" w:rsidRDefault="00000000">
            <w:pPr>
              <w:spacing w:line="240" w:lineRule="auto"/>
              <w:jc w:val="center"/>
              <w:rPr>
                <w:lang w:val="en-GB"/>
              </w:rPr>
            </w:pPr>
            <w:r>
              <w:rPr>
                <w:lang w:val="en-GB"/>
              </w:rPr>
              <w:t>8,2</w:t>
            </w:r>
          </w:p>
        </w:tc>
        <w:tc>
          <w:tcPr>
            <w:tcW w:w="851" w:type="dxa"/>
            <w:vAlign w:val="center"/>
          </w:tcPr>
          <w:p w:rsidR="00000000" w:rsidRDefault="00000000">
            <w:pPr>
              <w:spacing w:line="240" w:lineRule="auto"/>
              <w:jc w:val="center"/>
              <w:rPr>
                <w:lang w:val="en-GB"/>
              </w:rPr>
            </w:pPr>
            <w:r>
              <w:rPr>
                <w:lang w:val="en-GB"/>
              </w:rPr>
              <w:t>8,5</w:t>
            </w:r>
          </w:p>
        </w:tc>
        <w:tc>
          <w:tcPr>
            <w:tcW w:w="851" w:type="dxa"/>
            <w:vAlign w:val="center"/>
          </w:tcPr>
          <w:p w:rsidR="00000000" w:rsidRDefault="00000000">
            <w:pPr>
              <w:spacing w:line="240" w:lineRule="auto"/>
              <w:jc w:val="center"/>
              <w:rPr>
                <w:lang w:val="en-GB"/>
              </w:rPr>
            </w:pPr>
            <w:r>
              <w:rPr>
                <w:lang w:val="en-GB"/>
              </w:rPr>
              <w:t>9,1</w:t>
            </w:r>
          </w:p>
        </w:tc>
      </w:tr>
    </w:tbl>
    <w:p w:rsidR="00000000" w:rsidRDefault="00000000">
      <w:pPr>
        <w:pStyle w:val="Header"/>
        <w:tabs>
          <w:tab w:val="clear" w:pos="4153"/>
          <w:tab w:val="clear" w:pos="8306"/>
        </w:tabs>
        <w:ind w:left="1701"/>
        <w:rPr>
          <w:lang w:val="en-GB"/>
        </w:rPr>
      </w:pPr>
      <w:r>
        <w:rPr>
          <w:i/>
          <w:iCs/>
          <w:lang w:val="en-US"/>
        </w:rPr>
        <w:br/>
      </w:r>
      <w:r>
        <w:rPr>
          <w:i/>
          <w:iCs/>
        </w:rPr>
        <w:t>Источник</w:t>
      </w:r>
      <w:r>
        <w:rPr>
          <w:lang w:val="en-GB"/>
        </w:rPr>
        <w:t xml:space="preserve">:  </w:t>
      </w:r>
      <w:proofErr w:type="spellStart"/>
      <w:r>
        <w:rPr>
          <w:lang w:val="en-GB"/>
        </w:rPr>
        <w:t>OECD</w:t>
      </w:r>
      <w:proofErr w:type="spellEnd"/>
      <w:r>
        <w:rPr>
          <w:lang w:val="en-GB"/>
        </w:rPr>
        <w:t xml:space="preserve"> Health Data 2004, 1st edition.</w:t>
      </w:r>
    </w:p>
    <w:p w:rsidR="00000000" w:rsidRDefault="00000000">
      <w:pPr>
        <w:pStyle w:val="Header"/>
        <w:tabs>
          <w:tab w:val="clear" w:pos="4153"/>
          <w:tab w:val="clear" w:pos="8306"/>
        </w:tabs>
        <w:ind w:left="1701"/>
        <w:rPr>
          <w:lang w:val="en-GB"/>
        </w:rPr>
      </w:pPr>
    </w:p>
    <w:p w:rsidR="00000000" w:rsidRDefault="00000000">
      <w:pPr>
        <w:keepNext/>
        <w:rPr>
          <w:b/>
          <w:bCs/>
        </w:rPr>
      </w:pPr>
      <w:r>
        <w:rPr>
          <w:b/>
          <w:bCs/>
        </w:rPr>
        <w:t>Затраты, связанные с различными заболеваниями, в Нидерландах</w:t>
      </w:r>
    </w:p>
    <w:p w:rsidR="00000000" w:rsidRDefault="00000000">
      <w:pPr>
        <w:keepNext/>
        <w:rPr>
          <w:b/>
          <w:bCs/>
        </w:rPr>
      </w:pPr>
    </w:p>
    <w:p w:rsidR="00000000" w:rsidRDefault="00000000">
      <w:r>
        <w:t>408.</w:t>
      </w:r>
      <w:r>
        <w:tab/>
        <w:t>Значительная часть расходов в сфере здравоохранения в Нидерландах приходится на долю хронических заболеваний.  Каждые 4</w:t>
      </w:r>
      <w:r>
        <w:noBreakHyphen/>
        <w:t>5 лет проводится крупное исследование для определения объема затрат, связанных с различными заболеваниями.  Характер распределения этих затрат между различными группами заболеваний, фигурирующих в Международной классификации болезней (</w:t>
      </w:r>
      <w:proofErr w:type="spellStart"/>
      <w:r>
        <w:t>МКБ</w:t>
      </w:r>
      <w:proofErr w:type="spellEnd"/>
      <w:r>
        <w:t>), является неоднородным.  Их структура среди мужчин и женщин является более или менее идентичной:  высокие затраты на психические заболевания, сердечно-сосудистые заболевания и заболевания пищеварительной системы и сравнительно низкие затраты на заболевания кровеносной системы, врожденные пороки развития и инфекционные болезни.  Удивительным фактом является сравнительно низкий уровень затрат, связанных с раком </w:t>
      </w:r>
      <w:r>
        <w:noBreakHyphen/>
        <w:t xml:space="preserve"> одной из основных причин смертности в Нидерландах.</w:t>
      </w:r>
    </w:p>
    <w:p w:rsidR="00000000" w:rsidRDefault="00000000"/>
    <w:p w:rsidR="00000000" w:rsidRDefault="00000000">
      <w:r>
        <w:t>409.</w:t>
      </w:r>
      <w:r>
        <w:tab/>
        <w:t>И у мужчин, и у женщин отмечается экспоненциальный рост уровня медицинских расходов с повышением возраста, причем в возрасте 95 лет он достигает приблизительно 30 000 евро на человека (данные за 1999 год).  Анализ структуры распределения расходов по возрастным группам обнаруживает резкое повышение их уровня у женщин в возрасте от 70 до 90 лет и менее резкое повышение у женщин репродуктивного возраста (25</w:t>
      </w:r>
      <w:r>
        <w:noBreakHyphen/>
        <w:t>40 лет).  Эта структура аналогична структурам распределения расходов во многих других странах и говорит о влиянии старения населения на общий объем национальных затрат на здравоохранение.</w:t>
      </w:r>
    </w:p>
    <w:p w:rsidR="00000000" w:rsidRDefault="00000000"/>
    <w:p w:rsidR="00000000" w:rsidRDefault="00000000">
      <w:pPr>
        <w:rPr>
          <w:color w:val="000000"/>
        </w:rPr>
      </w:pPr>
      <w:r>
        <w:rPr>
          <w:color w:val="000000"/>
        </w:rPr>
        <w:t>410.</w:t>
      </w:r>
      <w:r>
        <w:rPr>
          <w:color w:val="000000"/>
        </w:rPr>
        <w:tab/>
        <w:t>Основными заболеваниями или группами заболеваний, на долю которых приходятся наибольшие затраты в стране, являются умственная отсталость, слабоумие, инсульт, ишемическая болезнь сердца и другие хронические состояния, например ухудшение зрения.  К числу других причин высоких медицинских расходов относятся стоматологические проблемы и беременность.  Данные о затратах, связанных с различными заболеваниями, в Нидерландах имеются также в разбивке по секторам медицинских услуг, полу и возрастным группам (</w:t>
      </w:r>
      <w:proofErr w:type="spellStart"/>
      <w:r>
        <w:rPr>
          <w:color w:val="000000"/>
          <w:lang w:val="en-US"/>
        </w:rPr>
        <w:t>RIVM</w:t>
      </w:r>
      <w:proofErr w:type="spellEnd"/>
      <w:r>
        <w:rPr>
          <w:color w:val="000000"/>
        </w:rPr>
        <w:t xml:space="preserve">, 2002;  </w:t>
      </w:r>
      <w:hyperlink r:id="rId14" w:history="1">
        <w:r>
          <w:rPr>
            <w:rStyle w:val="Hyperlink"/>
            <w:lang w:val="en-US"/>
          </w:rPr>
          <w:t>www</w:t>
        </w:r>
        <w:r>
          <w:rPr>
            <w:rStyle w:val="Hyperlink"/>
          </w:rPr>
          <w:t>.</w:t>
        </w:r>
        <w:proofErr w:type="spellStart"/>
        <w:r>
          <w:rPr>
            <w:rStyle w:val="Hyperlink"/>
            <w:lang w:val="en-US"/>
          </w:rPr>
          <w:t>costofillness</w:t>
        </w:r>
        <w:proofErr w:type="spellEnd"/>
        <w:r>
          <w:rPr>
            <w:rStyle w:val="Hyperlink"/>
          </w:rPr>
          <w:t>.</w:t>
        </w:r>
        <w:proofErr w:type="spellStart"/>
        <w:r>
          <w:rPr>
            <w:rStyle w:val="Hyperlink"/>
            <w:lang w:val="en-US"/>
          </w:rPr>
          <w:t>nl</w:t>
        </w:r>
        <w:proofErr w:type="spellEnd"/>
      </w:hyperlink>
      <w:r>
        <w:rPr>
          <w:color w:val="000000"/>
        </w:rPr>
        <w:t>).</w:t>
      </w:r>
    </w:p>
    <w:p w:rsidR="00000000" w:rsidRDefault="00000000">
      <w:pPr>
        <w:rPr>
          <w:color w:val="000000"/>
        </w:rPr>
      </w:pPr>
    </w:p>
    <w:p w:rsidR="00000000" w:rsidRDefault="00000000">
      <w:r>
        <w:t>411.</w:t>
      </w:r>
      <w:r>
        <w:tab/>
        <w:t xml:space="preserve">В последнее время голландская система здравоохранения столкнулась с резким повышением расходов на медикаменты и уход на дому и серьезной проблемой стали листы ожидания.  Дополнительные ассигнования помогли сократить масштабы этой проблемы.  </w:t>
      </w:r>
    </w:p>
    <w:p w:rsidR="00000000" w:rsidRDefault="00000000"/>
    <w:p w:rsidR="00000000" w:rsidRDefault="00000000">
      <w:pPr>
        <w:jc w:val="center"/>
        <w:rPr>
          <w:b/>
          <w:bCs/>
        </w:rPr>
      </w:pPr>
      <w:r>
        <w:rPr>
          <w:b/>
          <w:bCs/>
        </w:rPr>
        <w:t>3.7.2</w:t>
      </w:r>
      <w:r>
        <w:rPr>
          <w:b/>
          <w:bCs/>
        </w:rPr>
        <w:tab/>
        <w:t xml:space="preserve">  Статистические данные</w:t>
      </w:r>
    </w:p>
    <w:p w:rsidR="00000000" w:rsidRDefault="00000000">
      <w:pPr>
        <w:jc w:val="center"/>
        <w:rPr>
          <w:b/>
          <w:bCs/>
        </w:rPr>
      </w:pPr>
    </w:p>
    <w:p w:rsidR="00000000" w:rsidRDefault="00000000">
      <w:pPr>
        <w:jc w:val="center"/>
        <w:rPr>
          <w:b/>
          <w:bCs/>
        </w:rPr>
      </w:pPr>
      <w:r>
        <w:rPr>
          <w:b/>
          <w:bCs/>
        </w:rPr>
        <w:t>3.7.2.1    Детская смертность</w:t>
      </w:r>
    </w:p>
    <w:p w:rsidR="00000000" w:rsidRDefault="00000000">
      <w:pPr>
        <w:jc w:val="center"/>
        <w:rPr>
          <w:b/>
          <w:bCs/>
        </w:rPr>
      </w:pPr>
    </w:p>
    <w:p w:rsidR="00000000" w:rsidRDefault="00000000">
      <w:r>
        <w:t>412.</w:t>
      </w:r>
      <w:r>
        <w:tab/>
        <w:t xml:space="preserve">Острый характер приобрела проблема сохранения жизни ребенка в </w:t>
      </w:r>
      <w:proofErr w:type="spellStart"/>
      <w:r>
        <w:t>перинатальный</w:t>
      </w:r>
      <w:proofErr w:type="spellEnd"/>
      <w:r>
        <w:t xml:space="preserve"> период.  До начала 80-х годов голландские показатели </w:t>
      </w:r>
      <w:proofErr w:type="spellStart"/>
      <w:r>
        <w:t>перинатальной</w:t>
      </w:r>
      <w:proofErr w:type="spellEnd"/>
      <w:r>
        <w:t xml:space="preserve"> и младенческой смертности были одними из самых низких в мире, что являлось отражением высокого уровня общественного здравоохранения и медицинского обслуживания, а также необычайной популярности в то время практики родов в домашних условиях.  Однако впоследствии дальнейшего сокращения этих показателей, какое отмечалось, например, в Скандинавских странах, в Нидерландах не произошло.  Сегодня голландские показатели </w:t>
      </w:r>
      <w:proofErr w:type="spellStart"/>
      <w:r>
        <w:t>перинатальной</w:t>
      </w:r>
      <w:proofErr w:type="spellEnd"/>
      <w:r>
        <w:t xml:space="preserve"> смертности превышают средний уровень по ЕС в его новом составе.  Это, по всей видимости, обусловлено сочетанием усиливающихся факторов риска, связанных с отмечающимся ростом доли беременных женщин, имеющих повышенный </w:t>
      </w:r>
      <w:proofErr w:type="spellStart"/>
      <w:r>
        <w:t>перинатальный</w:t>
      </w:r>
      <w:proofErr w:type="spellEnd"/>
      <w:r>
        <w:t xml:space="preserve"> риск.  Все больший процент родов приходится на долю женщин, принадлежащих к этническим меньшинствам, а коренные голландские женщины все чаще откладывают решение иметь детей на более поздний срок.  Сравнительное большое количество голландских женщин рожают сегодня после 35 лет.  Более старший возраст женщины при родах предполагает повышение риска для здоровья ребенка.  Распространенность практики искусственного оплодотворения, увеличение числа многоплодных родов и сравнительно высокий процент курящих среди беременных женщин также являются существенными факторами риска в этой области.  </w:t>
      </w:r>
    </w:p>
    <w:p w:rsidR="00000000" w:rsidRDefault="00000000"/>
    <w:p w:rsidR="00000000" w:rsidRDefault="00000000">
      <w:r>
        <w:t>413.</w:t>
      </w:r>
      <w:r>
        <w:tab/>
        <w:t>В Нидерландах оказанием медицинской помощи и вопросами профилактики в связи с родами по</w:t>
      </w:r>
      <w:r>
        <w:noBreakHyphen/>
        <w:t xml:space="preserve">прежнему в основном занимаются акушерки, хотя со временем неуклонно растет доля женщин, рожающих в родильных домах.  Нет никаких свидетельств того, что роды в домашних условиях сопряжены с повышенным риском для здоровья новорожденных.  </w:t>
      </w:r>
    </w:p>
    <w:p w:rsidR="00000000" w:rsidRDefault="00000000"/>
    <w:p w:rsidR="00000000" w:rsidRDefault="00000000">
      <w:r>
        <w:t>414.</w:t>
      </w:r>
      <w:r>
        <w:tab/>
        <w:t xml:space="preserve">Несмотря на существенное усиление факторов </w:t>
      </w:r>
      <w:proofErr w:type="spellStart"/>
      <w:r>
        <w:t>перинатального</w:t>
      </w:r>
      <w:proofErr w:type="spellEnd"/>
      <w:r>
        <w:t xml:space="preserve"> риска, о которых говорилось выше, показатели </w:t>
      </w:r>
      <w:proofErr w:type="spellStart"/>
      <w:r>
        <w:t>перинатальной</w:t>
      </w:r>
      <w:proofErr w:type="spellEnd"/>
      <w:r>
        <w:t xml:space="preserve"> смертности в Нидерландах не увеличились - они лишь стабилизировались на некогда достигнутом уровне и не претерпели дальнейшего сокращения.  С учетом значительных изменений в структуре факторов </w:t>
      </w:r>
      <w:proofErr w:type="spellStart"/>
      <w:r>
        <w:t>перинатального</w:t>
      </w:r>
      <w:proofErr w:type="spellEnd"/>
      <w:r>
        <w:t xml:space="preserve"> риска это может даже предполагать, что были достигнуты позитивные сдвиги в таких аспектах, как образ жизни и/или медицинская помощь и профилактические меры в связи с родами, которые препятствуют усилению факторов риска.</w:t>
      </w:r>
    </w:p>
    <w:p w:rsidR="00000000" w:rsidRDefault="00000000"/>
    <w:p w:rsidR="00000000" w:rsidRDefault="00000000">
      <w:pPr>
        <w:keepNext/>
        <w:jc w:val="center"/>
        <w:rPr>
          <w:b/>
          <w:bCs/>
        </w:rPr>
      </w:pPr>
      <w:r>
        <w:rPr>
          <w:b/>
          <w:bCs/>
        </w:rPr>
        <w:t>Таблица 23</w:t>
      </w:r>
    </w:p>
    <w:p w:rsidR="00000000" w:rsidRDefault="00000000">
      <w:pPr>
        <w:keepNext/>
        <w:jc w:val="center"/>
        <w:rPr>
          <w:b/>
          <w:bCs/>
        </w:rPr>
      </w:pPr>
    </w:p>
    <w:p w:rsidR="00000000" w:rsidRDefault="00000000">
      <w:pPr>
        <w:keepNext/>
        <w:jc w:val="center"/>
        <w:rPr>
          <w:b/>
          <w:bCs/>
        </w:rPr>
      </w:pPr>
      <w:r>
        <w:rPr>
          <w:b/>
          <w:bCs/>
        </w:rPr>
        <w:t xml:space="preserve">Младенческая смертность, количество смертей на 1 000 </w:t>
      </w:r>
      <w:proofErr w:type="spellStart"/>
      <w:r>
        <w:rPr>
          <w:b/>
          <w:bCs/>
        </w:rPr>
        <w:t>живорождений</w:t>
      </w:r>
      <w:proofErr w:type="spellEnd"/>
      <w:r>
        <w:rPr>
          <w:b/>
          <w:bCs/>
        </w:rPr>
        <w:t xml:space="preserve"> в Нидерландах</w:t>
      </w:r>
    </w:p>
    <w:p w:rsidR="00000000" w:rsidRDefault="00000000">
      <w:pPr>
        <w:keepNext/>
        <w:jc w:val="center"/>
        <w:rPr>
          <w:b/>
          <w:bCs/>
        </w:rPr>
      </w:pPr>
    </w:p>
    <w:tbl>
      <w:tblPr>
        <w:tblW w:w="0" w:type="auto"/>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0"/>
        <w:gridCol w:w="1841"/>
        <w:gridCol w:w="1841"/>
        <w:gridCol w:w="1841"/>
      </w:tblGrid>
      <w:tr w:rsidR="00000000">
        <w:tblPrEx>
          <w:tblCellMar>
            <w:top w:w="0" w:type="dxa"/>
            <w:bottom w:w="0" w:type="dxa"/>
          </w:tblCellMar>
        </w:tblPrEx>
        <w:tc>
          <w:tcPr>
            <w:tcW w:w="1840" w:type="dxa"/>
          </w:tcPr>
          <w:p w:rsidR="00000000" w:rsidRDefault="00000000">
            <w:pPr>
              <w:keepNext/>
              <w:jc w:val="center"/>
            </w:pPr>
            <w:r>
              <w:t>1995</w:t>
            </w:r>
          </w:p>
        </w:tc>
        <w:tc>
          <w:tcPr>
            <w:tcW w:w="1841" w:type="dxa"/>
          </w:tcPr>
          <w:p w:rsidR="00000000" w:rsidRDefault="00000000">
            <w:pPr>
              <w:keepNext/>
              <w:jc w:val="center"/>
            </w:pPr>
            <w:r>
              <w:t>2000</w:t>
            </w:r>
          </w:p>
        </w:tc>
        <w:tc>
          <w:tcPr>
            <w:tcW w:w="1841" w:type="dxa"/>
          </w:tcPr>
          <w:p w:rsidR="00000000" w:rsidRDefault="00000000">
            <w:pPr>
              <w:keepNext/>
              <w:jc w:val="center"/>
            </w:pPr>
            <w:r>
              <w:t>2001</w:t>
            </w:r>
          </w:p>
        </w:tc>
        <w:tc>
          <w:tcPr>
            <w:tcW w:w="1841" w:type="dxa"/>
          </w:tcPr>
          <w:p w:rsidR="00000000" w:rsidRDefault="00000000">
            <w:pPr>
              <w:keepNext/>
              <w:jc w:val="center"/>
            </w:pPr>
            <w:r>
              <w:t>2002</w:t>
            </w:r>
          </w:p>
        </w:tc>
      </w:tr>
      <w:tr w:rsidR="00000000">
        <w:tblPrEx>
          <w:tblCellMar>
            <w:top w:w="0" w:type="dxa"/>
            <w:bottom w:w="0" w:type="dxa"/>
          </w:tblCellMar>
        </w:tblPrEx>
        <w:tc>
          <w:tcPr>
            <w:tcW w:w="1840" w:type="dxa"/>
          </w:tcPr>
          <w:p w:rsidR="00000000" w:rsidRDefault="00000000">
            <w:pPr>
              <w:spacing w:line="240" w:lineRule="auto"/>
              <w:jc w:val="center"/>
              <w:rPr>
                <w:lang w:val="en-US"/>
              </w:rPr>
            </w:pPr>
            <w:r>
              <w:rPr>
                <w:lang w:val="en-US"/>
              </w:rPr>
              <w:t>5,5</w:t>
            </w:r>
          </w:p>
        </w:tc>
        <w:tc>
          <w:tcPr>
            <w:tcW w:w="1841" w:type="dxa"/>
          </w:tcPr>
          <w:p w:rsidR="00000000" w:rsidRDefault="00000000">
            <w:pPr>
              <w:spacing w:line="240" w:lineRule="auto"/>
              <w:jc w:val="center"/>
              <w:rPr>
                <w:lang w:val="en-US"/>
              </w:rPr>
            </w:pPr>
            <w:r>
              <w:rPr>
                <w:lang w:val="en-US"/>
              </w:rPr>
              <w:t>5,1</w:t>
            </w:r>
          </w:p>
        </w:tc>
        <w:tc>
          <w:tcPr>
            <w:tcW w:w="1841" w:type="dxa"/>
          </w:tcPr>
          <w:p w:rsidR="00000000" w:rsidRDefault="00000000">
            <w:pPr>
              <w:spacing w:line="240" w:lineRule="auto"/>
              <w:jc w:val="center"/>
              <w:rPr>
                <w:lang w:val="en-US"/>
              </w:rPr>
            </w:pPr>
            <w:r>
              <w:rPr>
                <w:lang w:val="en-US"/>
              </w:rPr>
              <w:t>5,4</w:t>
            </w:r>
          </w:p>
        </w:tc>
        <w:tc>
          <w:tcPr>
            <w:tcW w:w="1841" w:type="dxa"/>
          </w:tcPr>
          <w:p w:rsidR="00000000" w:rsidRDefault="00000000">
            <w:pPr>
              <w:spacing w:line="240" w:lineRule="auto"/>
              <w:jc w:val="center"/>
              <w:rPr>
                <w:lang w:val="en-US"/>
              </w:rPr>
            </w:pPr>
            <w:r>
              <w:rPr>
                <w:lang w:val="en-US"/>
              </w:rPr>
              <w:t>5</w:t>
            </w:r>
          </w:p>
        </w:tc>
      </w:tr>
    </w:tbl>
    <w:p w:rsidR="00000000" w:rsidRDefault="00000000">
      <w:pPr>
        <w:jc w:val="center"/>
        <w:rPr>
          <w:lang w:val="en-US"/>
        </w:rPr>
      </w:pPr>
    </w:p>
    <w:p w:rsidR="00000000" w:rsidRDefault="00000000">
      <w:pPr>
        <w:ind w:left="567"/>
        <w:rPr>
          <w:lang w:val="en-US"/>
        </w:rPr>
      </w:pPr>
      <w:r>
        <w:rPr>
          <w:i/>
          <w:iCs/>
          <w:lang w:val="en-US"/>
        </w:rPr>
        <w:tab/>
      </w:r>
      <w:r>
        <w:rPr>
          <w:i/>
          <w:iCs/>
        </w:rPr>
        <w:t>Источник</w:t>
      </w:r>
      <w:r>
        <w:rPr>
          <w:i/>
          <w:iCs/>
          <w:lang w:val="en-US"/>
        </w:rPr>
        <w:t>:</w:t>
      </w:r>
      <w:r>
        <w:rPr>
          <w:lang w:val="en-US"/>
        </w:rPr>
        <w:t xml:space="preserve">  </w:t>
      </w:r>
      <w:proofErr w:type="spellStart"/>
      <w:r>
        <w:rPr>
          <w:lang w:val="en-US"/>
        </w:rPr>
        <w:t>OECD</w:t>
      </w:r>
      <w:proofErr w:type="spellEnd"/>
      <w:r>
        <w:rPr>
          <w:lang w:val="en-US"/>
        </w:rPr>
        <w:t xml:space="preserve"> Health Data 2004, 1st edition.</w:t>
      </w:r>
    </w:p>
    <w:p w:rsidR="00000000" w:rsidRDefault="00000000">
      <w:pPr>
        <w:rPr>
          <w:lang w:val="en-US"/>
        </w:rPr>
      </w:pPr>
    </w:p>
    <w:p w:rsidR="00000000" w:rsidRDefault="00000000">
      <w:pPr>
        <w:keepNext/>
        <w:jc w:val="center"/>
        <w:rPr>
          <w:b/>
          <w:bCs/>
        </w:rPr>
      </w:pPr>
      <w:r>
        <w:rPr>
          <w:b/>
          <w:bCs/>
        </w:rPr>
        <w:t>3.7.2.2   Средняя продолжительность жизни</w:t>
      </w:r>
    </w:p>
    <w:p w:rsidR="00000000" w:rsidRDefault="00000000">
      <w:pPr>
        <w:jc w:val="center"/>
        <w:rPr>
          <w:b/>
          <w:bCs/>
        </w:rPr>
      </w:pPr>
    </w:p>
    <w:p w:rsidR="00000000" w:rsidRDefault="00000000">
      <w:r>
        <w:t>415.</w:t>
      </w:r>
      <w:r>
        <w:tab/>
        <w:t>В 2003 году продолжительность предстоящей жизни при рождении составляла 76,2 лет среди голландских мужчин и 80,8 лет у голландских женщин (</w:t>
      </w:r>
      <w:r>
        <w:rPr>
          <w:lang w:val="en-US"/>
        </w:rPr>
        <w:t>CBS</w:t>
      </w:r>
      <w:r>
        <w:t>, 2004).  В 65</w:t>
      </w:r>
      <w:r>
        <w:noBreakHyphen/>
        <w:t>летнем возрасте разница в продолжительности предстоящей жизни между мужчинами и женщинами также составляет почти 4 года (15,3 и 19,1 лет).</w:t>
      </w:r>
    </w:p>
    <w:p w:rsidR="00000000" w:rsidRDefault="00000000"/>
    <w:p w:rsidR="00000000" w:rsidRDefault="00000000">
      <w:r>
        <w:t>416.</w:t>
      </w:r>
      <w:r>
        <w:tab/>
        <w:t>Продолжительность предстоящей жизни при рождении у голландских мужчин повышается более низкими темпами, чем в среднем в 15 странах Европейского союза.  Тем не менее Нидерланды по</w:t>
      </w:r>
      <w:r>
        <w:noBreakHyphen/>
        <w:t xml:space="preserve">прежнему находятся на сравнительно высоком уровне по продолжительности предстоящей жизни при рождении у мужчин.  По сравнению с другими европейскими странами относительно большое количество пожилых голландских мужчин умирают от рака легких, хронического обструктивного заболевания легких, пневмонии и рака предстательной железы.  </w:t>
      </w:r>
    </w:p>
    <w:p w:rsidR="00000000" w:rsidRDefault="00000000"/>
    <w:p w:rsidR="00000000" w:rsidRDefault="00000000">
      <w:r>
        <w:t>417.</w:t>
      </w:r>
      <w:r>
        <w:tab/>
        <w:t>Показатель продолжительности предстоящей жизни среди голландских женщин продолжает отставать от среднего уровня 15 стран ЕС в еще большей степени, чем среди мужчин.  Их продолжительность предстоящей жизни остается на прежнем уровне и уже отстала не только от среднего уровня 15 стран ЕС, но и от уровня Европейского союза в составе 25 стран.  Причины смертности, связанные с образом жизни, особенно курение, также превалируют в большей степени, чем во многих других европейских странах.  Аналогичная картина наблюдается в Дании, где влияние нездорового образа жизни является еще более заметным.  Дополнительная информация о продолжительности предстоящей жизни в Нидерландах содержится в докладе Национального института здравоохранения и охраны окружающей среды (НИЗОС) "</w:t>
      </w:r>
      <w:r>
        <w:rPr>
          <w:lang w:val="en-US"/>
        </w:rPr>
        <w:t>Health</w:t>
      </w:r>
      <w:r>
        <w:t xml:space="preserve"> </w:t>
      </w:r>
      <w:r>
        <w:rPr>
          <w:lang w:val="en-US"/>
        </w:rPr>
        <w:t>on</w:t>
      </w:r>
      <w:r>
        <w:t xml:space="preserve"> </w:t>
      </w:r>
      <w:r>
        <w:rPr>
          <w:lang w:val="en-US"/>
        </w:rPr>
        <w:t>Course</w:t>
      </w:r>
      <w:r>
        <w:t>?" ("Положение в области здравоохранения") (2003 год) (</w:t>
      </w:r>
      <w:hyperlink r:id="rId15" w:history="1">
        <w:r>
          <w:rPr>
            <w:rStyle w:val="Hyperlink"/>
            <w:lang w:val="en-US"/>
          </w:rPr>
          <w:t>www</w:t>
        </w:r>
        <w:r>
          <w:rPr>
            <w:rStyle w:val="Hyperlink"/>
          </w:rPr>
          <w:t>.</w:t>
        </w:r>
        <w:r>
          <w:rPr>
            <w:rStyle w:val="Hyperlink"/>
            <w:lang w:val="en-US"/>
          </w:rPr>
          <w:t>rivm</w:t>
        </w:r>
        <w:r>
          <w:rPr>
            <w:rStyle w:val="Hyperlink"/>
          </w:rPr>
          <w:t>.</w:t>
        </w:r>
        <w:r>
          <w:rPr>
            <w:rStyle w:val="Hyperlink"/>
            <w:lang w:val="en-US"/>
          </w:rPr>
          <w:t>nl</w:t>
        </w:r>
      </w:hyperlink>
      <w:r>
        <w:t>).</w:t>
      </w:r>
    </w:p>
    <w:p w:rsidR="00000000" w:rsidRDefault="00000000"/>
    <w:p w:rsidR="00000000" w:rsidRDefault="00000000">
      <w:r>
        <w:t>418.</w:t>
      </w:r>
      <w:r>
        <w:tab/>
        <w:t xml:space="preserve">Живым свидетельством того, что эти средние показатели не дают полного представления о реальной ситуации, служит гражданка Нидерландов Хендрика ван </w:t>
      </w:r>
      <w:proofErr w:type="spellStart"/>
      <w:r>
        <w:t>Андел-Схиппер</w:t>
      </w:r>
      <w:proofErr w:type="spellEnd"/>
      <w:r>
        <w:t xml:space="preserve">, которая недавно стала самым старым человеком в мире.  29 июня 2004 года ей исполнилось 114 лет.  </w:t>
      </w:r>
    </w:p>
    <w:p w:rsidR="00000000" w:rsidRDefault="00000000"/>
    <w:p w:rsidR="00000000" w:rsidRDefault="00000000">
      <w:pPr>
        <w:jc w:val="center"/>
        <w:rPr>
          <w:b/>
          <w:bCs/>
        </w:rPr>
      </w:pPr>
      <w:r>
        <w:rPr>
          <w:b/>
          <w:bCs/>
        </w:rPr>
        <w:t>Таблица 24</w:t>
      </w:r>
    </w:p>
    <w:p w:rsidR="00000000" w:rsidRDefault="00000000">
      <w:pPr>
        <w:jc w:val="center"/>
        <w:rPr>
          <w:b/>
          <w:bCs/>
        </w:rPr>
      </w:pPr>
    </w:p>
    <w:p w:rsidR="00000000" w:rsidRDefault="00000000">
      <w:pPr>
        <w:jc w:val="center"/>
        <w:rPr>
          <w:b/>
          <w:bCs/>
        </w:rPr>
      </w:pPr>
      <w:r>
        <w:rPr>
          <w:b/>
          <w:bCs/>
        </w:rPr>
        <w:t>Продолжительность предстоящей жизни при рождении у женщин и мужчин в Нидерландах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36"/>
        <w:gridCol w:w="1669"/>
        <w:gridCol w:w="1936"/>
        <w:gridCol w:w="1935"/>
        <w:gridCol w:w="1935"/>
      </w:tblGrid>
      <w:tr w:rsidR="00000000">
        <w:tblPrEx>
          <w:tblCellMar>
            <w:top w:w="0" w:type="dxa"/>
            <w:bottom w:w="0" w:type="dxa"/>
          </w:tblCellMar>
        </w:tblPrEx>
        <w:trPr>
          <w:cantSplit/>
        </w:trPr>
        <w:tc>
          <w:tcPr>
            <w:tcW w:w="1936" w:type="dxa"/>
            <w:vAlign w:val="bottom"/>
          </w:tcPr>
          <w:p w:rsidR="00000000" w:rsidRDefault="00000000">
            <w:pPr>
              <w:jc w:val="right"/>
            </w:pPr>
          </w:p>
        </w:tc>
        <w:tc>
          <w:tcPr>
            <w:tcW w:w="1669" w:type="dxa"/>
            <w:vAlign w:val="bottom"/>
          </w:tcPr>
          <w:p w:rsidR="00000000" w:rsidRDefault="00000000">
            <w:pPr>
              <w:jc w:val="center"/>
              <w:rPr>
                <w:lang w:val="en-GB"/>
              </w:rPr>
            </w:pPr>
            <w:r>
              <w:rPr>
                <w:lang w:val="en-GB"/>
              </w:rPr>
              <w:t>1995</w:t>
            </w:r>
          </w:p>
        </w:tc>
        <w:tc>
          <w:tcPr>
            <w:tcW w:w="1936" w:type="dxa"/>
            <w:vAlign w:val="bottom"/>
          </w:tcPr>
          <w:p w:rsidR="00000000" w:rsidRDefault="00000000">
            <w:pPr>
              <w:jc w:val="center"/>
              <w:rPr>
                <w:lang w:val="en-GB"/>
              </w:rPr>
            </w:pPr>
            <w:r>
              <w:rPr>
                <w:lang w:val="en-GB"/>
              </w:rPr>
              <w:t>2000</w:t>
            </w:r>
          </w:p>
        </w:tc>
        <w:tc>
          <w:tcPr>
            <w:tcW w:w="1935" w:type="dxa"/>
            <w:vAlign w:val="bottom"/>
          </w:tcPr>
          <w:p w:rsidR="00000000" w:rsidRDefault="00000000">
            <w:pPr>
              <w:jc w:val="center"/>
              <w:rPr>
                <w:lang w:val="en-GB"/>
              </w:rPr>
            </w:pPr>
            <w:r>
              <w:rPr>
                <w:lang w:val="en-GB"/>
              </w:rPr>
              <w:t>2001</w:t>
            </w:r>
          </w:p>
        </w:tc>
        <w:tc>
          <w:tcPr>
            <w:tcW w:w="1935" w:type="dxa"/>
            <w:vAlign w:val="bottom"/>
          </w:tcPr>
          <w:p w:rsidR="00000000" w:rsidRDefault="00000000">
            <w:pPr>
              <w:jc w:val="center"/>
              <w:rPr>
                <w:lang w:val="en-GB"/>
              </w:rPr>
            </w:pPr>
            <w:r>
              <w:rPr>
                <w:lang w:val="en-GB"/>
              </w:rPr>
              <w:t>2002</w:t>
            </w:r>
          </w:p>
        </w:tc>
      </w:tr>
      <w:tr w:rsidR="00000000">
        <w:tblPrEx>
          <w:tblCellMar>
            <w:top w:w="0" w:type="dxa"/>
            <w:bottom w:w="0" w:type="dxa"/>
          </w:tblCellMar>
        </w:tblPrEx>
        <w:trPr>
          <w:cantSplit/>
        </w:trPr>
        <w:tc>
          <w:tcPr>
            <w:tcW w:w="1936" w:type="dxa"/>
            <w:vAlign w:val="bottom"/>
          </w:tcPr>
          <w:p w:rsidR="00000000" w:rsidRDefault="00000000">
            <w:r>
              <w:t>Женщины</w:t>
            </w:r>
          </w:p>
        </w:tc>
        <w:tc>
          <w:tcPr>
            <w:tcW w:w="1669" w:type="dxa"/>
            <w:vAlign w:val="bottom"/>
          </w:tcPr>
          <w:p w:rsidR="00000000" w:rsidRDefault="00000000">
            <w:pPr>
              <w:ind w:right="680"/>
              <w:jc w:val="right"/>
              <w:rPr>
                <w:lang w:val="en-GB"/>
              </w:rPr>
            </w:pPr>
            <w:r>
              <w:rPr>
                <w:lang w:val="en-GB"/>
              </w:rPr>
              <w:t>80,4</w:t>
            </w:r>
          </w:p>
        </w:tc>
        <w:tc>
          <w:tcPr>
            <w:tcW w:w="1936" w:type="dxa"/>
            <w:vAlign w:val="bottom"/>
          </w:tcPr>
          <w:p w:rsidR="00000000" w:rsidRDefault="00000000">
            <w:pPr>
              <w:ind w:right="680"/>
              <w:jc w:val="right"/>
              <w:rPr>
                <w:lang w:val="en-GB"/>
              </w:rPr>
            </w:pPr>
            <w:r>
              <w:rPr>
                <w:lang w:val="en-GB"/>
              </w:rPr>
              <w:t>80,5</w:t>
            </w:r>
          </w:p>
        </w:tc>
        <w:tc>
          <w:tcPr>
            <w:tcW w:w="1935" w:type="dxa"/>
            <w:vAlign w:val="bottom"/>
          </w:tcPr>
          <w:p w:rsidR="00000000" w:rsidRDefault="00000000">
            <w:pPr>
              <w:ind w:right="680"/>
              <w:jc w:val="right"/>
              <w:rPr>
                <w:lang w:val="en-GB"/>
              </w:rPr>
            </w:pPr>
            <w:r>
              <w:rPr>
                <w:lang w:val="en-GB"/>
              </w:rPr>
              <w:t>80,7</w:t>
            </w:r>
          </w:p>
        </w:tc>
        <w:tc>
          <w:tcPr>
            <w:tcW w:w="1935" w:type="dxa"/>
            <w:vAlign w:val="bottom"/>
          </w:tcPr>
          <w:p w:rsidR="00000000" w:rsidRDefault="00000000">
            <w:pPr>
              <w:ind w:right="680"/>
              <w:jc w:val="right"/>
              <w:rPr>
                <w:lang w:val="en-GB"/>
              </w:rPr>
            </w:pPr>
            <w:r>
              <w:rPr>
                <w:lang w:val="en-GB"/>
              </w:rPr>
              <w:t>80,7</w:t>
            </w:r>
          </w:p>
        </w:tc>
      </w:tr>
      <w:tr w:rsidR="00000000">
        <w:tblPrEx>
          <w:tblCellMar>
            <w:top w:w="0" w:type="dxa"/>
            <w:bottom w:w="0" w:type="dxa"/>
          </w:tblCellMar>
        </w:tblPrEx>
        <w:trPr>
          <w:cantSplit/>
        </w:trPr>
        <w:tc>
          <w:tcPr>
            <w:tcW w:w="1936" w:type="dxa"/>
            <w:vAlign w:val="bottom"/>
          </w:tcPr>
          <w:p w:rsidR="00000000" w:rsidRDefault="00000000">
            <w:r>
              <w:t>Мужчины</w:t>
            </w:r>
          </w:p>
        </w:tc>
        <w:tc>
          <w:tcPr>
            <w:tcW w:w="1669" w:type="dxa"/>
            <w:vAlign w:val="bottom"/>
          </w:tcPr>
          <w:p w:rsidR="00000000" w:rsidRDefault="00000000">
            <w:pPr>
              <w:ind w:right="680"/>
              <w:jc w:val="right"/>
              <w:rPr>
                <w:lang w:val="en-GB"/>
              </w:rPr>
            </w:pPr>
            <w:r>
              <w:rPr>
                <w:lang w:val="en-GB"/>
              </w:rPr>
              <w:t>74,6</w:t>
            </w:r>
          </w:p>
        </w:tc>
        <w:tc>
          <w:tcPr>
            <w:tcW w:w="1936" w:type="dxa"/>
            <w:vAlign w:val="bottom"/>
          </w:tcPr>
          <w:p w:rsidR="00000000" w:rsidRDefault="00000000">
            <w:pPr>
              <w:ind w:right="680"/>
              <w:jc w:val="right"/>
              <w:rPr>
                <w:lang w:val="en-GB"/>
              </w:rPr>
            </w:pPr>
            <w:r>
              <w:rPr>
                <w:lang w:val="en-GB"/>
              </w:rPr>
              <w:t>75,5</w:t>
            </w:r>
          </w:p>
        </w:tc>
        <w:tc>
          <w:tcPr>
            <w:tcW w:w="1935" w:type="dxa"/>
            <w:vAlign w:val="bottom"/>
          </w:tcPr>
          <w:p w:rsidR="00000000" w:rsidRDefault="00000000">
            <w:pPr>
              <w:ind w:right="680"/>
              <w:jc w:val="right"/>
              <w:rPr>
                <w:lang w:val="en-GB"/>
              </w:rPr>
            </w:pPr>
            <w:r>
              <w:rPr>
                <w:lang w:val="en-GB"/>
              </w:rPr>
              <w:t>75,8</w:t>
            </w:r>
          </w:p>
        </w:tc>
        <w:tc>
          <w:tcPr>
            <w:tcW w:w="1935" w:type="dxa"/>
            <w:vAlign w:val="bottom"/>
          </w:tcPr>
          <w:p w:rsidR="00000000" w:rsidRDefault="00000000">
            <w:pPr>
              <w:ind w:right="680"/>
              <w:jc w:val="right"/>
              <w:rPr>
                <w:lang w:val="en-GB"/>
              </w:rPr>
            </w:pPr>
            <w:r>
              <w:rPr>
                <w:lang w:val="en-GB"/>
              </w:rPr>
              <w:t>76,0</w:t>
            </w:r>
          </w:p>
        </w:tc>
      </w:tr>
    </w:tbl>
    <w:p w:rsidR="00000000" w:rsidRDefault="00000000">
      <w:pPr>
        <w:rPr>
          <w:lang w:val="en-GB"/>
        </w:rPr>
      </w:pPr>
    </w:p>
    <w:p w:rsidR="00000000" w:rsidRDefault="00000000">
      <w:pPr>
        <w:rPr>
          <w:lang w:val="en-GB"/>
        </w:rPr>
      </w:pPr>
      <w:r>
        <w:rPr>
          <w:i/>
          <w:iCs/>
        </w:rPr>
        <w:t>Источник</w:t>
      </w:r>
      <w:r>
        <w:rPr>
          <w:i/>
          <w:iCs/>
          <w:lang w:val="en-GB"/>
        </w:rPr>
        <w:t>:</w:t>
      </w:r>
      <w:r>
        <w:rPr>
          <w:lang w:val="en-GB"/>
        </w:rPr>
        <w:t xml:space="preserve">  </w:t>
      </w:r>
      <w:proofErr w:type="spellStart"/>
      <w:r>
        <w:rPr>
          <w:lang w:val="en-GB"/>
        </w:rPr>
        <w:t>OECD</w:t>
      </w:r>
      <w:proofErr w:type="spellEnd"/>
      <w:r>
        <w:rPr>
          <w:lang w:val="en-GB"/>
        </w:rPr>
        <w:t xml:space="preserve"> Health Data 2004, 1st edition.</w:t>
      </w:r>
    </w:p>
    <w:p w:rsidR="00000000" w:rsidRDefault="00000000">
      <w:pPr>
        <w:rPr>
          <w:lang w:val="en-GB"/>
        </w:rPr>
      </w:pPr>
    </w:p>
    <w:p w:rsidR="00000000" w:rsidRDefault="00000000">
      <w:pPr>
        <w:jc w:val="center"/>
        <w:rPr>
          <w:b/>
          <w:bCs/>
        </w:rPr>
      </w:pPr>
      <w:r>
        <w:rPr>
          <w:b/>
          <w:bCs/>
        </w:rPr>
        <w:t>3.7.2.3</w:t>
      </w:r>
      <w:r>
        <w:rPr>
          <w:b/>
          <w:bCs/>
        </w:rPr>
        <w:tab/>
        <w:t>Доступ к медицинской помощи</w:t>
      </w:r>
    </w:p>
    <w:p w:rsidR="00000000" w:rsidRDefault="00000000">
      <w:pPr>
        <w:jc w:val="center"/>
        <w:rPr>
          <w:b/>
          <w:bCs/>
        </w:rPr>
      </w:pPr>
    </w:p>
    <w:p w:rsidR="00000000" w:rsidRDefault="00000000">
      <w:r>
        <w:t>419.</w:t>
      </w:r>
      <w:r>
        <w:tab/>
        <w:t>В Нидерландах каждый имеет право на необходимую медицинскую помощь.  Если человек имеет договор медицинского страхования, то расходы на получение такой помощи частично или полностью покрываются этим страхованием.  Незастрахованные лица должны покрывать такие расходы самостоятельно.  Службы медицинской помощи, которые не могут получить оплату за оказанные медицинские услуги с иностранцев, не имеющих законного права проживания в Нидерландах, могут ходатайствовать о возмещении расходов из средств специального фонда, созданного на основании Закона о праве на льготы (статусе пребывания).</w:t>
      </w:r>
    </w:p>
    <w:p w:rsidR="00000000" w:rsidRDefault="00000000"/>
    <w:p w:rsidR="00000000" w:rsidRDefault="00000000">
      <w:r>
        <w:t>420.</w:t>
      </w:r>
      <w:r>
        <w:tab/>
        <w:t>Нидерланды имеют смешанную систему государственного и частного медицинского страхования.  Две официальные государственные программы медицинского страхования регулируются соответственно Законом о чрезвычайных медицинских расходах (</w:t>
      </w:r>
      <w:proofErr w:type="spellStart"/>
      <w:r>
        <w:t>ЗЧМР</w:t>
      </w:r>
      <w:proofErr w:type="spellEnd"/>
      <w:r>
        <w:t xml:space="preserve">) и Законом о медицинском страховании (ЗМС).  Согласно </w:t>
      </w:r>
      <w:proofErr w:type="spellStart"/>
      <w:r>
        <w:t>ЗЧМР</w:t>
      </w:r>
      <w:proofErr w:type="spellEnd"/>
      <w:r>
        <w:t xml:space="preserve"> каждый, кто проживает в Нидерландах на законном основании, имеет официальное страхование, покрывающее расходы, связанные с долговременным уходом и лечением.  Программа страхования согласно ЗМС охватывает служащих, индивидуальных предпринимателей, получателей социальных и других пособий, пенсионеров и получателей социальной помощи, а также членов их семей при условии, что доход домохозяйства не достигает определенного уровня (устанавливаемого на ежегодной основе).  Иностранцы, не имеющие законного права проживания в стране, не охватываются ни одной из этих двух программ.  Страхованием, покрывающим медицинские расходы согласно ЗМС, охвачено около 60% населения.  Лица, не охваченные страхованием согласно ЗМС, могут воспользоваться частным медицинским страхованием.  Закон о доступе к частному медицинскому страхованию обязывает частных медицинских страховщиков предлагать лицам, обращающимся в сектор частного медицинского страхования в первый раз, стандартный страховой пакет со стандартной ставкой страхового взноса, причем и содержание этого пакета, и размер взноса устанавливаются государством.  Иностранцы, не имеющие законного права на проживание в стране, не охватываются этим положением.  В настоящее время готовится закон (Закон о медицинском страховании), который существенно изменит эту систему с января 2006 года.  Разница между программой страхования согласно ЗМС и программой, действующей в соответствии с Законом о доступе к частному медицинскому страхованию, исчезнет.  Все граждане Нидерландов будут обязаны иметь единый стандартный пакет страхования, установленный государством.</w:t>
      </w:r>
    </w:p>
    <w:p w:rsidR="00000000" w:rsidRDefault="00000000"/>
    <w:p w:rsidR="00000000" w:rsidRDefault="00000000">
      <w:pPr>
        <w:jc w:val="center"/>
        <w:rPr>
          <w:b/>
          <w:bCs/>
        </w:rPr>
      </w:pPr>
      <w:r>
        <w:rPr>
          <w:b/>
          <w:bCs/>
        </w:rPr>
        <w:t>3.7.3</w:t>
      </w:r>
      <w:r>
        <w:rPr>
          <w:b/>
          <w:bCs/>
        </w:rPr>
        <w:tab/>
        <w:t xml:space="preserve">  Уязвимые в плане получения медицинской помощи группы</w:t>
      </w:r>
    </w:p>
    <w:p w:rsidR="00000000" w:rsidRDefault="00000000">
      <w:pPr>
        <w:jc w:val="center"/>
        <w:rPr>
          <w:b/>
          <w:bCs/>
        </w:rPr>
      </w:pPr>
    </w:p>
    <w:p w:rsidR="00000000" w:rsidRDefault="00000000">
      <w:pPr>
        <w:jc w:val="center"/>
        <w:rPr>
          <w:b/>
          <w:bCs/>
        </w:rPr>
      </w:pPr>
      <w:r>
        <w:rPr>
          <w:b/>
          <w:bCs/>
        </w:rPr>
        <w:t>3.7.3.1</w:t>
      </w:r>
      <w:r>
        <w:rPr>
          <w:b/>
          <w:bCs/>
        </w:rPr>
        <w:tab/>
        <w:t>Возможные отрицательные последствия политики и/или</w:t>
      </w:r>
    </w:p>
    <w:p w:rsidR="00000000" w:rsidRDefault="00000000">
      <w:pPr>
        <w:jc w:val="center"/>
        <w:rPr>
          <w:b/>
          <w:bCs/>
        </w:rPr>
      </w:pPr>
      <w:r>
        <w:rPr>
          <w:b/>
          <w:bCs/>
        </w:rPr>
        <w:tab/>
        <w:t>законодательства и меры, направленные</w:t>
      </w:r>
    </w:p>
    <w:p w:rsidR="00000000" w:rsidRDefault="00000000">
      <w:pPr>
        <w:jc w:val="center"/>
        <w:rPr>
          <w:b/>
          <w:bCs/>
        </w:rPr>
      </w:pPr>
      <w:r>
        <w:rPr>
          <w:b/>
          <w:bCs/>
        </w:rPr>
        <w:t xml:space="preserve"> на их смягчение</w:t>
      </w:r>
    </w:p>
    <w:p w:rsidR="00000000" w:rsidRDefault="00000000">
      <w:pPr>
        <w:ind w:left="1701" w:hanging="1701"/>
        <w:rPr>
          <w:b/>
          <w:bCs/>
        </w:rPr>
      </w:pPr>
    </w:p>
    <w:p w:rsidR="00000000" w:rsidRDefault="00000000">
      <w:pPr>
        <w:rPr>
          <w:b/>
          <w:bCs/>
        </w:rPr>
      </w:pPr>
      <w:r>
        <w:rPr>
          <w:b/>
          <w:bCs/>
        </w:rPr>
        <w:t>Социально-экономические неравенства в сфере здравоохранения</w:t>
      </w:r>
    </w:p>
    <w:p w:rsidR="00000000" w:rsidRDefault="00000000">
      <w:pPr>
        <w:rPr>
          <w:b/>
          <w:bCs/>
        </w:rPr>
      </w:pPr>
    </w:p>
    <w:p w:rsidR="00000000" w:rsidRDefault="00000000">
      <w:r>
        <w:t>421.</w:t>
      </w:r>
      <w:r>
        <w:tab/>
        <w:t xml:space="preserve">В сфере здравоохранения уязвимыми группами являются группы с низким социально-экономическим статусом.  Средняя продолжительность предстоящей жизни людей в этих группах на 3,5 года ниже, чем в группах с высоким социально-экономическим статусом.  Можно также утверждать, что они проводят больше лет жизни в состоянии сравнительно слабого здоровья (они на 10 лет больше страдают от физической немощи и на 15 лет больше чувствуют себя нездоровыми) (см. доклад </w:t>
      </w:r>
      <w:proofErr w:type="spellStart"/>
      <w:r>
        <w:t>НИЗОС</w:t>
      </w:r>
      <w:proofErr w:type="spellEnd"/>
      <w:r>
        <w:t xml:space="preserve"> "</w:t>
      </w:r>
      <w:r>
        <w:rPr>
          <w:lang w:val="en-US"/>
        </w:rPr>
        <w:t>Health</w:t>
      </w:r>
      <w:r>
        <w:t xml:space="preserve"> </w:t>
      </w:r>
      <w:r>
        <w:rPr>
          <w:lang w:val="en-US"/>
        </w:rPr>
        <w:t>on</w:t>
      </w:r>
      <w:r>
        <w:t xml:space="preserve"> </w:t>
      </w:r>
      <w:r>
        <w:rPr>
          <w:lang w:val="en-US"/>
        </w:rPr>
        <w:t>Course</w:t>
      </w:r>
      <w:r>
        <w:t>?" ("Положение в области здравоохранения") (2003 год).  В группе с низким социально-экономическим статусом чрезмерно представлены этнические меньшинства.</w:t>
      </w:r>
    </w:p>
    <w:p w:rsidR="00000000" w:rsidRDefault="00000000"/>
    <w:p w:rsidR="00000000" w:rsidRDefault="00000000">
      <w:r>
        <w:t>422.</w:t>
      </w:r>
      <w:r>
        <w:tab/>
        <w:t>В марте 2001 года был опубликован доклад о причинах и решающих факторах этих социально-экономических неравенств в сфере здравоохранения ("Сокращение социально-экономических неравенств в сфере здравоохранения (</w:t>
      </w:r>
      <w:proofErr w:type="spellStart"/>
      <w:r>
        <w:rPr>
          <w:lang w:val="en-US"/>
        </w:rPr>
        <w:t>SEGV</w:t>
      </w:r>
      <w:proofErr w:type="spellEnd"/>
      <w:r>
        <w:t>-</w:t>
      </w:r>
      <w:r>
        <w:rPr>
          <w:lang w:val="en-US"/>
        </w:rPr>
        <w:t>II</w:t>
      </w:r>
      <w:r>
        <w:t>).  Заключительный доклад и политические рекомендации Голландского программного комитета по социально-экономическим неравенствам в сфере здравоохранения - второй этап.  Совет по вопросам научных исследований и разработок в сфере здравоохранения Нидерландов").  16 ноября 2001 года правительство опубликовало программный документ, который был подготовлен на основе этого доклада, а также документ по вопросу о положении в области здравоохранения в основных городах страны (</w:t>
      </w:r>
      <w:proofErr w:type="spellStart"/>
      <w:r>
        <w:rPr>
          <w:lang w:val="en-US"/>
        </w:rPr>
        <w:t>RIVM</w:t>
      </w:r>
      <w:proofErr w:type="spellEnd"/>
      <w:r>
        <w:t>, "</w:t>
      </w:r>
      <w:proofErr w:type="spellStart"/>
      <w:r>
        <w:rPr>
          <w:lang w:val="en-US"/>
        </w:rPr>
        <w:t>Gezondheid</w:t>
      </w:r>
      <w:proofErr w:type="spellEnd"/>
      <w:r>
        <w:t xml:space="preserve"> </w:t>
      </w:r>
      <w:r>
        <w:rPr>
          <w:lang w:val="en-US"/>
        </w:rPr>
        <w:t>in</w:t>
      </w:r>
      <w:r>
        <w:t xml:space="preserve"> </w:t>
      </w:r>
      <w:r>
        <w:rPr>
          <w:lang w:val="en-US"/>
        </w:rPr>
        <w:t>de</w:t>
      </w:r>
      <w:r>
        <w:t xml:space="preserve"> </w:t>
      </w:r>
      <w:proofErr w:type="spellStart"/>
      <w:r>
        <w:rPr>
          <w:lang w:val="en-US"/>
        </w:rPr>
        <w:t>Grote</w:t>
      </w:r>
      <w:proofErr w:type="spellEnd"/>
      <w:r>
        <w:t xml:space="preserve"> </w:t>
      </w:r>
      <w:proofErr w:type="spellStart"/>
      <w:r>
        <w:rPr>
          <w:lang w:val="en-US"/>
        </w:rPr>
        <w:t>Steden</w:t>
      </w:r>
      <w:proofErr w:type="spellEnd"/>
      <w:r>
        <w:t>", ноябрь 2001 года;  имеется только на голландском языке (</w:t>
      </w:r>
      <w:hyperlink r:id="rId16" w:history="1">
        <w:r>
          <w:rPr>
            <w:rStyle w:val="Hyperlink"/>
            <w:lang w:val="en-US"/>
          </w:rPr>
          <w:t>www</w:t>
        </w:r>
        <w:r>
          <w:rPr>
            <w:rStyle w:val="Hyperlink"/>
          </w:rPr>
          <w:t>.</w:t>
        </w:r>
        <w:proofErr w:type="spellStart"/>
        <w:r>
          <w:rPr>
            <w:rStyle w:val="Hyperlink"/>
            <w:lang w:val="en-US"/>
          </w:rPr>
          <w:t>rivm</w:t>
        </w:r>
        <w:proofErr w:type="spellEnd"/>
        <w:r>
          <w:rPr>
            <w:rStyle w:val="Hyperlink"/>
          </w:rPr>
          <w:t>.</w:t>
        </w:r>
        <w:proofErr w:type="spellStart"/>
        <w:r>
          <w:rPr>
            <w:rStyle w:val="Hyperlink"/>
            <w:lang w:val="en-US"/>
          </w:rPr>
          <w:t>nl</w:t>
        </w:r>
        <w:proofErr w:type="spellEnd"/>
      </w:hyperlink>
      <w:r>
        <w:t>).  В программном документе правительство обязалось добиться к 2020 году увеличения продолжительности здоровой жизни людей в группах с низким социально-экономическим статусом на три года.  Для достижения этого потребуются меры, направленные на повышение социально-экономического статуса соответствующих людей, а также на поощрение здорового образа жизни и на расширение доступности и повышение эффективности медицинского обслуживания для людей в группах с более низким социально-экономическим статусом.  Министерство социальных дел и по вопросам занятости и Министерство образования, науки и культуры уже начали принимать меры в первой из этих областей (например, меры по борьбе с бедностью и улучшению положения в сфере образования).</w:t>
      </w:r>
    </w:p>
    <w:p w:rsidR="00000000" w:rsidRDefault="00000000"/>
    <w:p w:rsidR="00000000" w:rsidRDefault="00000000">
      <w:r>
        <w:t>423.</w:t>
      </w:r>
      <w:r>
        <w:tab/>
        <w:t>Поощрение здорового образа жизни является ключевой темой политического документа "Более длинная и более здоровая жизнь, 2004-2007 годы.  Роль здорового поведения" ("</w:t>
      </w:r>
      <w:r>
        <w:rPr>
          <w:lang w:val="en-US"/>
        </w:rPr>
        <w:t>Langer</w:t>
      </w:r>
      <w:r>
        <w:t xml:space="preserve"> </w:t>
      </w:r>
      <w:r>
        <w:rPr>
          <w:lang w:val="en-US"/>
        </w:rPr>
        <w:t>Gezond</w:t>
      </w:r>
      <w:r>
        <w:t xml:space="preserve"> </w:t>
      </w:r>
      <w:r>
        <w:rPr>
          <w:lang w:val="en-US"/>
        </w:rPr>
        <w:t>Leven</w:t>
      </w:r>
      <w:r>
        <w:t xml:space="preserve"> 2004-2007.  </w:t>
      </w:r>
      <w:proofErr w:type="spellStart"/>
      <w:r>
        <w:rPr>
          <w:lang w:val="en-US"/>
        </w:rPr>
        <w:t>Ook</w:t>
      </w:r>
      <w:proofErr w:type="spellEnd"/>
      <w:r>
        <w:t xml:space="preserve"> </w:t>
      </w:r>
      <w:proofErr w:type="spellStart"/>
      <w:r>
        <w:rPr>
          <w:lang w:val="en-US"/>
        </w:rPr>
        <w:t>een</w:t>
      </w:r>
      <w:proofErr w:type="spellEnd"/>
      <w:r>
        <w:t xml:space="preserve"> </w:t>
      </w:r>
      <w:proofErr w:type="spellStart"/>
      <w:r>
        <w:rPr>
          <w:lang w:val="en-US"/>
        </w:rPr>
        <w:t>kwestie</w:t>
      </w:r>
      <w:proofErr w:type="spellEnd"/>
      <w:r>
        <w:t xml:space="preserve"> </w:t>
      </w:r>
      <w:r>
        <w:rPr>
          <w:lang w:val="en-US"/>
        </w:rPr>
        <w:t>van</w:t>
      </w:r>
      <w:r>
        <w:t xml:space="preserve"> </w:t>
      </w:r>
      <w:proofErr w:type="spellStart"/>
      <w:r>
        <w:rPr>
          <w:lang w:val="en-US"/>
        </w:rPr>
        <w:t>gezond</w:t>
      </w:r>
      <w:proofErr w:type="spellEnd"/>
      <w:r>
        <w:t xml:space="preserve"> </w:t>
      </w:r>
      <w:proofErr w:type="spellStart"/>
      <w:r>
        <w:rPr>
          <w:lang w:val="en-US"/>
        </w:rPr>
        <w:t>gedrag</w:t>
      </w:r>
      <w:proofErr w:type="spellEnd"/>
      <w:r>
        <w:t>" (</w:t>
      </w:r>
      <w:hyperlink r:id="rId17" w:history="1">
        <w:r>
          <w:rPr>
            <w:rStyle w:val="Hyperlink"/>
            <w:lang w:val="en-US"/>
          </w:rPr>
          <w:t>www</w:t>
        </w:r>
        <w:r>
          <w:rPr>
            <w:rStyle w:val="Hyperlink"/>
          </w:rPr>
          <w:t>.</w:t>
        </w:r>
        <w:proofErr w:type="spellStart"/>
        <w:r>
          <w:rPr>
            <w:rStyle w:val="Hyperlink"/>
            <w:lang w:val="en-US"/>
          </w:rPr>
          <w:t>rivm</w:t>
        </w:r>
        <w:proofErr w:type="spellEnd"/>
        <w:r>
          <w:rPr>
            <w:rStyle w:val="Hyperlink"/>
          </w:rPr>
          <w:t>.</w:t>
        </w:r>
        <w:proofErr w:type="spellStart"/>
        <w:r>
          <w:rPr>
            <w:rStyle w:val="Hyperlink"/>
            <w:lang w:val="en-US"/>
          </w:rPr>
          <w:t>nl</w:t>
        </w:r>
        <w:proofErr w:type="spellEnd"/>
      </w:hyperlink>
      <w:r>
        <w:t>)), который был опубликован в декабре 2003 года.  В качестве одной из целей политики в этом документе было определено сокращение влияния устранимых факторов риска для здоровья.  В контексте разработки мер на приоритетных направлениях, намеченных в этом политическом документе (курение, ожирение и диабет), особое внимание уделяется людям, находящимся в неблагоприятном положении в плане здравоохранения.  Кроме того, вопрос о здравоохранении включен в новую политическую платформу развития городских районов (</w:t>
      </w:r>
      <w:proofErr w:type="spellStart"/>
      <w:r>
        <w:rPr>
          <w:lang w:val="en-US"/>
        </w:rPr>
        <w:t>GSB</w:t>
      </w:r>
      <w:proofErr w:type="spellEnd"/>
      <w:r>
        <w:t xml:space="preserve"> </w:t>
      </w:r>
      <w:r>
        <w:rPr>
          <w:lang w:val="en-US"/>
        </w:rPr>
        <w:t>II</w:t>
      </w:r>
      <w:r>
        <w:t xml:space="preserve">, 2005-2009 годы, Министерство внутренних дел и по делам Королевства).  В этом контексте центральное правительство достигло договоренности с 30 основными крупными и малыми городами, которые обязались принять меры для улучшения положения в сфере здравоохранения, и в частности для предотвращения и сокращения масштабов ожирения среди детей и подростков в неблагополучных городских районах.  В основе политики развития городских районов лежит комплексный подход, ориентированный на улучшение физической среды и социальных условий.  </w:t>
      </w:r>
    </w:p>
    <w:p w:rsidR="00000000" w:rsidRDefault="00000000"/>
    <w:p w:rsidR="00000000" w:rsidRDefault="00000000">
      <w:pPr>
        <w:jc w:val="center"/>
        <w:rPr>
          <w:b/>
          <w:bCs/>
        </w:rPr>
      </w:pPr>
      <w:r>
        <w:rPr>
          <w:b/>
          <w:bCs/>
        </w:rPr>
        <w:t>3.7.3.2</w:t>
      </w:r>
      <w:r>
        <w:rPr>
          <w:b/>
          <w:bCs/>
        </w:rPr>
        <w:tab/>
        <w:t>Меры по улучшению жизни детей</w:t>
      </w:r>
    </w:p>
    <w:p w:rsidR="00000000" w:rsidRDefault="00000000">
      <w:pPr>
        <w:jc w:val="center"/>
        <w:rPr>
          <w:b/>
          <w:bCs/>
        </w:rPr>
      </w:pPr>
    </w:p>
    <w:p w:rsidR="00000000" w:rsidRDefault="00000000">
      <w:pPr>
        <w:rPr>
          <w:b/>
          <w:bCs/>
        </w:rPr>
      </w:pPr>
      <w:r>
        <w:rPr>
          <w:b/>
          <w:bCs/>
        </w:rPr>
        <w:t>Реклама алкогольной продукции</w:t>
      </w:r>
    </w:p>
    <w:p w:rsidR="00000000" w:rsidRDefault="00000000">
      <w:pPr>
        <w:rPr>
          <w:b/>
          <w:bCs/>
        </w:rPr>
      </w:pPr>
    </w:p>
    <w:p w:rsidR="00000000" w:rsidRDefault="00000000">
      <w:r>
        <w:t>424.</w:t>
      </w:r>
      <w:r>
        <w:tab/>
        <w:t xml:space="preserve">В начале 2000 года министр здравоохранения, благосостояния и спорта согласовал с производителями алкогольной продукции кодекс поведения в вопросах рекламы и продажи алкоголя.  Этот кодекс частично направлен на то, чтобы оградить детей от агрессивной рекламы спиртных напитков.  Например, сегодня запрещена реклама алкоголя, которая ориентирована на несовершеннолетних или которую могут видеть большие группы молодежи.  Осенью 2003 года будет проведена консультация с соответствующими производителями, а также с представителями предприятий общественного питания и розничной торговли в отношении введения дополнительных ограничений во исполнение </w:t>
      </w:r>
      <w:r>
        <w:rPr>
          <w:i/>
          <w:iCs/>
        </w:rPr>
        <w:t>Рекомендации по вопросу употребления алкоголя молодежью, и в частности детьми и подростками</w:t>
      </w:r>
      <w:r>
        <w:t>, Совета Европейского союза (2001/458/ЕС).  Если производители алкогольной продукции не пожелают согласиться с введением дополнительных ограничений, то министр представит в парламент проект постановления о рекламе на основании Закона о лицензировании и организации общественного питания.</w:t>
      </w:r>
    </w:p>
    <w:p w:rsidR="00000000" w:rsidRDefault="00000000"/>
    <w:p w:rsidR="00000000" w:rsidRDefault="00000000">
      <w:pPr>
        <w:rPr>
          <w:b/>
          <w:bCs/>
        </w:rPr>
      </w:pPr>
      <w:r>
        <w:rPr>
          <w:b/>
          <w:bCs/>
        </w:rPr>
        <w:t>Стратегии борьбы с курением</w:t>
      </w:r>
    </w:p>
    <w:p w:rsidR="00000000" w:rsidRDefault="00000000">
      <w:pPr>
        <w:rPr>
          <w:b/>
          <w:bCs/>
        </w:rPr>
      </w:pPr>
    </w:p>
    <w:p w:rsidR="00000000" w:rsidRDefault="00000000">
      <w:r>
        <w:t>425.</w:t>
      </w:r>
      <w:r>
        <w:tab/>
        <w:t>Стратегии борьбы с курением табака в Нидерландах преследуют три основные цели:</w:t>
      </w:r>
    </w:p>
    <w:p w:rsidR="00000000" w:rsidRDefault="00000000"/>
    <w:p w:rsidR="00000000" w:rsidRDefault="00000000">
      <w:r>
        <w:tab/>
        <w:t>-</w:t>
      </w:r>
      <w:r>
        <w:tab/>
        <w:t>предотвращение приобщения молодежи к курению;</w:t>
      </w:r>
    </w:p>
    <w:p w:rsidR="00000000" w:rsidRDefault="00000000"/>
    <w:p w:rsidR="00000000" w:rsidRDefault="00000000">
      <w:pPr>
        <w:ind w:left="1134" w:hanging="1134"/>
      </w:pPr>
      <w:r>
        <w:tab/>
        <w:t>-</w:t>
      </w:r>
      <w:r>
        <w:tab/>
        <w:t>сокращение числа курящих и оказание помощи курильщикам, желающим бросить курить, в преодолении этой привычки;</w:t>
      </w:r>
    </w:p>
    <w:p w:rsidR="00000000" w:rsidRDefault="00000000">
      <w:pPr>
        <w:ind w:left="1134" w:hanging="1134"/>
      </w:pPr>
    </w:p>
    <w:p w:rsidR="00000000" w:rsidRDefault="00000000">
      <w:pPr>
        <w:ind w:left="1134" w:hanging="1134"/>
      </w:pPr>
      <w:r>
        <w:tab/>
        <w:t>-</w:t>
      </w:r>
      <w:r>
        <w:tab/>
        <w:t>обеспечение защиты некурящих.</w:t>
      </w:r>
    </w:p>
    <w:p w:rsidR="00000000" w:rsidRDefault="00000000">
      <w:pPr>
        <w:ind w:left="1134" w:hanging="1134"/>
      </w:pPr>
    </w:p>
    <w:p w:rsidR="00000000" w:rsidRDefault="00000000">
      <w:r>
        <w:t>Для достижения этих целей реализуется комплексный и транспарентный пакет соответствующих мер.  Он включает информационно-пропагандистскую деятельность, меры в законодательной области, пошлины на табачную продукцию, меры в правоприменительной области и исследования.</w:t>
      </w:r>
    </w:p>
    <w:p w:rsidR="00000000" w:rsidRDefault="00000000"/>
    <w:p w:rsidR="00000000" w:rsidRDefault="00000000">
      <w:r>
        <w:t>426.</w:t>
      </w:r>
      <w:r>
        <w:tab/>
        <w:t xml:space="preserve">Исследования показывают, что уровень курения среди молодых людей на протяжении ряда лет остается неизменным.  Среди девушек он ниже, чем среди мальчиков и юношей.  В 2002 году некурящими были 74% девушек, в то время как среди мальчиков и юношей некурящие составляли 71% (источник:  Ежегодный доклад СТИВОРО, 2002 год, </w:t>
      </w:r>
      <w:hyperlink r:id="rId18" w:history="1">
        <w:r>
          <w:rPr>
            <w:rStyle w:val="Hyperlink"/>
          </w:rPr>
          <w:t>www.stivoro.nl</w:t>
        </w:r>
      </w:hyperlink>
      <w:r>
        <w:t>).</w:t>
      </w:r>
    </w:p>
    <w:p w:rsidR="00000000" w:rsidRDefault="00000000"/>
    <w:p w:rsidR="00000000" w:rsidRDefault="00000000">
      <w:pPr>
        <w:rPr>
          <w:i/>
          <w:iCs/>
        </w:rPr>
      </w:pPr>
      <w:r>
        <w:rPr>
          <w:i/>
          <w:iCs/>
        </w:rPr>
        <w:t>Информационно-пропагандистская деятельность</w:t>
      </w:r>
    </w:p>
    <w:p w:rsidR="00000000" w:rsidRDefault="00000000">
      <w:pPr>
        <w:rPr>
          <w:i/>
          <w:iCs/>
        </w:rPr>
      </w:pPr>
    </w:p>
    <w:p w:rsidR="00000000" w:rsidRDefault="00000000">
      <w:r>
        <w:t>427.</w:t>
      </w:r>
      <w:r>
        <w:tab/>
        <w:t>Голландский фонд по проблемам курения и здравоохранения (СТИВОРО) борется за будущее без курения и руководствуется целью "улучшить положение в области общественного здравоохранения в контексте курения, и в частности добиться сокращения потребления табака".  Проводимые им кампании нацелены отдельно на взрослых и на молодежь.  В отношении молодежи цель состоит в том, чтобы убедить молодых людей в пагубности курения.  Программа действий СТИВОРО, направленная на достижение этой цели, включает следующие проекты:</w:t>
      </w:r>
    </w:p>
    <w:p w:rsidR="00000000" w:rsidRDefault="00000000"/>
    <w:p w:rsidR="00000000" w:rsidRDefault="00000000">
      <w:pPr>
        <w:ind w:left="1134" w:hanging="1134"/>
      </w:pPr>
      <w:r>
        <w:tab/>
        <w:t>-</w:t>
      </w:r>
      <w:r>
        <w:tab/>
        <w:t>проведение кампании в различных средствах массовой информации под названием "Мы" (рекламно-пропагандистский эксперимент, нацеленный на повышение авторитета некурящих среди молодежи);</w:t>
      </w:r>
    </w:p>
    <w:p w:rsidR="00000000" w:rsidRDefault="00000000">
      <w:pPr>
        <w:ind w:left="1134" w:hanging="1134"/>
      </w:pPr>
    </w:p>
    <w:p w:rsidR="00000000" w:rsidRDefault="00000000">
      <w:pPr>
        <w:ind w:left="1134" w:hanging="1134"/>
      </w:pPr>
      <w:r>
        <w:tab/>
        <w:t>-</w:t>
      </w:r>
      <w:r>
        <w:tab/>
        <w:t>индивидуальные соглашения об отказе от курения;</w:t>
      </w:r>
    </w:p>
    <w:p w:rsidR="00000000" w:rsidRDefault="00000000">
      <w:pPr>
        <w:ind w:left="1134" w:hanging="1134"/>
      </w:pPr>
    </w:p>
    <w:p w:rsidR="00000000" w:rsidRDefault="00000000">
      <w:pPr>
        <w:ind w:left="1134" w:hanging="1134"/>
      </w:pPr>
      <w:r>
        <w:tab/>
        <w:t>-</w:t>
      </w:r>
      <w:r>
        <w:tab/>
        <w:t>кампания по стимулированию традиционных соглашений об отказе от курения;</w:t>
      </w:r>
    </w:p>
    <w:p w:rsidR="00000000" w:rsidRDefault="00000000">
      <w:pPr>
        <w:ind w:left="1134" w:hanging="1134"/>
      </w:pPr>
    </w:p>
    <w:p w:rsidR="00000000" w:rsidRDefault="00000000">
      <w:pPr>
        <w:ind w:left="1134" w:hanging="1134"/>
      </w:pPr>
      <w:r>
        <w:tab/>
        <w:t>-</w:t>
      </w:r>
      <w:r>
        <w:tab/>
        <w:t xml:space="preserve">кампания за отказ от курения в школах; </w:t>
      </w:r>
    </w:p>
    <w:p w:rsidR="00000000" w:rsidRDefault="00000000">
      <w:pPr>
        <w:ind w:left="1134" w:hanging="1134"/>
      </w:pPr>
    </w:p>
    <w:p w:rsidR="00000000" w:rsidRDefault="00000000">
      <w:pPr>
        <w:ind w:left="1134" w:hanging="1134"/>
      </w:pPr>
      <w:r>
        <w:tab/>
        <w:t>-</w:t>
      </w:r>
      <w:r>
        <w:tab/>
        <w:t>предоставление информации для использования в устных и письменных заданиях учащимися начальных школ ("Ким");</w:t>
      </w:r>
    </w:p>
    <w:p w:rsidR="00000000" w:rsidRDefault="00000000">
      <w:pPr>
        <w:ind w:left="1134" w:hanging="1134"/>
      </w:pPr>
    </w:p>
    <w:p w:rsidR="00000000" w:rsidRDefault="00000000">
      <w:pPr>
        <w:ind w:left="1134" w:hanging="1134"/>
      </w:pPr>
      <w:r>
        <w:tab/>
        <w:t>-</w:t>
      </w:r>
      <w:r>
        <w:tab/>
        <w:t>разработка комплексного пакета материалов для использования в школах в целях обеспечения постоянной осведомленности об опасности курения;</w:t>
      </w:r>
    </w:p>
    <w:p w:rsidR="00000000" w:rsidRDefault="00000000">
      <w:pPr>
        <w:ind w:left="1134" w:hanging="1134"/>
      </w:pPr>
    </w:p>
    <w:p w:rsidR="00000000" w:rsidRDefault="00000000">
      <w:pPr>
        <w:ind w:left="1134" w:hanging="1134"/>
      </w:pPr>
      <w:r>
        <w:tab/>
        <w:t>-</w:t>
      </w:r>
      <w:r>
        <w:tab/>
        <w:t>интеграция проблемы курения в текущую деятельность ("Кодовое название </w:t>
      </w:r>
      <w:r>
        <w:noBreakHyphen/>
        <w:t xml:space="preserve"> Будущее");</w:t>
      </w:r>
    </w:p>
    <w:p w:rsidR="00000000" w:rsidRDefault="00000000">
      <w:pPr>
        <w:ind w:left="1134" w:hanging="1134"/>
      </w:pPr>
    </w:p>
    <w:p w:rsidR="00000000" w:rsidRDefault="00000000">
      <w:pPr>
        <w:ind w:left="1134" w:hanging="1134"/>
      </w:pPr>
      <w:r>
        <w:tab/>
        <w:t>-</w:t>
      </w:r>
      <w:r>
        <w:tab/>
        <w:t>поиск и освоение путей оказания влияния на молодежь в целях прекращения курения;</w:t>
      </w:r>
    </w:p>
    <w:p w:rsidR="00000000" w:rsidRDefault="00000000">
      <w:pPr>
        <w:ind w:left="1134" w:hanging="1134"/>
      </w:pPr>
    </w:p>
    <w:p w:rsidR="00000000" w:rsidRDefault="00000000">
      <w:pPr>
        <w:ind w:left="1134" w:hanging="1134"/>
      </w:pPr>
      <w:r>
        <w:tab/>
        <w:t>-</w:t>
      </w:r>
      <w:r>
        <w:tab/>
        <w:t>поиск и освоение путей оказания влияния на родителей;</w:t>
      </w:r>
    </w:p>
    <w:p w:rsidR="00000000" w:rsidRDefault="00000000">
      <w:pPr>
        <w:ind w:left="1134" w:hanging="1134"/>
      </w:pPr>
    </w:p>
    <w:p w:rsidR="00000000" w:rsidRDefault="00000000">
      <w:pPr>
        <w:ind w:left="1134" w:hanging="1134"/>
      </w:pPr>
      <w:r>
        <w:tab/>
        <w:t>-</w:t>
      </w:r>
      <w:r>
        <w:tab/>
        <w:t>изучение тенденций в области курения среди молодежи.</w:t>
      </w:r>
    </w:p>
    <w:p w:rsidR="00000000" w:rsidRDefault="00000000">
      <w:pPr>
        <w:ind w:left="1134" w:hanging="1134"/>
      </w:pPr>
    </w:p>
    <w:p w:rsidR="00000000" w:rsidRDefault="00000000">
      <w:r>
        <w:t>Министерство здравоохранения, благосостояния и спорта субсидирует кампании СТИВОРО, нацеленные на оказание соответствующего влияния на молодежь.  На пропаганду против курения, ориентированную на молодежь в целом и на учащихся школ в частности, выделена сумма в размере 1 361 341 евро, и еще 1 361 341 евро выделено на дальнейшую работу по проведению рекламно-пропагандистского эксперимента, направленного на повышение авторитета некурящих среди молодежи.</w:t>
      </w:r>
    </w:p>
    <w:p w:rsidR="00000000" w:rsidRDefault="00000000"/>
    <w:p w:rsidR="00000000" w:rsidRDefault="00000000">
      <w:pPr>
        <w:rPr>
          <w:i/>
          <w:iCs/>
        </w:rPr>
      </w:pPr>
      <w:r>
        <w:rPr>
          <w:i/>
          <w:iCs/>
        </w:rPr>
        <w:t>Законодательство и правоприменение</w:t>
      </w:r>
    </w:p>
    <w:p w:rsidR="00000000" w:rsidRDefault="00000000">
      <w:pPr>
        <w:rPr>
          <w:i/>
          <w:iCs/>
        </w:rPr>
      </w:pPr>
    </w:p>
    <w:p w:rsidR="00000000" w:rsidRDefault="00000000">
      <w:r>
        <w:t>428.</w:t>
      </w:r>
      <w:r>
        <w:tab/>
        <w:t>17 июля 2002 года были внесены различные поправки в Закон о табаке.  Одним из них было важное положение, направленное на предотвращение приобщения молодежи к курению и запрещающее продажу табака лицам в возрасте до 16 лет.  Это запрещение действует с 1 января 2003 года.  Предприятия розничной торговли обязаны гарантировать, что они не продают табачную продукцию лицам, не достигшим этого возраста, и подлежат штрафу в размере от 450 до 4 500 евро в случае нарушения этого положения.  С 1 января 2003 года запрещено также продавать сигареты в пачках объемом менее 19 штук или распространять табачную продукцию бесплатно.  За несоблюдение этих запретов применяются штрафы в том же размере, что и за продажу табака лицам в возрасте до 16 лет.</w:t>
      </w:r>
    </w:p>
    <w:p w:rsidR="00000000" w:rsidRDefault="00000000"/>
    <w:p w:rsidR="00000000" w:rsidRDefault="00000000">
      <w:pPr>
        <w:jc w:val="center"/>
        <w:rPr>
          <w:b/>
          <w:bCs/>
        </w:rPr>
      </w:pPr>
      <w:r>
        <w:rPr>
          <w:b/>
          <w:bCs/>
        </w:rPr>
        <w:t>3.7.3.3</w:t>
      </w:r>
      <w:r>
        <w:rPr>
          <w:b/>
          <w:bCs/>
        </w:rPr>
        <w:tab/>
        <w:t>Улучшение условий жизни и труда</w:t>
      </w:r>
    </w:p>
    <w:p w:rsidR="00000000" w:rsidRDefault="00000000">
      <w:pPr>
        <w:jc w:val="center"/>
        <w:rPr>
          <w:b/>
          <w:bCs/>
        </w:rPr>
      </w:pPr>
    </w:p>
    <w:p w:rsidR="00000000" w:rsidRDefault="00000000">
      <w:r>
        <w:t>429.</w:t>
      </w:r>
      <w:r>
        <w:tab/>
        <w:t>С 29 марта 2002 года в полном объеме применяются положения директивы 98/24/ЕС Европейского совета о защите трудящихся от рисков, связанных с химическими агентами.  С 2002 года Нидерланды обеспечивают полное соблюдение требований директивы 96/29/ЕС Евратома о мерах по защите трудящихся от ионизирующего излучения.  Подробную информацию о соответствующих мерах см. в тексте этих директив (Добавления 11 и 12).  В этих аспектах нет никаких признаков оказания какого-либо конкретного влияния на положение уязвимых групп или групп, находящихся в неблагоприятном положении.</w:t>
      </w:r>
    </w:p>
    <w:p w:rsidR="00000000" w:rsidRDefault="00000000"/>
    <w:p w:rsidR="00000000" w:rsidRDefault="00000000">
      <w:pPr>
        <w:keepNext/>
        <w:jc w:val="center"/>
        <w:rPr>
          <w:b/>
          <w:bCs/>
        </w:rPr>
      </w:pPr>
      <w:r>
        <w:rPr>
          <w:b/>
          <w:bCs/>
        </w:rPr>
        <w:t>3.7.3.4</w:t>
      </w:r>
      <w:r>
        <w:rPr>
          <w:b/>
          <w:bCs/>
        </w:rPr>
        <w:tab/>
        <w:t>Профилактика, лечение заболеваний и борьба с ними</w:t>
      </w:r>
    </w:p>
    <w:p w:rsidR="00000000" w:rsidRDefault="00000000">
      <w:pPr>
        <w:keepNext/>
        <w:jc w:val="center"/>
        <w:rPr>
          <w:b/>
          <w:bCs/>
        </w:rPr>
      </w:pPr>
    </w:p>
    <w:p w:rsidR="00000000" w:rsidRDefault="00000000">
      <w:pPr>
        <w:keepNext/>
        <w:rPr>
          <w:b/>
          <w:bCs/>
        </w:rPr>
      </w:pPr>
      <w:r>
        <w:rPr>
          <w:b/>
          <w:bCs/>
        </w:rPr>
        <w:t>Профилактика</w:t>
      </w:r>
    </w:p>
    <w:p w:rsidR="00000000" w:rsidRDefault="00000000">
      <w:pPr>
        <w:keepNext/>
        <w:rPr>
          <w:b/>
          <w:bCs/>
        </w:rPr>
      </w:pPr>
    </w:p>
    <w:p w:rsidR="00000000" w:rsidRDefault="00000000">
      <w:pPr>
        <w:keepNext/>
      </w:pPr>
      <w:r>
        <w:t>430.</w:t>
      </w:r>
      <w:r>
        <w:tab/>
        <w:t>Государство разработало, осуществляет и финансирует программу вакцинации детей, в рамках которой 95% детей в Нидерландах вакцинировано против дифтерии, коклюша, столбняка, полиомиелита, гемофилийной лихорадки, эпидемического паротита, краснухи и кори.  В 2002 году в национальную программу была добавлена вакцинация против менингита С, и к концу года ею были охвачены все дети в возрасте до 19 лет.</w:t>
      </w:r>
    </w:p>
    <w:p w:rsidR="00000000" w:rsidRDefault="00000000"/>
    <w:p w:rsidR="00000000" w:rsidRDefault="00000000">
      <w:r>
        <w:t>431.</w:t>
      </w:r>
      <w:r>
        <w:tab/>
        <w:t>В стране создана эффективная инфраструктура для борьбы с инфекционными заболеваниями.  Закон о борьбе с инфекционными заболеваниями и изучении причин заболеваемости, а также Закон об общественном здравоохранении (профилактических мерах) отводят муниципальным органам ключевую роль в этой борьбе.  Эта местная инфраструктура функционирует успешно и обеспечивает охват приблизительно 90% всех инфекционных болезней и эпидемий.  Особую роль в борьбе с остальными 10% наиболее серьезных и обширных эпидемий играет Национальное управление по координации мер для борьбы с инфекционными заболеваниями.  В настоящее время правительство работает над дальнейшим совершенствованием инфраструктуры для таких кризисных ситуаций.</w:t>
      </w:r>
    </w:p>
    <w:p w:rsidR="00000000" w:rsidRDefault="00000000"/>
    <w:p w:rsidR="00000000" w:rsidRDefault="00000000">
      <w:r>
        <w:t>432.</w:t>
      </w:r>
      <w:r>
        <w:tab/>
        <w:t>Помощь в борьбе против конкретных заболеваний оказывают организации, финансируемые государством или частными учреждениями.  Они проводят исследования, осуществляют задачи по контролю и профилактике и принимают меры для улучшения лечебного процесса.  К числу таких организаций относятся Координационное управление по вопросам вакцинации, Фонд СТД, Центр по распространению информации о гепатите, Ассоциация фондов для борьбы со СПИДом, различные научные организации по изучению проблем рака, Королевская ассоциация по борьбе с туберкулезом и Ассоциация по борьбе с ревматоидным артритом.</w:t>
      </w:r>
    </w:p>
    <w:p w:rsidR="00000000" w:rsidRDefault="00000000"/>
    <w:p w:rsidR="00000000" w:rsidRDefault="00000000">
      <w:r>
        <w:t>433.</w:t>
      </w:r>
      <w:r>
        <w:tab/>
        <w:t>Правительство уделяет все более пристальное внимание вопросам профилактики.  Большой упор делается на пропаганду здорового образа жизни, раннюю диагностику заболеваний и их лечение.  Закон об условиях труда, а также соответствующие службы, занимающиеся вопросами обеспечения безопасности, гигиены труда и благосостояния, играют важную роль в предотвращении профессиональных заболеваний.  Охрана здоровья обеспечивается на высоком уровне, и в стране надлежащим образом контролируется соблюдение соответствующих нормативных положений.</w:t>
      </w:r>
    </w:p>
    <w:p w:rsidR="00000000" w:rsidRDefault="00000000"/>
    <w:p w:rsidR="00000000" w:rsidRDefault="00000000">
      <w:r>
        <w:t>434.</w:t>
      </w:r>
      <w:r>
        <w:tab/>
        <w:t>Национальная система здравоохранения состоит из врачей общего профиля, служб, которые доступны каждому жителю страны и в которых можно получить анонимные консультации, муниципальных служб здравоохранения, поликлиник, больниц общего направления и госпиталей, специализирующихся в той или иной конкретной области.</w:t>
      </w:r>
    </w:p>
    <w:p w:rsidR="00000000" w:rsidRDefault="00000000"/>
    <w:p w:rsidR="00000000" w:rsidRDefault="00000000">
      <w:pPr>
        <w:jc w:val="center"/>
        <w:rPr>
          <w:b/>
          <w:bCs/>
        </w:rPr>
      </w:pPr>
      <w:r>
        <w:rPr>
          <w:b/>
          <w:bCs/>
        </w:rPr>
        <w:t>3.7.3.5</w:t>
      </w:r>
      <w:r>
        <w:rPr>
          <w:b/>
          <w:bCs/>
        </w:rPr>
        <w:tab/>
        <w:t>Восстановительная терапия и уход</w:t>
      </w:r>
    </w:p>
    <w:p w:rsidR="00000000" w:rsidRDefault="00000000">
      <w:pPr>
        <w:jc w:val="center"/>
        <w:rPr>
          <w:b/>
          <w:bCs/>
        </w:rPr>
      </w:pPr>
    </w:p>
    <w:p w:rsidR="00000000" w:rsidRDefault="00000000">
      <w:pPr>
        <w:jc w:val="center"/>
        <w:rPr>
          <w:b/>
          <w:bCs/>
        </w:rPr>
      </w:pPr>
      <w:r>
        <w:rPr>
          <w:b/>
          <w:bCs/>
        </w:rPr>
        <w:t>Таблица 25</w:t>
      </w:r>
    </w:p>
    <w:p w:rsidR="00000000" w:rsidRDefault="00000000">
      <w:pPr>
        <w:jc w:val="center"/>
        <w:rPr>
          <w:b/>
          <w:bCs/>
        </w:rPr>
      </w:pPr>
    </w:p>
    <w:p w:rsidR="00000000" w:rsidRDefault="00000000">
      <w:pPr>
        <w:jc w:val="center"/>
        <w:rPr>
          <w:b/>
          <w:bCs/>
        </w:rPr>
      </w:pPr>
      <w:r>
        <w:rPr>
          <w:b/>
          <w:bCs/>
        </w:rPr>
        <w:t>Число практикующих врачей-терапевтов на 1 000 человек населения</w:t>
      </w:r>
    </w:p>
    <w:p w:rsidR="00000000" w:rsidRDefault="00000000">
      <w:pPr>
        <w:jc w:val="center"/>
        <w:rPr>
          <w:b/>
          <w:bC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6"/>
        <w:gridCol w:w="2121"/>
        <w:gridCol w:w="2121"/>
        <w:gridCol w:w="2122"/>
      </w:tblGrid>
      <w:tr w:rsidR="00000000">
        <w:tblPrEx>
          <w:tblCellMar>
            <w:top w:w="0" w:type="dxa"/>
            <w:bottom w:w="0" w:type="dxa"/>
          </w:tblCellMar>
        </w:tblPrEx>
        <w:tc>
          <w:tcPr>
            <w:tcW w:w="1716" w:type="dxa"/>
          </w:tcPr>
          <w:p w:rsidR="00000000" w:rsidRDefault="00000000"/>
        </w:tc>
        <w:tc>
          <w:tcPr>
            <w:tcW w:w="2121" w:type="dxa"/>
          </w:tcPr>
          <w:p w:rsidR="00000000" w:rsidRDefault="00000000">
            <w:pPr>
              <w:jc w:val="center"/>
            </w:pPr>
            <w:r>
              <w:t>2000</w:t>
            </w:r>
          </w:p>
        </w:tc>
        <w:tc>
          <w:tcPr>
            <w:tcW w:w="2121" w:type="dxa"/>
          </w:tcPr>
          <w:p w:rsidR="00000000" w:rsidRDefault="00000000">
            <w:pPr>
              <w:jc w:val="center"/>
            </w:pPr>
            <w:r>
              <w:t>2001</w:t>
            </w:r>
          </w:p>
        </w:tc>
        <w:tc>
          <w:tcPr>
            <w:tcW w:w="2122" w:type="dxa"/>
          </w:tcPr>
          <w:p w:rsidR="00000000" w:rsidRDefault="00000000">
            <w:pPr>
              <w:jc w:val="center"/>
            </w:pPr>
            <w:r>
              <w:t>2002</w:t>
            </w:r>
          </w:p>
        </w:tc>
      </w:tr>
      <w:tr w:rsidR="00000000">
        <w:tblPrEx>
          <w:tblCellMar>
            <w:top w:w="0" w:type="dxa"/>
            <w:bottom w:w="0" w:type="dxa"/>
          </w:tblCellMar>
        </w:tblPrEx>
        <w:tc>
          <w:tcPr>
            <w:tcW w:w="1716" w:type="dxa"/>
          </w:tcPr>
          <w:p w:rsidR="00000000" w:rsidRDefault="00000000">
            <w:r>
              <w:t>Нидерланды</w:t>
            </w:r>
          </w:p>
        </w:tc>
        <w:tc>
          <w:tcPr>
            <w:tcW w:w="2121" w:type="dxa"/>
          </w:tcPr>
          <w:p w:rsidR="00000000" w:rsidRDefault="00000000">
            <w:pPr>
              <w:jc w:val="center"/>
            </w:pPr>
            <w:r>
              <w:t>3,2</w:t>
            </w:r>
          </w:p>
        </w:tc>
        <w:tc>
          <w:tcPr>
            <w:tcW w:w="2121" w:type="dxa"/>
          </w:tcPr>
          <w:p w:rsidR="00000000" w:rsidRDefault="00000000">
            <w:pPr>
              <w:jc w:val="center"/>
            </w:pPr>
            <w:r>
              <w:t>3,3</w:t>
            </w:r>
          </w:p>
        </w:tc>
        <w:tc>
          <w:tcPr>
            <w:tcW w:w="2122" w:type="dxa"/>
          </w:tcPr>
          <w:p w:rsidR="00000000" w:rsidRDefault="00000000">
            <w:pPr>
              <w:jc w:val="center"/>
            </w:pPr>
            <w:r>
              <w:t>3,1</w:t>
            </w:r>
          </w:p>
        </w:tc>
      </w:tr>
    </w:tbl>
    <w:p w:rsidR="00000000" w:rsidRDefault="00000000"/>
    <w:p w:rsidR="00000000" w:rsidRDefault="00000000">
      <w:r>
        <w:tab/>
      </w:r>
      <w:r>
        <w:rPr>
          <w:i/>
          <w:iCs/>
        </w:rPr>
        <w:t xml:space="preserve">Источник: </w:t>
      </w:r>
      <w:r>
        <w:t xml:space="preserve"> OECD Health Data 2004, 1st edition.</w:t>
      </w:r>
    </w:p>
    <w:p w:rsidR="00000000" w:rsidRDefault="00000000"/>
    <w:p w:rsidR="00000000" w:rsidRDefault="00000000">
      <w:r>
        <w:t>435.</w:t>
      </w:r>
      <w:r>
        <w:tab/>
        <w:t>Нидерланды имеют развитую систему первичной медико-санитарной помощи, которая, как правило, доступна на непосредственной основе.  Структуры, занимающиеся оказанием такой помощи, зачастую являются независимыми, и к их числу относятся врачи общего профиля, учреждения, обеспечивающие уход на дому, стоматологи, акушерки и физиотерапевты.  В голландской системе врачи общего профиля выполняют роль диспетчеров и направляют пациентов на стационарное и специализированное лечение.  В последнее время в этой части системы возникали некоторые затруднения в связи с образовавшейся нехваткой врачей общего профиля (доклад "Health on Course" (2003 год)).  Большинство голландских врачей-специалистов, работающих в больницах общего направления, заняты на самостоятельной основе.  Зачастую они являются членами партнерских ассоциаций и практикуют лишь в больничных условиях.  Вместе с тем сегодня некоторые из них занимаются частной практикой вне больниц.  Больницы и другие медицинские учреждения в Нидерландах - это, как правило, частные некоммерческие структуры.  Остальные больницы принадлежат государству.  Составной частью голландской системы здравоохранения является амбулаторная медицинская помощь.</w:t>
      </w:r>
    </w:p>
    <w:p w:rsidR="00000000" w:rsidRDefault="00000000"/>
    <w:p w:rsidR="00000000" w:rsidRDefault="00000000">
      <w:r>
        <w:t>436.</w:t>
      </w:r>
      <w:r>
        <w:tab/>
        <w:t>Помимо своеобразия организационной структуры и механизмов финансирования, голландская система здравоохранения имеет и некоторые другие особенности.  Некоторые из них отражают общее отношение населения страны и ее врачей к предоставлению медицинских услуг.</w:t>
      </w:r>
    </w:p>
    <w:p w:rsidR="00000000" w:rsidRDefault="00000000"/>
    <w:p w:rsidR="00000000" w:rsidRDefault="00000000">
      <w:r>
        <w:t>437.</w:t>
      </w:r>
      <w:r>
        <w:tab/>
        <w:t>Голландцы не в полной мере удовлетворены своей системой здравоохранения.  В ходе ряда опросов более или менее удовлетворительной ее признали 73% опрошенных.  Во Франции и Австрии зарегистрированы более высокие уровни (соответственно 78% и 83%), а в Греции, Португалии и Италии эти цифры намного ниже </w:t>
      </w:r>
      <w:r>
        <w:noBreakHyphen/>
        <w:t xml:space="preserve"> от 19% до 26% (</w:t>
      </w:r>
      <w:r>
        <w:rPr>
          <w:u w:val="single"/>
          <w:lang w:val="en-US"/>
        </w:rPr>
        <w:t>Eurobarometer</w:t>
      </w:r>
      <w:r>
        <w:rPr>
          <w:u w:val="single"/>
        </w:rPr>
        <w:t xml:space="preserve"> </w:t>
      </w:r>
      <w:r>
        <w:rPr>
          <w:u w:val="single"/>
          <w:lang w:val="en-US"/>
        </w:rPr>
        <w:t>survey</w:t>
      </w:r>
      <w:r>
        <w:rPr>
          <w:u w:val="single"/>
        </w:rPr>
        <w:t xml:space="preserve"> 1999</w:t>
      </w:r>
      <w:r>
        <w:t xml:space="preserve">;  </w:t>
      </w:r>
      <w:hyperlink r:id="rId19" w:history="1">
        <w:r>
          <w:rPr>
            <w:rStyle w:val="Hyperlink"/>
            <w:lang w:val="en-US"/>
          </w:rPr>
          <w:t>www</w:t>
        </w:r>
        <w:r>
          <w:rPr>
            <w:rStyle w:val="Hyperlink"/>
          </w:rPr>
          <w:t>.</w:t>
        </w:r>
        <w:r>
          <w:rPr>
            <w:rStyle w:val="Hyperlink"/>
            <w:lang w:val="en-US"/>
          </w:rPr>
          <w:t>europa</w:t>
        </w:r>
        <w:r>
          <w:rPr>
            <w:rStyle w:val="Hyperlink"/>
          </w:rPr>
          <w:t>.</w:t>
        </w:r>
        <w:r>
          <w:rPr>
            <w:rStyle w:val="Hyperlink"/>
            <w:lang w:val="en-US"/>
          </w:rPr>
          <w:t>eu</w:t>
        </w:r>
        <w:r>
          <w:rPr>
            <w:rStyle w:val="Hyperlink"/>
          </w:rPr>
          <w:t>.</w:t>
        </w:r>
        <w:r>
          <w:rPr>
            <w:rStyle w:val="Hyperlink"/>
            <w:lang w:val="en-US"/>
          </w:rPr>
          <w:t>int</w:t>
        </w:r>
      </w:hyperlink>
      <w:r>
        <w:t>).  Согласно результатам исследования ВОЗ по вопросу об уровне оперативности обслуживания (</w:t>
      </w:r>
      <w:r>
        <w:rPr>
          <w:lang w:val="en-US"/>
        </w:rPr>
        <w:t>Evans</w:t>
      </w:r>
      <w:r>
        <w:t>, 2002), этот уровень в Нидерландах является относительно низким по сравнению с 20 другими европейскими странами.</w:t>
      </w:r>
    </w:p>
    <w:p w:rsidR="00000000" w:rsidRDefault="00000000"/>
    <w:p w:rsidR="00000000" w:rsidRDefault="00000000">
      <w:r>
        <w:t>438.</w:t>
      </w:r>
      <w:r>
        <w:tab/>
        <w:t>В Нидерландах широко распространена практика родов в домашних условиях.  Хотя они стали и не столь частым явлением, как в прошлом, значительную часть родов в Нидерландах по</w:t>
      </w:r>
      <w:r>
        <w:noBreakHyphen/>
        <w:t>прежнему принимают лишь акушерки, и многие женщины (около 30%) по</w:t>
      </w:r>
      <w:r>
        <w:noBreakHyphen/>
        <w:t xml:space="preserve">прежнему хотели бы рожать дома.  Для голландской системы перинатальной медицинской помощи характерен также низкий процент практики кесарева сечения.  </w:t>
      </w:r>
    </w:p>
    <w:p w:rsidR="00000000" w:rsidRDefault="00000000"/>
    <w:p w:rsidR="00000000" w:rsidRDefault="00000000">
      <w:r>
        <w:t>439.</w:t>
      </w:r>
      <w:r>
        <w:tab/>
        <w:t xml:space="preserve">Голландские врачи не подлежат уголовной ответственности за осуществление эвтаназии при определенных условиях.  Согласно новому Закону, введенному в действие 1 апреля 2002 года, врачи, практикующие эвтаназию, более не подлежат уголовной ответственности при условии соблюдения установленных процедур и сообщения о наступлении смерти по причинам искусственного характера в региональный комитет по контролю за практикой </w:t>
      </w:r>
      <w:proofErr w:type="spellStart"/>
      <w:r>
        <w:t>эвтаназии</w:t>
      </w:r>
      <w:proofErr w:type="spellEnd"/>
      <w:r>
        <w:t xml:space="preserve">.  </w:t>
      </w:r>
      <w:proofErr w:type="spellStart"/>
      <w:r>
        <w:t>Эвтаназия</w:t>
      </w:r>
      <w:proofErr w:type="spellEnd"/>
      <w:r>
        <w:t xml:space="preserve"> допускается лишь на основе конкретной просьбы пациента.  Это позволяет пациентам достойно уходить из жизни после исчерпания всех имеющихся средств паллиативного лечения.  В Нидерландах под </w:t>
      </w:r>
      <w:proofErr w:type="spellStart"/>
      <w:r>
        <w:t>эвтаназией</w:t>
      </w:r>
      <w:proofErr w:type="spellEnd"/>
      <w:r>
        <w:t xml:space="preserve"> понимается прекращение жизни медицинским специалистом по просьбе пациента.  Это определение охватывает также </w:t>
      </w:r>
      <w:proofErr w:type="spellStart"/>
      <w:r>
        <w:t>ассистируемый</w:t>
      </w:r>
      <w:proofErr w:type="spellEnd"/>
      <w:r>
        <w:t xml:space="preserve"> суицид.  Поскольку во многих других странах </w:t>
      </w:r>
      <w:proofErr w:type="spellStart"/>
      <w:r>
        <w:t>эвтаназия</w:t>
      </w:r>
      <w:proofErr w:type="spellEnd"/>
      <w:r>
        <w:t xml:space="preserve"> запрещена законом, в настоящее время невозможно судить о том, насколько чаще она практикуется в Нидерландах, чем в других странах.</w:t>
      </w:r>
    </w:p>
    <w:p w:rsidR="00000000" w:rsidRDefault="00000000"/>
    <w:p w:rsidR="00000000" w:rsidRDefault="00000000">
      <w:r>
        <w:t>440.</w:t>
      </w:r>
      <w:r>
        <w:tab/>
        <w:t xml:space="preserve">Составной частью комплекса медицинского обслуживания в Нидерландах является уход за людьми, страдающими психическими расстройствами.  Голландская система здравоохранения имеет сильный сектор психиатрической помощи.  Значительная часть общего объема расходов на здравоохранение в Нидерландах приходится на уход за людьми, страдающими психическими расстройствами, и другие аспекты психиатрической помощи (доклад </w:t>
      </w:r>
      <w:proofErr w:type="spellStart"/>
      <w:r>
        <w:t>НИЗОС</w:t>
      </w:r>
      <w:proofErr w:type="spellEnd"/>
      <w:r>
        <w:t xml:space="preserve"> "</w:t>
      </w:r>
      <w:r>
        <w:rPr>
          <w:lang w:val="en-US"/>
        </w:rPr>
        <w:t>Health</w:t>
      </w:r>
      <w:r>
        <w:t xml:space="preserve"> </w:t>
      </w:r>
      <w:r>
        <w:rPr>
          <w:lang w:val="en-US"/>
        </w:rPr>
        <w:t>on</w:t>
      </w:r>
      <w:r>
        <w:t xml:space="preserve"> </w:t>
      </w:r>
      <w:r>
        <w:rPr>
          <w:lang w:val="en-US"/>
        </w:rPr>
        <w:t>Course</w:t>
      </w:r>
      <w:r>
        <w:t xml:space="preserve">?" (2003 год)), в том числе на учреждения, занимающиеся лечением наркотической и алкогольной зависимости.  </w:t>
      </w:r>
    </w:p>
    <w:p w:rsidR="00000000" w:rsidRDefault="00000000"/>
    <w:p w:rsidR="00000000" w:rsidRDefault="00000000">
      <w:r>
        <w:t>441.</w:t>
      </w:r>
      <w:r>
        <w:tab/>
        <w:t xml:space="preserve">В Нидерландах сохраняется низкий уровень применения антибиотиков, а следовательно, и низкий уровень устойчивости к антибиотикам.  До недавнего времени расходы на медикаменты в Нидерландах были сравнительно небольшими.  Потенциально нежелательное чрезмерное применение антибиотиков ограничивается медицинскими предписаниями.  Это способствует сохранению сравнительно низкого уровня устойчивости к антибиотикам в Нидерландах по сравнению со многими другими европейскими странами.  </w:t>
      </w:r>
    </w:p>
    <w:p w:rsidR="00000000" w:rsidRDefault="00000000"/>
    <w:p w:rsidR="00000000" w:rsidRDefault="00000000">
      <w:r>
        <w:t>442.</w:t>
      </w:r>
      <w:r>
        <w:tab/>
        <w:t xml:space="preserve">Аборты в Нидерландах разрешены законом на определенных условиях.  Одно из условий состоит в том, что срок беременности не должен превышать 24 недель.  Благодаря достижениям в медицинской науке сегодня многим сильно недоношенным детям удается сохранить жизнь.  В связи с этим практика абортов стала ограничиваться первыми 21 неделями беременности.  Аборт проводится лишь в том случае, если и сама женщина, и ее врач считают, что этого настоятельно требуют обстоятельства.  Врач должен информировать женщину о наличии других решений и может выполнить аборт лишь в том случае, если женщина приняла решение добровольно и должным образом обдумала его.  Для того чтобы женщина имела время обдумать свое решение, между первой консультацией и фактическим прерыванием беременности должно пройти не менее пяти дней.  Практика абортов регулируется отдельным законодательством.  В этих условиях показатели количества абортов в Нидерландах остаются низкими. </w:t>
      </w:r>
    </w:p>
    <w:p w:rsidR="00000000" w:rsidRDefault="00000000"/>
    <w:p w:rsidR="00000000" w:rsidRDefault="00000000">
      <w:pPr>
        <w:jc w:val="center"/>
        <w:rPr>
          <w:b/>
          <w:bCs/>
        </w:rPr>
      </w:pPr>
      <w:r>
        <w:rPr>
          <w:b/>
          <w:bCs/>
        </w:rPr>
        <w:t>3.7.4    Стоимость медицинской помощи и положение престарелых</w:t>
      </w:r>
    </w:p>
    <w:p w:rsidR="00000000" w:rsidRDefault="00000000">
      <w:pPr>
        <w:jc w:val="center"/>
        <w:rPr>
          <w:b/>
          <w:bCs/>
        </w:rPr>
      </w:pPr>
      <w:r>
        <w:rPr>
          <w:b/>
          <w:bCs/>
        </w:rPr>
        <w:t xml:space="preserve">в этой </w:t>
      </w:r>
      <w:proofErr w:type="spellStart"/>
      <w:r>
        <w:rPr>
          <w:b/>
          <w:bCs/>
        </w:rPr>
        <w:t>связи</w:t>
      </w:r>
      <w:r>
        <w:rPr>
          <w:b/>
          <w:bCs/>
          <w:vertAlign w:val="superscript"/>
        </w:rPr>
        <w:t>15</w:t>
      </w:r>
      <w:proofErr w:type="spellEnd"/>
    </w:p>
    <w:p w:rsidR="00000000" w:rsidRDefault="00000000">
      <w:pPr>
        <w:jc w:val="center"/>
        <w:rPr>
          <w:b/>
          <w:bCs/>
        </w:rPr>
      </w:pPr>
    </w:p>
    <w:p w:rsidR="00000000" w:rsidRDefault="00000000">
      <w:r>
        <w:t>443.</w:t>
      </w:r>
      <w:r>
        <w:tab/>
        <w:t>В период большого экономического подъема 60-х годов в Нидерландах была введена программа социального страхования, охватывающая все население страны.  Согласно соответствующему законодательству - Закону о чрезвычайных медицинских расходах (</w:t>
      </w:r>
      <w:proofErr w:type="spellStart"/>
      <w:r>
        <w:t>ЗЧМР</w:t>
      </w:r>
      <w:proofErr w:type="spellEnd"/>
      <w:r>
        <w:t>) - первоначально эта программа покрывала лишь стоимость ухода, обеспечиваемого в домах престарелых с медицинским обслуживанием.  В 70-х годах в нее был включен уход за больными на дому, в 90-х годах - другие виды медицинской помощи на дому, а в 2001 году - уход в домах престарелых без медицинского обслуживания.</w:t>
      </w:r>
    </w:p>
    <w:p w:rsidR="00000000" w:rsidRDefault="00000000"/>
    <w:p w:rsidR="00000000" w:rsidRDefault="00000000">
      <w:r>
        <w:t>444.</w:t>
      </w:r>
      <w:r>
        <w:tab/>
        <w:t xml:space="preserve">Сегодня программа охватывает стоимость ухода за престарелыми вне зависимости от того, где он предоставляется - в домашних условиях, в домах престарелых без медицинского обслуживания или в домах престарелых с медицинским обслуживанием.  Страховой взнос включен в подоходный налог.  Функционирование системы обеспечивается медицинскими страховщиками без какого-либо риска, и поскольку практически все жители Нидерландов имеют обычное медицинское страхование, этой программой охвачен практически каждый.  Льготы предоставляются в натуральном виде.  Иными словами, страховщики связываются с поставщиками услуг, которые обеспечивают требуемый объем ухода.  Страховщики платят за услуги непосредственно поставщикам, и пациенты даже не видят счетов.  Цены регламентируются Законом о стоимости медицинского обслуживания и контролируются Советом по надзору за тарифными ставками.  Существует система участия в оплате услуг в зависимости от уровня дохода, в соответствии с которой пациенты, получающие услуги, частично оплачивают их стоимость.  </w:t>
      </w:r>
    </w:p>
    <w:p w:rsidR="00000000" w:rsidRDefault="00000000"/>
    <w:p w:rsidR="00000000" w:rsidRDefault="00000000">
      <w:r>
        <w:t>445.</w:t>
      </w:r>
      <w:r>
        <w:tab/>
        <w:t>Доступ к услугам регулируется независимым органом, который оценивает потребности пациентов.  Цель состоит в том, чтобы престарелые могли как можно дольше оставаться у себя дома и по возможности получали необходимый уход в домашних условиях.</w:t>
      </w:r>
    </w:p>
    <w:p w:rsidR="00000000" w:rsidRDefault="00000000"/>
    <w:p w:rsidR="00000000" w:rsidRDefault="00000000">
      <w:r>
        <w:t>446.</w:t>
      </w:r>
      <w:r>
        <w:tab/>
        <w:t xml:space="preserve">В Нидерландах имеется 340 домов престарелых с медицинским обслуживанием на 62 000 мест.  Это позволяет разместить около </w:t>
      </w:r>
      <w:proofErr w:type="spellStart"/>
      <w:r>
        <w:t>6%</w:t>
      </w:r>
      <w:proofErr w:type="spellEnd"/>
      <w:r>
        <w:t xml:space="preserve"> населения в возрасте свыше 75 лет.  Общий объем затрат в 2003 году составил 5 475 млн. долл. США.  В стране насчитывается в общей сложности около 1 340 домов престарелых без медицинского обслуживания на 107 000 мест.  Это соответствует порядка </w:t>
      </w:r>
      <w:proofErr w:type="spellStart"/>
      <w:r>
        <w:t>11,5%</w:t>
      </w:r>
      <w:proofErr w:type="spellEnd"/>
      <w:r>
        <w:t xml:space="preserve"> населения страны в возрасте свыше 75 лет.  В каждом городе имеется по крайней мере один такой дом престарелых.  Средний возраст приема в них - около 83 лет, а средняя продолжительность пребывания - 3,5</w:t>
      </w:r>
      <w:r>
        <w:noBreakHyphen/>
        <w:t>4 года.  Общий объем затрат в 2003 году составил 4 135 млн. долл. США.  Большинство людей, проживающих в домах престарелых без медицинского ухода, - это лица с низким уровнем дохода.  Люди с более высокими доходами предпочитают квартиры с частным обслуживанием и сами оплачивают его.</w:t>
      </w:r>
    </w:p>
    <w:p w:rsidR="00000000" w:rsidRDefault="00000000"/>
    <w:p w:rsidR="00000000" w:rsidRDefault="00000000">
      <w:r>
        <w:t>447.</w:t>
      </w:r>
      <w:r>
        <w:tab/>
        <w:t xml:space="preserve">В Нидерландах в целом насчитывается около 175 организаций, занимающихся оказанием медицинской помощи на дому, и они обслуживают в общей сложности 420 000 человек.  Общий объем затрат в 2003 году составил 3 260 млн. долл. США.  Ожидается, что общая стоимость ухода за престарелыми в 2003 году составит около 13 млрд. долл. США, что соответствует приблизительно </w:t>
      </w:r>
      <w:proofErr w:type="spellStart"/>
      <w:r>
        <w:t>2,7%</w:t>
      </w:r>
      <w:proofErr w:type="spellEnd"/>
      <w:r>
        <w:t xml:space="preserve"> ВВП.  </w:t>
      </w:r>
    </w:p>
    <w:p w:rsidR="00000000" w:rsidRDefault="00000000"/>
    <w:p w:rsidR="00000000" w:rsidRDefault="00000000">
      <w:pPr>
        <w:jc w:val="center"/>
        <w:rPr>
          <w:b/>
          <w:bCs/>
        </w:rPr>
      </w:pPr>
      <w:r>
        <w:rPr>
          <w:b/>
          <w:bCs/>
        </w:rPr>
        <w:t>3.8</w:t>
      </w:r>
      <w:r>
        <w:rPr>
          <w:b/>
          <w:bCs/>
        </w:rPr>
        <w:tab/>
        <w:t>Статья 13</w:t>
      </w:r>
    </w:p>
    <w:p w:rsidR="00000000" w:rsidRDefault="00000000">
      <w:pPr>
        <w:jc w:val="center"/>
        <w:rPr>
          <w:b/>
          <w:bCs/>
        </w:rPr>
      </w:pPr>
    </w:p>
    <w:p w:rsidR="00000000" w:rsidRDefault="00000000">
      <w:pPr>
        <w:rPr>
          <w:b/>
          <w:bCs/>
        </w:rPr>
      </w:pPr>
      <w:r>
        <w:rPr>
          <w:b/>
          <w:bCs/>
        </w:rPr>
        <w:t>Свобода создавать учебные заведения</w:t>
      </w:r>
    </w:p>
    <w:p w:rsidR="00000000" w:rsidRDefault="00000000">
      <w:pPr>
        <w:rPr>
          <w:b/>
          <w:bCs/>
        </w:rPr>
      </w:pPr>
    </w:p>
    <w:p w:rsidR="00000000" w:rsidRDefault="00000000">
      <w:r>
        <w:t>448.</w:t>
      </w:r>
      <w:r>
        <w:tab/>
        <w:t>Свобода создавать учебные заведения, которая закреплена в Конституции Нидерландов, имеет исключительно важное значение для голландской системы образования.  Если правительство несет ответственность за обеспечение образования в государственных школах, то любой человек, желающий открыть школу на основе религиозных или иных убеждений, в принципе имеет полное право сделать это и организовать обучение в такой школе.  На практике такие школы, как правило, создаются ассоциациями или организациями, представляющими то или иное религиозное или философское направление или определенную систему образования.  В стране действует множество различных типов школ, однако большинство из них </w:t>
      </w:r>
      <w:r>
        <w:noBreakHyphen/>
        <w:t xml:space="preserve"> это римско-католические школы, протестантские школы или школы нерелигиозного типа.  В настоящее время создаются также исламские школы.  Почти </w:t>
      </w:r>
      <w:proofErr w:type="spellStart"/>
      <w:r>
        <w:t>70%</w:t>
      </w:r>
      <w:proofErr w:type="spellEnd"/>
      <w:r>
        <w:t xml:space="preserve"> детей школьного возраста (начального и среднего уровней) посещают частные школы.  </w:t>
      </w:r>
    </w:p>
    <w:p w:rsidR="00000000" w:rsidRDefault="00000000"/>
    <w:p w:rsidR="00000000" w:rsidRDefault="00000000">
      <w:pPr>
        <w:rPr>
          <w:b/>
          <w:bCs/>
        </w:rPr>
      </w:pPr>
      <w:r>
        <w:rPr>
          <w:b/>
          <w:bCs/>
        </w:rPr>
        <w:t>Финансирование системы образования</w:t>
      </w:r>
    </w:p>
    <w:p w:rsidR="00000000" w:rsidRDefault="00000000">
      <w:pPr>
        <w:rPr>
          <w:b/>
          <w:bCs/>
        </w:rPr>
      </w:pPr>
    </w:p>
    <w:p w:rsidR="00000000" w:rsidRDefault="00000000">
      <w:r>
        <w:t>449.</w:t>
      </w:r>
      <w:r>
        <w:tab/>
        <w:t xml:space="preserve">Согласно Конституции, государственные и другие школы, описанные в предыдущем пункте, имеют одинаковый статус, что распространяется и на принцип их финансирования.  Школы последней категории получают такие же ассигнования из государственного бюджета, как и частные школы, при условии, что их деятельность отвечает тем же требованиям и условиям, которым по закону должны удовлетворять государственные школы.  В этой связи разработаны многочисленные нормативные положения и созданы контролирующие органы.  Компетентными органами для государственных школ являются муниципалитеты, а для прочих школ такими органами служат советы школ, назначаемые исполнительным комитетом ассоциации или организации, создавшей такую школу.  </w:t>
      </w:r>
    </w:p>
    <w:p w:rsidR="00000000" w:rsidRDefault="00000000"/>
    <w:p w:rsidR="00000000" w:rsidRDefault="00000000">
      <w:pPr>
        <w:rPr>
          <w:b/>
          <w:bCs/>
        </w:rPr>
      </w:pPr>
      <w:r>
        <w:rPr>
          <w:b/>
          <w:bCs/>
        </w:rPr>
        <w:t>Организация системы образования</w:t>
      </w:r>
    </w:p>
    <w:p w:rsidR="00000000" w:rsidRDefault="00000000">
      <w:pPr>
        <w:rPr>
          <w:b/>
          <w:bCs/>
        </w:rPr>
      </w:pPr>
    </w:p>
    <w:p w:rsidR="00000000" w:rsidRDefault="00000000">
      <w:r>
        <w:t>450.</w:t>
      </w:r>
      <w:r>
        <w:tab/>
        <w:t>Система образования в Нидерландах организована следующим образом (см. также рис. 1):</w:t>
      </w:r>
    </w:p>
    <w:p w:rsidR="00000000" w:rsidRDefault="00000000"/>
    <w:p w:rsidR="00000000" w:rsidRDefault="00000000">
      <w:pPr>
        <w:ind w:left="567"/>
      </w:pPr>
      <w:r>
        <w:t xml:space="preserve">Начальное образование для детей в возрасте от 4 до 12 лет.  </w:t>
      </w:r>
    </w:p>
    <w:p w:rsidR="00000000" w:rsidRDefault="00000000">
      <w:pPr>
        <w:ind w:left="567"/>
      </w:pPr>
    </w:p>
    <w:p w:rsidR="00000000" w:rsidRDefault="00000000">
      <w:pPr>
        <w:ind w:left="567"/>
      </w:pPr>
      <w:r>
        <w:t xml:space="preserve">Специальное образование:  различные структуры для детей и молодежи в возрасте от 3 до 20 лет, имеющих особые потребности.  </w:t>
      </w:r>
    </w:p>
    <w:p w:rsidR="00000000" w:rsidRDefault="00000000">
      <w:pPr>
        <w:ind w:left="567"/>
      </w:pPr>
    </w:p>
    <w:p w:rsidR="00000000" w:rsidRDefault="00000000">
      <w:pPr>
        <w:ind w:left="567"/>
      </w:pPr>
      <w:r>
        <w:t>Среднее образование для подростков начиная с 12 лет, включающее:  среднее образование с трудовым уклоном (</w:t>
      </w:r>
      <w:proofErr w:type="spellStart"/>
      <w:r>
        <w:t>СОТУ</w:t>
      </w:r>
      <w:proofErr w:type="spellEnd"/>
      <w:r>
        <w:t>), общее среднее образование (</w:t>
      </w:r>
      <w:proofErr w:type="spellStart"/>
      <w:r>
        <w:t>ОСО</w:t>
      </w:r>
      <w:proofErr w:type="spellEnd"/>
      <w:r>
        <w:t xml:space="preserve">) и </w:t>
      </w:r>
      <w:proofErr w:type="spellStart"/>
      <w:r>
        <w:t>предуниверситетское</w:t>
      </w:r>
      <w:proofErr w:type="spellEnd"/>
      <w:r>
        <w:t xml:space="preserve"> образование (</w:t>
      </w:r>
      <w:proofErr w:type="spellStart"/>
      <w:r>
        <w:t>ПУО</w:t>
      </w:r>
      <w:proofErr w:type="spellEnd"/>
      <w:r>
        <w:t xml:space="preserve">).  </w:t>
      </w:r>
    </w:p>
    <w:p w:rsidR="00000000" w:rsidRDefault="00000000">
      <w:pPr>
        <w:ind w:left="567"/>
      </w:pPr>
    </w:p>
    <w:p w:rsidR="00000000" w:rsidRDefault="00000000">
      <w:pPr>
        <w:ind w:left="567"/>
      </w:pPr>
      <w:r>
        <w:t>Первые два или три года в рамках всех вышеуказанных форм среднего образования отводится получению базовых знаний и изучению широкого спектра академических и технических дисциплин.</w:t>
      </w:r>
    </w:p>
    <w:p w:rsidR="00000000" w:rsidRDefault="00000000">
      <w:pPr>
        <w:ind w:left="567"/>
      </w:pPr>
    </w:p>
    <w:p w:rsidR="00000000" w:rsidRDefault="00000000">
      <w:pPr>
        <w:ind w:left="567"/>
      </w:pPr>
      <w:r>
        <w:t>Высшее образование, включающее:  высшее профессиональное образование (</w:t>
      </w:r>
      <w:proofErr w:type="spellStart"/>
      <w:r>
        <w:t>ВПО</w:t>
      </w:r>
      <w:proofErr w:type="spellEnd"/>
      <w:r>
        <w:t>), университетское образование (</w:t>
      </w:r>
      <w:proofErr w:type="spellStart"/>
      <w:r>
        <w:t>УО</w:t>
      </w:r>
      <w:proofErr w:type="spellEnd"/>
      <w:r>
        <w:t>), открытый университет (</w:t>
      </w:r>
      <w:proofErr w:type="spellStart"/>
      <w:r>
        <w:t>ОУ</w:t>
      </w:r>
      <w:proofErr w:type="spellEnd"/>
      <w:r>
        <w:t xml:space="preserve">) и международное образование.  </w:t>
      </w:r>
    </w:p>
    <w:p w:rsidR="00000000" w:rsidRDefault="00000000">
      <w:pPr>
        <w:ind w:left="567"/>
        <w:rPr>
          <w:sz w:val="16"/>
        </w:rPr>
      </w:pPr>
    </w:p>
    <w:p w:rsidR="00000000" w:rsidRDefault="00000000">
      <w:pPr>
        <w:ind w:left="567"/>
      </w:pPr>
      <w:r>
        <w:t>Образование для взрослых и профессионально-техническое образование, включающее:  профессионально-техническое образование (</w:t>
      </w:r>
      <w:proofErr w:type="spellStart"/>
      <w:r>
        <w:t>ПТО</w:t>
      </w:r>
      <w:proofErr w:type="spellEnd"/>
      <w:r>
        <w:t xml:space="preserve">), </w:t>
      </w:r>
      <w:proofErr w:type="spellStart"/>
      <w:r>
        <w:t>ПТО</w:t>
      </w:r>
      <w:proofErr w:type="spellEnd"/>
      <w:r>
        <w:t xml:space="preserve"> без отрыва от производства, ремесленное обучение, специальные курсы, неформальное образование для взрослых, базовое образование для взрослых и общее среднее образование для взрослых (</w:t>
      </w:r>
      <w:proofErr w:type="spellStart"/>
      <w:r>
        <w:t>ОСОВ</w:t>
      </w:r>
      <w:proofErr w:type="spellEnd"/>
      <w:r>
        <w:t xml:space="preserve">).  </w:t>
      </w:r>
    </w:p>
    <w:p w:rsidR="00000000" w:rsidRDefault="00000000">
      <w:pPr>
        <w:ind w:left="567"/>
      </w:pPr>
    </w:p>
    <w:p w:rsidR="00000000" w:rsidRDefault="00000000">
      <w:pPr>
        <w:ind w:left="567"/>
      </w:pPr>
      <w:r>
        <w:t xml:space="preserve">Официальные курсы, организуемые платными учебными заведениями.  </w:t>
      </w:r>
    </w:p>
    <w:p w:rsidR="00000000" w:rsidRDefault="00000000">
      <w:pPr>
        <w:ind w:left="567"/>
      </w:pPr>
    </w:p>
    <w:p w:rsidR="00000000" w:rsidRDefault="00000000">
      <w:r>
        <w:t>451.</w:t>
      </w:r>
      <w:r>
        <w:tab/>
        <w:t xml:space="preserve">Предлагаемые курсы имеют различную продолжительность и проводятся на разных уровнях;  при этом существует возможность перехода с одних курсов на другие.  В 2001 году </w:t>
      </w:r>
      <w:proofErr w:type="spellStart"/>
      <w:r>
        <w:t>37%</w:t>
      </w:r>
      <w:proofErr w:type="spellEnd"/>
      <w:r>
        <w:t xml:space="preserve"> населения имели аттестаты высшей ступени среднего образования и </w:t>
      </w:r>
      <w:proofErr w:type="spellStart"/>
      <w:r>
        <w:t>26%</w:t>
      </w:r>
      <w:proofErr w:type="spellEnd"/>
      <w:r>
        <w:t> </w:t>
      </w:r>
      <w:r>
        <w:noBreakHyphen/>
        <w:t xml:space="preserve"> дипломы о высшем образовании.  </w:t>
      </w:r>
    </w:p>
    <w:p w:rsidR="00000000" w:rsidRDefault="00000000"/>
    <w:p w:rsidR="00000000" w:rsidRDefault="00000000">
      <w:pPr>
        <w:jc w:val="center"/>
        <w:rPr>
          <w:b/>
          <w:bCs/>
        </w:rPr>
      </w:pPr>
      <w:r>
        <w:rPr>
          <w:b/>
          <w:bCs/>
        </w:rPr>
        <w:t>Рис. 1</w:t>
      </w:r>
    </w:p>
    <w:p w:rsidR="00000000" w:rsidRDefault="00000000">
      <w:pPr>
        <w:jc w:val="center"/>
        <w:rPr>
          <w:b/>
          <w:bCs/>
        </w:rPr>
      </w:pPr>
    </w:p>
    <w:p w:rsidR="00000000" w:rsidRDefault="00000000">
      <w:pPr>
        <w:jc w:val="center"/>
        <w:rPr>
          <w:b/>
          <w:bCs/>
        </w:rPr>
      </w:pPr>
      <w:r>
        <w:rPr>
          <w:b/>
          <w:bCs/>
        </w:rPr>
        <w:t>Организационная структура системы образования в Нидерландах</w:t>
      </w:r>
    </w:p>
    <w:p w:rsidR="00000000" w:rsidRDefault="00000000">
      <w:pPr>
        <w:jc w:val="center"/>
        <w:rPr>
          <w:b/>
          <w:bCs/>
        </w:rPr>
      </w:pPr>
    </w:p>
    <w:p w:rsidR="00000000" w:rsidRDefault="00000000">
      <w:pPr>
        <w:rPr>
          <w:b/>
        </w:rPr>
      </w:pPr>
    </w:p>
    <w:p w:rsidR="00000000" w:rsidRDefault="00000000">
      <w:pPr>
        <w:rPr>
          <w:b/>
        </w:rPr>
      </w:pPr>
    </w:p>
    <w:p w:rsidR="00000000" w:rsidRDefault="00000000">
      <w:pPr>
        <w:rPr>
          <w:b/>
          <w:lang w:val="en-GB"/>
        </w:rPr>
      </w:pPr>
      <w:r>
        <w:rPr>
          <w:b/>
          <w:noProof/>
        </w:rPr>
        <w:pict>
          <v:shape id="_x0000_s1031" type="#_x0000_t75" style="position:absolute;margin-left:66pt;margin-top:1.2pt;width:336pt;height:229.5pt;z-index:2;visibility:visible;mso-wrap-edited:f" o:allowincell="f" stroked="t">
            <v:imagedata r:id="rId20" o:title=""/>
            <w10:anchorlock/>
          </v:shape>
          <o:OLEObject Type="Embed" ProgID="Word.Picture.8" ShapeID="_x0000_s1031" DrawAspect="Content" ObjectID="_1394892822" r:id="rId21"/>
        </w:pict>
      </w:r>
      <w:r>
        <w:rPr>
          <w:b/>
          <w:lang w:val="en-GB"/>
        </w:rPr>
        <w:fldChar w:fldCharType="begin" w:fldLock="1"/>
      </w:r>
      <w:r>
        <w:rPr>
          <w:b/>
          <w:lang w:val="en-GB"/>
        </w:rPr>
        <w:instrText xml:space="preserve"> SHAPE  \* MERGEFORMAT </w:instrText>
      </w:r>
      <w:r>
        <w:rPr>
          <w:b/>
          <w:lang w:val="en-GB"/>
        </w:rPr>
        <w:fldChar w:fldCharType="separate"/>
      </w:r>
      <w:r>
        <w:rPr>
          <w:b/>
          <w:lang w:val="en-GB"/>
        </w:rPr>
        <w:pict>
          <v:shape id="_x0000_i1026" type="#_x0000_t75" style="width:336pt;height:229.5pt" fillcolor="window">
            <v:imagedata croptop="-65520f" cropbottom="65520f"/>
            <o:lock v:ext="edit" rotation="t" position="t"/>
          </v:shape>
        </w:pict>
      </w:r>
      <w:r>
        <w:rPr>
          <w:b/>
          <w:lang w:val="en-GB"/>
        </w:rPr>
        <w:fldChar w:fldCharType="end"/>
      </w:r>
    </w:p>
    <w:p w:rsidR="00000000" w:rsidRDefault="00000000">
      <w:pPr>
        <w:rPr>
          <w:b/>
          <w:lang w:val="en-GB"/>
        </w:rPr>
      </w:pPr>
    </w:p>
    <w:p w:rsidR="00000000" w:rsidRDefault="00000000">
      <w:pPr>
        <w:tabs>
          <w:tab w:val="clear" w:pos="1701"/>
          <w:tab w:val="clear" w:pos="2268"/>
          <w:tab w:val="clear" w:pos="6237"/>
          <w:tab w:val="left" w:pos="2431"/>
        </w:tabs>
        <w:ind w:left="2431" w:hanging="1297"/>
      </w:pPr>
      <w:r>
        <w:t>ОНО</w:t>
      </w:r>
      <w:r>
        <w:tab/>
        <w:t>Общее начальное образование</w:t>
      </w:r>
    </w:p>
    <w:p w:rsidR="00000000" w:rsidRDefault="00000000">
      <w:pPr>
        <w:tabs>
          <w:tab w:val="clear" w:pos="1701"/>
          <w:tab w:val="clear" w:pos="2268"/>
          <w:tab w:val="clear" w:pos="6237"/>
          <w:tab w:val="left" w:pos="2431"/>
        </w:tabs>
        <w:ind w:left="2431" w:hanging="1297"/>
      </w:pPr>
      <w:proofErr w:type="spellStart"/>
      <w:r>
        <w:t>ПТОЧОП</w:t>
      </w:r>
      <w:proofErr w:type="spellEnd"/>
      <w:r>
        <w:tab/>
        <w:t>Профессионально-техническое обучение с частичным отрывом от производства</w:t>
      </w:r>
    </w:p>
    <w:p w:rsidR="00000000" w:rsidRDefault="00000000">
      <w:pPr>
        <w:tabs>
          <w:tab w:val="clear" w:pos="1701"/>
          <w:tab w:val="clear" w:pos="2268"/>
          <w:tab w:val="clear" w:pos="6237"/>
          <w:tab w:val="left" w:pos="2431"/>
        </w:tabs>
        <w:ind w:left="2431" w:hanging="1297"/>
      </w:pPr>
      <w:proofErr w:type="spellStart"/>
      <w:r>
        <w:t>ПТПСОП</w:t>
      </w:r>
      <w:proofErr w:type="spellEnd"/>
      <w:r>
        <w:tab/>
        <w:t>Профессионально-техническая подготовка с отрывом от производства</w:t>
      </w:r>
    </w:p>
    <w:p w:rsidR="00000000" w:rsidRDefault="00000000">
      <w:pPr>
        <w:tabs>
          <w:tab w:val="clear" w:pos="1701"/>
          <w:tab w:val="clear" w:pos="2268"/>
          <w:tab w:val="clear" w:pos="6237"/>
          <w:tab w:val="left" w:pos="2431"/>
        </w:tabs>
        <w:ind w:left="2431" w:hanging="1297"/>
      </w:pPr>
      <w:proofErr w:type="spellStart"/>
      <w:r>
        <w:t>ОСО</w:t>
      </w:r>
      <w:proofErr w:type="spellEnd"/>
      <w:r>
        <w:tab/>
        <w:t>Общее среднее образование</w:t>
      </w:r>
    </w:p>
    <w:p w:rsidR="00000000" w:rsidRDefault="00000000">
      <w:pPr>
        <w:tabs>
          <w:tab w:val="clear" w:pos="1701"/>
          <w:tab w:val="clear" w:pos="2268"/>
          <w:tab w:val="clear" w:pos="6237"/>
          <w:tab w:val="left" w:pos="2431"/>
        </w:tabs>
        <w:ind w:left="2431" w:hanging="1297"/>
      </w:pPr>
      <w:proofErr w:type="spellStart"/>
      <w:r>
        <w:t>ВПО</w:t>
      </w:r>
      <w:proofErr w:type="spellEnd"/>
      <w:r>
        <w:tab/>
        <w:t>Высшее профессиональное образование</w:t>
      </w:r>
    </w:p>
    <w:p w:rsidR="00000000" w:rsidRDefault="00000000">
      <w:pPr>
        <w:tabs>
          <w:tab w:val="clear" w:pos="1701"/>
          <w:tab w:val="clear" w:pos="2268"/>
          <w:tab w:val="clear" w:pos="6237"/>
          <w:tab w:val="left" w:pos="2431"/>
        </w:tabs>
        <w:ind w:left="2431" w:hanging="1297"/>
      </w:pPr>
      <w:proofErr w:type="spellStart"/>
      <w:r>
        <w:t>ПТО</w:t>
      </w:r>
      <w:proofErr w:type="spellEnd"/>
      <w:r>
        <w:tab/>
        <w:t>Профессионально-техническое образование</w:t>
      </w:r>
    </w:p>
    <w:p w:rsidR="00000000" w:rsidRDefault="00000000">
      <w:pPr>
        <w:tabs>
          <w:tab w:val="clear" w:pos="1701"/>
          <w:tab w:val="clear" w:pos="2268"/>
          <w:tab w:val="clear" w:pos="6237"/>
          <w:tab w:val="left" w:pos="2431"/>
        </w:tabs>
        <w:ind w:left="2431" w:hanging="1297"/>
      </w:pPr>
      <w:proofErr w:type="spellStart"/>
      <w:r>
        <w:t>ПП</w:t>
      </w:r>
      <w:proofErr w:type="spellEnd"/>
      <w:r>
        <w:tab/>
        <w:t>Практическая подготовка</w:t>
      </w:r>
    </w:p>
    <w:p w:rsidR="00000000" w:rsidRDefault="00000000">
      <w:pPr>
        <w:tabs>
          <w:tab w:val="clear" w:pos="1701"/>
          <w:tab w:val="clear" w:pos="2268"/>
          <w:tab w:val="clear" w:pos="6237"/>
          <w:tab w:val="left" w:pos="2431"/>
        </w:tabs>
        <w:ind w:left="2431" w:hanging="1297"/>
      </w:pPr>
      <w:proofErr w:type="spellStart"/>
      <w:r>
        <w:t>СНО</w:t>
      </w:r>
      <w:proofErr w:type="spellEnd"/>
      <w:r>
        <w:tab/>
        <w:t>Специальное начальное образование</w:t>
      </w:r>
    </w:p>
    <w:p w:rsidR="00000000" w:rsidRDefault="00000000">
      <w:pPr>
        <w:tabs>
          <w:tab w:val="clear" w:pos="1701"/>
          <w:tab w:val="clear" w:pos="2268"/>
          <w:tab w:val="clear" w:pos="6237"/>
          <w:tab w:val="left" w:pos="2431"/>
        </w:tabs>
        <w:ind w:left="2431" w:hanging="1297"/>
      </w:pPr>
      <w:proofErr w:type="spellStart"/>
      <w:r>
        <w:t>СПО</w:t>
      </w:r>
      <w:proofErr w:type="spellEnd"/>
      <w:r>
        <w:tab/>
        <w:t>Специальное образование</w:t>
      </w:r>
    </w:p>
    <w:p w:rsidR="00000000" w:rsidRDefault="00000000">
      <w:pPr>
        <w:tabs>
          <w:tab w:val="clear" w:pos="1701"/>
          <w:tab w:val="clear" w:pos="2268"/>
          <w:tab w:val="clear" w:pos="6237"/>
          <w:tab w:val="left" w:pos="2431"/>
        </w:tabs>
        <w:ind w:left="2431" w:hanging="1297"/>
      </w:pPr>
      <w:proofErr w:type="spellStart"/>
      <w:r>
        <w:t>СОТУ</w:t>
      </w:r>
      <w:proofErr w:type="spellEnd"/>
      <w:r>
        <w:tab/>
        <w:t>Среднее образование с трудовым уклоном</w:t>
      </w:r>
    </w:p>
    <w:p w:rsidR="00000000" w:rsidRDefault="00000000">
      <w:pPr>
        <w:tabs>
          <w:tab w:val="clear" w:pos="1701"/>
          <w:tab w:val="clear" w:pos="2268"/>
          <w:tab w:val="clear" w:pos="6237"/>
          <w:tab w:val="left" w:pos="2431"/>
        </w:tabs>
        <w:ind w:left="2431" w:hanging="1297"/>
      </w:pPr>
      <w:r>
        <w:t>СО</w:t>
      </w:r>
      <w:r>
        <w:tab/>
        <w:t>Среднее образование</w:t>
      </w:r>
    </w:p>
    <w:p w:rsidR="00000000" w:rsidRDefault="00000000">
      <w:pPr>
        <w:tabs>
          <w:tab w:val="clear" w:pos="1701"/>
          <w:tab w:val="clear" w:pos="2268"/>
          <w:tab w:val="clear" w:pos="6237"/>
          <w:tab w:val="left" w:pos="2431"/>
        </w:tabs>
        <w:ind w:left="2431" w:hanging="1297"/>
      </w:pPr>
      <w:proofErr w:type="spellStart"/>
      <w:r>
        <w:t>ССО</w:t>
      </w:r>
      <w:proofErr w:type="spellEnd"/>
      <w:r>
        <w:tab/>
        <w:t>Среднее специальное образование</w:t>
      </w:r>
    </w:p>
    <w:p w:rsidR="00000000" w:rsidRDefault="00000000">
      <w:pPr>
        <w:tabs>
          <w:tab w:val="clear" w:pos="1701"/>
          <w:tab w:val="clear" w:pos="2268"/>
          <w:tab w:val="clear" w:pos="6237"/>
          <w:tab w:val="left" w:pos="2431"/>
        </w:tabs>
        <w:ind w:left="2431" w:hanging="1297"/>
      </w:pPr>
      <w:proofErr w:type="spellStart"/>
      <w:r>
        <w:t>ПУО</w:t>
      </w:r>
      <w:proofErr w:type="spellEnd"/>
      <w:r>
        <w:tab/>
      </w:r>
      <w:proofErr w:type="spellStart"/>
      <w:r>
        <w:t>Предуниверситетское</w:t>
      </w:r>
      <w:proofErr w:type="spellEnd"/>
      <w:r>
        <w:t xml:space="preserve"> образование</w:t>
      </w:r>
    </w:p>
    <w:p w:rsidR="00000000" w:rsidRDefault="00000000">
      <w:pPr>
        <w:tabs>
          <w:tab w:val="clear" w:pos="1701"/>
          <w:tab w:val="clear" w:pos="2268"/>
          <w:tab w:val="clear" w:pos="6237"/>
          <w:tab w:val="left" w:pos="2431"/>
        </w:tabs>
        <w:ind w:left="2431" w:hanging="1297"/>
      </w:pPr>
      <w:proofErr w:type="spellStart"/>
      <w:r>
        <w:t>УО</w:t>
      </w:r>
      <w:proofErr w:type="spellEnd"/>
      <w:r>
        <w:tab/>
        <w:t>Университетское образование</w:t>
      </w:r>
    </w:p>
    <w:p w:rsidR="00000000" w:rsidRDefault="00000000">
      <w:pPr>
        <w:tabs>
          <w:tab w:val="clear" w:pos="1701"/>
          <w:tab w:val="clear" w:pos="2268"/>
          <w:tab w:val="clear" w:pos="6237"/>
          <w:tab w:val="left" w:pos="2431"/>
        </w:tabs>
        <w:ind w:left="2431" w:hanging="1297"/>
      </w:pPr>
    </w:p>
    <w:p w:rsidR="00000000" w:rsidRDefault="00000000">
      <w:pPr>
        <w:rPr>
          <w:lang w:val="en-GB"/>
        </w:rPr>
      </w:pPr>
      <w:r>
        <w:rPr>
          <w:i/>
          <w:iCs/>
        </w:rPr>
        <w:tab/>
      </w:r>
      <w:r>
        <w:rPr>
          <w:i/>
          <w:iCs/>
        </w:rPr>
        <w:tab/>
        <w:t>Источник</w:t>
      </w:r>
      <w:r>
        <w:rPr>
          <w:b/>
          <w:lang w:val="en-GB"/>
        </w:rPr>
        <w:t xml:space="preserve">:  </w:t>
      </w:r>
      <w:r>
        <w:rPr>
          <w:lang w:val="en-GB"/>
        </w:rPr>
        <w:t>Key Figures for Education, Culture and Science in the Netherlands 1999-2003.</w:t>
      </w:r>
    </w:p>
    <w:p w:rsidR="00000000" w:rsidRDefault="00000000">
      <w:pPr>
        <w:ind w:left="1416"/>
        <w:rPr>
          <w:lang w:val="en-GB"/>
        </w:rPr>
      </w:pPr>
    </w:p>
    <w:p w:rsidR="00000000" w:rsidRDefault="00000000"/>
    <w:p w:rsidR="00000000" w:rsidRDefault="00000000">
      <w:pPr>
        <w:spacing w:line="216" w:lineRule="auto"/>
        <w:jc w:val="center"/>
        <w:rPr>
          <w:b/>
          <w:bCs/>
        </w:rPr>
      </w:pPr>
      <w:r>
        <w:rPr>
          <w:b/>
          <w:bCs/>
        </w:rPr>
        <w:t>Таблица 26</w:t>
      </w:r>
    </w:p>
    <w:p w:rsidR="00000000" w:rsidRDefault="00000000">
      <w:pPr>
        <w:spacing w:line="216" w:lineRule="auto"/>
        <w:jc w:val="center"/>
        <w:rPr>
          <w:b/>
          <w:bCs/>
        </w:rPr>
      </w:pPr>
    </w:p>
    <w:p w:rsidR="00000000" w:rsidRDefault="00000000">
      <w:pPr>
        <w:spacing w:line="216" w:lineRule="auto"/>
        <w:jc w:val="center"/>
        <w:rPr>
          <w:b/>
          <w:bCs/>
        </w:rPr>
      </w:pPr>
      <w:r>
        <w:rPr>
          <w:b/>
          <w:bCs/>
        </w:rPr>
        <w:t>Основные данные о системе образования в Нидерландах</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77"/>
        <w:gridCol w:w="866"/>
        <w:gridCol w:w="867"/>
        <w:gridCol w:w="867"/>
        <w:gridCol w:w="867"/>
        <w:gridCol w:w="867"/>
      </w:tblGrid>
      <w:tr w:rsidR="00000000">
        <w:tblPrEx>
          <w:tblCellMar>
            <w:top w:w="0" w:type="dxa"/>
            <w:bottom w:w="0" w:type="dxa"/>
          </w:tblCellMar>
        </w:tblPrEx>
        <w:trPr>
          <w:cantSplit/>
        </w:trPr>
        <w:tc>
          <w:tcPr>
            <w:tcW w:w="5077" w:type="dxa"/>
            <w:tcBorders>
              <w:top w:val="single" w:sz="4" w:space="0" w:color="auto"/>
              <w:bottom w:val="single" w:sz="4" w:space="0" w:color="auto"/>
            </w:tcBorders>
          </w:tcPr>
          <w:p w:rsidR="00000000" w:rsidRDefault="00000000">
            <w:pPr>
              <w:jc w:val="right"/>
              <w:rPr>
                <w:bCs/>
                <w:snapToGrid w:val="0"/>
                <w:color w:val="000000"/>
              </w:rPr>
            </w:pPr>
          </w:p>
        </w:tc>
        <w:tc>
          <w:tcPr>
            <w:tcW w:w="866" w:type="dxa"/>
            <w:tcBorders>
              <w:top w:val="single" w:sz="4" w:space="0" w:color="auto"/>
              <w:bottom w:val="single" w:sz="4" w:space="0" w:color="auto"/>
            </w:tcBorders>
          </w:tcPr>
          <w:p w:rsidR="00000000" w:rsidRDefault="00000000">
            <w:pPr>
              <w:jc w:val="right"/>
              <w:rPr>
                <w:bCs/>
                <w:snapToGrid w:val="0"/>
                <w:color w:val="000000"/>
              </w:rPr>
            </w:pPr>
            <w:r>
              <w:rPr>
                <w:bCs/>
                <w:snapToGrid w:val="0"/>
                <w:color w:val="000000"/>
              </w:rPr>
              <w:t>1999</w:t>
            </w:r>
          </w:p>
        </w:tc>
        <w:tc>
          <w:tcPr>
            <w:tcW w:w="867" w:type="dxa"/>
            <w:tcBorders>
              <w:top w:val="single" w:sz="4" w:space="0" w:color="auto"/>
              <w:bottom w:val="single" w:sz="4" w:space="0" w:color="auto"/>
            </w:tcBorders>
          </w:tcPr>
          <w:p w:rsidR="00000000" w:rsidRDefault="00000000">
            <w:pPr>
              <w:jc w:val="right"/>
              <w:rPr>
                <w:bCs/>
                <w:snapToGrid w:val="0"/>
                <w:color w:val="000000"/>
              </w:rPr>
            </w:pPr>
            <w:r>
              <w:rPr>
                <w:bCs/>
                <w:snapToGrid w:val="0"/>
                <w:color w:val="000000"/>
              </w:rPr>
              <w:t>2000</w:t>
            </w:r>
          </w:p>
        </w:tc>
        <w:tc>
          <w:tcPr>
            <w:tcW w:w="867" w:type="dxa"/>
            <w:tcBorders>
              <w:top w:val="single" w:sz="4" w:space="0" w:color="auto"/>
              <w:bottom w:val="single" w:sz="4" w:space="0" w:color="auto"/>
            </w:tcBorders>
          </w:tcPr>
          <w:p w:rsidR="00000000" w:rsidRDefault="00000000">
            <w:pPr>
              <w:jc w:val="right"/>
              <w:rPr>
                <w:bCs/>
                <w:snapToGrid w:val="0"/>
                <w:color w:val="000000"/>
              </w:rPr>
            </w:pPr>
            <w:r>
              <w:rPr>
                <w:bCs/>
                <w:snapToGrid w:val="0"/>
                <w:color w:val="000000"/>
              </w:rPr>
              <w:t>2001</w:t>
            </w:r>
          </w:p>
        </w:tc>
        <w:tc>
          <w:tcPr>
            <w:tcW w:w="867" w:type="dxa"/>
            <w:tcBorders>
              <w:top w:val="single" w:sz="4" w:space="0" w:color="auto"/>
              <w:bottom w:val="single" w:sz="4" w:space="0" w:color="auto"/>
            </w:tcBorders>
          </w:tcPr>
          <w:p w:rsidR="00000000" w:rsidRDefault="00000000">
            <w:pPr>
              <w:jc w:val="right"/>
              <w:rPr>
                <w:bCs/>
                <w:snapToGrid w:val="0"/>
                <w:color w:val="000000"/>
              </w:rPr>
            </w:pPr>
            <w:r>
              <w:rPr>
                <w:bCs/>
                <w:snapToGrid w:val="0"/>
                <w:color w:val="000000"/>
              </w:rPr>
              <w:t>2002</w:t>
            </w:r>
          </w:p>
        </w:tc>
        <w:tc>
          <w:tcPr>
            <w:tcW w:w="867" w:type="dxa"/>
            <w:tcBorders>
              <w:top w:val="single" w:sz="4" w:space="0" w:color="auto"/>
              <w:bottom w:val="single" w:sz="4" w:space="0" w:color="auto"/>
            </w:tcBorders>
          </w:tcPr>
          <w:p w:rsidR="00000000" w:rsidRDefault="00000000">
            <w:pPr>
              <w:jc w:val="right"/>
              <w:rPr>
                <w:bCs/>
                <w:snapToGrid w:val="0"/>
                <w:color w:val="000000"/>
              </w:rPr>
            </w:pPr>
            <w:r>
              <w:rPr>
                <w:bCs/>
                <w:snapToGrid w:val="0"/>
                <w:color w:val="000000"/>
              </w:rPr>
              <w:t>2003</w:t>
            </w:r>
          </w:p>
        </w:tc>
      </w:tr>
      <w:tr w:rsidR="00000000">
        <w:tblPrEx>
          <w:tblCellMar>
            <w:top w:w="0" w:type="dxa"/>
            <w:bottom w:w="0" w:type="dxa"/>
          </w:tblCellMar>
        </w:tblPrEx>
        <w:trPr>
          <w:cantSplit/>
        </w:trPr>
        <w:tc>
          <w:tcPr>
            <w:tcW w:w="5077" w:type="dxa"/>
            <w:tcBorders>
              <w:top w:val="single" w:sz="4" w:space="0" w:color="auto"/>
            </w:tcBorders>
          </w:tcPr>
          <w:p w:rsidR="00000000" w:rsidRDefault="00000000">
            <w:pPr>
              <w:rPr>
                <w:snapToGrid w:val="0"/>
                <w:color w:val="000000"/>
              </w:rPr>
            </w:pPr>
            <w:r>
              <w:rPr>
                <w:snapToGrid w:val="0"/>
                <w:color w:val="000000"/>
              </w:rPr>
              <w:t>Учащиеся (</w:t>
            </w:r>
            <w:r>
              <w:rPr>
                <w:snapToGrid w:val="0"/>
                <w:color w:val="000000"/>
                <w:lang w:val="en-GB"/>
              </w:rPr>
              <w:t>x</w:t>
            </w:r>
            <w:r>
              <w:rPr>
                <w:snapToGrid w:val="0"/>
                <w:color w:val="000000"/>
              </w:rPr>
              <w:t xml:space="preserve"> 1 000)</w:t>
            </w:r>
          </w:p>
        </w:tc>
        <w:tc>
          <w:tcPr>
            <w:tcW w:w="866" w:type="dxa"/>
            <w:tcBorders>
              <w:top w:val="single" w:sz="4" w:space="0" w:color="auto"/>
            </w:tcBorders>
            <w:vAlign w:val="bottom"/>
          </w:tcPr>
          <w:p w:rsidR="00000000" w:rsidRDefault="00000000">
            <w:pPr>
              <w:jc w:val="right"/>
              <w:rPr>
                <w:snapToGrid w:val="0"/>
                <w:color w:val="000000"/>
              </w:rPr>
            </w:pPr>
            <w:r>
              <w:t>3 430</w:t>
            </w:r>
          </w:p>
        </w:tc>
        <w:tc>
          <w:tcPr>
            <w:tcW w:w="867" w:type="dxa"/>
            <w:tcBorders>
              <w:top w:val="single" w:sz="4" w:space="0" w:color="auto"/>
            </w:tcBorders>
            <w:vAlign w:val="bottom"/>
          </w:tcPr>
          <w:p w:rsidR="00000000" w:rsidRDefault="00000000">
            <w:pPr>
              <w:jc w:val="right"/>
              <w:rPr>
                <w:snapToGrid w:val="0"/>
                <w:color w:val="000000"/>
              </w:rPr>
            </w:pPr>
            <w:r>
              <w:t>3 465</w:t>
            </w:r>
          </w:p>
        </w:tc>
        <w:tc>
          <w:tcPr>
            <w:tcW w:w="867" w:type="dxa"/>
            <w:tcBorders>
              <w:top w:val="single" w:sz="4" w:space="0" w:color="auto"/>
            </w:tcBorders>
            <w:vAlign w:val="bottom"/>
          </w:tcPr>
          <w:p w:rsidR="00000000" w:rsidRDefault="00000000">
            <w:pPr>
              <w:jc w:val="right"/>
              <w:rPr>
                <w:snapToGrid w:val="0"/>
                <w:color w:val="000000"/>
              </w:rPr>
            </w:pPr>
            <w:r>
              <w:t>3 505</w:t>
            </w:r>
          </w:p>
        </w:tc>
        <w:tc>
          <w:tcPr>
            <w:tcW w:w="867" w:type="dxa"/>
            <w:tcBorders>
              <w:top w:val="single" w:sz="4" w:space="0" w:color="auto"/>
            </w:tcBorders>
            <w:vAlign w:val="bottom"/>
          </w:tcPr>
          <w:p w:rsidR="00000000" w:rsidRDefault="00000000">
            <w:pPr>
              <w:jc w:val="right"/>
              <w:rPr>
                <w:snapToGrid w:val="0"/>
                <w:color w:val="000000"/>
              </w:rPr>
            </w:pPr>
            <w:r>
              <w:t>3 538</w:t>
            </w:r>
          </w:p>
        </w:tc>
        <w:tc>
          <w:tcPr>
            <w:tcW w:w="867" w:type="dxa"/>
            <w:tcBorders>
              <w:top w:val="single" w:sz="4" w:space="0" w:color="auto"/>
            </w:tcBorders>
            <w:vAlign w:val="bottom"/>
          </w:tcPr>
          <w:p w:rsidR="00000000" w:rsidRDefault="00000000">
            <w:pPr>
              <w:jc w:val="right"/>
              <w:rPr>
                <w:snapToGrid w:val="0"/>
                <w:color w:val="000000"/>
              </w:rPr>
            </w:pPr>
            <w:r>
              <w:t>3 578</w:t>
            </w: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 xml:space="preserve">Дипломы СО, </w:t>
            </w:r>
            <w:proofErr w:type="spellStart"/>
            <w:r>
              <w:rPr>
                <w:snapToGrid w:val="0"/>
                <w:color w:val="000000"/>
              </w:rPr>
              <w:t>ПТПСОП</w:t>
            </w:r>
            <w:proofErr w:type="spellEnd"/>
            <w:r>
              <w:rPr>
                <w:snapToGrid w:val="0"/>
                <w:color w:val="000000"/>
              </w:rPr>
              <w:t xml:space="preserve">, </w:t>
            </w:r>
            <w:proofErr w:type="spellStart"/>
            <w:r>
              <w:rPr>
                <w:snapToGrid w:val="0"/>
                <w:color w:val="000000"/>
              </w:rPr>
              <w:t>ВПО</w:t>
            </w:r>
            <w:proofErr w:type="spellEnd"/>
            <w:r>
              <w:rPr>
                <w:snapToGrid w:val="0"/>
                <w:color w:val="000000"/>
              </w:rPr>
              <w:t xml:space="preserve"> и </w:t>
            </w:r>
            <w:proofErr w:type="spellStart"/>
            <w:r>
              <w:rPr>
                <w:snapToGrid w:val="0"/>
                <w:color w:val="000000"/>
              </w:rPr>
              <w:t>УО</w:t>
            </w:r>
            <w:proofErr w:type="spellEnd"/>
            <w:r>
              <w:rPr>
                <w:snapToGrid w:val="0"/>
                <w:color w:val="000000"/>
              </w:rPr>
              <w:t xml:space="preserve"> (</w:t>
            </w:r>
            <w:r>
              <w:rPr>
                <w:snapToGrid w:val="0"/>
                <w:color w:val="000000"/>
                <w:lang w:val="en-GB"/>
              </w:rPr>
              <w:t>x</w:t>
            </w:r>
            <w:r>
              <w:rPr>
                <w:snapToGrid w:val="0"/>
                <w:color w:val="000000"/>
              </w:rPr>
              <w:t xml:space="preserve"> 1 000)</w:t>
            </w:r>
          </w:p>
        </w:tc>
        <w:tc>
          <w:tcPr>
            <w:tcW w:w="866" w:type="dxa"/>
            <w:vAlign w:val="bottom"/>
          </w:tcPr>
          <w:p w:rsidR="00000000" w:rsidRDefault="00000000">
            <w:pPr>
              <w:jc w:val="right"/>
              <w:rPr>
                <w:snapToGrid w:val="0"/>
                <w:color w:val="000000"/>
              </w:rPr>
            </w:pPr>
            <w:r>
              <w:t>350</w:t>
            </w:r>
          </w:p>
        </w:tc>
        <w:tc>
          <w:tcPr>
            <w:tcW w:w="867" w:type="dxa"/>
            <w:vAlign w:val="bottom"/>
          </w:tcPr>
          <w:p w:rsidR="00000000" w:rsidRDefault="00000000">
            <w:pPr>
              <w:jc w:val="right"/>
              <w:rPr>
                <w:snapToGrid w:val="0"/>
                <w:color w:val="000000"/>
              </w:rPr>
            </w:pPr>
            <w:r>
              <w:t>356</w:t>
            </w:r>
          </w:p>
        </w:tc>
        <w:tc>
          <w:tcPr>
            <w:tcW w:w="867" w:type="dxa"/>
            <w:vAlign w:val="bottom"/>
          </w:tcPr>
          <w:p w:rsidR="00000000" w:rsidRDefault="00000000">
            <w:pPr>
              <w:jc w:val="right"/>
              <w:rPr>
                <w:snapToGrid w:val="0"/>
                <w:color w:val="000000"/>
              </w:rPr>
            </w:pPr>
            <w:r>
              <w:t>355</w:t>
            </w:r>
          </w:p>
        </w:tc>
        <w:tc>
          <w:tcPr>
            <w:tcW w:w="867" w:type="dxa"/>
            <w:vAlign w:val="bottom"/>
          </w:tcPr>
          <w:p w:rsidR="00000000" w:rsidRDefault="00000000">
            <w:pPr>
              <w:jc w:val="right"/>
              <w:rPr>
                <w:snapToGrid w:val="0"/>
                <w:color w:val="000000"/>
              </w:rPr>
            </w:pPr>
            <w:r>
              <w:t>365</w:t>
            </w:r>
          </w:p>
        </w:tc>
        <w:tc>
          <w:tcPr>
            <w:tcW w:w="867" w:type="dxa"/>
            <w:vAlign w:val="bottom"/>
          </w:tcPr>
          <w:p w:rsidR="00000000" w:rsidRDefault="00000000">
            <w:pPr>
              <w:jc w:val="right"/>
              <w:rPr>
                <w:snapToGrid w:val="0"/>
                <w:color w:val="000000"/>
              </w:rPr>
            </w:pPr>
            <w:r>
              <w:t>368</w:t>
            </w: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 xml:space="preserve">Количество выпускников с дипломами СО, </w:t>
            </w:r>
          </w:p>
          <w:p w:rsidR="00000000" w:rsidRDefault="00000000">
            <w:pPr>
              <w:rPr>
                <w:snapToGrid w:val="0"/>
                <w:color w:val="000000"/>
              </w:rPr>
            </w:pPr>
            <w:r>
              <w:rPr>
                <w:snapToGrid w:val="0"/>
                <w:color w:val="000000"/>
              </w:rPr>
              <w:tab/>
            </w:r>
            <w:proofErr w:type="spellStart"/>
            <w:r>
              <w:rPr>
                <w:snapToGrid w:val="0"/>
                <w:color w:val="000000"/>
              </w:rPr>
              <w:t>ПТПСОП</w:t>
            </w:r>
            <w:proofErr w:type="spellEnd"/>
            <w:r>
              <w:rPr>
                <w:snapToGrid w:val="0"/>
                <w:color w:val="000000"/>
              </w:rPr>
              <w:t xml:space="preserve">, </w:t>
            </w:r>
            <w:proofErr w:type="spellStart"/>
            <w:r>
              <w:rPr>
                <w:snapToGrid w:val="0"/>
                <w:color w:val="000000"/>
              </w:rPr>
              <w:t>ВПО</w:t>
            </w:r>
            <w:proofErr w:type="spellEnd"/>
            <w:r>
              <w:rPr>
                <w:snapToGrid w:val="0"/>
                <w:color w:val="000000"/>
              </w:rPr>
              <w:t xml:space="preserve"> и </w:t>
            </w:r>
            <w:proofErr w:type="spellStart"/>
            <w:r>
              <w:rPr>
                <w:snapToGrid w:val="0"/>
                <w:color w:val="000000"/>
              </w:rPr>
              <w:t>УО</w:t>
            </w:r>
            <w:proofErr w:type="spellEnd"/>
            <w:r>
              <w:rPr>
                <w:snapToGrid w:val="0"/>
                <w:color w:val="000000"/>
              </w:rPr>
              <w:t xml:space="preserve"> (</w:t>
            </w:r>
            <w:r>
              <w:rPr>
                <w:snapToGrid w:val="0"/>
                <w:color w:val="000000"/>
                <w:lang w:val="en-GB"/>
              </w:rPr>
              <w:t>x</w:t>
            </w:r>
            <w:r>
              <w:rPr>
                <w:snapToGrid w:val="0"/>
                <w:color w:val="000000"/>
              </w:rPr>
              <w:t xml:space="preserve"> 1 000)</w:t>
            </w:r>
          </w:p>
        </w:tc>
        <w:tc>
          <w:tcPr>
            <w:tcW w:w="866" w:type="dxa"/>
          </w:tcPr>
          <w:p w:rsidR="00000000" w:rsidRDefault="00000000">
            <w:pPr>
              <w:jc w:val="right"/>
              <w:rPr>
                <w:snapToGrid w:val="0"/>
                <w:color w:val="000000"/>
              </w:rPr>
            </w:pPr>
            <w:r>
              <w:t>162</w:t>
            </w:r>
          </w:p>
        </w:tc>
        <w:tc>
          <w:tcPr>
            <w:tcW w:w="867" w:type="dxa"/>
          </w:tcPr>
          <w:p w:rsidR="00000000" w:rsidRDefault="00000000">
            <w:pPr>
              <w:jc w:val="right"/>
              <w:rPr>
                <w:snapToGrid w:val="0"/>
                <w:color w:val="000000"/>
              </w:rPr>
            </w:pPr>
            <w:r>
              <w:t>178</w:t>
            </w:r>
          </w:p>
        </w:tc>
        <w:tc>
          <w:tcPr>
            <w:tcW w:w="867" w:type="dxa"/>
          </w:tcPr>
          <w:p w:rsidR="00000000" w:rsidRDefault="00000000">
            <w:pPr>
              <w:jc w:val="right"/>
              <w:rPr>
                <w:snapToGrid w:val="0"/>
                <w:color w:val="000000"/>
              </w:rPr>
            </w:pPr>
            <w:r>
              <w:t>184</w:t>
            </w:r>
          </w:p>
        </w:tc>
        <w:tc>
          <w:tcPr>
            <w:tcW w:w="867" w:type="dxa"/>
          </w:tcPr>
          <w:p w:rsidR="00000000" w:rsidRDefault="00000000">
            <w:pPr>
              <w:jc w:val="right"/>
              <w:rPr>
                <w:snapToGrid w:val="0"/>
                <w:color w:val="000000"/>
              </w:rPr>
            </w:pPr>
            <w:r>
              <w:t>184</w:t>
            </w:r>
          </w:p>
        </w:tc>
        <w:tc>
          <w:tcPr>
            <w:tcW w:w="867" w:type="dxa"/>
          </w:tcPr>
          <w:p w:rsidR="00000000" w:rsidRDefault="00000000">
            <w:pPr>
              <w:jc w:val="right"/>
              <w:rPr>
                <w:snapToGrid w:val="0"/>
                <w:color w:val="000000"/>
              </w:rPr>
            </w:pP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Учебные заведения</w:t>
            </w:r>
          </w:p>
        </w:tc>
        <w:tc>
          <w:tcPr>
            <w:tcW w:w="866" w:type="dxa"/>
            <w:vAlign w:val="bottom"/>
          </w:tcPr>
          <w:p w:rsidR="00000000" w:rsidRDefault="00000000">
            <w:pPr>
              <w:jc w:val="right"/>
              <w:rPr>
                <w:snapToGrid w:val="0"/>
                <w:color w:val="000000"/>
              </w:rPr>
            </w:pPr>
            <w:r>
              <w:t>9 026</w:t>
            </w:r>
          </w:p>
        </w:tc>
        <w:tc>
          <w:tcPr>
            <w:tcW w:w="867" w:type="dxa"/>
            <w:vAlign w:val="bottom"/>
          </w:tcPr>
          <w:p w:rsidR="00000000" w:rsidRDefault="00000000">
            <w:pPr>
              <w:jc w:val="right"/>
              <w:rPr>
                <w:snapToGrid w:val="0"/>
                <w:color w:val="000000"/>
              </w:rPr>
            </w:pPr>
            <w:r>
              <w:t>8 936</w:t>
            </w:r>
          </w:p>
        </w:tc>
        <w:tc>
          <w:tcPr>
            <w:tcW w:w="867" w:type="dxa"/>
            <w:vAlign w:val="bottom"/>
          </w:tcPr>
          <w:p w:rsidR="00000000" w:rsidRDefault="00000000">
            <w:pPr>
              <w:jc w:val="right"/>
              <w:rPr>
                <w:snapToGrid w:val="0"/>
                <w:color w:val="000000"/>
              </w:rPr>
            </w:pPr>
            <w:r>
              <w:t>8 855</w:t>
            </w:r>
          </w:p>
        </w:tc>
        <w:tc>
          <w:tcPr>
            <w:tcW w:w="867" w:type="dxa"/>
            <w:vAlign w:val="bottom"/>
          </w:tcPr>
          <w:p w:rsidR="00000000" w:rsidRDefault="00000000">
            <w:pPr>
              <w:jc w:val="right"/>
              <w:rPr>
                <w:snapToGrid w:val="0"/>
                <w:color w:val="000000"/>
              </w:rPr>
            </w:pPr>
            <w:r>
              <w:t>8 748</w:t>
            </w:r>
          </w:p>
        </w:tc>
        <w:tc>
          <w:tcPr>
            <w:tcW w:w="867" w:type="dxa"/>
            <w:vAlign w:val="bottom"/>
          </w:tcPr>
          <w:p w:rsidR="00000000" w:rsidRDefault="00000000">
            <w:pPr>
              <w:jc w:val="right"/>
              <w:rPr>
                <w:snapToGrid w:val="0"/>
                <w:color w:val="000000"/>
              </w:rPr>
            </w:pPr>
            <w:r>
              <w:t>8 762</w:t>
            </w: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Преподавательский состав (штатные</w:t>
            </w:r>
          </w:p>
          <w:p w:rsidR="00000000" w:rsidRDefault="00000000">
            <w:pPr>
              <w:rPr>
                <w:snapToGrid w:val="0"/>
                <w:color w:val="000000"/>
              </w:rPr>
            </w:pPr>
            <w:r>
              <w:rPr>
                <w:snapToGrid w:val="0"/>
                <w:color w:val="000000"/>
              </w:rPr>
              <w:tab/>
              <w:t xml:space="preserve">должности </w:t>
            </w:r>
            <w:r>
              <w:rPr>
                <w:snapToGrid w:val="0"/>
                <w:color w:val="000000"/>
                <w:lang w:val="en-GB"/>
              </w:rPr>
              <w:t>x</w:t>
            </w:r>
            <w:r>
              <w:rPr>
                <w:snapToGrid w:val="0"/>
                <w:color w:val="000000"/>
              </w:rPr>
              <w:t xml:space="preserve"> 1 000)</w:t>
            </w:r>
            <w:r>
              <w:rPr>
                <w:b/>
                <w:bCs/>
                <w:snapToGrid w:val="0"/>
                <w:color w:val="000000"/>
                <w:vertAlign w:val="superscript"/>
              </w:rPr>
              <w:t>*</w:t>
            </w:r>
          </w:p>
        </w:tc>
        <w:tc>
          <w:tcPr>
            <w:tcW w:w="866" w:type="dxa"/>
            <w:vAlign w:val="bottom"/>
          </w:tcPr>
          <w:p w:rsidR="00000000" w:rsidRDefault="00000000">
            <w:pPr>
              <w:jc w:val="right"/>
              <w:rPr>
                <w:snapToGrid w:val="0"/>
                <w:color w:val="000000"/>
              </w:rPr>
            </w:pPr>
            <w:r>
              <w:t>274</w:t>
            </w:r>
          </w:p>
        </w:tc>
        <w:tc>
          <w:tcPr>
            <w:tcW w:w="867" w:type="dxa"/>
            <w:vAlign w:val="bottom"/>
          </w:tcPr>
          <w:p w:rsidR="00000000" w:rsidRDefault="00000000">
            <w:pPr>
              <w:jc w:val="right"/>
              <w:rPr>
                <w:snapToGrid w:val="0"/>
                <w:color w:val="000000"/>
              </w:rPr>
            </w:pPr>
            <w:r>
              <w:t>284</w:t>
            </w:r>
          </w:p>
        </w:tc>
        <w:tc>
          <w:tcPr>
            <w:tcW w:w="867" w:type="dxa"/>
            <w:vAlign w:val="bottom"/>
          </w:tcPr>
          <w:p w:rsidR="00000000" w:rsidRDefault="00000000">
            <w:pPr>
              <w:jc w:val="right"/>
              <w:rPr>
                <w:snapToGrid w:val="0"/>
                <w:color w:val="000000"/>
              </w:rPr>
            </w:pPr>
            <w:r>
              <w:t>292</w:t>
            </w:r>
          </w:p>
        </w:tc>
        <w:tc>
          <w:tcPr>
            <w:tcW w:w="867" w:type="dxa"/>
            <w:vAlign w:val="bottom"/>
          </w:tcPr>
          <w:p w:rsidR="00000000" w:rsidRDefault="00000000">
            <w:pPr>
              <w:jc w:val="right"/>
              <w:rPr>
                <w:snapToGrid w:val="0"/>
                <w:color w:val="000000"/>
              </w:rPr>
            </w:pPr>
            <w:r>
              <w:t>306</w:t>
            </w:r>
          </w:p>
        </w:tc>
        <w:tc>
          <w:tcPr>
            <w:tcW w:w="867" w:type="dxa"/>
            <w:vAlign w:val="bottom"/>
          </w:tcPr>
          <w:p w:rsidR="00000000" w:rsidRDefault="00000000">
            <w:pPr>
              <w:jc w:val="right"/>
              <w:rPr>
                <w:snapToGrid w:val="0"/>
                <w:color w:val="000000"/>
              </w:rPr>
            </w:pPr>
            <w:r>
              <w:t>273</w:t>
            </w: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Расходы на образование (</w:t>
            </w:r>
            <w:proofErr w:type="spellStart"/>
            <w:r>
              <w:rPr>
                <w:snapToGrid w:val="0"/>
                <w:color w:val="000000"/>
              </w:rPr>
              <w:t>х</w:t>
            </w:r>
            <w:proofErr w:type="spellEnd"/>
            <w:r>
              <w:rPr>
                <w:snapToGrid w:val="0"/>
                <w:color w:val="000000"/>
              </w:rPr>
              <w:t xml:space="preserve"> 1</w:t>
            </w:r>
            <w:r>
              <w:rPr>
                <w:snapToGrid w:val="0"/>
                <w:color w:val="000000"/>
                <w:lang w:val="en-GB"/>
              </w:rPr>
              <w:t> </w:t>
            </w:r>
            <w:r>
              <w:rPr>
                <w:snapToGrid w:val="0"/>
                <w:color w:val="000000"/>
              </w:rPr>
              <w:t xml:space="preserve">млн. </w:t>
            </w:r>
            <w:proofErr w:type="spellStart"/>
            <w:r>
              <w:rPr>
                <w:snapToGrid w:val="0"/>
                <w:color w:val="000000"/>
              </w:rPr>
              <w:t>евро</w:t>
            </w:r>
            <w:proofErr w:type="spellEnd"/>
            <w:r>
              <w:rPr>
                <w:snapToGrid w:val="0"/>
                <w:color w:val="000000"/>
              </w:rPr>
              <w:t>)</w:t>
            </w:r>
          </w:p>
        </w:tc>
        <w:tc>
          <w:tcPr>
            <w:tcW w:w="866" w:type="dxa"/>
            <w:vAlign w:val="bottom"/>
          </w:tcPr>
          <w:p w:rsidR="00000000" w:rsidRDefault="00000000">
            <w:pPr>
              <w:jc w:val="right"/>
              <w:rPr>
                <w:snapToGrid w:val="0"/>
                <w:color w:val="000000"/>
              </w:rPr>
            </w:pPr>
            <w:r>
              <w:t>14 770</w:t>
            </w:r>
          </w:p>
        </w:tc>
        <w:tc>
          <w:tcPr>
            <w:tcW w:w="867" w:type="dxa"/>
            <w:vAlign w:val="bottom"/>
          </w:tcPr>
          <w:p w:rsidR="00000000" w:rsidRDefault="00000000">
            <w:pPr>
              <w:jc w:val="right"/>
              <w:rPr>
                <w:snapToGrid w:val="0"/>
                <w:color w:val="000000"/>
              </w:rPr>
            </w:pPr>
            <w:r>
              <w:t>16 202</w:t>
            </w:r>
          </w:p>
        </w:tc>
        <w:tc>
          <w:tcPr>
            <w:tcW w:w="867" w:type="dxa"/>
            <w:vAlign w:val="bottom"/>
          </w:tcPr>
          <w:p w:rsidR="00000000" w:rsidRDefault="00000000">
            <w:pPr>
              <w:jc w:val="right"/>
              <w:rPr>
                <w:snapToGrid w:val="0"/>
                <w:color w:val="000000"/>
              </w:rPr>
            </w:pPr>
            <w:r>
              <w:t>17 818</w:t>
            </w:r>
          </w:p>
        </w:tc>
        <w:tc>
          <w:tcPr>
            <w:tcW w:w="867" w:type="dxa"/>
            <w:vAlign w:val="bottom"/>
          </w:tcPr>
          <w:p w:rsidR="00000000" w:rsidRDefault="00000000">
            <w:pPr>
              <w:jc w:val="right"/>
              <w:rPr>
                <w:snapToGrid w:val="0"/>
                <w:color w:val="000000"/>
              </w:rPr>
            </w:pPr>
            <w:r>
              <w:t>19 009</w:t>
            </w:r>
          </w:p>
        </w:tc>
        <w:tc>
          <w:tcPr>
            <w:tcW w:w="867" w:type="dxa"/>
            <w:vAlign w:val="bottom"/>
          </w:tcPr>
          <w:p w:rsidR="00000000" w:rsidRDefault="00000000">
            <w:pPr>
              <w:jc w:val="right"/>
              <w:rPr>
                <w:snapToGrid w:val="0"/>
                <w:color w:val="000000"/>
              </w:rPr>
            </w:pPr>
            <w:r>
              <w:t>19 721</w:t>
            </w:r>
          </w:p>
        </w:tc>
      </w:tr>
      <w:tr w:rsidR="00000000">
        <w:tblPrEx>
          <w:tblCellMar>
            <w:top w:w="0" w:type="dxa"/>
            <w:bottom w:w="0" w:type="dxa"/>
          </w:tblCellMar>
        </w:tblPrEx>
        <w:trPr>
          <w:cantSplit/>
        </w:trPr>
        <w:tc>
          <w:tcPr>
            <w:tcW w:w="5077" w:type="dxa"/>
          </w:tcPr>
          <w:p w:rsidR="00000000" w:rsidRDefault="00000000">
            <w:pPr>
              <w:rPr>
                <w:snapToGrid w:val="0"/>
                <w:color w:val="000000"/>
              </w:rPr>
            </w:pPr>
            <w:r>
              <w:rPr>
                <w:snapToGrid w:val="0"/>
                <w:color w:val="000000"/>
              </w:rPr>
              <w:t>Финансовая помощь студентам (</w:t>
            </w:r>
            <w:r>
              <w:rPr>
                <w:snapToGrid w:val="0"/>
                <w:color w:val="000000"/>
                <w:lang w:val="en-GB"/>
              </w:rPr>
              <w:t>x</w:t>
            </w:r>
            <w:r>
              <w:rPr>
                <w:snapToGrid w:val="0"/>
                <w:color w:val="000000"/>
              </w:rPr>
              <w:t xml:space="preserve"> 1 млн. </w:t>
            </w:r>
            <w:proofErr w:type="spellStart"/>
            <w:r>
              <w:rPr>
                <w:snapToGrid w:val="0"/>
                <w:color w:val="000000"/>
              </w:rPr>
              <w:t>евро</w:t>
            </w:r>
            <w:proofErr w:type="spellEnd"/>
            <w:r>
              <w:rPr>
                <w:snapToGrid w:val="0"/>
                <w:color w:val="000000"/>
              </w:rPr>
              <w:t xml:space="preserve">) </w:t>
            </w:r>
          </w:p>
        </w:tc>
        <w:tc>
          <w:tcPr>
            <w:tcW w:w="866" w:type="dxa"/>
            <w:vAlign w:val="bottom"/>
          </w:tcPr>
          <w:p w:rsidR="00000000" w:rsidRDefault="00000000">
            <w:pPr>
              <w:jc w:val="right"/>
              <w:rPr>
                <w:snapToGrid w:val="0"/>
                <w:color w:val="000000"/>
                <w:lang w:val="en-GB"/>
              </w:rPr>
            </w:pPr>
            <w:r>
              <w:rPr>
                <w:lang w:val="en-GB"/>
              </w:rPr>
              <w:t>2 074</w:t>
            </w:r>
          </w:p>
        </w:tc>
        <w:tc>
          <w:tcPr>
            <w:tcW w:w="867" w:type="dxa"/>
            <w:vAlign w:val="bottom"/>
          </w:tcPr>
          <w:p w:rsidR="00000000" w:rsidRDefault="00000000">
            <w:pPr>
              <w:jc w:val="right"/>
              <w:rPr>
                <w:snapToGrid w:val="0"/>
                <w:color w:val="000000"/>
                <w:lang w:val="en-GB"/>
              </w:rPr>
            </w:pPr>
            <w:r>
              <w:rPr>
                <w:lang w:val="en-GB"/>
              </w:rPr>
              <w:t>2 417</w:t>
            </w:r>
          </w:p>
        </w:tc>
        <w:tc>
          <w:tcPr>
            <w:tcW w:w="867" w:type="dxa"/>
            <w:vAlign w:val="bottom"/>
          </w:tcPr>
          <w:p w:rsidR="00000000" w:rsidRDefault="00000000">
            <w:pPr>
              <w:jc w:val="right"/>
              <w:rPr>
                <w:snapToGrid w:val="0"/>
                <w:color w:val="000000"/>
                <w:lang w:val="en-GB"/>
              </w:rPr>
            </w:pPr>
            <w:r>
              <w:rPr>
                <w:lang w:val="en-GB"/>
              </w:rPr>
              <w:t>2 318</w:t>
            </w:r>
          </w:p>
        </w:tc>
        <w:tc>
          <w:tcPr>
            <w:tcW w:w="867" w:type="dxa"/>
            <w:vAlign w:val="bottom"/>
          </w:tcPr>
          <w:p w:rsidR="00000000" w:rsidRDefault="00000000">
            <w:pPr>
              <w:jc w:val="right"/>
              <w:rPr>
                <w:snapToGrid w:val="0"/>
                <w:color w:val="000000"/>
                <w:lang w:val="en-GB"/>
              </w:rPr>
            </w:pPr>
            <w:r>
              <w:rPr>
                <w:lang w:val="en-GB"/>
              </w:rPr>
              <w:t>2 152</w:t>
            </w:r>
          </w:p>
        </w:tc>
        <w:tc>
          <w:tcPr>
            <w:tcW w:w="867" w:type="dxa"/>
            <w:vAlign w:val="bottom"/>
          </w:tcPr>
          <w:p w:rsidR="00000000" w:rsidRDefault="00000000">
            <w:pPr>
              <w:jc w:val="right"/>
              <w:rPr>
                <w:snapToGrid w:val="0"/>
                <w:color w:val="000000"/>
                <w:lang w:val="en-GB"/>
              </w:rPr>
            </w:pPr>
            <w:r>
              <w:rPr>
                <w:lang w:val="en-GB"/>
              </w:rPr>
              <w:t>2 682</w:t>
            </w:r>
          </w:p>
        </w:tc>
      </w:tr>
    </w:tbl>
    <w:p w:rsidR="00000000" w:rsidRDefault="00000000">
      <w:pPr>
        <w:rPr>
          <w:lang w:val="en-GB"/>
        </w:rPr>
      </w:pPr>
    </w:p>
    <w:p w:rsidR="00000000" w:rsidRDefault="00000000">
      <w:pPr>
        <w:spacing w:line="240" w:lineRule="auto"/>
        <w:rPr>
          <w:lang w:val="en-GB"/>
        </w:rPr>
      </w:pPr>
      <w:r>
        <w:rPr>
          <w:i/>
          <w:iCs/>
        </w:rPr>
        <w:tab/>
        <w:t>Источник</w:t>
      </w:r>
      <w:r>
        <w:rPr>
          <w:b/>
          <w:lang w:val="en-GB"/>
        </w:rPr>
        <w:t xml:space="preserve">:  </w:t>
      </w:r>
      <w:r>
        <w:rPr>
          <w:lang w:val="en-GB"/>
        </w:rPr>
        <w:t>Key Figures for Education, Culture and Science in the Netherlands 1999</w:t>
      </w:r>
      <w:r>
        <w:rPr>
          <w:lang w:val="en-GB"/>
        </w:rPr>
        <w:noBreakHyphen/>
        <w:t>2003.</w:t>
      </w:r>
    </w:p>
    <w:p w:rsidR="00000000" w:rsidRDefault="00000000">
      <w:pPr>
        <w:spacing w:line="240" w:lineRule="auto"/>
        <w:rPr>
          <w:lang w:val="en-GB"/>
        </w:rPr>
      </w:pPr>
    </w:p>
    <w:p w:rsidR="00000000" w:rsidRDefault="00000000">
      <w:pPr>
        <w:rPr>
          <w:bCs/>
        </w:rPr>
      </w:pPr>
      <w:r>
        <w:rPr>
          <w:b/>
          <w:vertAlign w:val="superscript"/>
        </w:rPr>
        <w:t>*</w:t>
      </w:r>
      <w:r>
        <w:rPr>
          <w:b/>
          <w:vertAlign w:val="superscript"/>
        </w:rPr>
        <w:tab/>
      </w:r>
      <w:r>
        <w:rPr>
          <w:bCs/>
        </w:rPr>
        <w:t xml:space="preserve">Цифра за последний год не включает преподавательский состав в системе </w:t>
      </w:r>
      <w:proofErr w:type="spellStart"/>
      <w:r>
        <w:rPr>
          <w:bCs/>
        </w:rPr>
        <w:t>УО</w:t>
      </w:r>
      <w:proofErr w:type="spellEnd"/>
      <w:r>
        <w:rPr>
          <w:bCs/>
        </w:rPr>
        <w:t>.</w:t>
      </w:r>
    </w:p>
    <w:p w:rsidR="00000000" w:rsidRDefault="00000000">
      <w:pPr>
        <w:rPr>
          <w:bCs/>
        </w:rPr>
      </w:pPr>
    </w:p>
    <w:p w:rsidR="00000000" w:rsidRDefault="00000000">
      <w:pPr>
        <w:spacing w:line="240" w:lineRule="auto"/>
        <w:ind w:left="567"/>
        <w:rPr>
          <w:bCs/>
        </w:rPr>
      </w:pPr>
      <w:r>
        <w:rPr>
          <w:bCs/>
        </w:rPr>
        <w:t>Расходы согласно ежегодным докладам Министерства образования, науки и культуры (не уточнялись).</w:t>
      </w:r>
    </w:p>
    <w:p w:rsidR="00000000" w:rsidRDefault="00000000">
      <w:pPr>
        <w:spacing w:line="240" w:lineRule="auto"/>
        <w:ind w:left="567"/>
        <w:rPr>
          <w:bCs/>
        </w:rPr>
      </w:pPr>
    </w:p>
    <w:p w:rsidR="00000000" w:rsidRDefault="00000000">
      <w:pPr>
        <w:spacing w:line="240" w:lineRule="auto"/>
        <w:ind w:left="567"/>
        <w:rPr>
          <w:bCs/>
        </w:rPr>
      </w:pPr>
      <w:r>
        <w:rPr>
          <w:bCs/>
        </w:rPr>
        <w:t xml:space="preserve">Расходы на образование включают затраты на университетские исследования и медицинское обслуживание в университетах.  </w:t>
      </w:r>
    </w:p>
    <w:p w:rsidR="00000000" w:rsidRDefault="00000000">
      <w:pPr>
        <w:rPr>
          <w:bCs/>
        </w:rPr>
      </w:pPr>
    </w:p>
    <w:p w:rsidR="00000000" w:rsidRDefault="00000000">
      <w:pPr>
        <w:jc w:val="center"/>
        <w:rPr>
          <w:b/>
          <w:bCs/>
        </w:rPr>
      </w:pPr>
      <w:r>
        <w:rPr>
          <w:b/>
          <w:bCs/>
        </w:rPr>
        <w:t>Таблица 27</w:t>
      </w:r>
    </w:p>
    <w:p w:rsidR="00000000" w:rsidRDefault="00000000">
      <w:pPr>
        <w:jc w:val="center"/>
        <w:rPr>
          <w:b/>
          <w:bCs/>
        </w:rPr>
      </w:pPr>
    </w:p>
    <w:p w:rsidR="00000000" w:rsidRDefault="00000000">
      <w:pPr>
        <w:jc w:val="center"/>
        <w:rPr>
          <w:b/>
          <w:bCs/>
        </w:rPr>
      </w:pPr>
      <w:r>
        <w:rPr>
          <w:b/>
          <w:bCs/>
        </w:rPr>
        <w:t>Количество учащихся в системе образования Нидерландов в 1999</w:t>
      </w:r>
      <w:r>
        <w:rPr>
          <w:b/>
          <w:bCs/>
        </w:rPr>
        <w:noBreakHyphen/>
        <w:t>2003 годах</w:t>
      </w:r>
    </w:p>
    <w:p w:rsidR="00000000" w:rsidRDefault="00000000">
      <w:pPr>
        <w:jc w:val="center"/>
        <w:rPr>
          <w:b/>
          <w:bCs/>
        </w:rPr>
      </w:pPr>
    </w:p>
    <w:tbl>
      <w:tblPr>
        <w:tblW w:w="94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765"/>
        <w:gridCol w:w="1131"/>
        <w:gridCol w:w="1123"/>
        <w:gridCol w:w="6"/>
        <w:gridCol w:w="1128"/>
        <w:gridCol w:w="14"/>
        <w:gridCol w:w="1092"/>
        <w:gridCol w:w="23"/>
        <w:gridCol w:w="1131"/>
      </w:tblGrid>
      <w:tr w:rsidR="00000000">
        <w:tblPrEx>
          <w:tblCellMar>
            <w:top w:w="0" w:type="dxa"/>
            <w:bottom w:w="0" w:type="dxa"/>
          </w:tblCellMar>
        </w:tblPrEx>
        <w:trPr>
          <w:cantSplit/>
          <w:tblHeader/>
        </w:trPr>
        <w:tc>
          <w:tcPr>
            <w:tcW w:w="3765" w:type="dxa"/>
            <w:tcBorders>
              <w:top w:val="single" w:sz="4" w:space="0" w:color="auto"/>
              <w:bottom w:val="single" w:sz="4" w:space="0" w:color="auto"/>
              <w:right w:val="single" w:sz="4" w:space="0" w:color="auto"/>
            </w:tcBorders>
            <w:vAlign w:val="bottom"/>
          </w:tcPr>
          <w:p w:rsidR="00000000" w:rsidRDefault="00000000">
            <w:r>
              <w:t>Количество учащихся (</w:t>
            </w:r>
            <w:proofErr w:type="spellStart"/>
            <w:r>
              <w:t>х</w:t>
            </w:r>
            <w:proofErr w:type="spellEnd"/>
            <w:r>
              <w:t> 1 000)</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1999</w:t>
            </w:r>
          </w:p>
        </w:tc>
        <w:tc>
          <w:tcPr>
            <w:tcW w:w="1123"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2000</w:t>
            </w:r>
          </w:p>
        </w:tc>
        <w:tc>
          <w:tcPr>
            <w:tcW w:w="1148"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2001</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2002</w:t>
            </w:r>
          </w:p>
        </w:tc>
        <w:tc>
          <w:tcPr>
            <w:tcW w:w="1154" w:type="dxa"/>
            <w:gridSpan w:val="2"/>
            <w:tcBorders>
              <w:top w:val="single" w:sz="4" w:space="0" w:color="auto"/>
              <w:left w:val="single" w:sz="4" w:space="0" w:color="auto"/>
              <w:bottom w:val="single" w:sz="4" w:space="0" w:color="auto"/>
            </w:tcBorders>
            <w:vAlign w:val="bottom"/>
          </w:tcPr>
          <w:p w:rsidR="00000000" w:rsidRDefault="00000000">
            <w:pPr>
              <w:jc w:val="right"/>
            </w:pPr>
            <w:r>
              <w:t>2003</w:t>
            </w:r>
          </w:p>
        </w:tc>
      </w:tr>
      <w:tr w:rsidR="00000000">
        <w:tblPrEx>
          <w:tblCellMar>
            <w:top w:w="0" w:type="dxa"/>
            <w:bottom w:w="0" w:type="dxa"/>
          </w:tblCellMar>
        </w:tblPrEx>
        <w:trPr>
          <w:cantSplit/>
        </w:trPr>
        <w:tc>
          <w:tcPr>
            <w:tcW w:w="3765" w:type="dxa"/>
            <w:tcBorders>
              <w:top w:val="nil"/>
              <w:bottom w:val="single" w:sz="4" w:space="0" w:color="auto"/>
              <w:right w:val="single" w:sz="4" w:space="0" w:color="auto"/>
            </w:tcBorders>
            <w:vAlign w:val="bottom"/>
          </w:tcPr>
          <w:p w:rsidR="00000000" w:rsidRDefault="00000000">
            <w:r>
              <w:t>Всего</w:t>
            </w:r>
          </w:p>
        </w:tc>
        <w:tc>
          <w:tcPr>
            <w:tcW w:w="1131" w:type="dxa"/>
            <w:tcBorders>
              <w:top w:val="nil"/>
              <w:left w:val="single" w:sz="4" w:space="0" w:color="auto"/>
              <w:bottom w:val="single" w:sz="4" w:space="0" w:color="auto"/>
              <w:right w:val="single" w:sz="4" w:space="0" w:color="auto"/>
            </w:tcBorders>
            <w:vAlign w:val="bottom"/>
          </w:tcPr>
          <w:p w:rsidR="00000000" w:rsidRDefault="00000000">
            <w:pPr>
              <w:jc w:val="right"/>
            </w:pPr>
            <w:r>
              <w:t>3 429,6</w:t>
            </w:r>
          </w:p>
        </w:tc>
        <w:tc>
          <w:tcPr>
            <w:tcW w:w="1129" w:type="dxa"/>
            <w:gridSpan w:val="2"/>
            <w:tcBorders>
              <w:top w:val="nil"/>
              <w:left w:val="single" w:sz="4" w:space="0" w:color="auto"/>
              <w:bottom w:val="single" w:sz="4" w:space="0" w:color="auto"/>
              <w:right w:val="single" w:sz="4" w:space="0" w:color="auto"/>
            </w:tcBorders>
            <w:vAlign w:val="bottom"/>
          </w:tcPr>
          <w:p w:rsidR="00000000" w:rsidRDefault="00000000">
            <w:pPr>
              <w:jc w:val="right"/>
            </w:pPr>
            <w:r>
              <w:t>3 464,8</w:t>
            </w:r>
          </w:p>
        </w:tc>
        <w:tc>
          <w:tcPr>
            <w:tcW w:w="1128" w:type="dxa"/>
            <w:tcBorders>
              <w:top w:val="nil"/>
              <w:left w:val="single" w:sz="4" w:space="0" w:color="auto"/>
              <w:bottom w:val="single" w:sz="4" w:space="0" w:color="auto"/>
              <w:right w:val="single" w:sz="4" w:space="0" w:color="auto"/>
            </w:tcBorders>
            <w:vAlign w:val="bottom"/>
          </w:tcPr>
          <w:p w:rsidR="00000000" w:rsidRDefault="00000000">
            <w:pPr>
              <w:jc w:val="right"/>
            </w:pPr>
            <w:r>
              <w:t>3 505,0</w:t>
            </w:r>
          </w:p>
        </w:tc>
        <w:tc>
          <w:tcPr>
            <w:tcW w:w="1129" w:type="dxa"/>
            <w:gridSpan w:val="3"/>
            <w:tcBorders>
              <w:top w:val="nil"/>
              <w:left w:val="single" w:sz="4" w:space="0" w:color="auto"/>
              <w:bottom w:val="single" w:sz="4" w:space="0" w:color="auto"/>
              <w:right w:val="single" w:sz="4" w:space="0" w:color="auto"/>
            </w:tcBorders>
            <w:vAlign w:val="bottom"/>
          </w:tcPr>
          <w:p w:rsidR="00000000" w:rsidRDefault="00000000">
            <w:pPr>
              <w:jc w:val="right"/>
            </w:pPr>
            <w:r>
              <w:t>3 538,1</w:t>
            </w:r>
          </w:p>
        </w:tc>
        <w:tc>
          <w:tcPr>
            <w:tcW w:w="1131" w:type="dxa"/>
            <w:tcBorders>
              <w:top w:val="nil"/>
              <w:left w:val="single" w:sz="4" w:space="0" w:color="auto"/>
              <w:bottom w:val="single" w:sz="4" w:space="0" w:color="auto"/>
            </w:tcBorders>
            <w:vAlign w:val="bottom"/>
          </w:tcPr>
          <w:p w:rsidR="00000000" w:rsidRDefault="00000000">
            <w:pPr>
              <w:jc w:val="right"/>
            </w:pPr>
            <w:r>
              <w:t>3 578,0</w:t>
            </w:r>
          </w:p>
        </w:tc>
      </w:tr>
      <w:tr w:rsidR="00000000">
        <w:tblPrEx>
          <w:tblCellMar>
            <w:top w:w="0" w:type="dxa"/>
            <w:bottom w:w="0" w:type="dxa"/>
          </w:tblCellMar>
        </w:tblPrEx>
        <w:trPr>
          <w:cantSplit/>
        </w:trPr>
        <w:tc>
          <w:tcPr>
            <w:tcW w:w="3765" w:type="dxa"/>
            <w:tcBorders>
              <w:top w:val="single" w:sz="4" w:space="0" w:color="auto"/>
              <w:bottom w:val="nil"/>
              <w:right w:val="single" w:sz="4" w:space="0" w:color="auto"/>
            </w:tcBorders>
            <w:vAlign w:val="bottom"/>
          </w:tcPr>
          <w:p w:rsidR="00000000" w:rsidRDefault="00000000">
            <w:r>
              <w:t>Начальное образование (НО)</w:t>
            </w:r>
          </w:p>
        </w:tc>
        <w:tc>
          <w:tcPr>
            <w:tcW w:w="1131" w:type="dxa"/>
            <w:tcBorders>
              <w:top w:val="single" w:sz="4" w:space="0" w:color="auto"/>
              <w:left w:val="single" w:sz="4" w:space="0" w:color="auto"/>
              <w:bottom w:val="nil"/>
              <w:right w:val="single" w:sz="4" w:space="0" w:color="auto"/>
            </w:tcBorders>
            <w:vAlign w:val="bottom"/>
          </w:tcPr>
          <w:p w:rsidR="00000000" w:rsidRDefault="00000000">
            <w:pPr>
              <w:jc w:val="right"/>
            </w:pPr>
          </w:p>
        </w:tc>
        <w:tc>
          <w:tcPr>
            <w:tcW w:w="1129" w:type="dxa"/>
            <w:gridSpan w:val="2"/>
            <w:tcBorders>
              <w:top w:val="single" w:sz="4" w:space="0" w:color="auto"/>
              <w:left w:val="single" w:sz="4" w:space="0" w:color="auto"/>
              <w:bottom w:val="nil"/>
              <w:right w:val="single" w:sz="4" w:space="0" w:color="auto"/>
            </w:tcBorders>
            <w:vAlign w:val="bottom"/>
          </w:tcPr>
          <w:p w:rsidR="00000000" w:rsidRDefault="00000000">
            <w:pPr>
              <w:jc w:val="right"/>
            </w:pPr>
          </w:p>
        </w:tc>
        <w:tc>
          <w:tcPr>
            <w:tcW w:w="1128" w:type="dxa"/>
            <w:tcBorders>
              <w:top w:val="single" w:sz="4" w:space="0" w:color="auto"/>
              <w:left w:val="single" w:sz="4" w:space="0" w:color="auto"/>
              <w:bottom w:val="nil"/>
              <w:right w:val="single" w:sz="4" w:space="0" w:color="auto"/>
            </w:tcBorders>
            <w:vAlign w:val="bottom"/>
          </w:tcPr>
          <w:p w:rsidR="00000000" w:rsidRDefault="00000000">
            <w:pPr>
              <w:jc w:val="right"/>
            </w:pPr>
          </w:p>
        </w:tc>
        <w:tc>
          <w:tcPr>
            <w:tcW w:w="1129" w:type="dxa"/>
            <w:gridSpan w:val="3"/>
            <w:tcBorders>
              <w:top w:val="single" w:sz="4" w:space="0" w:color="auto"/>
              <w:left w:val="single" w:sz="4" w:space="0" w:color="auto"/>
              <w:bottom w:val="nil"/>
              <w:right w:val="single" w:sz="4" w:space="0" w:color="auto"/>
            </w:tcBorders>
            <w:vAlign w:val="bottom"/>
          </w:tcPr>
          <w:p w:rsidR="00000000" w:rsidRDefault="00000000">
            <w:pPr>
              <w:jc w:val="right"/>
            </w:pPr>
          </w:p>
        </w:tc>
        <w:tc>
          <w:tcPr>
            <w:tcW w:w="1131" w:type="dxa"/>
            <w:tcBorders>
              <w:top w:val="single" w:sz="4" w:space="0" w:color="auto"/>
              <w:left w:val="single" w:sz="4" w:space="0" w:color="auto"/>
              <w:bottom w:val="nil"/>
            </w:tcBorders>
            <w:vAlign w:val="bottom"/>
          </w:tcPr>
          <w:p w:rsidR="00000000" w:rsidRDefault="00000000">
            <w:pPr>
              <w:jc w:val="right"/>
            </w:pPr>
          </w:p>
        </w:tc>
      </w:tr>
      <w:tr w:rsidR="00000000">
        <w:tblPrEx>
          <w:tblCellMar>
            <w:top w:w="0" w:type="dxa"/>
            <w:bottom w:w="0" w:type="dxa"/>
          </w:tblCellMar>
        </w:tblPrEx>
        <w:trPr>
          <w:cantSplit/>
        </w:trPr>
        <w:tc>
          <w:tcPr>
            <w:tcW w:w="3765" w:type="dxa"/>
            <w:tcBorders>
              <w:top w:val="nil"/>
              <w:right w:val="single" w:sz="4" w:space="0" w:color="auto"/>
            </w:tcBorders>
            <w:vAlign w:val="bottom"/>
          </w:tcPr>
          <w:p w:rsidR="00000000" w:rsidRDefault="00000000">
            <w:pPr>
              <w:tabs>
                <w:tab w:val="clear" w:pos="567"/>
                <w:tab w:val="clear" w:pos="1134"/>
                <w:tab w:val="left" w:pos="187"/>
                <w:tab w:val="left" w:pos="374"/>
              </w:tabs>
            </w:pPr>
            <w:r>
              <w:tab/>
              <w:t>НО, всего</w:t>
            </w:r>
          </w:p>
        </w:tc>
        <w:tc>
          <w:tcPr>
            <w:tcW w:w="1131" w:type="dxa"/>
            <w:tcBorders>
              <w:top w:val="nil"/>
              <w:left w:val="single" w:sz="4" w:space="0" w:color="auto"/>
              <w:right w:val="single" w:sz="4" w:space="0" w:color="auto"/>
            </w:tcBorders>
            <w:vAlign w:val="bottom"/>
          </w:tcPr>
          <w:p w:rsidR="00000000" w:rsidRDefault="00000000">
            <w:pPr>
              <w:jc w:val="right"/>
            </w:pPr>
            <w:r>
              <w:t>1 638,8</w:t>
            </w:r>
          </w:p>
        </w:tc>
        <w:tc>
          <w:tcPr>
            <w:tcW w:w="1129" w:type="dxa"/>
            <w:gridSpan w:val="2"/>
            <w:tcBorders>
              <w:top w:val="nil"/>
              <w:left w:val="single" w:sz="4" w:space="0" w:color="auto"/>
              <w:right w:val="single" w:sz="4" w:space="0" w:color="auto"/>
            </w:tcBorders>
            <w:vAlign w:val="bottom"/>
          </w:tcPr>
          <w:p w:rsidR="00000000" w:rsidRDefault="00000000">
            <w:pPr>
              <w:jc w:val="right"/>
            </w:pPr>
            <w:r>
              <w:t>1 644,0</w:t>
            </w:r>
          </w:p>
        </w:tc>
        <w:tc>
          <w:tcPr>
            <w:tcW w:w="1128" w:type="dxa"/>
            <w:tcBorders>
              <w:top w:val="nil"/>
              <w:left w:val="single" w:sz="4" w:space="0" w:color="auto"/>
              <w:right w:val="single" w:sz="4" w:space="0" w:color="auto"/>
            </w:tcBorders>
            <w:vAlign w:val="bottom"/>
          </w:tcPr>
          <w:p w:rsidR="00000000" w:rsidRDefault="00000000">
            <w:pPr>
              <w:jc w:val="right"/>
            </w:pPr>
            <w:r>
              <w:t>1 652,3</w:t>
            </w:r>
          </w:p>
        </w:tc>
        <w:tc>
          <w:tcPr>
            <w:tcW w:w="1129" w:type="dxa"/>
            <w:gridSpan w:val="3"/>
            <w:tcBorders>
              <w:top w:val="nil"/>
              <w:left w:val="single" w:sz="4" w:space="0" w:color="auto"/>
              <w:right w:val="single" w:sz="4" w:space="0" w:color="auto"/>
            </w:tcBorders>
            <w:vAlign w:val="bottom"/>
          </w:tcPr>
          <w:p w:rsidR="00000000" w:rsidRDefault="00000000">
            <w:pPr>
              <w:jc w:val="right"/>
            </w:pPr>
            <w:r>
              <w:t>1 654,1</w:t>
            </w:r>
          </w:p>
        </w:tc>
        <w:tc>
          <w:tcPr>
            <w:tcW w:w="1131" w:type="dxa"/>
            <w:tcBorders>
              <w:top w:val="nil"/>
              <w:left w:val="single" w:sz="4" w:space="0" w:color="auto"/>
            </w:tcBorders>
            <w:vAlign w:val="bottom"/>
          </w:tcPr>
          <w:p w:rsidR="00000000" w:rsidRDefault="00000000">
            <w:pPr>
              <w:jc w:val="right"/>
            </w:pPr>
            <w:r>
              <w:t>1 653,7</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t>ОНО</w:t>
            </w:r>
          </w:p>
        </w:tc>
        <w:tc>
          <w:tcPr>
            <w:tcW w:w="1131" w:type="dxa"/>
            <w:tcBorders>
              <w:left w:val="single" w:sz="4" w:space="0" w:color="auto"/>
              <w:right w:val="single" w:sz="4" w:space="0" w:color="auto"/>
            </w:tcBorders>
            <w:vAlign w:val="bottom"/>
          </w:tcPr>
          <w:p w:rsidR="00000000" w:rsidRDefault="00000000">
            <w:pPr>
              <w:jc w:val="right"/>
            </w:pPr>
            <w:r>
              <w:t>1 543,3</w:t>
            </w:r>
          </w:p>
        </w:tc>
        <w:tc>
          <w:tcPr>
            <w:tcW w:w="1129" w:type="dxa"/>
            <w:gridSpan w:val="2"/>
            <w:tcBorders>
              <w:left w:val="single" w:sz="4" w:space="0" w:color="auto"/>
              <w:right w:val="single" w:sz="4" w:space="0" w:color="auto"/>
            </w:tcBorders>
            <w:vAlign w:val="bottom"/>
          </w:tcPr>
          <w:p w:rsidR="00000000" w:rsidRDefault="00000000">
            <w:pPr>
              <w:jc w:val="right"/>
            </w:pPr>
            <w:r>
              <w:t>1 546,6</w:t>
            </w:r>
          </w:p>
        </w:tc>
        <w:tc>
          <w:tcPr>
            <w:tcW w:w="1128" w:type="dxa"/>
            <w:tcBorders>
              <w:left w:val="single" w:sz="4" w:space="0" w:color="auto"/>
              <w:right w:val="single" w:sz="4" w:space="0" w:color="auto"/>
            </w:tcBorders>
            <w:vAlign w:val="bottom"/>
          </w:tcPr>
          <w:p w:rsidR="00000000" w:rsidRDefault="00000000">
            <w:pPr>
              <w:jc w:val="right"/>
            </w:pPr>
            <w:r>
              <w:t>1 552,4</w:t>
            </w:r>
          </w:p>
        </w:tc>
        <w:tc>
          <w:tcPr>
            <w:tcW w:w="1129" w:type="dxa"/>
            <w:gridSpan w:val="3"/>
            <w:tcBorders>
              <w:left w:val="single" w:sz="4" w:space="0" w:color="auto"/>
              <w:right w:val="single" w:sz="4" w:space="0" w:color="auto"/>
            </w:tcBorders>
            <w:vAlign w:val="bottom"/>
          </w:tcPr>
          <w:p w:rsidR="00000000" w:rsidRDefault="00000000">
            <w:pPr>
              <w:jc w:val="right"/>
            </w:pPr>
            <w:r>
              <w:t>1 550,0</w:t>
            </w:r>
          </w:p>
        </w:tc>
        <w:tc>
          <w:tcPr>
            <w:tcW w:w="1131" w:type="dxa"/>
            <w:tcBorders>
              <w:left w:val="single" w:sz="4" w:space="0" w:color="auto"/>
            </w:tcBorders>
            <w:vAlign w:val="bottom"/>
          </w:tcPr>
          <w:p w:rsidR="00000000" w:rsidRDefault="00000000">
            <w:pPr>
              <w:jc w:val="right"/>
            </w:pPr>
            <w:r>
              <w:t>1 547,6</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СНО</w:t>
            </w:r>
            <w:proofErr w:type="spellEnd"/>
          </w:p>
        </w:tc>
        <w:tc>
          <w:tcPr>
            <w:tcW w:w="1131" w:type="dxa"/>
            <w:tcBorders>
              <w:left w:val="single" w:sz="4" w:space="0" w:color="auto"/>
              <w:right w:val="single" w:sz="4" w:space="0" w:color="auto"/>
            </w:tcBorders>
            <w:vAlign w:val="bottom"/>
          </w:tcPr>
          <w:p w:rsidR="00000000" w:rsidRDefault="00000000">
            <w:pPr>
              <w:jc w:val="right"/>
            </w:pPr>
            <w:r>
              <w:t>52,0</w:t>
            </w:r>
          </w:p>
        </w:tc>
        <w:tc>
          <w:tcPr>
            <w:tcW w:w="1129" w:type="dxa"/>
            <w:gridSpan w:val="2"/>
            <w:tcBorders>
              <w:left w:val="single" w:sz="4" w:space="0" w:color="auto"/>
              <w:right w:val="single" w:sz="4" w:space="0" w:color="auto"/>
            </w:tcBorders>
            <w:vAlign w:val="bottom"/>
          </w:tcPr>
          <w:p w:rsidR="00000000" w:rsidRDefault="00000000">
            <w:pPr>
              <w:jc w:val="right"/>
            </w:pPr>
            <w:r>
              <w:t>51,6</w:t>
            </w:r>
          </w:p>
        </w:tc>
        <w:tc>
          <w:tcPr>
            <w:tcW w:w="1128" w:type="dxa"/>
            <w:tcBorders>
              <w:left w:val="single" w:sz="4" w:space="0" w:color="auto"/>
              <w:right w:val="single" w:sz="4" w:space="0" w:color="auto"/>
            </w:tcBorders>
            <w:vAlign w:val="bottom"/>
          </w:tcPr>
          <w:p w:rsidR="00000000" w:rsidRDefault="00000000">
            <w:pPr>
              <w:jc w:val="right"/>
            </w:pPr>
            <w:r>
              <w:t>51,8</w:t>
            </w:r>
          </w:p>
        </w:tc>
        <w:tc>
          <w:tcPr>
            <w:tcW w:w="1129" w:type="dxa"/>
            <w:gridSpan w:val="3"/>
            <w:tcBorders>
              <w:left w:val="single" w:sz="4" w:space="0" w:color="auto"/>
              <w:right w:val="single" w:sz="4" w:space="0" w:color="auto"/>
            </w:tcBorders>
            <w:vAlign w:val="bottom"/>
          </w:tcPr>
          <w:p w:rsidR="00000000" w:rsidRDefault="00000000">
            <w:pPr>
              <w:jc w:val="right"/>
            </w:pPr>
            <w:r>
              <w:t>52,1</w:t>
            </w:r>
          </w:p>
        </w:tc>
        <w:tc>
          <w:tcPr>
            <w:tcW w:w="1131" w:type="dxa"/>
            <w:tcBorders>
              <w:left w:val="single" w:sz="4" w:space="0" w:color="auto"/>
            </w:tcBorders>
            <w:vAlign w:val="bottom"/>
          </w:tcPr>
          <w:p w:rsidR="00000000" w:rsidRDefault="00000000">
            <w:pPr>
              <w:jc w:val="right"/>
            </w:pPr>
            <w:r>
              <w:t>51,5</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НССО</w:t>
            </w:r>
            <w:proofErr w:type="spellEnd"/>
          </w:p>
        </w:tc>
        <w:tc>
          <w:tcPr>
            <w:tcW w:w="1131" w:type="dxa"/>
            <w:tcBorders>
              <w:left w:val="single" w:sz="4" w:space="0" w:color="auto"/>
              <w:right w:val="single" w:sz="4" w:space="0" w:color="auto"/>
            </w:tcBorders>
            <w:vAlign w:val="bottom"/>
          </w:tcPr>
          <w:p w:rsidR="00000000" w:rsidRDefault="00000000">
            <w:pPr>
              <w:jc w:val="right"/>
            </w:pPr>
            <w:r>
              <w:t>43,5</w:t>
            </w:r>
          </w:p>
        </w:tc>
        <w:tc>
          <w:tcPr>
            <w:tcW w:w="1129" w:type="dxa"/>
            <w:gridSpan w:val="2"/>
            <w:tcBorders>
              <w:left w:val="single" w:sz="4" w:space="0" w:color="auto"/>
              <w:right w:val="single" w:sz="4" w:space="0" w:color="auto"/>
            </w:tcBorders>
            <w:vAlign w:val="bottom"/>
          </w:tcPr>
          <w:p w:rsidR="00000000" w:rsidRDefault="00000000">
            <w:pPr>
              <w:jc w:val="right"/>
            </w:pPr>
            <w:r>
              <w:t>45,8</w:t>
            </w:r>
          </w:p>
        </w:tc>
        <w:tc>
          <w:tcPr>
            <w:tcW w:w="1128" w:type="dxa"/>
            <w:tcBorders>
              <w:left w:val="single" w:sz="4" w:space="0" w:color="auto"/>
              <w:right w:val="single" w:sz="4" w:space="0" w:color="auto"/>
            </w:tcBorders>
            <w:vAlign w:val="bottom"/>
          </w:tcPr>
          <w:p w:rsidR="00000000" w:rsidRDefault="00000000">
            <w:pPr>
              <w:jc w:val="right"/>
            </w:pPr>
            <w:r>
              <w:t>48,2</w:t>
            </w:r>
          </w:p>
        </w:tc>
        <w:tc>
          <w:tcPr>
            <w:tcW w:w="1129" w:type="dxa"/>
            <w:gridSpan w:val="3"/>
            <w:tcBorders>
              <w:left w:val="single" w:sz="4" w:space="0" w:color="auto"/>
              <w:right w:val="single" w:sz="4" w:space="0" w:color="auto"/>
            </w:tcBorders>
            <w:vAlign w:val="bottom"/>
          </w:tcPr>
          <w:p w:rsidR="00000000" w:rsidRDefault="00000000">
            <w:pPr>
              <w:jc w:val="right"/>
            </w:pPr>
            <w:r>
              <w:t>52,1</w:t>
            </w:r>
          </w:p>
        </w:tc>
        <w:tc>
          <w:tcPr>
            <w:tcW w:w="1131" w:type="dxa"/>
            <w:tcBorders>
              <w:left w:val="single" w:sz="4" w:space="0" w:color="auto"/>
            </w:tcBorders>
            <w:vAlign w:val="bottom"/>
          </w:tcPr>
          <w:p w:rsidR="00000000" w:rsidRDefault="00000000">
            <w:pPr>
              <w:jc w:val="right"/>
            </w:pPr>
            <w:r>
              <w:t>54,6</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r>
              <w:t>Среднее образование (СО)</w:t>
            </w:r>
          </w:p>
        </w:tc>
        <w:tc>
          <w:tcPr>
            <w:tcW w:w="1131" w:type="dxa"/>
            <w:tcBorders>
              <w:left w:val="single" w:sz="4" w:space="0" w:color="auto"/>
              <w:right w:val="single" w:sz="4" w:space="0" w:color="auto"/>
            </w:tcBorders>
            <w:vAlign w:val="bottom"/>
          </w:tcPr>
          <w:p w:rsidR="00000000" w:rsidRDefault="00000000">
            <w:pPr>
              <w:jc w:val="right"/>
            </w:pPr>
          </w:p>
        </w:tc>
        <w:tc>
          <w:tcPr>
            <w:tcW w:w="1129" w:type="dxa"/>
            <w:gridSpan w:val="2"/>
            <w:tcBorders>
              <w:left w:val="single" w:sz="4" w:space="0" w:color="auto"/>
              <w:right w:val="single" w:sz="4" w:space="0" w:color="auto"/>
            </w:tcBorders>
            <w:vAlign w:val="bottom"/>
          </w:tcPr>
          <w:p w:rsidR="00000000" w:rsidRDefault="00000000">
            <w:pPr>
              <w:jc w:val="right"/>
            </w:pPr>
          </w:p>
        </w:tc>
        <w:tc>
          <w:tcPr>
            <w:tcW w:w="1128" w:type="dxa"/>
            <w:tcBorders>
              <w:left w:val="single" w:sz="4" w:space="0" w:color="auto"/>
              <w:right w:val="single" w:sz="4" w:space="0" w:color="auto"/>
            </w:tcBorders>
            <w:vAlign w:val="bottom"/>
          </w:tcPr>
          <w:p w:rsidR="00000000" w:rsidRDefault="00000000">
            <w:pPr>
              <w:jc w:val="right"/>
            </w:pPr>
          </w:p>
        </w:tc>
        <w:tc>
          <w:tcPr>
            <w:tcW w:w="1129" w:type="dxa"/>
            <w:gridSpan w:val="3"/>
            <w:tcBorders>
              <w:left w:val="single" w:sz="4" w:space="0" w:color="auto"/>
              <w:right w:val="single" w:sz="4" w:space="0" w:color="auto"/>
            </w:tcBorders>
            <w:vAlign w:val="bottom"/>
          </w:tcPr>
          <w:p w:rsidR="00000000" w:rsidRDefault="00000000">
            <w:pPr>
              <w:jc w:val="right"/>
            </w:pPr>
          </w:p>
        </w:tc>
        <w:tc>
          <w:tcPr>
            <w:tcW w:w="1131" w:type="dxa"/>
            <w:tcBorders>
              <w:left w:val="single" w:sz="4" w:space="0" w:color="auto"/>
            </w:tcBorders>
            <w:vAlign w:val="bottom"/>
          </w:tcPr>
          <w:p w:rsidR="00000000" w:rsidRDefault="00000000">
            <w:pPr>
              <w:jc w:val="right"/>
            </w:pP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t>СО, всего</w:t>
            </w:r>
          </w:p>
        </w:tc>
        <w:tc>
          <w:tcPr>
            <w:tcW w:w="1131" w:type="dxa"/>
            <w:tcBorders>
              <w:left w:val="single" w:sz="4" w:space="0" w:color="auto"/>
              <w:right w:val="single" w:sz="4" w:space="0" w:color="auto"/>
            </w:tcBorders>
            <w:vAlign w:val="bottom"/>
          </w:tcPr>
          <w:p w:rsidR="00000000" w:rsidRDefault="00000000">
            <w:pPr>
              <w:jc w:val="right"/>
            </w:pPr>
            <w:r>
              <w:t>891,0</w:t>
            </w:r>
          </w:p>
        </w:tc>
        <w:tc>
          <w:tcPr>
            <w:tcW w:w="1129" w:type="dxa"/>
            <w:gridSpan w:val="2"/>
            <w:tcBorders>
              <w:left w:val="single" w:sz="4" w:space="0" w:color="auto"/>
              <w:right w:val="single" w:sz="4" w:space="0" w:color="auto"/>
            </w:tcBorders>
            <w:vAlign w:val="bottom"/>
          </w:tcPr>
          <w:p w:rsidR="00000000" w:rsidRDefault="00000000">
            <w:pPr>
              <w:jc w:val="right"/>
            </w:pPr>
            <w:r>
              <w:t>894,2</w:t>
            </w:r>
          </w:p>
        </w:tc>
        <w:tc>
          <w:tcPr>
            <w:tcW w:w="1128" w:type="dxa"/>
            <w:tcBorders>
              <w:left w:val="single" w:sz="4" w:space="0" w:color="auto"/>
              <w:right w:val="single" w:sz="4" w:space="0" w:color="auto"/>
            </w:tcBorders>
            <w:vAlign w:val="bottom"/>
          </w:tcPr>
          <w:p w:rsidR="00000000" w:rsidRDefault="00000000">
            <w:pPr>
              <w:jc w:val="right"/>
            </w:pPr>
            <w:r>
              <w:t>904,5</w:t>
            </w:r>
          </w:p>
        </w:tc>
        <w:tc>
          <w:tcPr>
            <w:tcW w:w="1129" w:type="dxa"/>
            <w:gridSpan w:val="3"/>
            <w:tcBorders>
              <w:left w:val="single" w:sz="4" w:space="0" w:color="auto"/>
              <w:right w:val="single" w:sz="4" w:space="0" w:color="auto"/>
            </w:tcBorders>
            <w:vAlign w:val="bottom"/>
          </w:tcPr>
          <w:p w:rsidR="00000000" w:rsidRDefault="00000000">
            <w:pPr>
              <w:jc w:val="right"/>
            </w:pPr>
            <w:r>
              <w:t>913,6</w:t>
            </w:r>
          </w:p>
        </w:tc>
        <w:tc>
          <w:tcPr>
            <w:tcW w:w="1131" w:type="dxa"/>
            <w:tcBorders>
              <w:left w:val="single" w:sz="4" w:space="0" w:color="auto"/>
            </w:tcBorders>
            <w:vAlign w:val="bottom"/>
          </w:tcPr>
          <w:p w:rsidR="00000000" w:rsidRDefault="00000000">
            <w:pPr>
              <w:jc w:val="right"/>
            </w:pPr>
            <w:r>
              <w:t>924,9</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t xml:space="preserve">СО за исключением учащихся </w:t>
            </w:r>
          </w:p>
          <w:p w:rsidR="00000000" w:rsidRDefault="00000000">
            <w:pPr>
              <w:tabs>
                <w:tab w:val="clear" w:pos="567"/>
                <w:tab w:val="clear" w:pos="1134"/>
                <w:tab w:val="left" w:pos="187"/>
                <w:tab w:val="left" w:pos="374"/>
              </w:tabs>
            </w:pPr>
            <w:r>
              <w:tab/>
            </w:r>
            <w:r>
              <w:tab/>
              <w:t>с особыми потребностями</w:t>
            </w:r>
          </w:p>
        </w:tc>
        <w:tc>
          <w:tcPr>
            <w:tcW w:w="1131" w:type="dxa"/>
            <w:tcBorders>
              <w:left w:val="single" w:sz="4" w:space="0" w:color="auto"/>
              <w:right w:val="single" w:sz="4" w:space="0" w:color="auto"/>
            </w:tcBorders>
            <w:vAlign w:val="bottom"/>
          </w:tcPr>
          <w:p w:rsidR="00000000" w:rsidRDefault="00000000">
            <w:pPr>
              <w:jc w:val="right"/>
            </w:pPr>
            <w:r>
              <w:t>769,6</w:t>
            </w:r>
          </w:p>
        </w:tc>
        <w:tc>
          <w:tcPr>
            <w:tcW w:w="1129" w:type="dxa"/>
            <w:gridSpan w:val="2"/>
            <w:tcBorders>
              <w:left w:val="single" w:sz="4" w:space="0" w:color="auto"/>
              <w:right w:val="single" w:sz="4" w:space="0" w:color="auto"/>
            </w:tcBorders>
            <w:vAlign w:val="bottom"/>
          </w:tcPr>
          <w:p w:rsidR="00000000" w:rsidRDefault="00000000">
            <w:pPr>
              <w:jc w:val="right"/>
            </w:pPr>
            <w:r>
              <w:t>764,9</w:t>
            </w:r>
          </w:p>
        </w:tc>
        <w:tc>
          <w:tcPr>
            <w:tcW w:w="1128" w:type="dxa"/>
            <w:tcBorders>
              <w:left w:val="single" w:sz="4" w:space="0" w:color="auto"/>
              <w:right w:val="single" w:sz="4" w:space="0" w:color="auto"/>
            </w:tcBorders>
            <w:vAlign w:val="bottom"/>
          </w:tcPr>
          <w:p w:rsidR="00000000" w:rsidRDefault="00000000">
            <w:pPr>
              <w:jc w:val="right"/>
            </w:pPr>
            <w:r>
              <w:t>768,6</w:t>
            </w:r>
          </w:p>
        </w:tc>
        <w:tc>
          <w:tcPr>
            <w:tcW w:w="1129" w:type="dxa"/>
            <w:gridSpan w:val="3"/>
            <w:tcBorders>
              <w:left w:val="single" w:sz="4" w:space="0" w:color="auto"/>
              <w:right w:val="single" w:sz="4" w:space="0" w:color="auto"/>
            </w:tcBorders>
            <w:vAlign w:val="bottom"/>
          </w:tcPr>
          <w:p w:rsidR="00000000" w:rsidRDefault="00000000">
            <w:pPr>
              <w:jc w:val="right"/>
            </w:pPr>
            <w:r>
              <w:t>777,6</w:t>
            </w:r>
          </w:p>
        </w:tc>
        <w:tc>
          <w:tcPr>
            <w:tcW w:w="1131" w:type="dxa"/>
            <w:tcBorders>
              <w:left w:val="single" w:sz="4" w:space="0" w:color="auto"/>
            </w:tcBorders>
            <w:vAlign w:val="bottom"/>
          </w:tcPr>
          <w:p w:rsidR="00000000" w:rsidRDefault="00000000">
            <w:pPr>
              <w:jc w:val="right"/>
            </w:pPr>
            <w:r>
              <w:t>787,0</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t>Учащиеся с особыми потребностями</w:t>
            </w:r>
          </w:p>
        </w:tc>
        <w:tc>
          <w:tcPr>
            <w:tcW w:w="1131" w:type="dxa"/>
            <w:tcBorders>
              <w:left w:val="single" w:sz="4" w:space="0" w:color="auto"/>
              <w:right w:val="single" w:sz="4" w:space="0" w:color="auto"/>
            </w:tcBorders>
            <w:vAlign w:val="bottom"/>
          </w:tcPr>
          <w:p w:rsidR="00000000" w:rsidRDefault="00000000">
            <w:pPr>
              <w:jc w:val="right"/>
            </w:pPr>
            <w:r>
              <w:t>92,0</w:t>
            </w:r>
          </w:p>
        </w:tc>
        <w:tc>
          <w:tcPr>
            <w:tcW w:w="1129" w:type="dxa"/>
            <w:gridSpan w:val="2"/>
            <w:tcBorders>
              <w:left w:val="single" w:sz="4" w:space="0" w:color="auto"/>
              <w:right w:val="single" w:sz="4" w:space="0" w:color="auto"/>
            </w:tcBorders>
            <w:vAlign w:val="bottom"/>
          </w:tcPr>
          <w:p w:rsidR="00000000" w:rsidRDefault="00000000">
            <w:pPr>
              <w:jc w:val="right"/>
            </w:pPr>
            <w:r>
              <w:t>98,0</w:t>
            </w:r>
          </w:p>
        </w:tc>
        <w:tc>
          <w:tcPr>
            <w:tcW w:w="1128" w:type="dxa"/>
            <w:tcBorders>
              <w:left w:val="single" w:sz="4" w:space="0" w:color="auto"/>
              <w:right w:val="single" w:sz="4" w:space="0" w:color="auto"/>
            </w:tcBorders>
            <w:vAlign w:val="bottom"/>
          </w:tcPr>
          <w:p w:rsidR="00000000" w:rsidRDefault="00000000">
            <w:pPr>
              <w:jc w:val="right"/>
            </w:pPr>
            <w:r>
              <w:t>103,5</w:t>
            </w:r>
          </w:p>
        </w:tc>
        <w:tc>
          <w:tcPr>
            <w:tcW w:w="1129" w:type="dxa"/>
            <w:gridSpan w:val="3"/>
            <w:tcBorders>
              <w:left w:val="single" w:sz="4" w:space="0" w:color="auto"/>
              <w:right w:val="single" w:sz="4" w:space="0" w:color="auto"/>
            </w:tcBorders>
            <w:vAlign w:val="bottom"/>
          </w:tcPr>
          <w:p w:rsidR="00000000" w:rsidRDefault="00000000">
            <w:pPr>
              <w:jc w:val="right"/>
            </w:pPr>
            <w:r>
              <w:t>102,2</w:t>
            </w:r>
          </w:p>
        </w:tc>
        <w:tc>
          <w:tcPr>
            <w:tcW w:w="1131" w:type="dxa"/>
            <w:tcBorders>
              <w:left w:val="single" w:sz="4" w:space="0" w:color="auto"/>
            </w:tcBorders>
            <w:vAlign w:val="bottom"/>
          </w:tcPr>
          <w:p w:rsidR="00000000" w:rsidRDefault="00000000">
            <w:pPr>
              <w:jc w:val="right"/>
            </w:pPr>
            <w:r>
              <w:t>102,9</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НТВ</w:t>
            </w:r>
            <w:proofErr w:type="spellEnd"/>
            <w:r>
              <w:t xml:space="preserve"> экологического профиля</w:t>
            </w:r>
          </w:p>
        </w:tc>
        <w:tc>
          <w:tcPr>
            <w:tcW w:w="1131" w:type="dxa"/>
            <w:tcBorders>
              <w:left w:val="single" w:sz="4" w:space="0" w:color="auto"/>
              <w:right w:val="single" w:sz="4" w:space="0" w:color="auto"/>
            </w:tcBorders>
            <w:vAlign w:val="bottom"/>
          </w:tcPr>
          <w:p w:rsidR="00000000" w:rsidRDefault="00000000">
            <w:pPr>
              <w:jc w:val="right"/>
            </w:pPr>
            <w:r>
              <w:t>19,5</w:t>
            </w:r>
          </w:p>
        </w:tc>
        <w:tc>
          <w:tcPr>
            <w:tcW w:w="1129" w:type="dxa"/>
            <w:gridSpan w:val="2"/>
            <w:tcBorders>
              <w:left w:val="single" w:sz="4" w:space="0" w:color="auto"/>
              <w:right w:val="single" w:sz="4" w:space="0" w:color="auto"/>
            </w:tcBorders>
            <w:vAlign w:val="bottom"/>
          </w:tcPr>
          <w:p w:rsidR="00000000" w:rsidRDefault="00000000">
            <w:pPr>
              <w:jc w:val="right"/>
            </w:pPr>
            <w:r>
              <w:t>20,5</w:t>
            </w:r>
          </w:p>
        </w:tc>
        <w:tc>
          <w:tcPr>
            <w:tcW w:w="1128" w:type="dxa"/>
            <w:tcBorders>
              <w:left w:val="single" w:sz="4" w:space="0" w:color="auto"/>
              <w:right w:val="single" w:sz="4" w:space="0" w:color="auto"/>
            </w:tcBorders>
            <w:vAlign w:val="bottom"/>
          </w:tcPr>
          <w:p w:rsidR="00000000" w:rsidRDefault="00000000">
            <w:pPr>
              <w:jc w:val="right"/>
            </w:pPr>
            <w:r>
              <w:t>20,9</w:t>
            </w:r>
          </w:p>
        </w:tc>
        <w:tc>
          <w:tcPr>
            <w:tcW w:w="1129" w:type="dxa"/>
            <w:gridSpan w:val="3"/>
            <w:tcBorders>
              <w:left w:val="single" w:sz="4" w:space="0" w:color="auto"/>
              <w:right w:val="single" w:sz="4" w:space="0" w:color="auto"/>
            </w:tcBorders>
            <w:vAlign w:val="bottom"/>
          </w:tcPr>
          <w:p w:rsidR="00000000" w:rsidRDefault="00000000">
            <w:pPr>
              <w:jc w:val="right"/>
            </w:pPr>
            <w:r>
              <w:t>21,6</w:t>
            </w:r>
          </w:p>
        </w:tc>
        <w:tc>
          <w:tcPr>
            <w:tcW w:w="1131" w:type="dxa"/>
            <w:tcBorders>
              <w:left w:val="single" w:sz="4" w:space="0" w:color="auto"/>
            </w:tcBorders>
            <w:vAlign w:val="bottom"/>
          </w:tcPr>
          <w:p w:rsidR="00000000" w:rsidRDefault="00000000">
            <w:pPr>
              <w:jc w:val="right"/>
            </w:pPr>
            <w:r>
              <w:t>21,9</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ВЗ</w:t>
            </w:r>
            <w:proofErr w:type="spellEnd"/>
            <w:r>
              <w:t xml:space="preserve"> экологического профиля</w:t>
            </w:r>
          </w:p>
        </w:tc>
        <w:tc>
          <w:tcPr>
            <w:tcW w:w="1131" w:type="dxa"/>
            <w:tcBorders>
              <w:left w:val="single" w:sz="4" w:space="0" w:color="auto"/>
              <w:right w:val="single" w:sz="4" w:space="0" w:color="auto"/>
            </w:tcBorders>
            <w:vAlign w:val="bottom"/>
          </w:tcPr>
          <w:p w:rsidR="00000000" w:rsidRDefault="00000000">
            <w:pPr>
              <w:jc w:val="right"/>
            </w:pPr>
            <w:r>
              <w:t>9,9</w:t>
            </w:r>
          </w:p>
        </w:tc>
        <w:tc>
          <w:tcPr>
            <w:tcW w:w="1129" w:type="dxa"/>
            <w:gridSpan w:val="2"/>
            <w:tcBorders>
              <w:left w:val="single" w:sz="4" w:space="0" w:color="auto"/>
              <w:right w:val="single" w:sz="4" w:space="0" w:color="auto"/>
            </w:tcBorders>
            <w:vAlign w:val="bottom"/>
          </w:tcPr>
          <w:p w:rsidR="00000000" w:rsidRDefault="00000000">
            <w:pPr>
              <w:jc w:val="right"/>
            </w:pPr>
            <w:r>
              <w:t>10,8</w:t>
            </w:r>
          </w:p>
        </w:tc>
        <w:tc>
          <w:tcPr>
            <w:tcW w:w="1128" w:type="dxa"/>
            <w:tcBorders>
              <w:left w:val="single" w:sz="4" w:space="0" w:color="auto"/>
              <w:right w:val="single" w:sz="4" w:space="0" w:color="auto"/>
            </w:tcBorders>
            <w:vAlign w:val="bottom"/>
          </w:tcPr>
          <w:p w:rsidR="00000000" w:rsidRDefault="00000000">
            <w:pPr>
              <w:jc w:val="right"/>
            </w:pPr>
            <w:r>
              <w:t>11,5</w:t>
            </w:r>
          </w:p>
        </w:tc>
        <w:tc>
          <w:tcPr>
            <w:tcW w:w="1129" w:type="dxa"/>
            <w:gridSpan w:val="3"/>
            <w:tcBorders>
              <w:left w:val="single" w:sz="4" w:space="0" w:color="auto"/>
              <w:right w:val="single" w:sz="4" w:space="0" w:color="auto"/>
            </w:tcBorders>
            <w:vAlign w:val="bottom"/>
          </w:tcPr>
          <w:p w:rsidR="00000000" w:rsidRDefault="00000000">
            <w:pPr>
              <w:jc w:val="right"/>
            </w:pPr>
            <w:r>
              <w:t>12,2</w:t>
            </w:r>
          </w:p>
        </w:tc>
        <w:tc>
          <w:tcPr>
            <w:tcW w:w="1131" w:type="dxa"/>
            <w:tcBorders>
              <w:left w:val="single" w:sz="4" w:space="0" w:color="auto"/>
            </w:tcBorders>
            <w:vAlign w:val="bottom"/>
          </w:tcPr>
          <w:p w:rsidR="00000000" w:rsidRDefault="00000000">
            <w:pPr>
              <w:jc w:val="right"/>
            </w:pPr>
            <w:r>
              <w:t>13,0</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r>
              <w:t>Образование для взрослых и профессионально-техническое образование (</w:t>
            </w:r>
            <w:proofErr w:type="spellStart"/>
            <w:r>
              <w:t>ПТО</w:t>
            </w:r>
            <w:proofErr w:type="spellEnd"/>
            <w:r>
              <w:t>)</w:t>
            </w:r>
          </w:p>
        </w:tc>
        <w:tc>
          <w:tcPr>
            <w:tcW w:w="1131" w:type="dxa"/>
            <w:tcBorders>
              <w:left w:val="single" w:sz="4" w:space="0" w:color="auto"/>
              <w:right w:val="single" w:sz="4" w:space="0" w:color="auto"/>
            </w:tcBorders>
            <w:vAlign w:val="bottom"/>
          </w:tcPr>
          <w:p w:rsidR="00000000" w:rsidRDefault="00000000">
            <w:pPr>
              <w:jc w:val="right"/>
            </w:pPr>
          </w:p>
        </w:tc>
        <w:tc>
          <w:tcPr>
            <w:tcW w:w="1129" w:type="dxa"/>
            <w:gridSpan w:val="2"/>
            <w:tcBorders>
              <w:left w:val="single" w:sz="4" w:space="0" w:color="auto"/>
              <w:right w:val="single" w:sz="4" w:space="0" w:color="auto"/>
            </w:tcBorders>
            <w:vAlign w:val="bottom"/>
          </w:tcPr>
          <w:p w:rsidR="00000000" w:rsidRDefault="00000000">
            <w:pPr>
              <w:jc w:val="right"/>
            </w:pPr>
          </w:p>
        </w:tc>
        <w:tc>
          <w:tcPr>
            <w:tcW w:w="1128" w:type="dxa"/>
            <w:tcBorders>
              <w:left w:val="single" w:sz="4" w:space="0" w:color="auto"/>
              <w:right w:val="single" w:sz="4" w:space="0" w:color="auto"/>
            </w:tcBorders>
            <w:vAlign w:val="bottom"/>
          </w:tcPr>
          <w:p w:rsidR="00000000" w:rsidRDefault="00000000">
            <w:pPr>
              <w:jc w:val="right"/>
            </w:pPr>
          </w:p>
        </w:tc>
        <w:tc>
          <w:tcPr>
            <w:tcW w:w="1129" w:type="dxa"/>
            <w:gridSpan w:val="3"/>
            <w:tcBorders>
              <w:left w:val="single" w:sz="4" w:space="0" w:color="auto"/>
              <w:right w:val="single" w:sz="4" w:space="0" w:color="auto"/>
            </w:tcBorders>
            <w:vAlign w:val="bottom"/>
          </w:tcPr>
          <w:p w:rsidR="00000000" w:rsidRDefault="00000000">
            <w:pPr>
              <w:jc w:val="right"/>
            </w:pPr>
          </w:p>
        </w:tc>
        <w:tc>
          <w:tcPr>
            <w:tcW w:w="1131" w:type="dxa"/>
            <w:tcBorders>
              <w:left w:val="single" w:sz="4" w:space="0" w:color="auto"/>
            </w:tcBorders>
            <w:vAlign w:val="bottom"/>
          </w:tcPr>
          <w:p w:rsidR="00000000" w:rsidRDefault="00000000">
            <w:pPr>
              <w:jc w:val="right"/>
            </w:pP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proofErr w:type="spellStart"/>
            <w:r>
              <w:t>ПТО</w:t>
            </w:r>
            <w:proofErr w:type="spellEnd"/>
            <w:r>
              <w:t>, всего</w:t>
            </w:r>
          </w:p>
        </w:tc>
        <w:tc>
          <w:tcPr>
            <w:tcW w:w="1131" w:type="dxa"/>
            <w:tcBorders>
              <w:left w:val="single" w:sz="4" w:space="0" w:color="auto"/>
              <w:right w:val="single" w:sz="4" w:space="0" w:color="auto"/>
            </w:tcBorders>
            <w:vAlign w:val="bottom"/>
          </w:tcPr>
          <w:p w:rsidR="00000000" w:rsidRDefault="00000000">
            <w:pPr>
              <w:jc w:val="right"/>
            </w:pPr>
            <w:r>
              <w:t>434,1</w:t>
            </w:r>
          </w:p>
        </w:tc>
        <w:tc>
          <w:tcPr>
            <w:tcW w:w="1129" w:type="dxa"/>
            <w:gridSpan w:val="2"/>
            <w:tcBorders>
              <w:left w:val="single" w:sz="4" w:space="0" w:color="auto"/>
              <w:right w:val="single" w:sz="4" w:space="0" w:color="auto"/>
            </w:tcBorders>
            <w:vAlign w:val="bottom"/>
          </w:tcPr>
          <w:p w:rsidR="00000000" w:rsidRDefault="00000000">
            <w:pPr>
              <w:jc w:val="right"/>
            </w:pPr>
            <w:r>
              <w:t>448,1</w:t>
            </w:r>
          </w:p>
        </w:tc>
        <w:tc>
          <w:tcPr>
            <w:tcW w:w="1128" w:type="dxa"/>
            <w:tcBorders>
              <w:left w:val="single" w:sz="4" w:space="0" w:color="auto"/>
              <w:right w:val="single" w:sz="4" w:space="0" w:color="auto"/>
            </w:tcBorders>
            <w:vAlign w:val="bottom"/>
          </w:tcPr>
          <w:p w:rsidR="00000000" w:rsidRDefault="00000000">
            <w:pPr>
              <w:jc w:val="right"/>
            </w:pPr>
            <w:r>
              <w:t>455,5</w:t>
            </w:r>
          </w:p>
        </w:tc>
        <w:tc>
          <w:tcPr>
            <w:tcW w:w="1129" w:type="dxa"/>
            <w:gridSpan w:val="3"/>
            <w:tcBorders>
              <w:left w:val="single" w:sz="4" w:space="0" w:color="auto"/>
              <w:right w:val="single" w:sz="4" w:space="0" w:color="auto"/>
            </w:tcBorders>
            <w:vAlign w:val="bottom"/>
          </w:tcPr>
          <w:p w:rsidR="00000000" w:rsidRDefault="00000000">
            <w:pPr>
              <w:jc w:val="right"/>
            </w:pPr>
            <w:r>
              <w:t>469,5</w:t>
            </w:r>
          </w:p>
        </w:tc>
        <w:tc>
          <w:tcPr>
            <w:tcW w:w="1131" w:type="dxa"/>
            <w:tcBorders>
              <w:left w:val="single" w:sz="4" w:space="0" w:color="auto"/>
            </w:tcBorders>
            <w:vAlign w:val="bottom"/>
          </w:tcPr>
          <w:p w:rsidR="00000000" w:rsidRDefault="00000000">
            <w:pPr>
              <w:jc w:val="right"/>
            </w:pPr>
            <w:r>
              <w:t>477,7</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ПТПСОП</w:t>
            </w:r>
            <w:proofErr w:type="spellEnd"/>
          </w:p>
        </w:tc>
        <w:tc>
          <w:tcPr>
            <w:tcW w:w="1131" w:type="dxa"/>
            <w:tcBorders>
              <w:left w:val="single" w:sz="4" w:space="0" w:color="auto"/>
              <w:right w:val="single" w:sz="4" w:space="0" w:color="auto"/>
            </w:tcBorders>
            <w:vAlign w:val="bottom"/>
          </w:tcPr>
          <w:p w:rsidR="00000000" w:rsidRDefault="00000000">
            <w:pPr>
              <w:jc w:val="right"/>
            </w:pPr>
            <w:r>
              <w:t>255,0</w:t>
            </w:r>
          </w:p>
        </w:tc>
        <w:tc>
          <w:tcPr>
            <w:tcW w:w="1129" w:type="dxa"/>
            <w:gridSpan w:val="2"/>
            <w:tcBorders>
              <w:left w:val="single" w:sz="4" w:space="0" w:color="auto"/>
              <w:right w:val="single" w:sz="4" w:space="0" w:color="auto"/>
            </w:tcBorders>
            <w:vAlign w:val="bottom"/>
          </w:tcPr>
          <w:p w:rsidR="00000000" w:rsidRDefault="00000000">
            <w:pPr>
              <w:jc w:val="right"/>
            </w:pPr>
            <w:r>
              <w:t>254,8</w:t>
            </w:r>
          </w:p>
        </w:tc>
        <w:tc>
          <w:tcPr>
            <w:tcW w:w="1128" w:type="dxa"/>
            <w:tcBorders>
              <w:left w:val="single" w:sz="4" w:space="0" w:color="auto"/>
              <w:right w:val="single" w:sz="4" w:space="0" w:color="auto"/>
            </w:tcBorders>
            <w:vAlign w:val="bottom"/>
          </w:tcPr>
          <w:p w:rsidR="00000000" w:rsidRDefault="00000000">
            <w:pPr>
              <w:jc w:val="right"/>
            </w:pPr>
            <w:r>
              <w:t>253,9</w:t>
            </w:r>
          </w:p>
        </w:tc>
        <w:tc>
          <w:tcPr>
            <w:tcW w:w="1129" w:type="dxa"/>
            <w:gridSpan w:val="3"/>
            <w:tcBorders>
              <w:left w:val="single" w:sz="4" w:space="0" w:color="auto"/>
              <w:right w:val="single" w:sz="4" w:space="0" w:color="auto"/>
            </w:tcBorders>
            <w:vAlign w:val="bottom"/>
          </w:tcPr>
          <w:p w:rsidR="00000000" w:rsidRDefault="00000000">
            <w:pPr>
              <w:jc w:val="right"/>
            </w:pPr>
            <w:r>
              <w:t>264,5</w:t>
            </w:r>
          </w:p>
        </w:tc>
        <w:tc>
          <w:tcPr>
            <w:tcW w:w="1131" w:type="dxa"/>
            <w:tcBorders>
              <w:left w:val="single" w:sz="4" w:space="0" w:color="auto"/>
            </w:tcBorders>
            <w:vAlign w:val="bottom"/>
          </w:tcPr>
          <w:p w:rsidR="00000000" w:rsidRDefault="00000000">
            <w:pPr>
              <w:jc w:val="right"/>
            </w:pPr>
            <w:r>
              <w:t>281,7</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ПТОЧОП</w:t>
            </w:r>
            <w:proofErr w:type="spellEnd"/>
          </w:p>
        </w:tc>
        <w:tc>
          <w:tcPr>
            <w:tcW w:w="1131" w:type="dxa"/>
            <w:tcBorders>
              <w:left w:val="single" w:sz="4" w:space="0" w:color="auto"/>
              <w:right w:val="single" w:sz="4" w:space="0" w:color="auto"/>
            </w:tcBorders>
            <w:vAlign w:val="bottom"/>
          </w:tcPr>
          <w:p w:rsidR="00000000" w:rsidRDefault="00000000">
            <w:pPr>
              <w:jc w:val="right"/>
            </w:pPr>
            <w:r>
              <w:t>131,9</w:t>
            </w:r>
          </w:p>
        </w:tc>
        <w:tc>
          <w:tcPr>
            <w:tcW w:w="1129" w:type="dxa"/>
            <w:gridSpan w:val="2"/>
            <w:tcBorders>
              <w:left w:val="single" w:sz="4" w:space="0" w:color="auto"/>
              <w:right w:val="single" w:sz="4" w:space="0" w:color="auto"/>
            </w:tcBorders>
            <w:vAlign w:val="bottom"/>
          </w:tcPr>
          <w:p w:rsidR="00000000" w:rsidRDefault="00000000">
            <w:pPr>
              <w:jc w:val="right"/>
            </w:pPr>
            <w:r>
              <w:t>142,6</w:t>
            </w:r>
          </w:p>
        </w:tc>
        <w:tc>
          <w:tcPr>
            <w:tcW w:w="1128" w:type="dxa"/>
            <w:tcBorders>
              <w:left w:val="single" w:sz="4" w:space="0" w:color="auto"/>
              <w:right w:val="single" w:sz="4" w:space="0" w:color="auto"/>
            </w:tcBorders>
            <w:vAlign w:val="bottom"/>
          </w:tcPr>
          <w:p w:rsidR="00000000" w:rsidRDefault="00000000">
            <w:pPr>
              <w:jc w:val="right"/>
            </w:pPr>
            <w:r>
              <w:t>150,1</w:t>
            </w:r>
          </w:p>
        </w:tc>
        <w:tc>
          <w:tcPr>
            <w:tcW w:w="1129" w:type="dxa"/>
            <w:gridSpan w:val="3"/>
            <w:tcBorders>
              <w:left w:val="single" w:sz="4" w:space="0" w:color="auto"/>
              <w:right w:val="single" w:sz="4" w:space="0" w:color="auto"/>
            </w:tcBorders>
            <w:vAlign w:val="bottom"/>
          </w:tcPr>
          <w:p w:rsidR="00000000" w:rsidRDefault="00000000">
            <w:pPr>
              <w:jc w:val="right"/>
            </w:pPr>
            <w:r>
              <w:t>155,9</w:t>
            </w:r>
          </w:p>
        </w:tc>
        <w:tc>
          <w:tcPr>
            <w:tcW w:w="1131" w:type="dxa"/>
            <w:tcBorders>
              <w:left w:val="single" w:sz="4" w:space="0" w:color="auto"/>
            </w:tcBorders>
            <w:vAlign w:val="bottom"/>
          </w:tcPr>
          <w:p w:rsidR="00000000" w:rsidRDefault="00000000">
            <w:pPr>
              <w:jc w:val="right"/>
            </w:pPr>
            <w:r>
              <w:t>152,0</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r>
            <w:proofErr w:type="spellStart"/>
            <w:r>
              <w:t>ПТП</w:t>
            </w:r>
            <w:proofErr w:type="spellEnd"/>
            <w:r>
              <w:t xml:space="preserve"> без отрыва от производства</w:t>
            </w:r>
          </w:p>
        </w:tc>
        <w:tc>
          <w:tcPr>
            <w:tcW w:w="1131" w:type="dxa"/>
            <w:tcBorders>
              <w:left w:val="single" w:sz="4" w:space="0" w:color="auto"/>
              <w:right w:val="single" w:sz="4" w:space="0" w:color="auto"/>
            </w:tcBorders>
            <w:vAlign w:val="bottom"/>
          </w:tcPr>
          <w:p w:rsidR="00000000" w:rsidRDefault="00000000">
            <w:pPr>
              <w:jc w:val="right"/>
            </w:pPr>
            <w:r>
              <w:t>23,4</w:t>
            </w:r>
          </w:p>
        </w:tc>
        <w:tc>
          <w:tcPr>
            <w:tcW w:w="1129" w:type="dxa"/>
            <w:gridSpan w:val="2"/>
            <w:tcBorders>
              <w:left w:val="single" w:sz="4" w:space="0" w:color="auto"/>
              <w:right w:val="single" w:sz="4" w:space="0" w:color="auto"/>
            </w:tcBorders>
            <w:vAlign w:val="bottom"/>
          </w:tcPr>
          <w:p w:rsidR="00000000" w:rsidRDefault="00000000">
            <w:pPr>
              <w:jc w:val="right"/>
            </w:pPr>
            <w:r>
              <w:t>26,9</w:t>
            </w:r>
          </w:p>
        </w:tc>
        <w:tc>
          <w:tcPr>
            <w:tcW w:w="1128" w:type="dxa"/>
            <w:tcBorders>
              <w:left w:val="single" w:sz="4" w:space="0" w:color="auto"/>
              <w:right w:val="single" w:sz="4" w:space="0" w:color="auto"/>
            </w:tcBorders>
            <w:vAlign w:val="bottom"/>
          </w:tcPr>
          <w:p w:rsidR="00000000" w:rsidRDefault="00000000">
            <w:pPr>
              <w:jc w:val="right"/>
            </w:pPr>
            <w:r>
              <w:t>27,8</w:t>
            </w:r>
          </w:p>
        </w:tc>
        <w:tc>
          <w:tcPr>
            <w:tcW w:w="1129" w:type="dxa"/>
            <w:gridSpan w:val="3"/>
            <w:tcBorders>
              <w:left w:val="single" w:sz="4" w:space="0" w:color="auto"/>
              <w:right w:val="single" w:sz="4" w:space="0" w:color="auto"/>
            </w:tcBorders>
            <w:vAlign w:val="bottom"/>
          </w:tcPr>
          <w:p w:rsidR="00000000" w:rsidRDefault="00000000">
            <w:pPr>
              <w:jc w:val="right"/>
            </w:pPr>
            <w:r>
              <w:t>25,5</w:t>
            </w:r>
          </w:p>
        </w:tc>
        <w:tc>
          <w:tcPr>
            <w:tcW w:w="1131" w:type="dxa"/>
            <w:tcBorders>
              <w:left w:val="single" w:sz="4" w:space="0" w:color="auto"/>
            </w:tcBorders>
            <w:vAlign w:val="bottom"/>
          </w:tcPr>
          <w:p w:rsidR="00000000" w:rsidRDefault="00000000">
            <w:pPr>
              <w:jc w:val="right"/>
            </w:pPr>
            <w:r>
              <w:t>20,5</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r>
            <w:proofErr w:type="spellStart"/>
            <w:r>
              <w:t>ПТПСОП</w:t>
            </w:r>
            <w:proofErr w:type="spellEnd"/>
            <w:r>
              <w:t xml:space="preserve"> экологического профиля</w:t>
            </w:r>
          </w:p>
        </w:tc>
        <w:tc>
          <w:tcPr>
            <w:tcW w:w="1131" w:type="dxa"/>
            <w:tcBorders>
              <w:left w:val="single" w:sz="4" w:space="0" w:color="auto"/>
              <w:right w:val="single" w:sz="4" w:space="0" w:color="auto"/>
            </w:tcBorders>
            <w:vAlign w:val="bottom"/>
          </w:tcPr>
          <w:p w:rsidR="00000000" w:rsidRDefault="00000000">
            <w:pPr>
              <w:jc w:val="right"/>
            </w:pPr>
            <w:r>
              <w:t>16,2</w:t>
            </w:r>
          </w:p>
        </w:tc>
        <w:tc>
          <w:tcPr>
            <w:tcW w:w="1129" w:type="dxa"/>
            <w:gridSpan w:val="2"/>
            <w:tcBorders>
              <w:left w:val="single" w:sz="4" w:space="0" w:color="auto"/>
              <w:right w:val="single" w:sz="4" w:space="0" w:color="auto"/>
            </w:tcBorders>
            <w:vAlign w:val="bottom"/>
          </w:tcPr>
          <w:p w:rsidR="00000000" w:rsidRDefault="00000000">
            <w:pPr>
              <w:jc w:val="right"/>
            </w:pPr>
            <w:r>
              <w:t>15,8</w:t>
            </w:r>
          </w:p>
        </w:tc>
        <w:tc>
          <w:tcPr>
            <w:tcW w:w="1128" w:type="dxa"/>
            <w:tcBorders>
              <w:left w:val="single" w:sz="4" w:space="0" w:color="auto"/>
              <w:right w:val="single" w:sz="4" w:space="0" w:color="auto"/>
            </w:tcBorders>
            <w:vAlign w:val="bottom"/>
          </w:tcPr>
          <w:p w:rsidR="00000000" w:rsidRDefault="00000000">
            <w:pPr>
              <w:jc w:val="right"/>
            </w:pPr>
            <w:r>
              <w:t>15,3</w:t>
            </w:r>
          </w:p>
        </w:tc>
        <w:tc>
          <w:tcPr>
            <w:tcW w:w="1129" w:type="dxa"/>
            <w:gridSpan w:val="3"/>
            <w:tcBorders>
              <w:left w:val="single" w:sz="4" w:space="0" w:color="auto"/>
              <w:right w:val="single" w:sz="4" w:space="0" w:color="auto"/>
            </w:tcBorders>
            <w:vAlign w:val="bottom"/>
          </w:tcPr>
          <w:p w:rsidR="00000000" w:rsidRDefault="00000000">
            <w:pPr>
              <w:jc w:val="right"/>
            </w:pPr>
            <w:r>
              <w:t>15,0</w:t>
            </w:r>
          </w:p>
        </w:tc>
        <w:tc>
          <w:tcPr>
            <w:tcW w:w="1131" w:type="dxa"/>
            <w:tcBorders>
              <w:left w:val="single" w:sz="4" w:space="0" w:color="auto"/>
            </w:tcBorders>
            <w:vAlign w:val="bottom"/>
          </w:tcPr>
          <w:p w:rsidR="00000000" w:rsidRDefault="00000000">
            <w:pPr>
              <w:jc w:val="right"/>
            </w:pPr>
            <w:r>
              <w:t>14,9</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r>
            <w:proofErr w:type="spellStart"/>
            <w:r>
              <w:t>ПТОЧОП</w:t>
            </w:r>
            <w:proofErr w:type="spellEnd"/>
            <w:r>
              <w:t xml:space="preserve"> экологического профиля</w:t>
            </w:r>
          </w:p>
        </w:tc>
        <w:tc>
          <w:tcPr>
            <w:tcW w:w="1131" w:type="dxa"/>
            <w:tcBorders>
              <w:left w:val="single" w:sz="4" w:space="0" w:color="auto"/>
              <w:right w:val="single" w:sz="4" w:space="0" w:color="auto"/>
            </w:tcBorders>
            <w:vAlign w:val="bottom"/>
          </w:tcPr>
          <w:p w:rsidR="00000000" w:rsidRDefault="00000000">
            <w:pPr>
              <w:jc w:val="right"/>
            </w:pPr>
            <w:r>
              <w:t>7,6</w:t>
            </w:r>
          </w:p>
        </w:tc>
        <w:tc>
          <w:tcPr>
            <w:tcW w:w="1129" w:type="dxa"/>
            <w:gridSpan w:val="2"/>
            <w:tcBorders>
              <w:left w:val="single" w:sz="4" w:space="0" w:color="auto"/>
              <w:right w:val="single" w:sz="4" w:space="0" w:color="auto"/>
            </w:tcBorders>
            <w:vAlign w:val="bottom"/>
          </w:tcPr>
          <w:p w:rsidR="00000000" w:rsidRDefault="00000000">
            <w:pPr>
              <w:jc w:val="right"/>
            </w:pPr>
            <w:r>
              <w:t>8,0</w:t>
            </w:r>
          </w:p>
        </w:tc>
        <w:tc>
          <w:tcPr>
            <w:tcW w:w="1128" w:type="dxa"/>
            <w:tcBorders>
              <w:left w:val="single" w:sz="4" w:space="0" w:color="auto"/>
              <w:right w:val="single" w:sz="4" w:space="0" w:color="auto"/>
            </w:tcBorders>
            <w:vAlign w:val="bottom"/>
          </w:tcPr>
          <w:p w:rsidR="00000000" w:rsidRDefault="00000000">
            <w:pPr>
              <w:jc w:val="right"/>
            </w:pPr>
            <w:r>
              <w:t>8,4</w:t>
            </w:r>
          </w:p>
        </w:tc>
        <w:tc>
          <w:tcPr>
            <w:tcW w:w="1129" w:type="dxa"/>
            <w:gridSpan w:val="3"/>
            <w:tcBorders>
              <w:left w:val="single" w:sz="4" w:space="0" w:color="auto"/>
              <w:right w:val="single" w:sz="4" w:space="0" w:color="auto"/>
            </w:tcBorders>
            <w:vAlign w:val="bottom"/>
          </w:tcPr>
          <w:p w:rsidR="00000000" w:rsidRDefault="00000000">
            <w:pPr>
              <w:jc w:val="right"/>
            </w:pPr>
            <w:r>
              <w:t>8,6</w:t>
            </w:r>
          </w:p>
        </w:tc>
        <w:tc>
          <w:tcPr>
            <w:tcW w:w="1131" w:type="dxa"/>
            <w:tcBorders>
              <w:left w:val="single" w:sz="4" w:space="0" w:color="auto"/>
            </w:tcBorders>
            <w:vAlign w:val="bottom"/>
          </w:tcPr>
          <w:p w:rsidR="00000000" w:rsidRDefault="00000000">
            <w:pPr>
              <w:jc w:val="right"/>
            </w:pPr>
            <w:r>
              <w:t>8,6</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r>
              <w:t>Высшее профессиональное образование (</w:t>
            </w:r>
            <w:proofErr w:type="spellStart"/>
            <w:r>
              <w:t>ВПО</w:t>
            </w:r>
            <w:proofErr w:type="spellEnd"/>
            <w:r>
              <w:t>)</w:t>
            </w:r>
          </w:p>
        </w:tc>
        <w:tc>
          <w:tcPr>
            <w:tcW w:w="1131" w:type="dxa"/>
            <w:tcBorders>
              <w:left w:val="single" w:sz="4" w:space="0" w:color="auto"/>
              <w:right w:val="single" w:sz="4" w:space="0" w:color="auto"/>
            </w:tcBorders>
            <w:vAlign w:val="bottom"/>
          </w:tcPr>
          <w:p w:rsidR="00000000" w:rsidRDefault="00000000">
            <w:pPr>
              <w:jc w:val="right"/>
            </w:pPr>
          </w:p>
        </w:tc>
        <w:tc>
          <w:tcPr>
            <w:tcW w:w="1129" w:type="dxa"/>
            <w:gridSpan w:val="2"/>
            <w:tcBorders>
              <w:left w:val="single" w:sz="4" w:space="0" w:color="auto"/>
              <w:right w:val="single" w:sz="4" w:space="0" w:color="auto"/>
            </w:tcBorders>
            <w:vAlign w:val="bottom"/>
          </w:tcPr>
          <w:p w:rsidR="00000000" w:rsidRDefault="00000000">
            <w:pPr>
              <w:jc w:val="right"/>
            </w:pPr>
          </w:p>
        </w:tc>
        <w:tc>
          <w:tcPr>
            <w:tcW w:w="1128" w:type="dxa"/>
            <w:tcBorders>
              <w:left w:val="single" w:sz="4" w:space="0" w:color="auto"/>
              <w:right w:val="single" w:sz="4" w:space="0" w:color="auto"/>
            </w:tcBorders>
            <w:vAlign w:val="bottom"/>
          </w:tcPr>
          <w:p w:rsidR="00000000" w:rsidRDefault="00000000">
            <w:pPr>
              <w:jc w:val="right"/>
            </w:pPr>
          </w:p>
        </w:tc>
        <w:tc>
          <w:tcPr>
            <w:tcW w:w="1129" w:type="dxa"/>
            <w:gridSpan w:val="3"/>
            <w:tcBorders>
              <w:left w:val="single" w:sz="4" w:space="0" w:color="auto"/>
              <w:right w:val="single" w:sz="4" w:space="0" w:color="auto"/>
            </w:tcBorders>
            <w:vAlign w:val="bottom"/>
          </w:tcPr>
          <w:p w:rsidR="00000000" w:rsidRDefault="00000000">
            <w:pPr>
              <w:jc w:val="right"/>
            </w:pPr>
          </w:p>
        </w:tc>
        <w:tc>
          <w:tcPr>
            <w:tcW w:w="1131" w:type="dxa"/>
            <w:tcBorders>
              <w:left w:val="single" w:sz="4" w:space="0" w:color="auto"/>
            </w:tcBorders>
            <w:vAlign w:val="bottom"/>
          </w:tcPr>
          <w:p w:rsidR="00000000" w:rsidRDefault="00000000">
            <w:pPr>
              <w:jc w:val="right"/>
            </w:pP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proofErr w:type="spellStart"/>
            <w:r>
              <w:t>ВПО</w:t>
            </w:r>
            <w:proofErr w:type="spellEnd"/>
            <w:r>
              <w:t>, всего</w:t>
            </w:r>
          </w:p>
        </w:tc>
        <w:tc>
          <w:tcPr>
            <w:tcW w:w="1131" w:type="dxa"/>
            <w:tcBorders>
              <w:left w:val="single" w:sz="4" w:space="0" w:color="auto"/>
              <w:right w:val="single" w:sz="4" w:space="0" w:color="auto"/>
            </w:tcBorders>
            <w:vAlign w:val="bottom"/>
          </w:tcPr>
          <w:p w:rsidR="00000000" w:rsidRDefault="00000000">
            <w:pPr>
              <w:jc w:val="right"/>
            </w:pPr>
            <w:r>
              <w:t>302,5</w:t>
            </w:r>
          </w:p>
        </w:tc>
        <w:tc>
          <w:tcPr>
            <w:tcW w:w="1129" w:type="dxa"/>
            <w:gridSpan w:val="2"/>
            <w:tcBorders>
              <w:left w:val="single" w:sz="4" w:space="0" w:color="auto"/>
              <w:right w:val="single" w:sz="4" w:space="0" w:color="auto"/>
            </w:tcBorders>
            <w:vAlign w:val="bottom"/>
          </w:tcPr>
          <w:p w:rsidR="00000000" w:rsidRDefault="00000000">
            <w:pPr>
              <w:jc w:val="right"/>
            </w:pPr>
            <w:r>
              <w:t>311,9</w:t>
            </w:r>
          </w:p>
        </w:tc>
        <w:tc>
          <w:tcPr>
            <w:tcW w:w="1128" w:type="dxa"/>
            <w:tcBorders>
              <w:left w:val="single" w:sz="4" w:space="0" w:color="auto"/>
              <w:right w:val="single" w:sz="4" w:space="0" w:color="auto"/>
            </w:tcBorders>
            <w:vAlign w:val="bottom"/>
          </w:tcPr>
          <w:p w:rsidR="00000000" w:rsidRDefault="00000000">
            <w:pPr>
              <w:jc w:val="right"/>
            </w:pPr>
            <w:r>
              <w:t>320,8</w:t>
            </w:r>
          </w:p>
        </w:tc>
        <w:tc>
          <w:tcPr>
            <w:tcW w:w="1129" w:type="dxa"/>
            <w:gridSpan w:val="3"/>
            <w:tcBorders>
              <w:left w:val="single" w:sz="4" w:space="0" w:color="auto"/>
              <w:right w:val="single" w:sz="4" w:space="0" w:color="auto"/>
            </w:tcBorders>
            <w:vAlign w:val="bottom"/>
          </w:tcPr>
          <w:p w:rsidR="00000000" w:rsidRDefault="00000000">
            <w:pPr>
              <w:jc w:val="right"/>
            </w:pPr>
            <w:r>
              <w:t>322,1</w:t>
            </w:r>
          </w:p>
        </w:tc>
        <w:tc>
          <w:tcPr>
            <w:tcW w:w="1131" w:type="dxa"/>
            <w:tcBorders>
              <w:left w:val="single" w:sz="4" w:space="0" w:color="auto"/>
            </w:tcBorders>
            <w:vAlign w:val="bottom"/>
          </w:tcPr>
          <w:p w:rsidR="00000000" w:rsidRDefault="00000000">
            <w:pPr>
              <w:jc w:val="right"/>
            </w:pPr>
            <w:r>
              <w:t>334,5</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r>
            <w:proofErr w:type="spellStart"/>
            <w:r>
              <w:t>ВПО</w:t>
            </w:r>
            <w:proofErr w:type="spellEnd"/>
            <w:r>
              <w:t xml:space="preserve"> с отрывом от производства</w:t>
            </w:r>
          </w:p>
        </w:tc>
        <w:tc>
          <w:tcPr>
            <w:tcW w:w="1131" w:type="dxa"/>
            <w:tcBorders>
              <w:left w:val="single" w:sz="4" w:space="0" w:color="auto"/>
              <w:right w:val="single" w:sz="4" w:space="0" w:color="auto"/>
            </w:tcBorders>
            <w:vAlign w:val="bottom"/>
          </w:tcPr>
          <w:p w:rsidR="00000000" w:rsidRDefault="00000000">
            <w:pPr>
              <w:jc w:val="right"/>
            </w:pPr>
            <w:r>
              <w:t>240,7</w:t>
            </w:r>
          </w:p>
        </w:tc>
        <w:tc>
          <w:tcPr>
            <w:tcW w:w="1129" w:type="dxa"/>
            <w:gridSpan w:val="2"/>
            <w:tcBorders>
              <w:left w:val="single" w:sz="4" w:space="0" w:color="auto"/>
              <w:right w:val="single" w:sz="4" w:space="0" w:color="auto"/>
            </w:tcBorders>
            <w:vAlign w:val="bottom"/>
          </w:tcPr>
          <w:p w:rsidR="00000000" w:rsidRDefault="00000000">
            <w:pPr>
              <w:jc w:val="right"/>
            </w:pPr>
            <w:r>
              <w:t>244,4</w:t>
            </w:r>
          </w:p>
        </w:tc>
        <w:tc>
          <w:tcPr>
            <w:tcW w:w="1128" w:type="dxa"/>
            <w:tcBorders>
              <w:left w:val="single" w:sz="4" w:space="0" w:color="auto"/>
              <w:right w:val="single" w:sz="4" w:space="0" w:color="auto"/>
            </w:tcBorders>
            <w:vAlign w:val="bottom"/>
          </w:tcPr>
          <w:p w:rsidR="00000000" w:rsidRDefault="00000000">
            <w:pPr>
              <w:jc w:val="right"/>
            </w:pPr>
            <w:r>
              <w:t>248,0</w:t>
            </w:r>
          </w:p>
        </w:tc>
        <w:tc>
          <w:tcPr>
            <w:tcW w:w="1129" w:type="dxa"/>
            <w:gridSpan w:val="3"/>
            <w:tcBorders>
              <w:left w:val="single" w:sz="4" w:space="0" w:color="auto"/>
              <w:right w:val="single" w:sz="4" w:space="0" w:color="auto"/>
            </w:tcBorders>
            <w:vAlign w:val="bottom"/>
          </w:tcPr>
          <w:p w:rsidR="00000000" w:rsidRDefault="00000000">
            <w:pPr>
              <w:jc w:val="right"/>
            </w:pPr>
            <w:r>
              <w:t>250,0</w:t>
            </w:r>
          </w:p>
        </w:tc>
        <w:tc>
          <w:tcPr>
            <w:tcW w:w="1131" w:type="dxa"/>
            <w:tcBorders>
              <w:left w:val="single" w:sz="4" w:space="0" w:color="auto"/>
            </w:tcBorders>
            <w:vAlign w:val="bottom"/>
          </w:tcPr>
          <w:p w:rsidR="00000000" w:rsidRDefault="00000000">
            <w:pPr>
              <w:jc w:val="right"/>
            </w:pPr>
            <w:r>
              <w:t>260,3</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ind w:left="374" w:hanging="374"/>
            </w:pPr>
            <w:r>
              <w:tab/>
            </w:r>
            <w:r>
              <w:tab/>
            </w:r>
            <w:proofErr w:type="spellStart"/>
            <w:r>
              <w:t>ВПО</w:t>
            </w:r>
            <w:proofErr w:type="spellEnd"/>
            <w:r>
              <w:t xml:space="preserve"> без отрыва от производства</w:t>
            </w:r>
          </w:p>
        </w:tc>
        <w:tc>
          <w:tcPr>
            <w:tcW w:w="1131" w:type="dxa"/>
            <w:tcBorders>
              <w:left w:val="single" w:sz="4" w:space="0" w:color="auto"/>
              <w:right w:val="single" w:sz="4" w:space="0" w:color="auto"/>
            </w:tcBorders>
            <w:vAlign w:val="bottom"/>
          </w:tcPr>
          <w:p w:rsidR="00000000" w:rsidRDefault="00000000">
            <w:pPr>
              <w:jc w:val="right"/>
            </w:pPr>
            <w:r>
              <w:t>53,3</w:t>
            </w:r>
          </w:p>
        </w:tc>
        <w:tc>
          <w:tcPr>
            <w:tcW w:w="1129" w:type="dxa"/>
            <w:gridSpan w:val="2"/>
            <w:tcBorders>
              <w:left w:val="single" w:sz="4" w:space="0" w:color="auto"/>
              <w:right w:val="single" w:sz="4" w:space="0" w:color="auto"/>
            </w:tcBorders>
            <w:vAlign w:val="bottom"/>
          </w:tcPr>
          <w:p w:rsidR="00000000" w:rsidRDefault="00000000">
            <w:pPr>
              <w:jc w:val="right"/>
            </w:pPr>
            <w:r>
              <w:t>59,4</w:t>
            </w:r>
          </w:p>
        </w:tc>
        <w:tc>
          <w:tcPr>
            <w:tcW w:w="1128" w:type="dxa"/>
            <w:tcBorders>
              <w:left w:val="single" w:sz="4" w:space="0" w:color="auto"/>
              <w:right w:val="single" w:sz="4" w:space="0" w:color="auto"/>
            </w:tcBorders>
            <w:vAlign w:val="bottom"/>
          </w:tcPr>
          <w:p w:rsidR="00000000" w:rsidRDefault="00000000">
            <w:pPr>
              <w:jc w:val="right"/>
            </w:pPr>
            <w:r>
              <w:t>64,3</w:t>
            </w:r>
          </w:p>
        </w:tc>
        <w:tc>
          <w:tcPr>
            <w:tcW w:w="1129" w:type="dxa"/>
            <w:gridSpan w:val="3"/>
            <w:tcBorders>
              <w:left w:val="single" w:sz="4" w:space="0" w:color="auto"/>
              <w:right w:val="single" w:sz="4" w:space="0" w:color="auto"/>
            </w:tcBorders>
            <w:vAlign w:val="bottom"/>
          </w:tcPr>
          <w:p w:rsidR="00000000" w:rsidRDefault="00000000">
            <w:pPr>
              <w:jc w:val="right"/>
            </w:pPr>
            <w:r>
              <w:t>63,7</w:t>
            </w:r>
          </w:p>
        </w:tc>
        <w:tc>
          <w:tcPr>
            <w:tcW w:w="1131" w:type="dxa"/>
            <w:tcBorders>
              <w:left w:val="single" w:sz="4" w:space="0" w:color="auto"/>
            </w:tcBorders>
            <w:vAlign w:val="bottom"/>
          </w:tcPr>
          <w:p w:rsidR="00000000" w:rsidRDefault="00000000">
            <w:pPr>
              <w:jc w:val="right"/>
            </w:pPr>
            <w:r>
              <w:t>65,5</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ВПО</w:t>
            </w:r>
            <w:proofErr w:type="spellEnd"/>
            <w:r>
              <w:t xml:space="preserve"> экологического профиля</w:t>
            </w:r>
          </w:p>
        </w:tc>
        <w:tc>
          <w:tcPr>
            <w:tcW w:w="1131" w:type="dxa"/>
            <w:tcBorders>
              <w:left w:val="single" w:sz="4" w:space="0" w:color="auto"/>
              <w:right w:val="single" w:sz="4" w:space="0" w:color="auto"/>
            </w:tcBorders>
            <w:vAlign w:val="bottom"/>
          </w:tcPr>
          <w:p w:rsidR="00000000" w:rsidRDefault="00000000">
            <w:pPr>
              <w:jc w:val="right"/>
            </w:pPr>
            <w:r>
              <w:t>8,5</w:t>
            </w:r>
          </w:p>
        </w:tc>
        <w:tc>
          <w:tcPr>
            <w:tcW w:w="1129" w:type="dxa"/>
            <w:gridSpan w:val="2"/>
            <w:tcBorders>
              <w:left w:val="single" w:sz="4" w:space="0" w:color="auto"/>
              <w:right w:val="single" w:sz="4" w:space="0" w:color="auto"/>
            </w:tcBorders>
            <w:vAlign w:val="bottom"/>
          </w:tcPr>
          <w:p w:rsidR="00000000" w:rsidRDefault="00000000">
            <w:pPr>
              <w:jc w:val="right"/>
            </w:pPr>
            <w:r>
              <w:t>8,1</w:t>
            </w:r>
          </w:p>
        </w:tc>
        <w:tc>
          <w:tcPr>
            <w:tcW w:w="1128" w:type="dxa"/>
            <w:tcBorders>
              <w:left w:val="single" w:sz="4" w:space="0" w:color="auto"/>
              <w:right w:val="single" w:sz="4" w:space="0" w:color="auto"/>
            </w:tcBorders>
            <w:vAlign w:val="bottom"/>
          </w:tcPr>
          <w:p w:rsidR="00000000" w:rsidRDefault="00000000">
            <w:pPr>
              <w:jc w:val="right"/>
            </w:pPr>
            <w:r>
              <w:t>8,5</w:t>
            </w:r>
          </w:p>
        </w:tc>
        <w:tc>
          <w:tcPr>
            <w:tcW w:w="1129" w:type="dxa"/>
            <w:gridSpan w:val="3"/>
            <w:tcBorders>
              <w:left w:val="single" w:sz="4" w:space="0" w:color="auto"/>
              <w:right w:val="single" w:sz="4" w:space="0" w:color="auto"/>
            </w:tcBorders>
            <w:vAlign w:val="bottom"/>
          </w:tcPr>
          <w:p w:rsidR="00000000" w:rsidRDefault="00000000">
            <w:pPr>
              <w:jc w:val="right"/>
            </w:pPr>
            <w:r>
              <w:t>8,4</w:t>
            </w:r>
          </w:p>
        </w:tc>
        <w:tc>
          <w:tcPr>
            <w:tcW w:w="1131" w:type="dxa"/>
            <w:tcBorders>
              <w:left w:val="single" w:sz="4" w:space="0" w:color="auto"/>
            </w:tcBorders>
            <w:vAlign w:val="bottom"/>
          </w:tcPr>
          <w:p w:rsidR="00000000" w:rsidRDefault="00000000">
            <w:pPr>
              <w:jc w:val="right"/>
            </w:pPr>
            <w:r>
              <w:t>8,7</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r>
              <w:t>Университеты</w:t>
            </w:r>
          </w:p>
        </w:tc>
        <w:tc>
          <w:tcPr>
            <w:tcW w:w="1131" w:type="dxa"/>
            <w:tcBorders>
              <w:left w:val="single" w:sz="4" w:space="0" w:color="auto"/>
              <w:right w:val="single" w:sz="4" w:space="0" w:color="auto"/>
            </w:tcBorders>
            <w:vAlign w:val="bottom"/>
          </w:tcPr>
          <w:p w:rsidR="00000000" w:rsidRDefault="00000000">
            <w:pPr>
              <w:jc w:val="right"/>
            </w:pPr>
          </w:p>
        </w:tc>
        <w:tc>
          <w:tcPr>
            <w:tcW w:w="1129" w:type="dxa"/>
            <w:gridSpan w:val="2"/>
            <w:tcBorders>
              <w:left w:val="single" w:sz="4" w:space="0" w:color="auto"/>
              <w:right w:val="single" w:sz="4" w:space="0" w:color="auto"/>
            </w:tcBorders>
            <w:vAlign w:val="bottom"/>
          </w:tcPr>
          <w:p w:rsidR="00000000" w:rsidRDefault="00000000">
            <w:pPr>
              <w:jc w:val="right"/>
            </w:pPr>
          </w:p>
        </w:tc>
        <w:tc>
          <w:tcPr>
            <w:tcW w:w="1128" w:type="dxa"/>
            <w:tcBorders>
              <w:left w:val="single" w:sz="4" w:space="0" w:color="auto"/>
              <w:right w:val="single" w:sz="4" w:space="0" w:color="auto"/>
            </w:tcBorders>
            <w:vAlign w:val="bottom"/>
          </w:tcPr>
          <w:p w:rsidR="00000000" w:rsidRDefault="00000000">
            <w:pPr>
              <w:jc w:val="right"/>
            </w:pPr>
          </w:p>
        </w:tc>
        <w:tc>
          <w:tcPr>
            <w:tcW w:w="1129" w:type="dxa"/>
            <w:gridSpan w:val="3"/>
            <w:tcBorders>
              <w:left w:val="single" w:sz="4" w:space="0" w:color="auto"/>
              <w:right w:val="single" w:sz="4" w:space="0" w:color="auto"/>
            </w:tcBorders>
            <w:vAlign w:val="bottom"/>
          </w:tcPr>
          <w:p w:rsidR="00000000" w:rsidRDefault="00000000">
            <w:pPr>
              <w:jc w:val="right"/>
            </w:pPr>
          </w:p>
        </w:tc>
        <w:tc>
          <w:tcPr>
            <w:tcW w:w="1131" w:type="dxa"/>
            <w:tcBorders>
              <w:left w:val="single" w:sz="4" w:space="0" w:color="auto"/>
            </w:tcBorders>
            <w:vAlign w:val="bottom"/>
          </w:tcPr>
          <w:p w:rsidR="00000000" w:rsidRDefault="00000000">
            <w:pPr>
              <w:jc w:val="right"/>
            </w:pP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proofErr w:type="spellStart"/>
            <w:r>
              <w:t>УО</w:t>
            </w:r>
            <w:proofErr w:type="spellEnd"/>
            <w:r>
              <w:t>, всего</w:t>
            </w:r>
          </w:p>
        </w:tc>
        <w:tc>
          <w:tcPr>
            <w:tcW w:w="1131" w:type="dxa"/>
            <w:tcBorders>
              <w:left w:val="single" w:sz="4" w:space="0" w:color="auto"/>
              <w:right w:val="single" w:sz="4" w:space="0" w:color="auto"/>
            </w:tcBorders>
            <w:vAlign w:val="bottom"/>
          </w:tcPr>
          <w:p w:rsidR="00000000" w:rsidRDefault="00000000">
            <w:pPr>
              <w:jc w:val="right"/>
            </w:pPr>
            <w:r>
              <w:t>163,1</w:t>
            </w:r>
          </w:p>
        </w:tc>
        <w:tc>
          <w:tcPr>
            <w:tcW w:w="1129" w:type="dxa"/>
            <w:gridSpan w:val="2"/>
            <w:tcBorders>
              <w:left w:val="single" w:sz="4" w:space="0" w:color="auto"/>
              <w:right w:val="single" w:sz="4" w:space="0" w:color="auto"/>
            </w:tcBorders>
            <w:vAlign w:val="bottom"/>
          </w:tcPr>
          <w:p w:rsidR="00000000" w:rsidRDefault="00000000">
            <w:pPr>
              <w:jc w:val="right"/>
            </w:pPr>
            <w:r>
              <w:t>166,6</w:t>
            </w:r>
          </w:p>
        </w:tc>
        <w:tc>
          <w:tcPr>
            <w:tcW w:w="1128" w:type="dxa"/>
            <w:tcBorders>
              <w:left w:val="single" w:sz="4" w:space="0" w:color="auto"/>
              <w:right w:val="single" w:sz="4" w:space="0" w:color="auto"/>
            </w:tcBorders>
            <w:vAlign w:val="bottom"/>
          </w:tcPr>
          <w:p w:rsidR="00000000" w:rsidRDefault="00000000">
            <w:pPr>
              <w:jc w:val="right"/>
            </w:pPr>
            <w:r>
              <w:t>171,9</w:t>
            </w:r>
          </w:p>
        </w:tc>
        <w:tc>
          <w:tcPr>
            <w:tcW w:w="1129" w:type="dxa"/>
            <w:gridSpan w:val="3"/>
            <w:tcBorders>
              <w:left w:val="single" w:sz="4" w:space="0" w:color="auto"/>
              <w:right w:val="single" w:sz="4" w:space="0" w:color="auto"/>
            </w:tcBorders>
            <w:vAlign w:val="bottom"/>
          </w:tcPr>
          <w:p w:rsidR="00000000" w:rsidRDefault="00000000">
            <w:pPr>
              <w:jc w:val="right"/>
            </w:pPr>
            <w:r>
              <w:t>178,8</w:t>
            </w:r>
          </w:p>
        </w:tc>
        <w:tc>
          <w:tcPr>
            <w:tcW w:w="1131" w:type="dxa"/>
            <w:tcBorders>
              <w:left w:val="single" w:sz="4" w:space="0" w:color="auto"/>
            </w:tcBorders>
            <w:vAlign w:val="bottom"/>
          </w:tcPr>
          <w:p w:rsidR="00000000" w:rsidRDefault="00000000">
            <w:pPr>
              <w:jc w:val="right"/>
            </w:pPr>
            <w:r>
              <w:t>187,2</w:t>
            </w:r>
          </w:p>
        </w:tc>
      </w:tr>
      <w:tr w:rsidR="00000000">
        <w:tblPrEx>
          <w:tblCellMar>
            <w:top w:w="0" w:type="dxa"/>
            <w:bottom w:w="0" w:type="dxa"/>
          </w:tblCellMar>
        </w:tblPrEx>
        <w:trPr>
          <w:cantSplit/>
        </w:trPr>
        <w:tc>
          <w:tcPr>
            <w:tcW w:w="3765" w:type="dxa"/>
            <w:tcBorders>
              <w:right w:val="single" w:sz="4" w:space="0" w:color="auto"/>
            </w:tcBorders>
            <w:vAlign w:val="bottom"/>
          </w:tcPr>
          <w:p w:rsidR="00000000" w:rsidRDefault="00000000">
            <w:pPr>
              <w:tabs>
                <w:tab w:val="clear" w:pos="567"/>
                <w:tab w:val="clear" w:pos="1134"/>
                <w:tab w:val="left" w:pos="187"/>
                <w:tab w:val="left" w:pos="374"/>
              </w:tabs>
            </w:pPr>
            <w:r>
              <w:tab/>
            </w:r>
            <w:r>
              <w:tab/>
              <w:t>Университеты</w:t>
            </w:r>
          </w:p>
        </w:tc>
        <w:tc>
          <w:tcPr>
            <w:tcW w:w="1131" w:type="dxa"/>
            <w:tcBorders>
              <w:left w:val="single" w:sz="4" w:space="0" w:color="auto"/>
              <w:right w:val="single" w:sz="4" w:space="0" w:color="auto"/>
            </w:tcBorders>
            <w:vAlign w:val="bottom"/>
          </w:tcPr>
          <w:p w:rsidR="00000000" w:rsidRDefault="00000000">
            <w:pPr>
              <w:jc w:val="right"/>
            </w:pPr>
            <w:r>
              <w:t>159,3</w:t>
            </w:r>
          </w:p>
        </w:tc>
        <w:tc>
          <w:tcPr>
            <w:tcW w:w="1129" w:type="dxa"/>
            <w:gridSpan w:val="2"/>
            <w:tcBorders>
              <w:left w:val="single" w:sz="4" w:space="0" w:color="auto"/>
              <w:right w:val="single" w:sz="4" w:space="0" w:color="auto"/>
            </w:tcBorders>
            <w:vAlign w:val="bottom"/>
          </w:tcPr>
          <w:p w:rsidR="00000000" w:rsidRDefault="00000000">
            <w:pPr>
              <w:jc w:val="right"/>
            </w:pPr>
            <w:r>
              <w:t>162,9</w:t>
            </w:r>
          </w:p>
        </w:tc>
        <w:tc>
          <w:tcPr>
            <w:tcW w:w="1128" w:type="dxa"/>
            <w:tcBorders>
              <w:left w:val="single" w:sz="4" w:space="0" w:color="auto"/>
              <w:right w:val="single" w:sz="4" w:space="0" w:color="auto"/>
            </w:tcBorders>
            <w:vAlign w:val="bottom"/>
          </w:tcPr>
          <w:p w:rsidR="00000000" w:rsidRDefault="00000000">
            <w:pPr>
              <w:jc w:val="right"/>
            </w:pPr>
            <w:r>
              <w:t>168,1</w:t>
            </w:r>
          </w:p>
        </w:tc>
        <w:tc>
          <w:tcPr>
            <w:tcW w:w="1129" w:type="dxa"/>
            <w:gridSpan w:val="3"/>
            <w:tcBorders>
              <w:left w:val="single" w:sz="4" w:space="0" w:color="auto"/>
              <w:right w:val="single" w:sz="4" w:space="0" w:color="auto"/>
            </w:tcBorders>
            <w:vAlign w:val="bottom"/>
          </w:tcPr>
          <w:p w:rsidR="00000000" w:rsidRDefault="00000000">
            <w:pPr>
              <w:jc w:val="right"/>
            </w:pPr>
            <w:r>
              <w:t>174,8</w:t>
            </w:r>
          </w:p>
        </w:tc>
        <w:tc>
          <w:tcPr>
            <w:tcW w:w="1131" w:type="dxa"/>
            <w:tcBorders>
              <w:left w:val="single" w:sz="4" w:space="0" w:color="auto"/>
            </w:tcBorders>
            <w:vAlign w:val="bottom"/>
          </w:tcPr>
          <w:p w:rsidR="00000000" w:rsidRDefault="00000000">
            <w:pPr>
              <w:jc w:val="right"/>
            </w:pPr>
            <w:r>
              <w:t>182,9</w:t>
            </w:r>
          </w:p>
        </w:tc>
      </w:tr>
      <w:tr w:rsidR="00000000">
        <w:tblPrEx>
          <w:tblCellMar>
            <w:top w:w="0" w:type="dxa"/>
            <w:bottom w:w="0" w:type="dxa"/>
          </w:tblCellMar>
        </w:tblPrEx>
        <w:trPr>
          <w:cantSplit/>
        </w:trPr>
        <w:tc>
          <w:tcPr>
            <w:tcW w:w="3765" w:type="dxa"/>
            <w:tcBorders>
              <w:bottom w:val="single" w:sz="4" w:space="0" w:color="auto"/>
              <w:right w:val="single" w:sz="4" w:space="0" w:color="auto"/>
            </w:tcBorders>
            <w:vAlign w:val="bottom"/>
          </w:tcPr>
          <w:p w:rsidR="00000000" w:rsidRDefault="00000000">
            <w:pPr>
              <w:tabs>
                <w:tab w:val="clear" w:pos="567"/>
                <w:tab w:val="clear" w:pos="1134"/>
                <w:tab w:val="left" w:pos="187"/>
                <w:tab w:val="left" w:pos="374"/>
              </w:tabs>
            </w:pPr>
            <w:r>
              <w:tab/>
            </w:r>
            <w:r>
              <w:tab/>
            </w:r>
            <w:proofErr w:type="spellStart"/>
            <w:r>
              <w:t>УО</w:t>
            </w:r>
            <w:proofErr w:type="spellEnd"/>
            <w:r>
              <w:t xml:space="preserve"> экологического профиля</w:t>
            </w:r>
          </w:p>
        </w:tc>
        <w:tc>
          <w:tcPr>
            <w:tcW w:w="1131" w:type="dxa"/>
            <w:tcBorders>
              <w:left w:val="single" w:sz="4" w:space="0" w:color="auto"/>
              <w:bottom w:val="single" w:sz="4" w:space="0" w:color="auto"/>
              <w:right w:val="single" w:sz="4" w:space="0" w:color="auto"/>
            </w:tcBorders>
            <w:vAlign w:val="bottom"/>
          </w:tcPr>
          <w:p w:rsidR="00000000" w:rsidRDefault="00000000">
            <w:pPr>
              <w:jc w:val="right"/>
            </w:pPr>
            <w:r>
              <w:t>3,8</w:t>
            </w:r>
          </w:p>
        </w:tc>
        <w:tc>
          <w:tcPr>
            <w:tcW w:w="1129" w:type="dxa"/>
            <w:gridSpan w:val="2"/>
            <w:tcBorders>
              <w:left w:val="single" w:sz="4" w:space="0" w:color="auto"/>
              <w:bottom w:val="single" w:sz="4" w:space="0" w:color="auto"/>
              <w:right w:val="single" w:sz="4" w:space="0" w:color="auto"/>
            </w:tcBorders>
            <w:vAlign w:val="bottom"/>
          </w:tcPr>
          <w:p w:rsidR="00000000" w:rsidRDefault="00000000">
            <w:pPr>
              <w:jc w:val="right"/>
            </w:pPr>
            <w:r>
              <w:t>3,7</w:t>
            </w:r>
          </w:p>
        </w:tc>
        <w:tc>
          <w:tcPr>
            <w:tcW w:w="1128" w:type="dxa"/>
            <w:tcBorders>
              <w:left w:val="single" w:sz="4" w:space="0" w:color="auto"/>
              <w:bottom w:val="single" w:sz="4" w:space="0" w:color="auto"/>
              <w:right w:val="single" w:sz="4" w:space="0" w:color="auto"/>
            </w:tcBorders>
            <w:vAlign w:val="bottom"/>
          </w:tcPr>
          <w:p w:rsidR="00000000" w:rsidRDefault="00000000">
            <w:pPr>
              <w:jc w:val="right"/>
            </w:pPr>
            <w:r>
              <w:t>3,8</w:t>
            </w:r>
          </w:p>
        </w:tc>
        <w:tc>
          <w:tcPr>
            <w:tcW w:w="1129" w:type="dxa"/>
            <w:gridSpan w:val="3"/>
            <w:tcBorders>
              <w:left w:val="single" w:sz="4" w:space="0" w:color="auto"/>
              <w:bottom w:val="single" w:sz="4" w:space="0" w:color="auto"/>
              <w:right w:val="single" w:sz="4" w:space="0" w:color="auto"/>
            </w:tcBorders>
            <w:vAlign w:val="bottom"/>
          </w:tcPr>
          <w:p w:rsidR="00000000" w:rsidRDefault="00000000">
            <w:pPr>
              <w:jc w:val="right"/>
            </w:pPr>
            <w:r>
              <w:t>4,0</w:t>
            </w:r>
          </w:p>
        </w:tc>
        <w:tc>
          <w:tcPr>
            <w:tcW w:w="1131" w:type="dxa"/>
            <w:tcBorders>
              <w:left w:val="single" w:sz="4" w:space="0" w:color="auto"/>
              <w:bottom w:val="single" w:sz="4" w:space="0" w:color="auto"/>
            </w:tcBorders>
            <w:vAlign w:val="bottom"/>
          </w:tcPr>
          <w:p w:rsidR="00000000" w:rsidRDefault="00000000">
            <w:pPr>
              <w:jc w:val="right"/>
            </w:pPr>
            <w:r>
              <w:t>4,3</w:t>
            </w:r>
          </w:p>
        </w:tc>
      </w:tr>
    </w:tbl>
    <w:p w:rsidR="00000000" w:rsidRDefault="00000000"/>
    <w:p w:rsidR="00000000" w:rsidRDefault="00000000">
      <w:pPr>
        <w:keepNext/>
        <w:jc w:val="center"/>
        <w:rPr>
          <w:b/>
          <w:bCs/>
        </w:rPr>
      </w:pPr>
      <w:r>
        <w:rPr>
          <w:b/>
          <w:bCs/>
          <w:lang w:val="en-GB"/>
        </w:rPr>
        <w:t>Ta</w:t>
      </w:r>
      <w:r>
        <w:rPr>
          <w:b/>
          <w:bCs/>
        </w:rPr>
        <w:t>блица 28</w:t>
      </w:r>
    </w:p>
    <w:p w:rsidR="00000000" w:rsidRDefault="00000000">
      <w:pPr>
        <w:keepNext/>
        <w:jc w:val="center"/>
        <w:rPr>
          <w:b/>
          <w:bCs/>
        </w:rPr>
      </w:pPr>
    </w:p>
    <w:p w:rsidR="00000000" w:rsidRDefault="00000000">
      <w:pPr>
        <w:keepNext/>
        <w:jc w:val="center"/>
        <w:rPr>
          <w:b/>
          <w:bCs/>
        </w:rPr>
      </w:pPr>
      <w:r>
        <w:rPr>
          <w:b/>
          <w:bCs/>
        </w:rPr>
        <w:t>Основные статистические данные об учебных заведениях и преподавательском составе в системе образования Нидерландов за 1999</w:t>
      </w:r>
      <w:r>
        <w:rPr>
          <w:b/>
          <w:bCs/>
        </w:rPr>
        <w:noBreakHyphen/>
        <w:t>2003 годы</w:t>
      </w:r>
    </w:p>
    <w:p w:rsidR="00000000" w:rsidRDefault="00000000">
      <w:pPr>
        <w:keepNext/>
        <w:jc w:val="center"/>
        <w:rPr>
          <w:b/>
          <w:bCs/>
        </w:rPr>
      </w:pPr>
    </w:p>
    <w:tbl>
      <w:tblPr>
        <w:tblW w:w="0" w:type="auto"/>
        <w:tblInd w:w="57" w:type="dxa"/>
        <w:tblLayout w:type="fixed"/>
        <w:tblCellMar>
          <w:top w:w="57" w:type="dxa"/>
          <w:left w:w="57" w:type="dxa"/>
          <w:bottom w:w="57" w:type="dxa"/>
          <w:right w:w="57" w:type="dxa"/>
        </w:tblCellMar>
        <w:tblLook w:val="0000" w:firstRow="0" w:lastRow="0" w:firstColumn="0" w:lastColumn="0" w:noHBand="0" w:noVBand="0"/>
      </w:tblPr>
      <w:tblGrid>
        <w:gridCol w:w="5306"/>
        <w:gridCol w:w="810"/>
        <w:gridCol w:w="810"/>
        <w:gridCol w:w="811"/>
        <w:gridCol w:w="810"/>
        <w:gridCol w:w="811"/>
      </w:tblGrid>
      <w:tr w:rsidR="00000000">
        <w:trPr>
          <w:cantSplit/>
          <w:tblHeader/>
        </w:trPr>
        <w:tc>
          <w:tcPr>
            <w:tcW w:w="5306" w:type="dxa"/>
            <w:tcBorders>
              <w:top w:val="single" w:sz="4" w:space="0" w:color="auto"/>
              <w:left w:val="single" w:sz="4" w:space="0" w:color="auto"/>
              <w:bottom w:val="single" w:sz="4" w:space="0" w:color="auto"/>
              <w:right w:val="single" w:sz="4" w:space="0" w:color="auto"/>
            </w:tcBorders>
            <w:vAlign w:val="bottom"/>
          </w:tcPr>
          <w:p w:rsidR="00000000" w:rsidRDefault="00000000">
            <w:pPr>
              <w:spacing w:line="240" w:lineRule="auto"/>
            </w:pPr>
            <w:r>
              <w:t>Основные статистические данные об учебных заведениях и преподавательском составе</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spacing w:line="240" w:lineRule="auto"/>
              <w:jc w:val="center"/>
            </w:pPr>
            <w:r>
              <w:t>1999</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spacing w:line="240" w:lineRule="auto"/>
              <w:jc w:val="center"/>
            </w:pPr>
            <w:r>
              <w:t>2000</w:t>
            </w:r>
          </w:p>
        </w:tc>
        <w:tc>
          <w:tcPr>
            <w:tcW w:w="81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spacing w:line="240" w:lineRule="auto"/>
              <w:jc w:val="center"/>
            </w:pPr>
            <w:r>
              <w:t>2001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spacing w:line="240" w:lineRule="auto"/>
              <w:jc w:val="center"/>
            </w:pPr>
            <w:r>
              <w:t>2002</w:t>
            </w:r>
          </w:p>
        </w:tc>
        <w:tc>
          <w:tcPr>
            <w:tcW w:w="81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1134"/>
                <w:tab w:val="clear" w:pos="1701"/>
                <w:tab w:val="clear" w:pos="2268"/>
                <w:tab w:val="clear" w:pos="6237"/>
                <w:tab w:val="decimal" w:pos="567"/>
              </w:tabs>
              <w:spacing w:line="240" w:lineRule="auto"/>
              <w:jc w:val="center"/>
            </w:pPr>
            <w:r>
              <w:t>2003</w:t>
            </w:r>
          </w:p>
        </w:tc>
      </w:tr>
      <w:tr w:rsidR="00000000">
        <w:tblPrEx>
          <w:tblCellMar>
            <w:top w:w="0" w:type="dxa"/>
            <w:bottom w:w="0" w:type="dxa"/>
          </w:tblCellMar>
        </w:tblPrEx>
        <w:trPr>
          <w:cantSplit/>
        </w:trPr>
        <w:tc>
          <w:tcPr>
            <w:tcW w:w="5306" w:type="dxa"/>
            <w:tcBorders>
              <w:top w:val="single" w:sz="4" w:space="0" w:color="auto"/>
              <w:left w:val="single" w:sz="4" w:space="0" w:color="auto"/>
              <w:bottom w:val="nil"/>
              <w:right w:val="single" w:sz="4" w:space="0" w:color="auto"/>
            </w:tcBorders>
            <w:vAlign w:val="bottom"/>
          </w:tcPr>
          <w:p w:rsidR="00000000" w:rsidRDefault="00000000">
            <w:pPr>
              <w:tabs>
                <w:tab w:val="clear" w:pos="567"/>
                <w:tab w:val="left" w:pos="420"/>
              </w:tabs>
              <w:ind w:left="420" w:hanging="420"/>
            </w:pPr>
            <w:r>
              <w:rPr>
                <w:lang w:val="en-GB"/>
              </w:rPr>
              <w:t>A</w:t>
            </w:r>
            <w:r>
              <w:t>.</w:t>
            </w:r>
            <w:r>
              <w:tab/>
              <w:t>Количество учебных заведений</w:t>
            </w: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Начальное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8 008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7 972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7 943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7 945</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7 975</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Среднее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888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834</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784</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680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667</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Образование для взрослых и профессионально-техническое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62</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61</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61</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59</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Высшее профессиональное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56</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56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55</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50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49</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Университеты</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tabs>
                <w:tab w:val="clear" w:pos="567"/>
                <w:tab w:val="left" w:pos="420"/>
              </w:tabs>
              <w:ind w:left="420" w:hanging="420"/>
            </w:pPr>
            <w:r>
              <w:rPr>
                <w:lang w:val="en-GB"/>
              </w:rPr>
              <w:t>B</w:t>
            </w:r>
            <w:r>
              <w:t>.</w:t>
            </w:r>
            <w:r>
              <w:tab/>
              <w:t xml:space="preserve">Численность преподавательского состава (штатные должности </w:t>
            </w:r>
            <w:r>
              <w:rPr>
                <w:lang w:val="en-GB"/>
              </w:rPr>
              <w:t>x</w:t>
            </w:r>
            <w:r>
              <w:t xml:space="preserve"> 1 000)</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Начальное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111,9</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116,6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119,2</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126,5</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129,3</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Среднее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67,3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70,2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76,3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80,1</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81,9</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Образование для взрослых и профессионально-техническое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33,8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35,6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35,0</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36,9</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37,6</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Высшее профессиональное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21,2</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21,7</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22,5</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23,4</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24,1</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proofErr w:type="spellStart"/>
            <w:r>
              <w:t>УО</w:t>
            </w:r>
            <w:proofErr w:type="spellEnd"/>
            <w:r>
              <w:t xml:space="preserve"> (обучение + исследования, в том числе на контрактной основе)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39,4</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40,0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38,6</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39,5</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tabs>
                <w:tab w:val="clear" w:pos="567"/>
                <w:tab w:val="left" w:pos="420"/>
              </w:tabs>
              <w:ind w:left="420" w:hanging="420"/>
            </w:pPr>
            <w:r>
              <w:rPr>
                <w:lang w:val="en-GB"/>
              </w:rPr>
              <w:t>C</w:t>
            </w:r>
            <w:r>
              <w:t>.</w:t>
            </w:r>
            <w:r>
              <w:tab/>
              <w:t>Средний возраст (в годах)</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Начальное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41,9</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41,9</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41,9</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41,8</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42,0</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Среднее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45,4</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45,4</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45,2</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Образование для взрослых и профессионально-техническое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45,4</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45,9</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Высшее профессиональное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44,7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44,8</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44,8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45,0</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keepNext/>
              <w:tabs>
                <w:tab w:val="clear" w:pos="567"/>
                <w:tab w:val="left" w:pos="420"/>
              </w:tabs>
            </w:pPr>
            <w:r>
              <w:rPr>
                <w:lang w:val="en-GB"/>
              </w:rPr>
              <w:t>D</w:t>
            </w:r>
            <w:r>
              <w:t>.</w:t>
            </w:r>
            <w:r>
              <w:tab/>
              <w:t>Процент в возрасте 50 лет и старше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r>
      <w:tr w:rsidR="00000000">
        <w:tblPrEx>
          <w:tblCellMar>
            <w:top w:w="0" w:type="dxa"/>
            <w:bottom w:w="0" w:type="dxa"/>
          </w:tblCellMar>
        </w:tblPrEx>
        <w:trPr>
          <w:cantSplit/>
        </w:trPr>
        <w:tc>
          <w:tcPr>
            <w:tcW w:w="5306" w:type="dxa"/>
            <w:tcBorders>
              <w:top w:val="nil"/>
              <w:left w:val="single" w:sz="4" w:space="0" w:color="auto"/>
              <w:right w:val="single" w:sz="4" w:space="0" w:color="auto"/>
            </w:tcBorders>
            <w:vAlign w:val="bottom"/>
          </w:tcPr>
          <w:p w:rsidR="00000000" w:rsidRDefault="00000000">
            <w:pPr>
              <w:ind w:left="567"/>
            </w:pPr>
            <w:r>
              <w:t>Начальное образование</w:t>
            </w:r>
          </w:p>
        </w:tc>
        <w:tc>
          <w:tcPr>
            <w:tcW w:w="810" w:type="dxa"/>
            <w:tcBorders>
              <w:top w:val="nil"/>
              <w:left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24,7</w:t>
            </w:r>
          </w:p>
        </w:tc>
        <w:tc>
          <w:tcPr>
            <w:tcW w:w="810" w:type="dxa"/>
            <w:tcBorders>
              <w:top w:val="nil"/>
              <w:left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26,2</w:t>
            </w:r>
          </w:p>
        </w:tc>
        <w:tc>
          <w:tcPr>
            <w:tcW w:w="811" w:type="dxa"/>
            <w:tcBorders>
              <w:top w:val="nil"/>
              <w:left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27,3</w:t>
            </w:r>
          </w:p>
        </w:tc>
        <w:tc>
          <w:tcPr>
            <w:tcW w:w="810" w:type="dxa"/>
            <w:tcBorders>
              <w:top w:val="nil"/>
              <w:left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28,1</w:t>
            </w:r>
          </w:p>
        </w:tc>
        <w:tc>
          <w:tcPr>
            <w:tcW w:w="811" w:type="dxa"/>
            <w:tcBorders>
              <w:top w:val="nil"/>
              <w:left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29,7</w:t>
            </w:r>
          </w:p>
        </w:tc>
      </w:tr>
      <w:tr w:rsidR="00000000">
        <w:tblPrEx>
          <w:tblCellMar>
            <w:top w:w="0" w:type="dxa"/>
            <w:bottom w:w="0" w:type="dxa"/>
          </w:tblCellMar>
        </w:tblPrEx>
        <w:trPr>
          <w:cantSplit/>
        </w:trPr>
        <w:tc>
          <w:tcPr>
            <w:tcW w:w="5306" w:type="dxa"/>
            <w:tcBorders>
              <w:top w:val="nil"/>
              <w:left w:val="single" w:sz="4" w:space="0" w:color="auto"/>
              <w:bottom w:val="single" w:sz="4" w:space="0" w:color="auto"/>
              <w:right w:val="single" w:sz="4" w:space="0" w:color="auto"/>
            </w:tcBorders>
            <w:vAlign w:val="bottom"/>
          </w:tcPr>
          <w:p w:rsidR="00000000" w:rsidRDefault="00000000">
            <w:pPr>
              <w:ind w:left="567"/>
            </w:pPr>
            <w:r>
              <w:t>Среднее образование</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38,3</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39,4</w:t>
            </w:r>
          </w:p>
        </w:tc>
        <w:tc>
          <w:tcPr>
            <w:tcW w:w="811"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39,8</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39,9</w:t>
            </w:r>
          </w:p>
        </w:tc>
        <w:tc>
          <w:tcPr>
            <w:tcW w:w="811"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40,9</w:t>
            </w:r>
          </w:p>
        </w:tc>
      </w:tr>
      <w:tr w:rsidR="00000000">
        <w:tblPrEx>
          <w:tblCellMar>
            <w:top w:w="0" w:type="dxa"/>
            <w:bottom w:w="0" w:type="dxa"/>
          </w:tblCellMar>
        </w:tblPrEx>
        <w:trPr>
          <w:cantSplit/>
        </w:trPr>
        <w:tc>
          <w:tcPr>
            <w:tcW w:w="5306" w:type="dxa"/>
            <w:tcBorders>
              <w:top w:val="single" w:sz="4" w:space="0" w:color="auto"/>
              <w:left w:val="single" w:sz="4" w:space="0" w:color="auto"/>
              <w:bottom w:val="nil"/>
              <w:right w:val="single" w:sz="4" w:space="0" w:color="auto"/>
            </w:tcBorders>
            <w:vAlign w:val="bottom"/>
          </w:tcPr>
          <w:p w:rsidR="00000000" w:rsidRDefault="00000000">
            <w:pPr>
              <w:ind w:left="567"/>
            </w:pPr>
            <w:r>
              <w:t>Образование для взрослых и профессионально-техническое образование</w:t>
            </w: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34,9</w:t>
            </w: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36,6</w:t>
            </w:r>
          </w:p>
        </w:tc>
        <w:tc>
          <w:tcPr>
            <w:tcW w:w="811"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38,5</w:t>
            </w:r>
          </w:p>
        </w:tc>
        <w:tc>
          <w:tcPr>
            <w:tcW w:w="810"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39,2</w:t>
            </w:r>
          </w:p>
        </w:tc>
        <w:tc>
          <w:tcPr>
            <w:tcW w:w="811" w:type="dxa"/>
            <w:tcBorders>
              <w:top w:val="single" w:sz="4" w:space="0" w:color="auto"/>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40,9</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Высшее профессиональное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35,7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36,8</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37,4</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37,9</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38,5</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Университеты</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27,9</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27,3</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27,3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28,2</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tabs>
                <w:tab w:val="clear" w:pos="567"/>
                <w:tab w:val="left" w:pos="420"/>
              </w:tabs>
            </w:pPr>
            <w:r>
              <w:rPr>
                <w:lang w:val="en-GB"/>
              </w:rPr>
              <w:t>E</w:t>
            </w:r>
            <w:r>
              <w:t>.</w:t>
            </w:r>
            <w:r>
              <w:tab/>
              <w:t>Процент женщин</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Начальное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65,8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67,6</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69,8</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71,3</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72,0</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Среднее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32,7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34,0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35,6</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37,0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38,1</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Образование для взрослых и профессионально-техническое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43,3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44,4</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45,7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46,5</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47,0</w:t>
            </w:r>
          </w:p>
        </w:tc>
      </w:tr>
      <w:tr w:rsidR="00000000">
        <w:tblPrEx>
          <w:tblCellMar>
            <w:top w:w="0" w:type="dxa"/>
            <w:bottom w:w="0" w:type="dxa"/>
          </w:tblCellMar>
        </w:tblPrEx>
        <w:trPr>
          <w:cantSplit/>
        </w:trPr>
        <w:tc>
          <w:tcPr>
            <w:tcW w:w="5306" w:type="dxa"/>
            <w:tcBorders>
              <w:top w:val="nil"/>
              <w:left w:val="single" w:sz="4" w:space="0" w:color="auto"/>
              <w:bottom w:val="nil"/>
              <w:right w:val="single" w:sz="4" w:space="0" w:color="auto"/>
            </w:tcBorders>
            <w:vAlign w:val="bottom"/>
          </w:tcPr>
          <w:p w:rsidR="00000000" w:rsidRDefault="00000000">
            <w:pPr>
              <w:ind w:left="567"/>
            </w:pPr>
            <w:r>
              <w:t>Высшее профессиональное образование</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38,3</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39,4</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40,7</w:t>
            </w:r>
          </w:p>
        </w:tc>
        <w:tc>
          <w:tcPr>
            <w:tcW w:w="810"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42,0</w:t>
            </w:r>
          </w:p>
        </w:tc>
        <w:tc>
          <w:tcPr>
            <w:tcW w:w="811" w:type="dxa"/>
            <w:tcBorders>
              <w:top w:val="nil"/>
              <w:left w:val="single" w:sz="4" w:space="0" w:color="auto"/>
              <w:bottom w:val="nil"/>
              <w:right w:val="single" w:sz="4" w:space="0" w:color="auto"/>
            </w:tcBorders>
            <w:vAlign w:val="bottom"/>
          </w:tcPr>
          <w:p w:rsidR="00000000" w:rsidRDefault="00000000">
            <w:pPr>
              <w:tabs>
                <w:tab w:val="clear" w:pos="1134"/>
                <w:tab w:val="clear" w:pos="1701"/>
                <w:tab w:val="clear" w:pos="2268"/>
                <w:tab w:val="clear" w:pos="6237"/>
                <w:tab w:val="decimal" w:pos="567"/>
              </w:tabs>
            </w:pPr>
            <w:r>
              <w:t>42,9</w:t>
            </w:r>
          </w:p>
        </w:tc>
      </w:tr>
      <w:tr w:rsidR="00000000">
        <w:tblPrEx>
          <w:tblCellMar>
            <w:top w:w="0" w:type="dxa"/>
            <w:bottom w:w="0" w:type="dxa"/>
          </w:tblCellMar>
        </w:tblPrEx>
        <w:trPr>
          <w:cantSplit/>
        </w:trPr>
        <w:tc>
          <w:tcPr>
            <w:tcW w:w="5306" w:type="dxa"/>
            <w:tcBorders>
              <w:top w:val="nil"/>
              <w:left w:val="single" w:sz="4" w:space="0" w:color="auto"/>
              <w:bottom w:val="single" w:sz="4" w:space="0" w:color="auto"/>
              <w:right w:val="single" w:sz="4" w:space="0" w:color="auto"/>
            </w:tcBorders>
            <w:vAlign w:val="bottom"/>
          </w:tcPr>
          <w:p w:rsidR="00000000" w:rsidRDefault="00000000">
            <w:pPr>
              <w:ind w:left="567"/>
            </w:pPr>
            <w:r>
              <w:t>Университеты</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35,1</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35,9</w:t>
            </w:r>
          </w:p>
        </w:tc>
        <w:tc>
          <w:tcPr>
            <w:tcW w:w="811"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36,2</w:t>
            </w:r>
          </w:p>
        </w:tc>
        <w:tc>
          <w:tcPr>
            <w:tcW w:w="810"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37,0</w:t>
            </w:r>
          </w:p>
        </w:tc>
        <w:tc>
          <w:tcPr>
            <w:tcW w:w="811" w:type="dxa"/>
            <w:tcBorders>
              <w:top w:val="nil"/>
              <w:left w:val="single" w:sz="4" w:space="0" w:color="auto"/>
              <w:bottom w:val="single" w:sz="4" w:space="0" w:color="auto"/>
              <w:right w:val="single" w:sz="4" w:space="0" w:color="auto"/>
            </w:tcBorders>
            <w:vAlign w:val="bottom"/>
          </w:tcPr>
          <w:p w:rsidR="00000000" w:rsidRDefault="00000000">
            <w:pPr>
              <w:tabs>
                <w:tab w:val="clear" w:pos="1134"/>
                <w:tab w:val="clear" w:pos="1701"/>
                <w:tab w:val="clear" w:pos="2268"/>
                <w:tab w:val="clear" w:pos="6237"/>
                <w:tab w:val="decimal" w:pos="567"/>
              </w:tabs>
            </w:pPr>
            <w:r>
              <w:t>--</w:t>
            </w:r>
          </w:p>
        </w:tc>
      </w:tr>
    </w:tbl>
    <w:p w:rsidR="00000000" w:rsidRDefault="00000000"/>
    <w:p w:rsidR="00000000" w:rsidRDefault="00000000">
      <w:r>
        <w:t>452.</w:t>
      </w:r>
      <w:r>
        <w:tab/>
        <w:t>В системе профессионально-технического образования (</w:t>
      </w:r>
      <w:proofErr w:type="spellStart"/>
      <w:r>
        <w:t>ПТО</w:t>
      </w:r>
      <w:proofErr w:type="spellEnd"/>
      <w:r>
        <w:t>) в настоящее время насчитывается свыше 450 000 учащихся.  В ближайшие несколько лет ожидается дальнейшее повышение их численности.</w:t>
      </w:r>
    </w:p>
    <w:p w:rsidR="00000000" w:rsidRDefault="00000000"/>
    <w:p w:rsidR="00000000" w:rsidRDefault="00000000">
      <w:pPr>
        <w:keepNext/>
        <w:jc w:val="center"/>
        <w:rPr>
          <w:b/>
          <w:bCs/>
        </w:rPr>
      </w:pPr>
      <w:r>
        <w:rPr>
          <w:b/>
          <w:bCs/>
        </w:rPr>
        <w:t>Таблица 29</w:t>
      </w:r>
    </w:p>
    <w:p w:rsidR="00000000" w:rsidRDefault="00000000">
      <w:pPr>
        <w:keepNext/>
        <w:jc w:val="center"/>
        <w:rPr>
          <w:b/>
          <w:bCs/>
        </w:rPr>
      </w:pPr>
    </w:p>
    <w:p w:rsidR="00000000" w:rsidRDefault="00000000">
      <w:pPr>
        <w:keepNext/>
        <w:jc w:val="center"/>
        <w:rPr>
          <w:b/>
          <w:bCs/>
        </w:rPr>
      </w:pPr>
      <w:r>
        <w:rPr>
          <w:b/>
          <w:bCs/>
        </w:rPr>
        <w:t xml:space="preserve">Расчетная численность учащихся в системе </w:t>
      </w:r>
      <w:proofErr w:type="spellStart"/>
      <w:r>
        <w:rPr>
          <w:b/>
          <w:bCs/>
        </w:rPr>
        <w:t>ПТО</w:t>
      </w:r>
      <w:proofErr w:type="spellEnd"/>
      <w:r>
        <w:rPr>
          <w:b/>
          <w:bCs/>
        </w:rPr>
        <w:t xml:space="preserve"> (</w:t>
      </w:r>
      <w:proofErr w:type="spellStart"/>
      <w:r>
        <w:rPr>
          <w:b/>
          <w:bCs/>
        </w:rPr>
        <w:t>х</w:t>
      </w:r>
      <w:proofErr w:type="spellEnd"/>
      <w:r>
        <w:rPr>
          <w:b/>
          <w:bCs/>
        </w:rPr>
        <w:t xml:space="preserve"> 1 000)</w:t>
      </w:r>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072"/>
        <w:gridCol w:w="909"/>
        <w:gridCol w:w="910"/>
        <w:gridCol w:w="910"/>
        <w:gridCol w:w="910"/>
        <w:gridCol w:w="910"/>
        <w:gridCol w:w="910"/>
        <w:gridCol w:w="910"/>
        <w:gridCol w:w="910"/>
      </w:tblGrid>
      <w:tr w:rsidR="00000000">
        <w:trPr>
          <w:cantSplit/>
        </w:trPr>
        <w:tc>
          <w:tcPr>
            <w:tcW w:w="2072" w:type="dxa"/>
            <w:vAlign w:val="bottom"/>
          </w:tcPr>
          <w:p w:rsidR="00000000" w:rsidRDefault="00000000"/>
        </w:tc>
        <w:tc>
          <w:tcPr>
            <w:tcW w:w="909" w:type="dxa"/>
            <w:vAlign w:val="bottom"/>
          </w:tcPr>
          <w:p w:rsidR="00000000" w:rsidRDefault="00000000">
            <w:pPr>
              <w:jc w:val="center"/>
            </w:pPr>
            <w:r>
              <w:t>2002</w:t>
            </w:r>
          </w:p>
        </w:tc>
        <w:tc>
          <w:tcPr>
            <w:tcW w:w="910" w:type="dxa"/>
            <w:vAlign w:val="bottom"/>
          </w:tcPr>
          <w:p w:rsidR="00000000" w:rsidRDefault="00000000">
            <w:pPr>
              <w:jc w:val="center"/>
            </w:pPr>
            <w:r>
              <w:t>2003</w:t>
            </w:r>
          </w:p>
        </w:tc>
        <w:tc>
          <w:tcPr>
            <w:tcW w:w="910" w:type="dxa"/>
            <w:vAlign w:val="bottom"/>
          </w:tcPr>
          <w:p w:rsidR="00000000" w:rsidRDefault="00000000">
            <w:pPr>
              <w:jc w:val="center"/>
            </w:pPr>
            <w:r>
              <w:t>2004</w:t>
            </w:r>
          </w:p>
        </w:tc>
        <w:tc>
          <w:tcPr>
            <w:tcW w:w="910" w:type="dxa"/>
            <w:vAlign w:val="bottom"/>
          </w:tcPr>
          <w:p w:rsidR="00000000" w:rsidRDefault="00000000">
            <w:pPr>
              <w:jc w:val="center"/>
            </w:pPr>
            <w:r>
              <w:t>2005</w:t>
            </w:r>
          </w:p>
        </w:tc>
        <w:tc>
          <w:tcPr>
            <w:tcW w:w="910" w:type="dxa"/>
            <w:vAlign w:val="bottom"/>
          </w:tcPr>
          <w:p w:rsidR="00000000" w:rsidRDefault="00000000">
            <w:pPr>
              <w:jc w:val="center"/>
            </w:pPr>
            <w:r>
              <w:t>2006</w:t>
            </w:r>
          </w:p>
        </w:tc>
        <w:tc>
          <w:tcPr>
            <w:tcW w:w="910" w:type="dxa"/>
            <w:vAlign w:val="bottom"/>
          </w:tcPr>
          <w:p w:rsidR="00000000" w:rsidRDefault="00000000">
            <w:pPr>
              <w:jc w:val="center"/>
            </w:pPr>
            <w:r>
              <w:t>2007</w:t>
            </w:r>
          </w:p>
        </w:tc>
        <w:tc>
          <w:tcPr>
            <w:tcW w:w="910" w:type="dxa"/>
            <w:vAlign w:val="bottom"/>
          </w:tcPr>
          <w:p w:rsidR="00000000" w:rsidRDefault="00000000">
            <w:pPr>
              <w:jc w:val="center"/>
            </w:pPr>
            <w:r>
              <w:t>2008</w:t>
            </w:r>
          </w:p>
        </w:tc>
        <w:tc>
          <w:tcPr>
            <w:tcW w:w="910" w:type="dxa"/>
            <w:vAlign w:val="bottom"/>
          </w:tcPr>
          <w:p w:rsidR="00000000" w:rsidRDefault="00000000">
            <w:pPr>
              <w:jc w:val="center"/>
            </w:pPr>
            <w:r>
              <w:t>2009</w:t>
            </w:r>
          </w:p>
        </w:tc>
      </w:tr>
      <w:tr w:rsidR="00000000">
        <w:trPr>
          <w:cantSplit/>
        </w:trPr>
        <w:tc>
          <w:tcPr>
            <w:tcW w:w="2072" w:type="dxa"/>
            <w:tcBorders>
              <w:bottom w:val="nil"/>
            </w:tcBorders>
            <w:vAlign w:val="bottom"/>
          </w:tcPr>
          <w:p w:rsidR="00000000" w:rsidRDefault="00000000">
            <w:proofErr w:type="spellStart"/>
            <w:r>
              <w:t>ПТО</w:t>
            </w:r>
            <w:proofErr w:type="spellEnd"/>
          </w:p>
        </w:tc>
        <w:tc>
          <w:tcPr>
            <w:tcW w:w="909" w:type="dxa"/>
            <w:tcBorders>
              <w:bottom w:val="nil"/>
            </w:tcBorders>
            <w:vAlign w:val="bottom"/>
          </w:tcPr>
          <w:p w:rsidR="00000000" w:rsidRDefault="00000000">
            <w:pPr>
              <w:jc w:val="center"/>
            </w:pPr>
            <w:r>
              <w:t>437,6</w:t>
            </w:r>
          </w:p>
        </w:tc>
        <w:tc>
          <w:tcPr>
            <w:tcW w:w="910" w:type="dxa"/>
            <w:tcBorders>
              <w:bottom w:val="nil"/>
            </w:tcBorders>
            <w:vAlign w:val="bottom"/>
          </w:tcPr>
          <w:p w:rsidR="00000000" w:rsidRDefault="00000000">
            <w:pPr>
              <w:jc w:val="center"/>
            </w:pPr>
            <w:r>
              <w:t>449,4</w:t>
            </w:r>
          </w:p>
        </w:tc>
        <w:tc>
          <w:tcPr>
            <w:tcW w:w="910" w:type="dxa"/>
            <w:tcBorders>
              <w:bottom w:val="nil"/>
            </w:tcBorders>
            <w:vAlign w:val="bottom"/>
          </w:tcPr>
          <w:p w:rsidR="00000000" w:rsidRDefault="00000000">
            <w:pPr>
              <w:jc w:val="center"/>
            </w:pPr>
            <w:r>
              <w:t>456,7</w:t>
            </w:r>
          </w:p>
        </w:tc>
        <w:tc>
          <w:tcPr>
            <w:tcW w:w="910" w:type="dxa"/>
            <w:tcBorders>
              <w:bottom w:val="nil"/>
            </w:tcBorders>
            <w:vAlign w:val="bottom"/>
          </w:tcPr>
          <w:p w:rsidR="00000000" w:rsidRDefault="00000000">
            <w:pPr>
              <w:jc w:val="center"/>
            </w:pPr>
            <w:r>
              <w:t>460,9</w:t>
            </w:r>
          </w:p>
        </w:tc>
        <w:tc>
          <w:tcPr>
            <w:tcW w:w="910" w:type="dxa"/>
            <w:tcBorders>
              <w:bottom w:val="nil"/>
            </w:tcBorders>
            <w:vAlign w:val="bottom"/>
          </w:tcPr>
          <w:p w:rsidR="00000000" w:rsidRDefault="00000000">
            <w:pPr>
              <w:jc w:val="center"/>
            </w:pPr>
            <w:r>
              <w:t>463,8</w:t>
            </w:r>
          </w:p>
        </w:tc>
        <w:tc>
          <w:tcPr>
            <w:tcW w:w="910" w:type="dxa"/>
            <w:tcBorders>
              <w:bottom w:val="nil"/>
            </w:tcBorders>
            <w:vAlign w:val="bottom"/>
          </w:tcPr>
          <w:p w:rsidR="00000000" w:rsidRDefault="00000000">
            <w:pPr>
              <w:jc w:val="center"/>
            </w:pPr>
            <w:r>
              <w:t>468,2</w:t>
            </w:r>
          </w:p>
        </w:tc>
        <w:tc>
          <w:tcPr>
            <w:tcW w:w="910" w:type="dxa"/>
            <w:tcBorders>
              <w:bottom w:val="nil"/>
            </w:tcBorders>
            <w:vAlign w:val="bottom"/>
          </w:tcPr>
          <w:p w:rsidR="00000000" w:rsidRDefault="00000000">
            <w:pPr>
              <w:jc w:val="center"/>
            </w:pPr>
            <w:r>
              <w:t>473,4</w:t>
            </w:r>
          </w:p>
        </w:tc>
        <w:tc>
          <w:tcPr>
            <w:tcW w:w="910" w:type="dxa"/>
            <w:tcBorders>
              <w:bottom w:val="nil"/>
            </w:tcBorders>
            <w:vAlign w:val="bottom"/>
          </w:tcPr>
          <w:p w:rsidR="00000000" w:rsidRDefault="00000000">
            <w:pPr>
              <w:jc w:val="center"/>
            </w:pPr>
            <w:r>
              <w:t>478,5</w:t>
            </w:r>
          </w:p>
        </w:tc>
      </w:tr>
      <w:tr w:rsidR="00000000">
        <w:trPr>
          <w:cantSplit/>
        </w:trPr>
        <w:tc>
          <w:tcPr>
            <w:tcW w:w="2072" w:type="dxa"/>
            <w:tcBorders>
              <w:top w:val="nil"/>
              <w:bottom w:val="nil"/>
            </w:tcBorders>
            <w:vAlign w:val="bottom"/>
          </w:tcPr>
          <w:p w:rsidR="00000000" w:rsidRDefault="00000000">
            <w:r>
              <w:t xml:space="preserve">   </w:t>
            </w:r>
            <w:proofErr w:type="spellStart"/>
            <w:r>
              <w:t>ПТПСОП</w:t>
            </w:r>
            <w:proofErr w:type="spellEnd"/>
          </w:p>
        </w:tc>
        <w:tc>
          <w:tcPr>
            <w:tcW w:w="909" w:type="dxa"/>
            <w:tcBorders>
              <w:top w:val="nil"/>
              <w:bottom w:val="nil"/>
            </w:tcBorders>
            <w:vAlign w:val="bottom"/>
          </w:tcPr>
          <w:p w:rsidR="00000000" w:rsidRDefault="00000000">
            <w:pPr>
              <w:jc w:val="center"/>
            </w:pPr>
            <w:r>
              <w:t>258,3</w:t>
            </w:r>
          </w:p>
        </w:tc>
        <w:tc>
          <w:tcPr>
            <w:tcW w:w="910" w:type="dxa"/>
            <w:tcBorders>
              <w:top w:val="nil"/>
              <w:bottom w:val="nil"/>
            </w:tcBorders>
            <w:vAlign w:val="bottom"/>
          </w:tcPr>
          <w:p w:rsidR="00000000" w:rsidRDefault="00000000">
            <w:pPr>
              <w:jc w:val="center"/>
            </w:pPr>
            <w:r>
              <w:t>271,7</w:t>
            </w:r>
          </w:p>
        </w:tc>
        <w:tc>
          <w:tcPr>
            <w:tcW w:w="910" w:type="dxa"/>
            <w:tcBorders>
              <w:top w:val="nil"/>
              <w:bottom w:val="nil"/>
            </w:tcBorders>
            <w:vAlign w:val="bottom"/>
          </w:tcPr>
          <w:p w:rsidR="00000000" w:rsidRDefault="00000000">
            <w:pPr>
              <w:jc w:val="center"/>
            </w:pPr>
            <w:r>
              <w:t>285,6</w:t>
            </w:r>
          </w:p>
        </w:tc>
        <w:tc>
          <w:tcPr>
            <w:tcW w:w="910" w:type="dxa"/>
            <w:tcBorders>
              <w:top w:val="nil"/>
              <w:bottom w:val="nil"/>
            </w:tcBorders>
            <w:vAlign w:val="bottom"/>
          </w:tcPr>
          <w:p w:rsidR="00000000" w:rsidRDefault="00000000">
            <w:pPr>
              <w:jc w:val="center"/>
            </w:pPr>
            <w:r>
              <w:t>292,5</w:t>
            </w:r>
          </w:p>
        </w:tc>
        <w:tc>
          <w:tcPr>
            <w:tcW w:w="910" w:type="dxa"/>
            <w:tcBorders>
              <w:top w:val="nil"/>
              <w:bottom w:val="nil"/>
            </w:tcBorders>
            <w:vAlign w:val="bottom"/>
          </w:tcPr>
          <w:p w:rsidR="00000000" w:rsidRDefault="00000000">
            <w:pPr>
              <w:jc w:val="center"/>
            </w:pPr>
            <w:r>
              <w:t>296,0</w:t>
            </w:r>
          </w:p>
        </w:tc>
        <w:tc>
          <w:tcPr>
            <w:tcW w:w="910" w:type="dxa"/>
            <w:tcBorders>
              <w:top w:val="nil"/>
              <w:bottom w:val="nil"/>
            </w:tcBorders>
            <w:vAlign w:val="bottom"/>
          </w:tcPr>
          <w:p w:rsidR="00000000" w:rsidRDefault="00000000">
            <w:pPr>
              <w:jc w:val="center"/>
            </w:pPr>
            <w:r>
              <w:t>299,5</w:t>
            </w:r>
          </w:p>
        </w:tc>
        <w:tc>
          <w:tcPr>
            <w:tcW w:w="910" w:type="dxa"/>
            <w:tcBorders>
              <w:top w:val="nil"/>
              <w:bottom w:val="nil"/>
            </w:tcBorders>
            <w:vAlign w:val="bottom"/>
          </w:tcPr>
          <w:p w:rsidR="00000000" w:rsidRDefault="00000000">
            <w:pPr>
              <w:jc w:val="center"/>
            </w:pPr>
            <w:r>
              <w:t>303,1</w:t>
            </w:r>
          </w:p>
        </w:tc>
        <w:tc>
          <w:tcPr>
            <w:tcW w:w="910" w:type="dxa"/>
            <w:tcBorders>
              <w:top w:val="nil"/>
              <w:bottom w:val="nil"/>
            </w:tcBorders>
            <w:vAlign w:val="bottom"/>
          </w:tcPr>
          <w:p w:rsidR="00000000" w:rsidRDefault="00000000">
            <w:pPr>
              <w:jc w:val="center"/>
            </w:pPr>
            <w:r>
              <w:t>306,4</w:t>
            </w:r>
          </w:p>
        </w:tc>
      </w:tr>
      <w:tr w:rsidR="00000000">
        <w:trPr>
          <w:cantSplit/>
        </w:trPr>
        <w:tc>
          <w:tcPr>
            <w:tcW w:w="2072" w:type="dxa"/>
            <w:tcBorders>
              <w:top w:val="nil"/>
              <w:bottom w:val="nil"/>
            </w:tcBorders>
            <w:shd w:val="clear" w:color="FFFFFF" w:fill="FFFFFF"/>
            <w:vAlign w:val="bottom"/>
          </w:tcPr>
          <w:p w:rsidR="00000000" w:rsidRDefault="00000000">
            <w:r>
              <w:t xml:space="preserve">   </w:t>
            </w:r>
            <w:proofErr w:type="spellStart"/>
            <w:r>
              <w:t>ПТОЧОП</w:t>
            </w:r>
            <w:proofErr w:type="spellEnd"/>
          </w:p>
        </w:tc>
        <w:tc>
          <w:tcPr>
            <w:tcW w:w="909" w:type="dxa"/>
            <w:tcBorders>
              <w:top w:val="nil"/>
              <w:bottom w:val="nil"/>
            </w:tcBorders>
            <w:vAlign w:val="bottom"/>
          </w:tcPr>
          <w:p w:rsidR="00000000" w:rsidRDefault="00000000">
            <w:pPr>
              <w:jc w:val="center"/>
            </w:pPr>
            <w:r>
              <w:t>152,5</w:t>
            </w:r>
          </w:p>
        </w:tc>
        <w:tc>
          <w:tcPr>
            <w:tcW w:w="910" w:type="dxa"/>
            <w:tcBorders>
              <w:top w:val="nil"/>
              <w:bottom w:val="nil"/>
            </w:tcBorders>
            <w:vAlign w:val="bottom"/>
          </w:tcPr>
          <w:p w:rsidR="00000000" w:rsidRDefault="00000000">
            <w:pPr>
              <w:jc w:val="center"/>
            </w:pPr>
            <w:r>
              <w:t>154,3</w:t>
            </w:r>
          </w:p>
        </w:tc>
        <w:tc>
          <w:tcPr>
            <w:tcW w:w="910" w:type="dxa"/>
            <w:tcBorders>
              <w:top w:val="nil"/>
              <w:bottom w:val="nil"/>
            </w:tcBorders>
            <w:vAlign w:val="bottom"/>
          </w:tcPr>
          <w:p w:rsidR="00000000" w:rsidRDefault="00000000">
            <w:pPr>
              <w:jc w:val="center"/>
            </w:pPr>
            <w:r>
              <w:t>151,2</w:t>
            </w:r>
          </w:p>
        </w:tc>
        <w:tc>
          <w:tcPr>
            <w:tcW w:w="910" w:type="dxa"/>
            <w:tcBorders>
              <w:top w:val="nil"/>
              <w:bottom w:val="nil"/>
            </w:tcBorders>
            <w:vAlign w:val="bottom"/>
          </w:tcPr>
          <w:p w:rsidR="00000000" w:rsidRDefault="00000000">
            <w:pPr>
              <w:jc w:val="center"/>
            </w:pPr>
            <w:r>
              <w:t>149,6</w:t>
            </w:r>
          </w:p>
        </w:tc>
        <w:tc>
          <w:tcPr>
            <w:tcW w:w="910" w:type="dxa"/>
            <w:tcBorders>
              <w:top w:val="nil"/>
              <w:bottom w:val="nil"/>
            </w:tcBorders>
            <w:vAlign w:val="bottom"/>
          </w:tcPr>
          <w:p w:rsidR="00000000" w:rsidRDefault="00000000">
            <w:pPr>
              <w:jc w:val="center"/>
            </w:pPr>
            <w:r>
              <w:t>149,3</w:t>
            </w:r>
          </w:p>
        </w:tc>
        <w:tc>
          <w:tcPr>
            <w:tcW w:w="910" w:type="dxa"/>
            <w:tcBorders>
              <w:top w:val="nil"/>
              <w:bottom w:val="nil"/>
            </w:tcBorders>
            <w:vAlign w:val="bottom"/>
          </w:tcPr>
          <w:p w:rsidR="00000000" w:rsidRDefault="00000000">
            <w:pPr>
              <w:jc w:val="center"/>
            </w:pPr>
            <w:r>
              <w:t>150,2</w:t>
            </w:r>
          </w:p>
        </w:tc>
        <w:tc>
          <w:tcPr>
            <w:tcW w:w="910" w:type="dxa"/>
            <w:tcBorders>
              <w:top w:val="nil"/>
              <w:bottom w:val="nil"/>
            </w:tcBorders>
            <w:vAlign w:val="bottom"/>
          </w:tcPr>
          <w:p w:rsidR="00000000" w:rsidRDefault="00000000">
            <w:pPr>
              <w:jc w:val="center"/>
            </w:pPr>
            <w:r>
              <w:t>151,9</w:t>
            </w:r>
          </w:p>
        </w:tc>
        <w:tc>
          <w:tcPr>
            <w:tcW w:w="910" w:type="dxa"/>
            <w:tcBorders>
              <w:top w:val="nil"/>
              <w:bottom w:val="nil"/>
            </w:tcBorders>
            <w:vAlign w:val="bottom"/>
          </w:tcPr>
          <w:p w:rsidR="00000000" w:rsidRDefault="00000000">
            <w:pPr>
              <w:jc w:val="center"/>
            </w:pPr>
            <w:r>
              <w:t>153,7</w:t>
            </w:r>
          </w:p>
        </w:tc>
      </w:tr>
      <w:tr w:rsidR="00000000">
        <w:trPr>
          <w:cantSplit/>
        </w:trPr>
        <w:tc>
          <w:tcPr>
            <w:tcW w:w="2072" w:type="dxa"/>
            <w:tcBorders>
              <w:top w:val="nil"/>
            </w:tcBorders>
            <w:shd w:val="clear" w:color="FFFFFF" w:fill="FFFFFF"/>
            <w:vAlign w:val="bottom"/>
          </w:tcPr>
          <w:p w:rsidR="00000000" w:rsidRDefault="00000000">
            <w:r>
              <w:t xml:space="preserve">   </w:t>
            </w:r>
            <w:proofErr w:type="spellStart"/>
            <w:r>
              <w:t>ПТПБОП</w:t>
            </w:r>
            <w:proofErr w:type="spellEnd"/>
          </w:p>
        </w:tc>
        <w:tc>
          <w:tcPr>
            <w:tcW w:w="909" w:type="dxa"/>
            <w:tcBorders>
              <w:top w:val="nil"/>
            </w:tcBorders>
            <w:vAlign w:val="bottom"/>
          </w:tcPr>
          <w:p w:rsidR="00000000" w:rsidRDefault="00000000">
            <w:pPr>
              <w:jc w:val="center"/>
            </w:pPr>
            <w:r>
              <w:t xml:space="preserve">  26,8</w:t>
            </w:r>
          </w:p>
        </w:tc>
        <w:tc>
          <w:tcPr>
            <w:tcW w:w="910" w:type="dxa"/>
            <w:tcBorders>
              <w:top w:val="nil"/>
            </w:tcBorders>
            <w:vAlign w:val="bottom"/>
          </w:tcPr>
          <w:p w:rsidR="00000000" w:rsidRDefault="00000000">
            <w:pPr>
              <w:jc w:val="center"/>
            </w:pPr>
            <w:r>
              <w:t xml:space="preserve">  23,4</w:t>
            </w:r>
          </w:p>
        </w:tc>
        <w:tc>
          <w:tcPr>
            <w:tcW w:w="910" w:type="dxa"/>
            <w:tcBorders>
              <w:top w:val="nil"/>
            </w:tcBorders>
            <w:vAlign w:val="bottom"/>
          </w:tcPr>
          <w:p w:rsidR="00000000" w:rsidRDefault="00000000">
            <w:pPr>
              <w:jc w:val="center"/>
            </w:pPr>
            <w:r>
              <w:t xml:space="preserve">  19,9</w:t>
            </w:r>
          </w:p>
        </w:tc>
        <w:tc>
          <w:tcPr>
            <w:tcW w:w="910" w:type="dxa"/>
            <w:tcBorders>
              <w:top w:val="nil"/>
            </w:tcBorders>
            <w:vAlign w:val="bottom"/>
          </w:tcPr>
          <w:p w:rsidR="00000000" w:rsidRDefault="00000000">
            <w:pPr>
              <w:jc w:val="center"/>
            </w:pPr>
            <w:r>
              <w:t xml:space="preserve">  18,8</w:t>
            </w:r>
          </w:p>
        </w:tc>
        <w:tc>
          <w:tcPr>
            <w:tcW w:w="910" w:type="dxa"/>
            <w:tcBorders>
              <w:top w:val="nil"/>
            </w:tcBorders>
            <w:vAlign w:val="bottom"/>
          </w:tcPr>
          <w:p w:rsidR="00000000" w:rsidRDefault="00000000">
            <w:pPr>
              <w:jc w:val="center"/>
            </w:pPr>
            <w:r>
              <w:t xml:space="preserve">  18,5</w:t>
            </w:r>
          </w:p>
        </w:tc>
        <w:tc>
          <w:tcPr>
            <w:tcW w:w="910" w:type="dxa"/>
            <w:tcBorders>
              <w:top w:val="nil"/>
            </w:tcBorders>
            <w:vAlign w:val="bottom"/>
          </w:tcPr>
          <w:p w:rsidR="00000000" w:rsidRDefault="00000000">
            <w:pPr>
              <w:jc w:val="center"/>
            </w:pPr>
            <w:r>
              <w:t xml:space="preserve">  18,5</w:t>
            </w:r>
          </w:p>
        </w:tc>
        <w:tc>
          <w:tcPr>
            <w:tcW w:w="910" w:type="dxa"/>
            <w:tcBorders>
              <w:top w:val="nil"/>
            </w:tcBorders>
            <w:vAlign w:val="bottom"/>
          </w:tcPr>
          <w:p w:rsidR="00000000" w:rsidRDefault="00000000">
            <w:pPr>
              <w:jc w:val="center"/>
            </w:pPr>
            <w:r>
              <w:t xml:space="preserve">  18,4</w:t>
            </w:r>
          </w:p>
        </w:tc>
        <w:tc>
          <w:tcPr>
            <w:tcW w:w="910" w:type="dxa"/>
            <w:tcBorders>
              <w:top w:val="nil"/>
            </w:tcBorders>
            <w:vAlign w:val="bottom"/>
          </w:tcPr>
          <w:p w:rsidR="00000000" w:rsidRDefault="00000000">
            <w:pPr>
              <w:jc w:val="center"/>
            </w:pPr>
            <w:r>
              <w:t xml:space="preserve">  18,4</w:t>
            </w:r>
          </w:p>
        </w:tc>
      </w:tr>
    </w:tbl>
    <w:p w:rsidR="00000000" w:rsidRDefault="00000000">
      <w:pPr>
        <w:rPr>
          <w:u w:val="single"/>
        </w:rPr>
      </w:pPr>
    </w:p>
    <w:p w:rsidR="00000000" w:rsidRDefault="00000000">
      <w:pPr>
        <w:tabs>
          <w:tab w:val="clear" w:pos="1701"/>
          <w:tab w:val="left" w:pos="1862"/>
        </w:tabs>
        <w:ind w:left="1862" w:hanging="1295"/>
      </w:pPr>
      <w:r>
        <w:rPr>
          <w:i/>
          <w:iCs/>
        </w:rPr>
        <w:t>Источник</w:t>
      </w:r>
      <w:r>
        <w:t>:</w:t>
      </w:r>
      <w:r>
        <w:tab/>
        <w:t>Оценки Министерства образования, науки и культуры, 2004 год.</w:t>
      </w:r>
    </w:p>
    <w:p w:rsidR="00000000" w:rsidRDefault="00000000">
      <w:pPr>
        <w:tabs>
          <w:tab w:val="clear" w:pos="1701"/>
          <w:tab w:val="left" w:pos="1862"/>
        </w:tabs>
        <w:ind w:left="1862" w:hanging="1295"/>
      </w:pPr>
    </w:p>
    <w:p w:rsidR="00000000" w:rsidRDefault="00000000">
      <w:pPr>
        <w:ind w:left="567"/>
      </w:pPr>
      <w:r>
        <w:rPr>
          <w:i/>
          <w:iCs/>
        </w:rPr>
        <w:t>Сокращения:</w:t>
      </w:r>
    </w:p>
    <w:p w:rsidR="00000000" w:rsidRDefault="00000000">
      <w:pPr>
        <w:ind w:left="567"/>
      </w:pPr>
    </w:p>
    <w:p w:rsidR="00000000" w:rsidRDefault="00000000">
      <w:pPr>
        <w:ind w:left="567"/>
      </w:pPr>
      <w:proofErr w:type="spellStart"/>
      <w:r>
        <w:t>СОП</w:t>
      </w:r>
      <w:proofErr w:type="spellEnd"/>
      <w:r>
        <w:t xml:space="preserve"> – с отрывом от производства</w:t>
      </w:r>
    </w:p>
    <w:p w:rsidR="00000000" w:rsidRDefault="00000000">
      <w:pPr>
        <w:ind w:left="567"/>
      </w:pPr>
      <w:proofErr w:type="spellStart"/>
      <w:r>
        <w:t>БОП</w:t>
      </w:r>
      <w:proofErr w:type="spellEnd"/>
      <w:r>
        <w:t xml:space="preserve"> – без отрыва от производства</w:t>
      </w:r>
    </w:p>
    <w:p w:rsidR="00000000" w:rsidRDefault="00000000">
      <w:pPr>
        <w:ind w:left="567"/>
      </w:pPr>
    </w:p>
    <w:p w:rsidR="00000000" w:rsidRDefault="00000000">
      <w:r>
        <w:t>453.</w:t>
      </w:r>
      <w:r>
        <w:tab/>
        <w:t>В системе образования для взрослых в настоящее время насчитывается около 138 000 учащихся.  Ожидается, что их численность также будет расти.</w:t>
      </w:r>
    </w:p>
    <w:p w:rsidR="00000000" w:rsidRDefault="00000000"/>
    <w:p w:rsidR="00000000" w:rsidRDefault="00000000">
      <w:pPr>
        <w:keepNext/>
        <w:jc w:val="center"/>
        <w:rPr>
          <w:b/>
          <w:bCs/>
        </w:rPr>
      </w:pPr>
      <w:r>
        <w:rPr>
          <w:b/>
          <w:bCs/>
          <w:lang w:val="en-GB"/>
        </w:rPr>
        <w:t>Ta</w:t>
      </w:r>
      <w:r>
        <w:rPr>
          <w:b/>
          <w:bCs/>
        </w:rPr>
        <w:t>блица 30</w:t>
      </w:r>
    </w:p>
    <w:p w:rsidR="00000000" w:rsidRDefault="00000000">
      <w:pPr>
        <w:keepNext/>
        <w:jc w:val="center"/>
        <w:rPr>
          <w:b/>
          <w:bCs/>
        </w:rPr>
      </w:pPr>
    </w:p>
    <w:p w:rsidR="00000000" w:rsidRDefault="00000000">
      <w:pPr>
        <w:keepNext/>
        <w:jc w:val="center"/>
        <w:rPr>
          <w:b/>
          <w:bCs/>
        </w:rPr>
      </w:pPr>
      <w:r>
        <w:rPr>
          <w:b/>
          <w:bCs/>
        </w:rPr>
        <w:t>Расчетная численность учащихся в системе образования для взрослых (</w:t>
      </w:r>
      <w:r>
        <w:rPr>
          <w:b/>
          <w:bCs/>
          <w:lang w:val="en-GB"/>
        </w:rPr>
        <w:t>x</w:t>
      </w:r>
      <w:r>
        <w:rPr>
          <w:b/>
          <w:bCs/>
        </w:rPr>
        <w:t xml:space="preserve"> 1 000)</w:t>
      </w:r>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3164"/>
        <w:gridCol w:w="883"/>
        <w:gridCol w:w="884"/>
        <w:gridCol w:w="884"/>
        <w:gridCol w:w="884"/>
        <w:gridCol w:w="884"/>
        <w:gridCol w:w="884"/>
        <w:gridCol w:w="884"/>
      </w:tblGrid>
      <w:tr w:rsidR="00000000">
        <w:trPr>
          <w:cantSplit/>
          <w:tblHeader/>
        </w:trPr>
        <w:tc>
          <w:tcPr>
            <w:tcW w:w="3164" w:type="dxa"/>
          </w:tcPr>
          <w:p w:rsidR="00000000" w:rsidRDefault="00000000"/>
        </w:tc>
        <w:tc>
          <w:tcPr>
            <w:tcW w:w="883" w:type="dxa"/>
          </w:tcPr>
          <w:p w:rsidR="00000000" w:rsidRDefault="00000000">
            <w:pPr>
              <w:jc w:val="center"/>
            </w:pPr>
            <w:r>
              <w:t>2002</w:t>
            </w:r>
          </w:p>
        </w:tc>
        <w:tc>
          <w:tcPr>
            <w:tcW w:w="884" w:type="dxa"/>
          </w:tcPr>
          <w:p w:rsidR="00000000" w:rsidRDefault="00000000">
            <w:pPr>
              <w:jc w:val="center"/>
            </w:pPr>
            <w:r>
              <w:t>2003</w:t>
            </w:r>
          </w:p>
        </w:tc>
        <w:tc>
          <w:tcPr>
            <w:tcW w:w="884" w:type="dxa"/>
          </w:tcPr>
          <w:p w:rsidR="00000000" w:rsidRDefault="00000000">
            <w:pPr>
              <w:jc w:val="center"/>
            </w:pPr>
            <w:r>
              <w:t>2004</w:t>
            </w:r>
          </w:p>
        </w:tc>
        <w:tc>
          <w:tcPr>
            <w:tcW w:w="884" w:type="dxa"/>
          </w:tcPr>
          <w:p w:rsidR="00000000" w:rsidRDefault="00000000">
            <w:pPr>
              <w:jc w:val="center"/>
            </w:pPr>
            <w:r>
              <w:t>2005</w:t>
            </w:r>
          </w:p>
        </w:tc>
        <w:tc>
          <w:tcPr>
            <w:tcW w:w="884" w:type="dxa"/>
          </w:tcPr>
          <w:p w:rsidR="00000000" w:rsidRDefault="00000000">
            <w:pPr>
              <w:jc w:val="center"/>
            </w:pPr>
            <w:r>
              <w:t>2006</w:t>
            </w:r>
          </w:p>
        </w:tc>
        <w:tc>
          <w:tcPr>
            <w:tcW w:w="884" w:type="dxa"/>
          </w:tcPr>
          <w:p w:rsidR="00000000" w:rsidRDefault="00000000">
            <w:pPr>
              <w:jc w:val="center"/>
            </w:pPr>
            <w:r>
              <w:t>2007</w:t>
            </w:r>
          </w:p>
        </w:tc>
        <w:tc>
          <w:tcPr>
            <w:tcW w:w="884" w:type="dxa"/>
          </w:tcPr>
          <w:p w:rsidR="00000000" w:rsidRDefault="00000000">
            <w:pPr>
              <w:jc w:val="center"/>
            </w:pPr>
            <w:r>
              <w:t>2008</w:t>
            </w:r>
          </w:p>
        </w:tc>
      </w:tr>
      <w:tr w:rsidR="00000000">
        <w:trPr>
          <w:cantSplit/>
        </w:trPr>
        <w:tc>
          <w:tcPr>
            <w:tcW w:w="3164" w:type="dxa"/>
          </w:tcPr>
          <w:p w:rsidR="00000000" w:rsidRDefault="00000000">
            <w:r>
              <w:t>Образование для взрослых</w:t>
            </w:r>
          </w:p>
        </w:tc>
        <w:tc>
          <w:tcPr>
            <w:tcW w:w="883" w:type="dxa"/>
          </w:tcPr>
          <w:p w:rsidR="00000000" w:rsidRDefault="00000000">
            <w:pPr>
              <w:jc w:val="center"/>
              <w:rPr>
                <w:snapToGrid w:val="0"/>
                <w:color w:val="000000"/>
              </w:rPr>
            </w:pPr>
            <w:r>
              <w:rPr>
                <w:snapToGrid w:val="0"/>
                <w:color w:val="000000"/>
              </w:rPr>
              <w:t>138,1</w:t>
            </w:r>
          </w:p>
        </w:tc>
        <w:tc>
          <w:tcPr>
            <w:tcW w:w="884" w:type="dxa"/>
          </w:tcPr>
          <w:p w:rsidR="00000000" w:rsidRDefault="00000000">
            <w:pPr>
              <w:jc w:val="center"/>
              <w:rPr>
                <w:snapToGrid w:val="0"/>
                <w:color w:val="000000"/>
              </w:rPr>
            </w:pPr>
            <w:r>
              <w:rPr>
                <w:snapToGrid w:val="0"/>
                <w:color w:val="000000"/>
              </w:rPr>
              <w:t>138,6</w:t>
            </w:r>
          </w:p>
        </w:tc>
        <w:tc>
          <w:tcPr>
            <w:tcW w:w="884" w:type="dxa"/>
          </w:tcPr>
          <w:p w:rsidR="00000000" w:rsidRDefault="00000000">
            <w:pPr>
              <w:jc w:val="center"/>
              <w:rPr>
                <w:snapToGrid w:val="0"/>
                <w:color w:val="000000"/>
              </w:rPr>
            </w:pPr>
            <w:r>
              <w:rPr>
                <w:snapToGrid w:val="0"/>
                <w:color w:val="000000"/>
              </w:rPr>
              <w:t>139,0</w:t>
            </w:r>
          </w:p>
        </w:tc>
        <w:tc>
          <w:tcPr>
            <w:tcW w:w="884" w:type="dxa"/>
          </w:tcPr>
          <w:p w:rsidR="00000000" w:rsidRDefault="00000000">
            <w:pPr>
              <w:jc w:val="center"/>
              <w:rPr>
                <w:snapToGrid w:val="0"/>
                <w:color w:val="000000"/>
              </w:rPr>
            </w:pPr>
            <w:r>
              <w:rPr>
                <w:snapToGrid w:val="0"/>
                <w:color w:val="000000"/>
              </w:rPr>
              <w:t>139,4</w:t>
            </w:r>
          </w:p>
        </w:tc>
        <w:tc>
          <w:tcPr>
            <w:tcW w:w="884" w:type="dxa"/>
          </w:tcPr>
          <w:p w:rsidR="00000000" w:rsidRDefault="00000000">
            <w:pPr>
              <w:jc w:val="center"/>
              <w:rPr>
                <w:snapToGrid w:val="0"/>
                <w:color w:val="000000"/>
              </w:rPr>
            </w:pPr>
            <w:r>
              <w:rPr>
                <w:snapToGrid w:val="0"/>
                <w:color w:val="000000"/>
              </w:rPr>
              <w:t>139,8</w:t>
            </w:r>
          </w:p>
        </w:tc>
        <w:tc>
          <w:tcPr>
            <w:tcW w:w="884" w:type="dxa"/>
          </w:tcPr>
          <w:p w:rsidR="00000000" w:rsidRDefault="00000000">
            <w:pPr>
              <w:jc w:val="center"/>
              <w:rPr>
                <w:snapToGrid w:val="0"/>
                <w:color w:val="000000"/>
              </w:rPr>
            </w:pPr>
            <w:r>
              <w:rPr>
                <w:snapToGrid w:val="0"/>
                <w:color w:val="000000"/>
              </w:rPr>
              <w:t>140,3</w:t>
            </w:r>
          </w:p>
        </w:tc>
        <w:tc>
          <w:tcPr>
            <w:tcW w:w="884" w:type="dxa"/>
          </w:tcPr>
          <w:p w:rsidR="00000000" w:rsidRDefault="00000000">
            <w:pPr>
              <w:jc w:val="center"/>
            </w:pPr>
            <w:r>
              <w:t>140,7</w:t>
            </w:r>
          </w:p>
        </w:tc>
      </w:tr>
    </w:tbl>
    <w:p w:rsidR="00000000" w:rsidRDefault="00000000">
      <w:pPr>
        <w:rPr>
          <w:u w:val="single"/>
        </w:rPr>
      </w:pPr>
    </w:p>
    <w:p w:rsidR="00000000" w:rsidRDefault="00000000">
      <w:pPr>
        <w:tabs>
          <w:tab w:val="clear" w:pos="1701"/>
          <w:tab w:val="left" w:pos="1862"/>
        </w:tabs>
        <w:spacing w:line="240" w:lineRule="auto"/>
        <w:ind w:firstLine="567"/>
      </w:pPr>
      <w:r>
        <w:rPr>
          <w:i/>
          <w:iCs/>
        </w:rPr>
        <w:t>Источник</w:t>
      </w:r>
      <w:r>
        <w:t>:</w:t>
      </w:r>
      <w:r>
        <w:tab/>
        <w:t>Данные Министерства образования, науки и культуры, 2002 год, перепись населения, проведенная Статистическим управлением Нидерландов.</w:t>
      </w:r>
    </w:p>
    <w:p w:rsidR="00000000" w:rsidRDefault="00000000">
      <w:pPr>
        <w:tabs>
          <w:tab w:val="clear" w:pos="1701"/>
          <w:tab w:val="left" w:pos="1862"/>
        </w:tabs>
        <w:ind w:left="1862" w:hanging="1295"/>
      </w:pPr>
    </w:p>
    <w:p w:rsidR="00000000" w:rsidRDefault="00000000">
      <w:r>
        <w:t xml:space="preserve">454. </w:t>
      </w:r>
      <w:r>
        <w:tab/>
        <w:t>В таблице 31 приведены показатели успешного завершения различных ступеней профессионально-технического образования (</w:t>
      </w:r>
      <w:proofErr w:type="spellStart"/>
      <w:r>
        <w:t>ПТО</w:t>
      </w:r>
      <w:proofErr w:type="spellEnd"/>
      <w:r>
        <w:t xml:space="preserve">).  Следует отметить, что учащиеся, заканчивающие обучение в системе </w:t>
      </w:r>
      <w:proofErr w:type="spellStart"/>
      <w:r>
        <w:t>ПТО</w:t>
      </w:r>
      <w:proofErr w:type="spellEnd"/>
      <w:r>
        <w:t xml:space="preserve"> без диплома, необязательно не получают квалификации.  Некоторые из них уже имеют дипломы других ступеней системы профессионально-технического образования.</w:t>
      </w:r>
    </w:p>
    <w:p w:rsidR="00000000" w:rsidRDefault="00000000"/>
    <w:p w:rsidR="00000000" w:rsidRDefault="00000000">
      <w:pPr>
        <w:keepNext/>
        <w:jc w:val="center"/>
        <w:rPr>
          <w:b/>
          <w:bCs/>
        </w:rPr>
      </w:pPr>
      <w:r>
        <w:rPr>
          <w:b/>
          <w:bCs/>
        </w:rPr>
        <w:t>Таблица  31</w:t>
      </w:r>
    </w:p>
    <w:p w:rsidR="00000000" w:rsidRDefault="00000000">
      <w:pPr>
        <w:keepNext/>
        <w:jc w:val="center"/>
        <w:rPr>
          <w:b/>
          <w:bCs/>
        </w:rPr>
      </w:pPr>
    </w:p>
    <w:p w:rsidR="00000000" w:rsidRDefault="00000000">
      <w:pPr>
        <w:keepNext/>
        <w:jc w:val="center"/>
        <w:rPr>
          <w:b/>
          <w:bCs/>
        </w:rPr>
      </w:pPr>
      <w:r>
        <w:rPr>
          <w:b/>
          <w:bCs/>
        </w:rPr>
        <w:t xml:space="preserve">Показатели успешного завершения обучения в системе </w:t>
      </w:r>
      <w:proofErr w:type="spellStart"/>
      <w:r>
        <w:rPr>
          <w:b/>
          <w:bCs/>
        </w:rPr>
        <w:t>ПТО</w:t>
      </w:r>
      <w:proofErr w:type="spellEnd"/>
      <w:r>
        <w:rPr>
          <w:b/>
          <w:bCs/>
        </w:rPr>
        <w:t>, 2002/03 год</w:t>
      </w:r>
    </w:p>
    <w:p w:rsidR="00000000" w:rsidRDefault="00000000">
      <w:pPr>
        <w:keepNext/>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2912"/>
        <w:gridCol w:w="2146"/>
        <w:gridCol w:w="2146"/>
        <w:gridCol w:w="2147"/>
      </w:tblGrid>
      <w:tr w:rsidR="00000000">
        <w:trPr>
          <w:cantSplit/>
        </w:trPr>
        <w:tc>
          <w:tcPr>
            <w:tcW w:w="2912" w:type="dxa"/>
            <w:vAlign w:val="center"/>
          </w:tcPr>
          <w:p w:rsidR="00000000" w:rsidRDefault="00000000">
            <w:pPr>
              <w:spacing w:line="240" w:lineRule="auto"/>
              <w:jc w:val="center"/>
            </w:pPr>
          </w:p>
        </w:tc>
        <w:tc>
          <w:tcPr>
            <w:tcW w:w="2146" w:type="dxa"/>
            <w:vAlign w:val="center"/>
          </w:tcPr>
          <w:p w:rsidR="00000000" w:rsidRDefault="00000000">
            <w:pPr>
              <w:spacing w:line="240" w:lineRule="auto"/>
              <w:jc w:val="center"/>
            </w:pPr>
            <w:r>
              <w:t>Количество лиц, заканчивающих обучение с получением диплома</w:t>
            </w:r>
          </w:p>
        </w:tc>
        <w:tc>
          <w:tcPr>
            <w:tcW w:w="2146" w:type="dxa"/>
            <w:vAlign w:val="center"/>
          </w:tcPr>
          <w:p w:rsidR="00000000" w:rsidRDefault="00000000">
            <w:pPr>
              <w:spacing w:line="240" w:lineRule="auto"/>
              <w:jc w:val="center"/>
            </w:pPr>
            <w:r>
              <w:t>Общая численность лиц, заканчивающих обучение</w:t>
            </w:r>
          </w:p>
        </w:tc>
        <w:tc>
          <w:tcPr>
            <w:tcW w:w="2147" w:type="dxa"/>
            <w:vAlign w:val="center"/>
          </w:tcPr>
          <w:p w:rsidR="00000000" w:rsidRDefault="00000000">
            <w:pPr>
              <w:spacing w:line="240" w:lineRule="auto"/>
              <w:jc w:val="center"/>
            </w:pPr>
            <w:r>
              <w:t>Показатели успешного завершения обучения (в %)</w:t>
            </w:r>
          </w:p>
        </w:tc>
      </w:tr>
      <w:tr w:rsidR="00000000">
        <w:trPr>
          <w:cantSplit/>
        </w:trPr>
        <w:tc>
          <w:tcPr>
            <w:tcW w:w="2912" w:type="dxa"/>
            <w:tcBorders>
              <w:bottom w:val="nil"/>
            </w:tcBorders>
            <w:vAlign w:val="bottom"/>
          </w:tcPr>
          <w:p w:rsidR="00000000" w:rsidRDefault="00000000">
            <w:proofErr w:type="spellStart"/>
            <w:r>
              <w:t>ПТПСОП</w:t>
            </w:r>
            <w:proofErr w:type="spellEnd"/>
          </w:p>
        </w:tc>
        <w:tc>
          <w:tcPr>
            <w:tcW w:w="2146" w:type="dxa"/>
            <w:tcBorders>
              <w:bottom w:val="nil"/>
            </w:tcBorders>
            <w:vAlign w:val="bottom"/>
          </w:tcPr>
          <w:p w:rsidR="00000000" w:rsidRDefault="00000000">
            <w:pPr>
              <w:tabs>
                <w:tab w:val="clear" w:pos="567"/>
                <w:tab w:val="clear" w:pos="1134"/>
                <w:tab w:val="clear" w:pos="1701"/>
                <w:tab w:val="clear" w:pos="2268"/>
                <w:tab w:val="clear" w:pos="6237"/>
                <w:tab w:val="decimal" w:pos="1418"/>
              </w:tabs>
            </w:pPr>
            <w:r>
              <w:t>53 800</w:t>
            </w:r>
          </w:p>
        </w:tc>
        <w:tc>
          <w:tcPr>
            <w:tcW w:w="2146" w:type="dxa"/>
            <w:tcBorders>
              <w:bottom w:val="nil"/>
            </w:tcBorders>
            <w:vAlign w:val="bottom"/>
          </w:tcPr>
          <w:p w:rsidR="00000000" w:rsidRDefault="00000000">
            <w:pPr>
              <w:tabs>
                <w:tab w:val="clear" w:pos="567"/>
                <w:tab w:val="clear" w:pos="1134"/>
                <w:tab w:val="clear" w:pos="1701"/>
                <w:tab w:val="clear" w:pos="2268"/>
                <w:tab w:val="clear" w:pos="6237"/>
                <w:tab w:val="decimal" w:pos="1418"/>
              </w:tabs>
            </w:pPr>
            <w:r>
              <w:t>94 500</w:t>
            </w:r>
          </w:p>
        </w:tc>
        <w:tc>
          <w:tcPr>
            <w:tcW w:w="2147" w:type="dxa"/>
            <w:tcBorders>
              <w:bottom w:val="nil"/>
            </w:tcBorders>
            <w:vAlign w:val="bottom"/>
          </w:tcPr>
          <w:p w:rsidR="00000000" w:rsidRDefault="00000000">
            <w:pPr>
              <w:jc w:val="center"/>
            </w:pPr>
            <w:r>
              <w:t>57</w:t>
            </w:r>
          </w:p>
        </w:tc>
      </w:tr>
      <w:tr w:rsidR="00000000">
        <w:trPr>
          <w:cantSplit/>
        </w:trPr>
        <w:tc>
          <w:tcPr>
            <w:tcW w:w="2912" w:type="dxa"/>
            <w:tcBorders>
              <w:top w:val="nil"/>
              <w:bottom w:val="nil"/>
            </w:tcBorders>
            <w:shd w:val="clear" w:color="FFFFFF" w:fill="FFFFFF"/>
            <w:vAlign w:val="bottom"/>
          </w:tcPr>
          <w:p w:rsidR="00000000" w:rsidRDefault="00000000">
            <w:r>
              <w:t xml:space="preserve">   в том числе 1</w:t>
            </w:r>
            <w:r>
              <w:noBreakHyphen/>
              <w:t>2</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10 700</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27 100</w:t>
            </w:r>
          </w:p>
        </w:tc>
        <w:tc>
          <w:tcPr>
            <w:tcW w:w="2147" w:type="dxa"/>
            <w:tcBorders>
              <w:top w:val="nil"/>
              <w:bottom w:val="nil"/>
            </w:tcBorders>
            <w:vAlign w:val="bottom"/>
          </w:tcPr>
          <w:p w:rsidR="00000000" w:rsidRDefault="00000000">
            <w:pPr>
              <w:jc w:val="center"/>
              <w:rPr>
                <w:lang w:val="en-GB"/>
              </w:rPr>
            </w:pPr>
            <w:r>
              <w:rPr>
                <w:lang w:val="en-GB"/>
              </w:rPr>
              <w:t>39</w:t>
            </w:r>
          </w:p>
        </w:tc>
      </w:tr>
      <w:tr w:rsidR="00000000">
        <w:trPr>
          <w:cantSplit/>
        </w:trPr>
        <w:tc>
          <w:tcPr>
            <w:tcW w:w="2912" w:type="dxa"/>
            <w:tcBorders>
              <w:top w:val="nil"/>
              <w:bottom w:val="nil"/>
            </w:tcBorders>
            <w:shd w:val="clear" w:color="FFFFFF" w:fill="FFFFFF"/>
            <w:vAlign w:val="bottom"/>
          </w:tcPr>
          <w:p w:rsidR="00000000" w:rsidRDefault="00000000">
            <w:r>
              <w:t xml:space="preserve">   в том числе 3-4</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43 100</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67 400</w:t>
            </w:r>
          </w:p>
        </w:tc>
        <w:tc>
          <w:tcPr>
            <w:tcW w:w="2147" w:type="dxa"/>
            <w:tcBorders>
              <w:top w:val="nil"/>
              <w:bottom w:val="nil"/>
            </w:tcBorders>
            <w:vAlign w:val="bottom"/>
          </w:tcPr>
          <w:p w:rsidR="00000000" w:rsidRDefault="00000000">
            <w:pPr>
              <w:jc w:val="center"/>
            </w:pPr>
            <w:r>
              <w:t>64</w:t>
            </w:r>
          </w:p>
        </w:tc>
      </w:tr>
      <w:tr w:rsidR="00000000">
        <w:trPr>
          <w:cantSplit/>
        </w:trPr>
        <w:tc>
          <w:tcPr>
            <w:tcW w:w="2912" w:type="dxa"/>
            <w:tcBorders>
              <w:top w:val="nil"/>
              <w:bottom w:val="nil"/>
            </w:tcBorders>
            <w:shd w:val="clear" w:color="FFFFFF" w:fill="FFFFFF"/>
            <w:vAlign w:val="bottom"/>
          </w:tcPr>
          <w:p w:rsidR="00000000" w:rsidRDefault="00000000">
            <w:proofErr w:type="spellStart"/>
            <w:r>
              <w:t>ПТОЧОП</w:t>
            </w:r>
            <w:proofErr w:type="spellEnd"/>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46 200</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85 300</w:t>
            </w:r>
          </w:p>
        </w:tc>
        <w:tc>
          <w:tcPr>
            <w:tcW w:w="2147" w:type="dxa"/>
            <w:tcBorders>
              <w:top w:val="nil"/>
              <w:bottom w:val="nil"/>
            </w:tcBorders>
            <w:vAlign w:val="bottom"/>
          </w:tcPr>
          <w:p w:rsidR="00000000" w:rsidRDefault="00000000">
            <w:pPr>
              <w:jc w:val="center"/>
            </w:pPr>
            <w:r>
              <w:t>54</w:t>
            </w:r>
          </w:p>
        </w:tc>
      </w:tr>
      <w:tr w:rsidR="00000000">
        <w:trPr>
          <w:cantSplit/>
        </w:trPr>
        <w:tc>
          <w:tcPr>
            <w:tcW w:w="2912" w:type="dxa"/>
            <w:tcBorders>
              <w:top w:val="nil"/>
              <w:bottom w:val="nil"/>
            </w:tcBorders>
            <w:shd w:val="clear" w:color="FFFFFF" w:fill="FFFFFF"/>
            <w:vAlign w:val="bottom"/>
          </w:tcPr>
          <w:p w:rsidR="00000000" w:rsidRDefault="00000000">
            <w:r>
              <w:t xml:space="preserve">   в том числе 1</w:t>
            </w:r>
            <w:r>
              <w:noBreakHyphen/>
              <w:t>2</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21 700</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43 500</w:t>
            </w:r>
          </w:p>
        </w:tc>
        <w:tc>
          <w:tcPr>
            <w:tcW w:w="2147" w:type="dxa"/>
            <w:tcBorders>
              <w:top w:val="nil"/>
              <w:bottom w:val="nil"/>
            </w:tcBorders>
            <w:vAlign w:val="bottom"/>
          </w:tcPr>
          <w:p w:rsidR="00000000" w:rsidRDefault="00000000">
            <w:pPr>
              <w:jc w:val="center"/>
            </w:pPr>
            <w:r>
              <w:t>50</w:t>
            </w:r>
          </w:p>
        </w:tc>
      </w:tr>
      <w:tr w:rsidR="00000000">
        <w:trPr>
          <w:cantSplit/>
        </w:trPr>
        <w:tc>
          <w:tcPr>
            <w:tcW w:w="2912" w:type="dxa"/>
            <w:tcBorders>
              <w:top w:val="nil"/>
              <w:bottom w:val="nil"/>
            </w:tcBorders>
            <w:shd w:val="clear" w:color="FFFFFF" w:fill="FFFFFF"/>
            <w:vAlign w:val="bottom"/>
          </w:tcPr>
          <w:p w:rsidR="00000000" w:rsidRDefault="00000000">
            <w:r>
              <w:t xml:space="preserve">   в том числе 3-4</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24 500</w:t>
            </w:r>
          </w:p>
        </w:tc>
        <w:tc>
          <w:tcPr>
            <w:tcW w:w="2146" w:type="dxa"/>
            <w:tcBorders>
              <w:top w:val="nil"/>
              <w:bottom w:val="nil"/>
            </w:tcBorders>
            <w:vAlign w:val="bottom"/>
          </w:tcPr>
          <w:p w:rsidR="00000000" w:rsidRDefault="00000000">
            <w:pPr>
              <w:tabs>
                <w:tab w:val="clear" w:pos="567"/>
                <w:tab w:val="clear" w:pos="1134"/>
                <w:tab w:val="clear" w:pos="1701"/>
                <w:tab w:val="clear" w:pos="2268"/>
                <w:tab w:val="clear" w:pos="6237"/>
                <w:tab w:val="decimal" w:pos="1418"/>
              </w:tabs>
            </w:pPr>
            <w:r>
              <w:t>41 800</w:t>
            </w:r>
          </w:p>
        </w:tc>
        <w:tc>
          <w:tcPr>
            <w:tcW w:w="2147" w:type="dxa"/>
            <w:tcBorders>
              <w:top w:val="nil"/>
              <w:bottom w:val="nil"/>
            </w:tcBorders>
            <w:vAlign w:val="bottom"/>
          </w:tcPr>
          <w:p w:rsidR="00000000" w:rsidRDefault="00000000">
            <w:pPr>
              <w:jc w:val="center"/>
            </w:pPr>
            <w:r>
              <w:t>59</w:t>
            </w:r>
          </w:p>
        </w:tc>
      </w:tr>
      <w:tr w:rsidR="00000000">
        <w:trPr>
          <w:cantSplit/>
        </w:trPr>
        <w:tc>
          <w:tcPr>
            <w:tcW w:w="2912" w:type="dxa"/>
            <w:tcBorders>
              <w:top w:val="nil"/>
            </w:tcBorders>
            <w:shd w:val="clear" w:color="FFFFFF" w:fill="FFFFFF"/>
            <w:vAlign w:val="bottom"/>
          </w:tcPr>
          <w:p w:rsidR="00000000" w:rsidRDefault="00000000">
            <w:proofErr w:type="spellStart"/>
            <w:r>
              <w:t>ПТПБОП</w:t>
            </w:r>
            <w:proofErr w:type="spellEnd"/>
          </w:p>
        </w:tc>
        <w:tc>
          <w:tcPr>
            <w:tcW w:w="2146" w:type="dxa"/>
            <w:tcBorders>
              <w:top w:val="nil"/>
            </w:tcBorders>
            <w:vAlign w:val="bottom"/>
          </w:tcPr>
          <w:p w:rsidR="00000000" w:rsidRDefault="00000000">
            <w:pPr>
              <w:tabs>
                <w:tab w:val="clear" w:pos="567"/>
                <w:tab w:val="clear" w:pos="1134"/>
                <w:tab w:val="clear" w:pos="1701"/>
                <w:tab w:val="clear" w:pos="2268"/>
                <w:tab w:val="clear" w:pos="6237"/>
                <w:tab w:val="decimal" w:pos="1418"/>
              </w:tabs>
            </w:pPr>
            <w:r>
              <w:t>3 400</w:t>
            </w:r>
          </w:p>
        </w:tc>
        <w:tc>
          <w:tcPr>
            <w:tcW w:w="2146" w:type="dxa"/>
            <w:tcBorders>
              <w:top w:val="nil"/>
            </w:tcBorders>
            <w:vAlign w:val="bottom"/>
          </w:tcPr>
          <w:p w:rsidR="00000000" w:rsidRDefault="00000000">
            <w:pPr>
              <w:tabs>
                <w:tab w:val="clear" w:pos="567"/>
                <w:tab w:val="clear" w:pos="1134"/>
                <w:tab w:val="clear" w:pos="1701"/>
                <w:tab w:val="clear" w:pos="2268"/>
                <w:tab w:val="clear" w:pos="6237"/>
                <w:tab w:val="decimal" w:pos="1418"/>
              </w:tabs>
            </w:pPr>
            <w:r>
              <w:t>16 200</w:t>
            </w:r>
          </w:p>
        </w:tc>
        <w:tc>
          <w:tcPr>
            <w:tcW w:w="2147" w:type="dxa"/>
            <w:tcBorders>
              <w:top w:val="nil"/>
            </w:tcBorders>
            <w:vAlign w:val="bottom"/>
          </w:tcPr>
          <w:p w:rsidR="00000000" w:rsidRDefault="00000000">
            <w:pPr>
              <w:jc w:val="center"/>
            </w:pPr>
            <w:r>
              <w:t>21</w:t>
            </w:r>
          </w:p>
        </w:tc>
      </w:tr>
      <w:tr w:rsidR="00000000">
        <w:trPr>
          <w:cantSplit/>
        </w:trPr>
        <w:tc>
          <w:tcPr>
            <w:tcW w:w="2912" w:type="dxa"/>
            <w:shd w:val="clear" w:color="FFFFFF" w:fill="FFFFFF"/>
            <w:vAlign w:val="bottom"/>
          </w:tcPr>
          <w:p w:rsidR="00000000" w:rsidRDefault="00000000">
            <w:r>
              <w:tab/>
              <w:t>Всего</w:t>
            </w:r>
          </w:p>
        </w:tc>
        <w:tc>
          <w:tcPr>
            <w:tcW w:w="2146" w:type="dxa"/>
            <w:vAlign w:val="bottom"/>
          </w:tcPr>
          <w:p w:rsidR="00000000" w:rsidRDefault="00000000">
            <w:pPr>
              <w:tabs>
                <w:tab w:val="clear" w:pos="567"/>
                <w:tab w:val="clear" w:pos="1134"/>
                <w:tab w:val="clear" w:pos="1701"/>
                <w:tab w:val="clear" w:pos="2268"/>
                <w:tab w:val="clear" w:pos="6237"/>
                <w:tab w:val="decimal" w:pos="1418"/>
              </w:tabs>
            </w:pPr>
            <w:r>
              <w:t>103 400</w:t>
            </w:r>
          </w:p>
        </w:tc>
        <w:tc>
          <w:tcPr>
            <w:tcW w:w="2146" w:type="dxa"/>
            <w:vAlign w:val="bottom"/>
          </w:tcPr>
          <w:p w:rsidR="00000000" w:rsidRDefault="00000000">
            <w:pPr>
              <w:tabs>
                <w:tab w:val="clear" w:pos="567"/>
                <w:tab w:val="clear" w:pos="1134"/>
                <w:tab w:val="clear" w:pos="1701"/>
                <w:tab w:val="clear" w:pos="2268"/>
                <w:tab w:val="clear" w:pos="6237"/>
                <w:tab w:val="decimal" w:pos="1418"/>
              </w:tabs>
            </w:pPr>
            <w:r>
              <w:t>196 000</w:t>
            </w:r>
          </w:p>
        </w:tc>
        <w:tc>
          <w:tcPr>
            <w:tcW w:w="2147" w:type="dxa"/>
            <w:vAlign w:val="bottom"/>
          </w:tcPr>
          <w:p w:rsidR="00000000" w:rsidRDefault="00000000">
            <w:pPr>
              <w:jc w:val="center"/>
            </w:pPr>
            <w:r>
              <w:t>53</w:t>
            </w:r>
          </w:p>
        </w:tc>
      </w:tr>
    </w:tbl>
    <w:p w:rsidR="00000000" w:rsidRDefault="00000000">
      <w:pPr>
        <w:rPr>
          <w:u w:val="single"/>
        </w:rPr>
      </w:pPr>
    </w:p>
    <w:p w:rsidR="00000000" w:rsidRDefault="00000000">
      <w:pPr>
        <w:tabs>
          <w:tab w:val="clear" w:pos="1701"/>
          <w:tab w:val="left" w:pos="1862"/>
        </w:tabs>
        <w:ind w:left="1862" w:hanging="1295"/>
      </w:pPr>
      <w:r>
        <w:rPr>
          <w:i/>
          <w:iCs/>
        </w:rPr>
        <w:t>Источник</w:t>
      </w:r>
      <w:r>
        <w:t>:</w:t>
      </w:r>
      <w:r>
        <w:tab/>
        <w:t>Оценки Министерства образования, науки и культуры, 2004 год.</w:t>
      </w:r>
    </w:p>
    <w:p w:rsidR="00000000" w:rsidRDefault="00000000"/>
    <w:p w:rsidR="00000000" w:rsidRDefault="00000000">
      <w:r>
        <w:t>455.</w:t>
      </w:r>
      <w:r>
        <w:tab/>
        <w:t>Ежегодно проводятся обследования в целях выяснения дальнейших намерений молодых людей, получивших квалификацию, и степени соответствия завершенных ими курсов характеру дальнейшего обучения или конъюнктуре на рынке труда.  Цифры в нижеследующей таблице заимствованы из результатов обследования за 2002 год (</w:t>
      </w:r>
      <w:r>
        <w:rPr>
          <w:i/>
          <w:lang w:val="en-GB"/>
        </w:rPr>
        <w:t>Schoolverlaters</w:t>
      </w:r>
      <w:r>
        <w:rPr>
          <w:i/>
        </w:rPr>
        <w:t xml:space="preserve"> </w:t>
      </w:r>
      <w:r>
        <w:rPr>
          <w:i/>
          <w:lang w:val="en-GB"/>
        </w:rPr>
        <w:t>tussen</w:t>
      </w:r>
      <w:r>
        <w:rPr>
          <w:i/>
        </w:rPr>
        <w:t xml:space="preserve"> </w:t>
      </w:r>
      <w:r>
        <w:rPr>
          <w:i/>
          <w:lang w:val="en-GB"/>
        </w:rPr>
        <w:t>onderwijs</w:t>
      </w:r>
      <w:r>
        <w:rPr>
          <w:i/>
        </w:rPr>
        <w:t xml:space="preserve"> </w:t>
      </w:r>
      <w:r>
        <w:rPr>
          <w:i/>
          <w:lang w:val="en-GB"/>
        </w:rPr>
        <w:t>en</w:t>
      </w:r>
      <w:r>
        <w:rPr>
          <w:i/>
        </w:rPr>
        <w:t xml:space="preserve"> </w:t>
      </w:r>
      <w:r>
        <w:rPr>
          <w:i/>
          <w:lang w:val="en-GB"/>
        </w:rPr>
        <w:t>arbeidsmarkt</w:t>
      </w:r>
      <w:r>
        <w:rPr>
          <w:i/>
        </w:rPr>
        <w:t xml:space="preserve"> 2002</w:t>
      </w:r>
      <w:r>
        <w:t xml:space="preserve">, </w:t>
      </w:r>
      <w:r>
        <w:rPr>
          <w:lang w:val="en-GB"/>
        </w:rPr>
        <w:t>ROA</w:t>
      </w:r>
      <w:r>
        <w:t xml:space="preserve">, </w:t>
      </w:r>
      <w:r>
        <w:rPr>
          <w:lang w:val="en-GB"/>
        </w:rPr>
        <w:t>July</w:t>
      </w:r>
      <w:r>
        <w:t xml:space="preserve"> 2003).</w:t>
      </w:r>
    </w:p>
    <w:p w:rsidR="00000000" w:rsidRDefault="00000000"/>
    <w:p w:rsidR="00000000" w:rsidRDefault="00000000">
      <w:pPr>
        <w:jc w:val="center"/>
        <w:rPr>
          <w:b/>
          <w:bCs/>
          <w:lang w:val="en-US"/>
        </w:rPr>
      </w:pPr>
      <w:r>
        <w:rPr>
          <w:b/>
          <w:bCs/>
        </w:rPr>
        <w:t>Таблица 32</w:t>
      </w:r>
    </w:p>
    <w:p w:rsidR="00000000" w:rsidRDefault="00000000">
      <w:pPr>
        <w:jc w:val="center"/>
        <w:rPr>
          <w:b/>
          <w:bCs/>
          <w:lang w:val="en-US"/>
        </w:rPr>
      </w:pPr>
    </w:p>
    <w:p w:rsidR="00000000" w:rsidRDefault="00000000">
      <w:pPr>
        <w:jc w:val="center"/>
        <w:rPr>
          <w:b/>
          <w:bCs/>
        </w:rPr>
      </w:pPr>
      <w:r>
        <w:rPr>
          <w:b/>
          <w:bCs/>
        </w:rPr>
        <w:t>Дальнейшая судьба выпускников (в процентах)</w:t>
      </w:r>
    </w:p>
    <w:p w:rsidR="00000000" w:rsidRDefault="00000000">
      <w:pPr>
        <w:jc w:val="center"/>
        <w:rPr>
          <w:b/>
          <w:bCs/>
        </w:rPr>
      </w:pPr>
    </w:p>
    <w:tbl>
      <w:tblPr>
        <w:tblW w:w="0" w:type="auto"/>
        <w:tblLayout w:type="fixed"/>
        <w:tblCellMar>
          <w:left w:w="70" w:type="dxa"/>
          <w:right w:w="70" w:type="dxa"/>
        </w:tblCellMar>
        <w:tblLook w:val="0000" w:firstRow="0" w:lastRow="0" w:firstColumn="0" w:lastColumn="0" w:noHBand="0" w:noVBand="0"/>
      </w:tblPr>
      <w:tblGrid>
        <w:gridCol w:w="2875"/>
        <w:gridCol w:w="1683"/>
        <w:gridCol w:w="1683"/>
        <w:gridCol w:w="1683"/>
        <w:gridCol w:w="1309"/>
      </w:tblGrid>
      <w:tr w:rsidR="00000000">
        <w:tblPrEx>
          <w:tblCellMar>
            <w:top w:w="0" w:type="dxa"/>
            <w:bottom w:w="0" w:type="dxa"/>
          </w:tblCellMar>
        </w:tblPrEx>
        <w:trPr>
          <w:tblHeader/>
        </w:trPr>
        <w:tc>
          <w:tcPr>
            <w:tcW w:w="287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pPr>
            <w:r>
              <w:t>Обучение</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pPr>
            <w:r>
              <w:t>Оплачиваемая работа</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jc w:val="center"/>
            </w:pPr>
            <w:r>
              <w:t>Безработица</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pPr>
            <w:r>
              <w:t>Прочее</w:t>
            </w:r>
          </w:p>
        </w:tc>
      </w:tr>
      <w:tr w:rsidR="00000000">
        <w:tblPrEx>
          <w:tblCellMar>
            <w:top w:w="0" w:type="dxa"/>
            <w:bottom w:w="0" w:type="dxa"/>
          </w:tblCellMar>
        </w:tblPrEx>
        <w:trPr>
          <w:cantSplit/>
        </w:trPr>
        <w:tc>
          <w:tcPr>
            <w:tcW w:w="2875" w:type="dxa"/>
            <w:tcBorders>
              <w:top w:val="single" w:sz="4" w:space="0" w:color="auto"/>
              <w:left w:val="single" w:sz="4" w:space="0" w:color="auto"/>
              <w:right w:val="single" w:sz="4" w:space="0" w:color="auto"/>
            </w:tcBorders>
          </w:tcPr>
          <w:p w:rsidR="00000000" w:rsidRDefault="00000000">
            <w:pPr>
              <w:rPr>
                <w:lang w:val="en-GB"/>
              </w:rPr>
            </w:pPr>
            <w:r>
              <w:t>ПТПСОП, уровень</w:t>
            </w:r>
            <w:r>
              <w:rPr>
                <w:lang w:val="en-GB"/>
              </w:rPr>
              <w:t xml:space="preserve"> 1/2</w:t>
            </w:r>
          </w:p>
        </w:tc>
        <w:tc>
          <w:tcPr>
            <w:tcW w:w="1683" w:type="dxa"/>
            <w:tcBorders>
              <w:top w:val="single" w:sz="4" w:space="0" w:color="auto"/>
              <w:left w:val="single" w:sz="4" w:space="0" w:color="auto"/>
              <w:right w:val="single" w:sz="4" w:space="0" w:color="auto"/>
            </w:tcBorders>
          </w:tcPr>
          <w:p w:rsidR="00000000" w:rsidRDefault="00000000">
            <w:pPr>
              <w:jc w:val="center"/>
              <w:rPr>
                <w:lang w:val="en-GB"/>
              </w:rPr>
            </w:pPr>
            <w:r>
              <w:rPr>
                <w:lang w:val="en-GB"/>
              </w:rPr>
              <w:t>47</w:t>
            </w:r>
          </w:p>
        </w:tc>
        <w:tc>
          <w:tcPr>
            <w:tcW w:w="1683" w:type="dxa"/>
            <w:tcBorders>
              <w:top w:val="single" w:sz="4" w:space="0" w:color="auto"/>
              <w:left w:val="single" w:sz="4" w:space="0" w:color="auto"/>
              <w:right w:val="single" w:sz="4" w:space="0" w:color="auto"/>
            </w:tcBorders>
          </w:tcPr>
          <w:p w:rsidR="00000000" w:rsidRDefault="00000000">
            <w:pPr>
              <w:jc w:val="center"/>
              <w:rPr>
                <w:lang w:val="en-GB"/>
              </w:rPr>
            </w:pPr>
            <w:r>
              <w:rPr>
                <w:lang w:val="en-GB"/>
              </w:rPr>
              <w:t>45</w:t>
            </w:r>
          </w:p>
        </w:tc>
        <w:tc>
          <w:tcPr>
            <w:tcW w:w="1683" w:type="dxa"/>
            <w:tcBorders>
              <w:top w:val="single" w:sz="4" w:space="0" w:color="auto"/>
              <w:left w:val="single" w:sz="4" w:space="0" w:color="auto"/>
              <w:right w:val="single" w:sz="4" w:space="0" w:color="auto"/>
            </w:tcBorders>
          </w:tcPr>
          <w:p w:rsidR="00000000" w:rsidRDefault="00000000">
            <w:pPr>
              <w:jc w:val="center"/>
              <w:rPr>
                <w:lang w:val="en-GB"/>
              </w:rPr>
            </w:pPr>
            <w:r>
              <w:rPr>
                <w:lang w:val="en-GB"/>
              </w:rPr>
              <w:t>4</w:t>
            </w:r>
          </w:p>
        </w:tc>
        <w:tc>
          <w:tcPr>
            <w:tcW w:w="1309" w:type="dxa"/>
            <w:tcBorders>
              <w:top w:val="single" w:sz="4" w:space="0" w:color="auto"/>
              <w:left w:val="single" w:sz="4" w:space="0" w:color="auto"/>
              <w:right w:val="single" w:sz="4" w:space="0" w:color="auto"/>
            </w:tcBorders>
          </w:tcPr>
          <w:p w:rsidR="00000000" w:rsidRDefault="00000000">
            <w:pPr>
              <w:jc w:val="center"/>
              <w:rPr>
                <w:lang w:val="en-GB"/>
              </w:rPr>
            </w:pPr>
            <w:r>
              <w:rPr>
                <w:lang w:val="en-GB"/>
              </w:rPr>
              <w:t>4</w:t>
            </w:r>
          </w:p>
        </w:tc>
      </w:tr>
      <w:tr w:rsidR="00000000">
        <w:tblPrEx>
          <w:tblCellMar>
            <w:top w:w="0" w:type="dxa"/>
            <w:bottom w:w="0" w:type="dxa"/>
          </w:tblCellMar>
        </w:tblPrEx>
        <w:trPr>
          <w:cantSplit/>
        </w:trPr>
        <w:tc>
          <w:tcPr>
            <w:tcW w:w="2875" w:type="dxa"/>
            <w:tcBorders>
              <w:left w:val="single" w:sz="4" w:space="0" w:color="auto"/>
              <w:right w:val="single" w:sz="4" w:space="0" w:color="auto"/>
            </w:tcBorders>
          </w:tcPr>
          <w:p w:rsidR="00000000" w:rsidRDefault="00000000">
            <w:r>
              <w:t>ПТПСОП, уровень 3/4</w:t>
            </w:r>
          </w:p>
        </w:tc>
        <w:tc>
          <w:tcPr>
            <w:tcW w:w="1683" w:type="dxa"/>
            <w:tcBorders>
              <w:left w:val="single" w:sz="4" w:space="0" w:color="auto"/>
              <w:right w:val="single" w:sz="4" w:space="0" w:color="auto"/>
            </w:tcBorders>
          </w:tcPr>
          <w:p w:rsidR="00000000" w:rsidRDefault="00000000">
            <w:pPr>
              <w:jc w:val="center"/>
              <w:rPr>
                <w:lang w:val="en-GB"/>
              </w:rPr>
            </w:pPr>
            <w:r>
              <w:rPr>
                <w:lang w:val="en-GB"/>
              </w:rPr>
              <w:t>47</w:t>
            </w:r>
          </w:p>
        </w:tc>
        <w:tc>
          <w:tcPr>
            <w:tcW w:w="1683" w:type="dxa"/>
            <w:tcBorders>
              <w:left w:val="single" w:sz="4" w:space="0" w:color="auto"/>
              <w:right w:val="single" w:sz="4" w:space="0" w:color="auto"/>
            </w:tcBorders>
          </w:tcPr>
          <w:p w:rsidR="00000000" w:rsidRDefault="00000000">
            <w:pPr>
              <w:jc w:val="center"/>
              <w:rPr>
                <w:lang w:val="en-GB"/>
              </w:rPr>
            </w:pPr>
            <w:r>
              <w:rPr>
                <w:lang w:val="en-GB"/>
              </w:rPr>
              <w:t>50</w:t>
            </w:r>
          </w:p>
        </w:tc>
        <w:tc>
          <w:tcPr>
            <w:tcW w:w="1683" w:type="dxa"/>
            <w:tcBorders>
              <w:left w:val="single" w:sz="4" w:space="0" w:color="auto"/>
              <w:right w:val="single" w:sz="4" w:space="0" w:color="auto"/>
            </w:tcBorders>
          </w:tcPr>
          <w:p w:rsidR="00000000" w:rsidRDefault="00000000">
            <w:pPr>
              <w:jc w:val="center"/>
              <w:rPr>
                <w:lang w:val="en-GB"/>
              </w:rPr>
            </w:pPr>
            <w:r>
              <w:rPr>
                <w:lang w:val="en-GB"/>
              </w:rPr>
              <w:t>2</w:t>
            </w:r>
          </w:p>
        </w:tc>
        <w:tc>
          <w:tcPr>
            <w:tcW w:w="1309" w:type="dxa"/>
            <w:tcBorders>
              <w:left w:val="single" w:sz="4" w:space="0" w:color="auto"/>
              <w:right w:val="single" w:sz="4" w:space="0" w:color="auto"/>
            </w:tcBorders>
          </w:tcPr>
          <w:p w:rsidR="00000000" w:rsidRDefault="00000000">
            <w:pPr>
              <w:jc w:val="center"/>
              <w:rPr>
                <w:lang w:val="en-GB"/>
              </w:rPr>
            </w:pPr>
            <w:r>
              <w:rPr>
                <w:lang w:val="en-GB"/>
              </w:rPr>
              <w:t>2</w:t>
            </w:r>
          </w:p>
        </w:tc>
      </w:tr>
      <w:tr w:rsidR="00000000">
        <w:tblPrEx>
          <w:tblCellMar>
            <w:top w:w="0" w:type="dxa"/>
            <w:bottom w:w="0" w:type="dxa"/>
          </w:tblCellMar>
        </w:tblPrEx>
        <w:trPr>
          <w:cantSplit/>
        </w:trPr>
        <w:tc>
          <w:tcPr>
            <w:tcW w:w="2875" w:type="dxa"/>
            <w:tcBorders>
              <w:left w:val="single" w:sz="4" w:space="0" w:color="auto"/>
              <w:right w:val="single" w:sz="4" w:space="0" w:color="auto"/>
            </w:tcBorders>
          </w:tcPr>
          <w:p w:rsidR="00000000" w:rsidRDefault="00000000">
            <w:pPr>
              <w:rPr>
                <w:lang w:val="en-GB"/>
              </w:rPr>
            </w:pPr>
            <w:r>
              <w:t>ПТОЧОП, уровень</w:t>
            </w:r>
            <w:r>
              <w:rPr>
                <w:lang w:val="en-GB"/>
              </w:rPr>
              <w:t xml:space="preserve"> 1/2</w:t>
            </w:r>
          </w:p>
        </w:tc>
        <w:tc>
          <w:tcPr>
            <w:tcW w:w="1683" w:type="dxa"/>
            <w:tcBorders>
              <w:left w:val="single" w:sz="4" w:space="0" w:color="auto"/>
              <w:right w:val="single" w:sz="4" w:space="0" w:color="auto"/>
            </w:tcBorders>
          </w:tcPr>
          <w:p w:rsidR="00000000" w:rsidRDefault="00000000">
            <w:pPr>
              <w:jc w:val="center"/>
              <w:rPr>
                <w:lang w:val="en-GB"/>
              </w:rPr>
            </w:pPr>
            <w:r>
              <w:rPr>
                <w:lang w:val="en-GB"/>
              </w:rPr>
              <w:t>25</w:t>
            </w:r>
          </w:p>
        </w:tc>
        <w:tc>
          <w:tcPr>
            <w:tcW w:w="1683" w:type="dxa"/>
            <w:tcBorders>
              <w:left w:val="single" w:sz="4" w:space="0" w:color="auto"/>
              <w:right w:val="single" w:sz="4" w:space="0" w:color="auto"/>
            </w:tcBorders>
          </w:tcPr>
          <w:p w:rsidR="00000000" w:rsidRDefault="00000000">
            <w:pPr>
              <w:jc w:val="center"/>
              <w:rPr>
                <w:lang w:val="en-GB"/>
              </w:rPr>
            </w:pPr>
            <w:r>
              <w:rPr>
                <w:lang w:val="en-GB"/>
              </w:rPr>
              <w:t>70</w:t>
            </w:r>
          </w:p>
        </w:tc>
        <w:tc>
          <w:tcPr>
            <w:tcW w:w="1683" w:type="dxa"/>
            <w:tcBorders>
              <w:left w:val="single" w:sz="4" w:space="0" w:color="auto"/>
              <w:right w:val="single" w:sz="4" w:space="0" w:color="auto"/>
            </w:tcBorders>
          </w:tcPr>
          <w:p w:rsidR="00000000" w:rsidRDefault="00000000">
            <w:pPr>
              <w:jc w:val="center"/>
              <w:rPr>
                <w:lang w:val="en-GB"/>
              </w:rPr>
            </w:pPr>
            <w:r>
              <w:rPr>
                <w:lang w:val="en-GB"/>
              </w:rPr>
              <w:t>2</w:t>
            </w:r>
          </w:p>
        </w:tc>
        <w:tc>
          <w:tcPr>
            <w:tcW w:w="1309" w:type="dxa"/>
            <w:tcBorders>
              <w:left w:val="single" w:sz="4" w:space="0" w:color="auto"/>
              <w:right w:val="single" w:sz="4" w:space="0" w:color="auto"/>
            </w:tcBorders>
          </w:tcPr>
          <w:p w:rsidR="00000000" w:rsidRDefault="00000000">
            <w:pPr>
              <w:jc w:val="center"/>
              <w:rPr>
                <w:lang w:val="en-GB"/>
              </w:rPr>
            </w:pPr>
            <w:r>
              <w:rPr>
                <w:lang w:val="en-GB"/>
              </w:rPr>
              <w:t>2</w:t>
            </w:r>
          </w:p>
        </w:tc>
      </w:tr>
      <w:tr w:rsidR="00000000">
        <w:tblPrEx>
          <w:tblCellMar>
            <w:top w:w="0" w:type="dxa"/>
            <w:bottom w:w="0" w:type="dxa"/>
          </w:tblCellMar>
        </w:tblPrEx>
        <w:trPr>
          <w:cantSplit/>
        </w:trPr>
        <w:tc>
          <w:tcPr>
            <w:tcW w:w="2875" w:type="dxa"/>
            <w:tcBorders>
              <w:left w:val="single" w:sz="4" w:space="0" w:color="auto"/>
              <w:bottom w:val="single" w:sz="4" w:space="0" w:color="auto"/>
              <w:right w:val="single" w:sz="4" w:space="0" w:color="auto"/>
            </w:tcBorders>
          </w:tcPr>
          <w:p w:rsidR="00000000" w:rsidRDefault="00000000">
            <w:pPr>
              <w:rPr>
                <w:lang w:val="en-GB"/>
              </w:rPr>
            </w:pPr>
            <w:r>
              <w:t>ПТОЧОП, уровень 3/4</w:t>
            </w:r>
          </w:p>
        </w:tc>
        <w:tc>
          <w:tcPr>
            <w:tcW w:w="1683" w:type="dxa"/>
            <w:tcBorders>
              <w:left w:val="single" w:sz="4" w:space="0" w:color="auto"/>
              <w:bottom w:val="single" w:sz="4" w:space="0" w:color="auto"/>
              <w:right w:val="single" w:sz="4" w:space="0" w:color="auto"/>
            </w:tcBorders>
          </w:tcPr>
          <w:p w:rsidR="00000000" w:rsidRDefault="00000000">
            <w:pPr>
              <w:jc w:val="center"/>
              <w:rPr>
                <w:lang w:val="en-GB"/>
              </w:rPr>
            </w:pPr>
            <w:r>
              <w:t xml:space="preserve">  </w:t>
            </w:r>
            <w:r>
              <w:rPr>
                <w:lang w:val="en-GB"/>
              </w:rPr>
              <w:t>9</w:t>
            </w:r>
          </w:p>
        </w:tc>
        <w:tc>
          <w:tcPr>
            <w:tcW w:w="1683" w:type="dxa"/>
            <w:tcBorders>
              <w:left w:val="single" w:sz="4" w:space="0" w:color="auto"/>
              <w:bottom w:val="single" w:sz="4" w:space="0" w:color="auto"/>
              <w:right w:val="single" w:sz="4" w:space="0" w:color="auto"/>
            </w:tcBorders>
          </w:tcPr>
          <w:p w:rsidR="00000000" w:rsidRDefault="00000000">
            <w:pPr>
              <w:jc w:val="center"/>
              <w:rPr>
                <w:lang w:val="en-GB"/>
              </w:rPr>
            </w:pPr>
            <w:r>
              <w:rPr>
                <w:lang w:val="en-GB"/>
              </w:rPr>
              <w:t>88</w:t>
            </w:r>
          </w:p>
        </w:tc>
        <w:tc>
          <w:tcPr>
            <w:tcW w:w="1683" w:type="dxa"/>
            <w:tcBorders>
              <w:left w:val="single" w:sz="4" w:space="0" w:color="auto"/>
              <w:bottom w:val="single" w:sz="4" w:space="0" w:color="auto"/>
              <w:right w:val="single" w:sz="4" w:space="0" w:color="auto"/>
            </w:tcBorders>
          </w:tcPr>
          <w:p w:rsidR="00000000" w:rsidRDefault="00000000">
            <w:pPr>
              <w:jc w:val="center"/>
              <w:rPr>
                <w:lang w:val="en-GB"/>
              </w:rPr>
            </w:pPr>
            <w:r>
              <w:rPr>
                <w:lang w:val="en-GB"/>
              </w:rPr>
              <w:t>1</w:t>
            </w:r>
          </w:p>
        </w:tc>
        <w:tc>
          <w:tcPr>
            <w:tcW w:w="1309" w:type="dxa"/>
            <w:tcBorders>
              <w:left w:val="single" w:sz="4" w:space="0" w:color="auto"/>
              <w:bottom w:val="single" w:sz="4" w:space="0" w:color="auto"/>
              <w:right w:val="single" w:sz="4" w:space="0" w:color="auto"/>
            </w:tcBorders>
          </w:tcPr>
          <w:p w:rsidR="00000000" w:rsidRDefault="00000000">
            <w:pPr>
              <w:jc w:val="center"/>
              <w:rPr>
                <w:lang w:val="en-GB"/>
              </w:rPr>
            </w:pPr>
            <w:r>
              <w:rPr>
                <w:lang w:val="en-GB"/>
              </w:rPr>
              <w:t>2</w:t>
            </w:r>
          </w:p>
        </w:tc>
      </w:tr>
    </w:tbl>
    <w:p w:rsidR="00000000" w:rsidRDefault="00000000">
      <w:pPr>
        <w:rPr>
          <w:lang w:val="en-GB"/>
        </w:rPr>
      </w:pPr>
    </w:p>
    <w:p w:rsidR="00000000" w:rsidRDefault="00000000">
      <w:pPr>
        <w:rPr>
          <w:lang w:val="en-GB"/>
        </w:rPr>
      </w:pPr>
    </w:p>
    <w:p w:rsidR="00000000" w:rsidRDefault="00000000">
      <w:pPr>
        <w:jc w:val="center"/>
        <w:rPr>
          <w:b/>
        </w:rPr>
      </w:pPr>
      <w:r>
        <w:rPr>
          <w:b/>
        </w:rPr>
        <w:t>3.8.1</w:t>
      </w:r>
      <w:r>
        <w:rPr>
          <w:b/>
        </w:rPr>
        <w:tab/>
        <w:t xml:space="preserve">  Право на образование</w:t>
      </w:r>
    </w:p>
    <w:p w:rsidR="00000000" w:rsidRDefault="00000000">
      <w:pPr>
        <w:jc w:val="center"/>
        <w:rPr>
          <w:b/>
        </w:rPr>
      </w:pPr>
    </w:p>
    <w:p w:rsidR="00000000" w:rsidRDefault="00000000">
      <w:r>
        <w:t>456.</w:t>
      </w:r>
      <w:r>
        <w:tab/>
        <w:t xml:space="preserve">Каждый ребенок школьного возраста в Нидерландах имеет законное право на образование.  Нидерланды взяли также на себя соответствующие международные обязательства.  Кроме того, Закон об обязательном образовании возлагает на каждого родителя официальную обязанность обучать своих детей в школе.  Выполнение этой обязанности обеспечивается инспекторами, осуществляющими контроль в вопросах школьной посещаемости.  </w:t>
      </w:r>
    </w:p>
    <w:p w:rsidR="00000000" w:rsidRDefault="00000000"/>
    <w:p w:rsidR="00000000" w:rsidRDefault="00000000">
      <w:r>
        <w:rPr>
          <w:b/>
        </w:rPr>
        <w:t>Обязательное образование</w:t>
      </w:r>
    </w:p>
    <w:p w:rsidR="00000000" w:rsidRDefault="00000000"/>
    <w:p w:rsidR="00000000" w:rsidRDefault="00000000">
      <w:r>
        <w:t>457.</w:t>
      </w:r>
      <w:r>
        <w:tab/>
        <w:t>В соответствии с Законом об обязательном образовании 1969 года дети обязаны посещать школу начиная с первого учебного дня месяца после того, как им исполнилось пять лет;  вместе с тем на практике почти все дети начинают посещать школу с четырех лет.  Очное образование является обязательным до окончания учебного года, в котором данному лицу исполняется 16 лет;  иными словами, любое лицо должно пройти 12</w:t>
      </w:r>
      <w:r>
        <w:noBreakHyphen/>
        <w:t>летний курс обучения.  Лица</w:t>
      </w:r>
      <w:r>
        <w:rPr>
          <w:lang w:val="en-GB"/>
        </w:rPr>
        <w:t xml:space="preserve">, </w:t>
      </w:r>
      <w:r>
        <w:t>покидающие</w:t>
      </w:r>
      <w:r>
        <w:rPr>
          <w:lang w:val="en-GB"/>
        </w:rPr>
        <w:t xml:space="preserve"> </w:t>
      </w:r>
      <w:r>
        <w:t>школу</w:t>
      </w:r>
      <w:r>
        <w:rPr>
          <w:lang w:val="en-GB"/>
        </w:rPr>
        <w:t xml:space="preserve"> </w:t>
      </w:r>
      <w:r>
        <w:t>в</w:t>
      </w:r>
      <w:r>
        <w:rPr>
          <w:lang w:val="en-GB"/>
        </w:rPr>
        <w:t xml:space="preserve"> </w:t>
      </w:r>
      <w:r>
        <w:t>возрасте</w:t>
      </w:r>
      <w:r>
        <w:rPr>
          <w:lang w:val="en-GB"/>
        </w:rPr>
        <w:t xml:space="preserve"> 16 </w:t>
      </w:r>
      <w:r>
        <w:t>лет</w:t>
      </w:r>
      <w:r>
        <w:rPr>
          <w:lang w:val="en-GB"/>
        </w:rPr>
        <w:t xml:space="preserve">, </w:t>
      </w:r>
      <w:r>
        <w:t>обязаны</w:t>
      </w:r>
      <w:r>
        <w:rPr>
          <w:lang w:val="en-GB"/>
        </w:rPr>
        <w:t xml:space="preserve"> </w:t>
      </w:r>
      <w:r>
        <w:t>получить</w:t>
      </w:r>
      <w:r>
        <w:rPr>
          <w:lang w:val="en-GB"/>
        </w:rPr>
        <w:t xml:space="preserve"> </w:t>
      </w:r>
      <w:r>
        <w:t>образование</w:t>
      </w:r>
      <w:r>
        <w:rPr>
          <w:lang w:val="en-GB"/>
        </w:rPr>
        <w:t xml:space="preserve"> </w:t>
      </w:r>
      <w:r>
        <w:t>без</w:t>
      </w:r>
      <w:r>
        <w:rPr>
          <w:lang w:val="en-GB"/>
        </w:rPr>
        <w:t xml:space="preserve"> </w:t>
      </w:r>
      <w:r>
        <w:t>отрыва</w:t>
      </w:r>
      <w:r>
        <w:rPr>
          <w:lang w:val="en-GB"/>
        </w:rPr>
        <w:t xml:space="preserve"> </w:t>
      </w:r>
      <w:r>
        <w:t>от</w:t>
      </w:r>
      <w:r>
        <w:rPr>
          <w:lang w:val="en-GB"/>
        </w:rPr>
        <w:t xml:space="preserve"> </w:t>
      </w:r>
      <w:r>
        <w:t>производства</w:t>
      </w:r>
      <w:r>
        <w:rPr>
          <w:lang w:val="en-GB"/>
        </w:rPr>
        <w:t xml:space="preserve"> </w:t>
      </w:r>
      <w:r>
        <w:t>до</w:t>
      </w:r>
      <w:r>
        <w:rPr>
          <w:lang w:val="en-GB"/>
        </w:rPr>
        <w:t xml:space="preserve"> </w:t>
      </w:r>
      <w:r>
        <w:t>достижения</w:t>
      </w:r>
      <w:r>
        <w:rPr>
          <w:lang w:val="en-GB"/>
        </w:rPr>
        <w:t xml:space="preserve"> </w:t>
      </w:r>
      <w:r>
        <w:t>ими</w:t>
      </w:r>
      <w:r>
        <w:rPr>
          <w:lang w:val="en-GB"/>
        </w:rPr>
        <w:t xml:space="preserve"> 18 </w:t>
      </w:r>
      <w:r>
        <w:t>лет</w:t>
      </w:r>
      <w:r>
        <w:rPr>
          <w:lang w:val="en-GB"/>
        </w:rPr>
        <w:t>.</w:t>
      </w:r>
    </w:p>
    <w:p w:rsidR="00000000" w:rsidRDefault="00000000"/>
    <w:p w:rsidR="00000000" w:rsidRDefault="00000000">
      <w:r>
        <w:t>458.</w:t>
      </w:r>
      <w:r>
        <w:tab/>
        <w:t>В 1994 году в Закон 1969 года были внесены две важные поправки.  Дети, начиная с 12</w:t>
      </w:r>
      <w:r>
        <w:noBreakHyphen/>
        <w:t xml:space="preserve">летнего возраста, которые прогуливают занятия, могут подвергаться наказанию </w:t>
      </w:r>
      <w:r>
        <w:noBreakHyphen/>
        <w:t xml:space="preserve"> от простого предупреждения до штрафа.  Дети в возрасте 14 лет и старше, которые не могут получать очное образование, в будущем имеют право на получение тех или иных видов образования без отрыва от производства.  Это касается, однако, только исключительных случаев.</w:t>
      </w:r>
    </w:p>
    <w:p w:rsidR="00000000" w:rsidRDefault="00000000"/>
    <w:p w:rsidR="00000000" w:rsidRDefault="00000000">
      <w:r>
        <w:t>459.</w:t>
      </w:r>
      <w:r>
        <w:tab/>
        <w:t>Осуществление Закона об обязательном образовании возложено на муниципальные органы, которые также отвечают за соблюдение положений этого Закона государственными и частными школами.  В этой связи от каждого муниципалитета должен назначаться ответственный сотрудник, следящий за тем, чтобы каждый ребенок школьного возраста, зарегистрированный в качестве резидента данного муниципалитета, был зачислен в то или иное учебное заведение.  В мелких муниципалитетах такой сотрудник зачастую выполняет и другие обязанности.</w:t>
      </w:r>
    </w:p>
    <w:p w:rsidR="00000000" w:rsidRDefault="00000000">
      <w:pPr>
        <w:rPr>
          <w:b/>
          <w:bCs/>
        </w:rPr>
      </w:pPr>
    </w:p>
    <w:p w:rsidR="00000000" w:rsidRDefault="00000000">
      <w:pPr>
        <w:jc w:val="center"/>
        <w:rPr>
          <w:b/>
          <w:bCs/>
        </w:rPr>
      </w:pPr>
      <w:r>
        <w:rPr>
          <w:b/>
          <w:bCs/>
        </w:rPr>
        <w:t>3.8.1.1</w:t>
      </w:r>
      <w:r>
        <w:rPr>
          <w:b/>
          <w:bCs/>
        </w:rPr>
        <w:tab/>
        <w:t>Начальное образование</w:t>
      </w:r>
    </w:p>
    <w:p w:rsidR="00000000" w:rsidRDefault="00000000">
      <w:pPr>
        <w:jc w:val="center"/>
        <w:rPr>
          <w:b/>
          <w:bCs/>
        </w:rPr>
      </w:pPr>
    </w:p>
    <w:p w:rsidR="00000000" w:rsidRDefault="00000000">
      <w:r>
        <w:t>460.</w:t>
      </w:r>
      <w:r>
        <w:tab/>
        <w:t>Системой начального образования охвачено 1,6 млн. детей (цифры 2004 года).  За период с момента представления предыдущего доклада в системе начального образования не произошло никаких изменений.</w:t>
      </w:r>
    </w:p>
    <w:p w:rsidR="00000000" w:rsidRDefault="00000000"/>
    <w:p w:rsidR="00000000" w:rsidRDefault="00000000">
      <w:pPr>
        <w:jc w:val="center"/>
        <w:rPr>
          <w:b/>
          <w:bCs/>
        </w:rPr>
      </w:pPr>
      <w:r>
        <w:rPr>
          <w:b/>
          <w:bCs/>
        </w:rPr>
        <w:t>3.8.1.2</w:t>
      </w:r>
      <w:r>
        <w:rPr>
          <w:b/>
          <w:bCs/>
        </w:rPr>
        <w:tab/>
        <w:t>Среднее образование</w:t>
      </w:r>
    </w:p>
    <w:p w:rsidR="00000000" w:rsidRDefault="00000000">
      <w:pPr>
        <w:jc w:val="center"/>
        <w:rPr>
          <w:b/>
          <w:bCs/>
        </w:rPr>
      </w:pPr>
    </w:p>
    <w:p w:rsidR="00000000" w:rsidRDefault="00000000">
      <w:pPr>
        <w:rPr>
          <w:b/>
          <w:bCs/>
        </w:rPr>
      </w:pPr>
      <w:r>
        <w:rPr>
          <w:b/>
          <w:bCs/>
        </w:rPr>
        <w:t>Изменения в системе среднего образования за период 1996-2003 годов</w:t>
      </w:r>
    </w:p>
    <w:p w:rsidR="00000000" w:rsidRDefault="00000000">
      <w:pPr>
        <w:rPr>
          <w:b/>
          <w:bCs/>
        </w:rPr>
      </w:pPr>
    </w:p>
    <w:p w:rsidR="00000000" w:rsidRDefault="00000000">
      <w:r>
        <w:t>461.</w:t>
      </w:r>
      <w:r>
        <w:tab/>
        <w:t>В августе 1999</w:t>
      </w:r>
      <w:r>
        <w:rPr>
          <w:lang w:val="en-US"/>
        </w:rPr>
        <w:t> </w:t>
      </w:r>
      <w:r>
        <w:t xml:space="preserve">года была проведена реорганизация системы общего среднего образования первой ступени и начального трудового воспитания (ОСОП/НТВ) в целях обеспечения более эффективного согласования характера обучения на этом уровне с дальнейшим обучением и трудовой деятельностью.  Созданная в результате этого форма среднего образования, известная как среднее образование с трудовым уклоном (СОТУ), рассчитана на четыре года и является основополагающим курсом, охватывающим как базовое обучение, так и компонент начального трудового воспитания.  Таким образом, СОТУ </w:t>
      </w:r>
      <w:r>
        <w:noBreakHyphen/>
        <w:t xml:space="preserve"> это не конечная ступень;  оно служит основой для дальнейшей профессионально-технической подготовки.  СОТУ ориентировано на учащихся в возрасте от 12 до 16 лет.  Учащиеся выбирают один из четырех различных типов программы (направления обучения), и в рамках этих основных направлений учащимся предоставляется необходимая дополнительная помощь.</w:t>
      </w:r>
    </w:p>
    <w:p w:rsidR="00000000" w:rsidRDefault="00000000"/>
    <w:p w:rsidR="00000000" w:rsidRDefault="00000000">
      <w:r>
        <w:t>462.</w:t>
      </w:r>
      <w:r>
        <w:tab/>
        <w:t>Для учащихся, обладающих достаточными интеллектуальными способностями для получения аттестата СОТУ, но имеющих пробелы в предшествующих уровнях образования или же определенные трудности в учебе или других аспектах, проводятся вспомогательные занятия (ВЗ).  Поскольку такие вспомогательные занятия организуются в зависимости от индивидуальных потребностей учащихся, их продолжительность и форма для различных учащихся может быть разной.  Практическая подготовка является отдельным видом обучения, который не связан с четырьмя вышеуказанными направлениями.  Она рассчитана на учащихся, которые не в состоянии получить аттестат СОТУ даже при наличии специальной вспомогательной поддержки.  В отличие от основных курсов СОТУ практическая подготовка призвана готовить учащихся не к профессионально-техническому обучению, а к непосредственному выходу на региональный рынок труда.</w:t>
      </w:r>
    </w:p>
    <w:p w:rsidR="00000000" w:rsidRDefault="00000000"/>
    <w:p w:rsidR="00000000" w:rsidRDefault="00000000">
      <w:r>
        <w:t>463.</w:t>
      </w:r>
      <w:r>
        <w:tab/>
        <w:t>1 августа 1998 года действие Закона о среднем образовании было распространено на систему специального среднего образования для детей, испытывающих трудности в процессе обучения и имеющих поведенческие проблемы (ССО-ТО/ПП), включая детей с умеренными психическими отклонениями.  С 1 января 1999</w:t>
      </w:r>
      <w:r>
        <w:rPr>
          <w:lang w:val="en-US"/>
        </w:rPr>
        <w:t> </w:t>
      </w:r>
      <w:r>
        <w:t xml:space="preserve">года на школы, осуществляющие обучение по программам СОТУ, и школы, обеспечивающие практическую подготовку, была возложена обязанность взаимодействовать между собой на групповой основе.  Цель этих двух изменений состоит в том, чтобы обеспечить поддержку учащихся, имеющих особые потребности, в рамках общего среднего образования.  В случаях, когда региональный консультативный комитет издает заключение о наличии особых потребностей, школа системы СОТУ, в которую зачислен соответствующий учащийся, получает дополнительные средства.  Кроме того, школы могут требовать дополнительные средства из регионального бюджета для удовлетворения особых потребностей учащихся, в отношении которых не составлено заключения о наличии особых потребностей, но которые тем не менее нуждаются в дополнительной поддержке.  Школы могут использовать все эти ресурсы для оказания поддержки в обучении, в которой нуждаются учащиеся для получения соответствующей квалификации.  Для зачисления в систему практической подготовки учащийся должен прежде всего получить заключение о наличии особых потребностей, которое свидетельствует о том, что данный курс является необходимым для него. </w:t>
      </w:r>
    </w:p>
    <w:p w:rsidR="00000000" w:rsidRDefault="00000000">
      <w:pPr>
        <w:rPr>
          <w:lang w:val="en-US"/>
        </w:rPr>
      </w:pPr>
    </w:p>
    <w:p w:rsidR="00000000" w:rsidRDefault="00000000">
      <w:r>
        <w:t>464.</w:t>
      </w:r>
      <w:r>
        <w:tab/>
        <w:t xml:space="preserve">Вторая ступень среднего образования охватывает четвертый и пятый годы ОСО и четвертый-шестой годы ПУО.  Ее общее название </w:t>
      </w:r>
      <w:r>
        <w:noBreakHyphen/>
        <w:t xml:space="preserve"> доуниверситетское образование (ДУО).  Учащиеся выбирают стандартные наборы предметов, обеспечивающие последовательность обучения.  Имеется четыре таких стандартных набора (наука и техника, наука и медицина, экономика и обществоведение, а также культура и обществоведение).  Каждый набор включает компонент, являющийся общим для всех наборов, специализированный компонент и дополнительный компонент.  Кроме того, среди преподавателей поощряется применение нового подхода, нацеленного на формирование более активного и независимого стиля обучения (известного как "studiehuis").</w:t>
      </w:r>
    </w:p>
    <w:p w:rsidR="00000000" w:rsidRDefault="00000000"/>
    <w:p w:rsidR="00000000" w:rsidRDefault="00000000">
      <w:pPr>
        <w:rPr>
          <w:b/>
          <w:bCs/>
        </w:rPr>
      </w:pPr>
      <w:r>
        <w:rPr>
          <w:b/>
          <w:bCs/>
        </w:rPr>
        <w:t>Дальнейшие изменения</w:t>
      </w:r>
    </w:p>
    <w:p w:rsidR="00000000" w:rsidRDefault="00000000">
      <w:pPr>
        <w:rPr>
          <w:b/>
          <w:bCs/>
        </w:rPr>
      </w:pPr>
    </w:p>
    <w:p w:rsidR="00000000" w:rsidRDefault="00000000">
      <w:r>
        <w:t>465.</w:t>
      </w:r>
      <w:r>
        <w:tab/>
        <w:t>Изменения, начатые в 2003 году, нацелены на обеспечение того, чтобы школы могли более гибко учитывать индивидуальные различия между учащимися, особенно на уровне первой ступени среднего образования.  Школам предоставляется более широкая свобода в акцентировании внимания на тех или иных разделах учебной программы, а учащимся </w:t>
      </w:r>
      <w:r>
        <w:noBreakHyphen/>
        <w:t xml:space="preserve"> свобода в индивидуальном выборе между ними.  Таким образом, свобода выбора существует в пределах всей системы среднего образования.</w:t>
      </w:r>
    </w:p>
    <w:p w:rsidR="00000000" w:rsidRDefault="00000000"/>
    <w:p w:rsidR="00000000" w:rsidRDefault="00000000">
      <w:pPr>
        <w:jc w:val="center"/>
        <w:rPr>
          <w:b/>
          <w:bCs/>
        </w:rPr>
      </w:pPr>
      <w:r>
        <w:rPr>
          <w:b/>
          <w:bCs/>
        </w:rPr>
        <w:t>3.8.1.3</w:t>
      </w:r>
      <w:r>
        <w:rPr>
          <w:b/>
          <w:bCs/>
        </w:rPr>
        <w:tab/>
        <w:t>Высшее образование и базовое образование для взрослых</w:t>
      </w:r>
    </w:p>
    <w:p w:rsidR="00000000" w:rsidRDefault="00000000">
      <w:pPr>
        <w:jc w:val="center"/>
        <w:rPr>
          <w:b/>
          <w:bCs/>
        </w:rPr>
      </w:pPr>
    </w:p>
    <w:p w:rsidR="00000000" w:rsidRDefault="00000000">
      <w:r>
        <w:t>466.</w:t>
      </w:r>
      <w:r>
        <w:tab/>
        <w:t>Учебные заведения системы высшего образования, куда учащиеся принимаются с 18</w:t>
      </w:r>
      <w:r>
        <w:noBreakHyphen/>
        <w:t>летнего возраста, включают учебные заведения системы высшего профессионального образования, университетского образования и открытого университета (высшее заочное образование).  Система высшего профессионального образования (ВПО) предназначена для учащихся, закончивших учебные заведения системы ПУО, ОСО или трехгодичные курсы ПТО.</w:t>
      </w:r>
    </w:p>
    <w:p w:rsidR="00000000" w:rsidRDefault="00000000"/>
    <w:p w:rsidR="00000000" w:rsidRDefault="00000000">
      <w:r>
        <w:t>467.</w:t>
      </w:r>
      <w:r>
        <w:tab/>
        <w:t>В Нидерландах насчитывается 13 университетов.  Большинство программ в рамках высшего профессионального образования рассчитаны на четыре года до получения степени бакалавра, а университетские программы </w:t>
      </w:r>
      <w:r>
        <w:noBreakHyphen/>
        <w:t xml:space="preserve"> на три года до получения степени бакалавра и, как правило, один или (в случае научно-технического профиля) два года до получения степени магистра.  Ряд учебных программ для получения степени магистра в сфере медицины могут быть рассчитаны даже на три года.  По окончании каждого курса сдаются экзамены.  Университеты обеспечивают также подготовку аспирантов, хотя количество мест на таких курсах продолжительностью от одного года до четырех лет.</w:t>
      </w:r>
    </w:p>
    <w:p w:rsidR="00000000" w:rsidRDefault="00000000"/>
    <w:p w:rsidR="00000000" w:rsidRDefault="00000000">
      <w:r>
        <w:t>468.</w:t>
      </w:r>
      <w:r>
        <w:tab/>
        <w:t>Система образования в рамках открытого университета (ОУ) рассчитана на лиц в возрасте 18 лет и старше, которые не могут или не хотят учиться в университете с отрывом от производства.  Для зачисления в открытый университет специальной квалификации не требуется.</w:t>
      </w:r>
    </w:p>
    <w:p w:rsidR="00000000" w:rsidRDefault="00000000"/>
    <w:p w:rsidR="00000000" w:rsidRDefault="00000000">
      <w:r>
        <w:t>469.</w:t>
      </w:r>
      <w:r>
        <w:tab/>
        <w:t>Закон о высшем образовании и исследовательской деятельности предусматривает официальную плату за обучение.  На 2003/04 учебный год ее размер составляет 1 445 евро, и эту сумму должны выплачивать все студенты:</w:t>
      </w:r>
    </w:p>
    <w:p w:rsidR="00000000" w:rsidRDefault="00000000"/>
    <w:p w:rsidR="00000000" w:rsidRDefault="00000000">
      <w:pPr>
        <w:ind w:left="1134" w:hanging="567"/>
      </w:pPr>
      <w:r>
        <w:t>-</w:t>
      </w:r>
      <w:r>
        <w:tab/>
        <w:t>обучающиеся на очных отделениях;</w:t>
      </w:r>
    </w:p>
    <w:p w:rsidR="00000000" w:rsidRDefault="00000000">
      <w:pPr>
        <w:ind w:left="1134" w:hanging="567"/>
      </w:pPr>
    </w:p>
    <w:p w:rsidR="00000000" w:rsidRDefault="00000000">
      <w:pPr>
        <w:ind w:left="1134" w:hanging="567"/>
      </w:pPr>
      <w:r>
        <w:t>-</w:t>
      </w:r>
      <w:r>
        <w:tab/>
        <w:t>в возрасте до 30 лет;</w:t>
      </w:r>
    </w:p>
    <w:p w:rsidR="00000000" w:rsidRDefault="00000000">
      <w:pPr>
        <w:ind w:left="1134" w:hanging="567"/>
      </w:pPr>
    </w:p>
    <w:p w:rsidR="00000000" w:rsidRDefault="00000000">
      <w:pPr>
        <w:ind w:left="1134" w:hanging="567"/>
      </w:pPr>
      <w:r>
        <w:t>-</w:t>
      </w:r>
      <w:r>
        <w:tab/>
        <w:t>постоянно проживающие в одном из государств - членов Европейской экономической зоны.</w:t>
      </w:r>
    </w:p>
    <w:p w:rsidR="00000000" w:rsidRDefault="00000000">
      <w:pPr>
        <w:ind w:left="1134" w:hanging="567"/>
      </w:pPr>
    </w:p>
    <w:p w:rsidR="00000000" w:rsidRDefault="00000000">
      <w:r>
        <w:t>Кроме того, Закон позволяет учебным заведениям устанавливать свою собственную плату за обучение для студентов, обучающихся без отрыва от производства или параллельно в двух учебных заведениях.  Для студентов, обучающихся с отрывом от производства, официальный минимальный размер платы за обучение составляет 1 445 евро, как это указано выше.  Для студентов, обучающихся без отрыва от производства или параллельно в двух учебных заведениях, официальный минимальный размер оплаты составляет 587 евро.</w:t>
      </w:r>
    </w:p>
    <w:p w:rsidR="00000000" w:rsidRDefault="00000000"/>
    <w:p w:rsidR="00000000" w:rsidRDefault="00000000">
      <w:r>
        <w:t>470.</w:t>
      </w:r>
      <w:r>
        <w:tab/>
        <w:t>Цель системы базового образования для взрослых состоит в обеспечении того, чтобы взрослые лица имели возможность приобрести знания, умение и навыки, необходимые им для их личной жизни и жизни в обществе.  Система такого образования имеет три общих направления:  изучение языка, математика и приобретение навыков жизни в обществе.  Неотъемлемой частью базового образования для взрослых является также профессионально-техническая ориентация и профессиональная и социальная деятельность.  Кроме того, каждый человек вправе формулировать собственную программу обучения.</w:t>
      </w:r>
    </w:p>
    <w:p w:rsidR="00000000" w:rsidRDefault="00000000"/>
    <w:p w:rsidR="00000000" w:rsidRDefault="00000000">
      <w:r>
        <w:t>471.</w:t>
      </w:r>
      <w:r>
        <w:tab/>
        <w:t>Существуют также курсы изучения голландского как второго языка.  С 2006 года ответственность за эти курсы будет возложена на Министерстве юстиции.</w:t>
      </w:r>
    </w:p>
    <w:p w:rsidR="00000000" w:rsidRDefault="00000000"/>
    <w:p w:rsidR="00000000" w:rsidRDefault="00000000">
      <w:r>
        <w:t>472.</w:t>
      </w:r>
      <w:r>
        <w:tab/>
        <w:t>Муниципалитеты, действующие на индивидуальной основе или в сотрудничестве друг с другом, отвечают за планирование и организацию системы базового образования для взрослых, а Министерство образования, науки и культуры выделяет для этого необходимые средства.  Учебные заведения, где функционируют соответствующие курсы, могут изыскивать собственные средства путем осуществления контрактной деятельности.  Ассигнования в целом являются небольшими.</w:t>
      </w:r>
    </w:p>
    <w:p w:rsidR="00000000" w:rsidRDefault="00000000"/>
    <w:p w:rsidR="00000000" w:rsidRDefault="00000000">
      <w:r>
        <w:t>473.</w:t>
      </w:r>
      <w:r>
        <w:tab/>
        <w:t>С 1 января 1996 года на систему общего среднего образования для взрослых (ОСОВ) распространено действие Закона об образовании и профессионально-технической подготовке (ОПТП).  Административные механизмы ОСОВ являются такими же, как и в системе базового образования для взрослых.  Система ОСОВ выполняет две функции.  Во</w:t>
      </w:r>
      <w:r>
        <w:noBreakHyphen/>
        <w:t>первых, она предоставляет взрослым повторную возможность получить теоретический аттестат СОТУ (СОТУ</w:t>
      </w:r>
      <w:r>
        <w:noBreakHyphen/>
        <w:t>Т), ОСО или ПУО или же изучить конкретные предметы на этих уровнях.  Во</w:t>
      </w:r>
      <w:r>
        <w:noBreakHyphen/>
        <w:t>вторых, с ее помощью взрослые могут получить знания и навыки, необходимые для дальнейшего образования.  Финансовые средства предоставляются Министерством образования, науки и культуры.  Обучение осуществляется без отрыва от производства в региональных учебных центрах в вечернее или дневное время.  Для зачисления в систему ОСОВ кандидаты должны пройти обязательную школьную программу и удовлетворять конкретным требованиям в зависимости от типа обучения.</w:t>
      </w:r>
    </w:p>
    <w:p w:rsidR="00000000" w:rsidRDefault="00000000"/>
    <w:p w:rsidR="00000000" w:rsidRDefault="00000000">
      <w:pPr>
        <w:jc w:val="center"/>
        <w:rPr>
          <w:b/>
          <w:bCs/>
        </w:rPr>
      </w:pPr>
      <w:r>
        <w:rPr>
          <w:b/>
          <w:bCs/>
        </w:rPr>
        <w:t>3.8.1.4</w:t>
      </w:r>
      <w:r>
        <w:rPr>
          <w:b/>
          <w:bCs/>
        </w:rPr>
        <w:tab/>
        <w:t>Охват образованием взрослых с низким базовым</w:t>
      </w:r>
    </w:p>
    <w:p w:rsidR="00000000" w:rsidRDefault="00000000">
      <w:pPr>
        <w:jc w:val="center"/>
        <w:rPr>
          <w:b/>
          <w:bCs/>
        </w:rPr>
      </w:pPr>
      <w:r>
        <w:rPr>
          <w:b/>
          <w:bCs/>
        </w:rPr>
        <w:tab/>
        <w:t>образованием или без него</w:t>
      </w:r>
    </w:p>
    <w:p w:rsidR="00000000" w:rsidRDefault="00000000">
      <w:pPr>
        <w:jc w:val="center"/>
        <w:rPr>
          <w:b/>
          <w:bCs/>
        </w:rPr>
      </w:pPr>
    </w:p>
    <w:p w:rsidR="00000000" w:rsidRDefault="00000000">
      <w:r>
        <w:t>474.</w:t>
      </w:r>
      <w:r>
        <w:tab/>
        <w:t>Многие люди имеют скрытые знания и умения, которые они не могут продемонстрировать, например, по причине отсутствия соответствующей формальной квалификации.  В результате этого такие способности остаются непризнанными и неподтвержденными.  Процедура аккредитации предшествующего обучения и опыта (АПОО) позволяет выявлять эти способности на благо самого человека и общества в целом.</w:t>
      </w:r>
    </w:p>
    <w:p w:rsidR="00000000" w:rsidRDefault="00000000"/>
    <w:p w:rsidR="00000000" w:rsidRDefault="00000000">
      <w:pPr>
        <w:rPr>
          <w:b/>
          <w:bCs/>
        </w:rPr>
      </w:pPr>
      <w:r>
        <w:rPr>
          <w:b/>
          <w:bCs/>
        </w:rPr>
        <w:t>Аккредитация предшествующего обучения и опыта</w:t>
      </w:r>
    </w:p>
    <w:p w:rsidR="00000000" w:rsidRDefault="00000000">
      <w:pPr>
        <w:rPr>
          <w:b/>
          <w:bCs/>
        </w:rPr>
      </w:pPr>
    </w:p>
    <w:p w:rsidR="00000000" w:rsidRDefault="00000000">
      <w:r>
        <w:t>475.</w:t>
      </w:r>
      <w:r>
        <w:tab/>
        <w:t>В течение своей жизни люди приобретают большой объем знаний и умений, которые остаются непризнанными и неиспользованными на рынке труда, а следовательно, потерянными для экономики.  В условиях экономики, требующей высокого уровня знаний, важно, чтобы все способности использовались в полном объеме.  В своем докладе "Making Lifelong Learning Work" ("Обеспечение эффективности обучения на протяжении всей жизни") Совет по вопросам образования приходит к заключению, что независимая аттестация способностей может иметь актуальное значение для стимулирования обучения на протяжении всей жизни в нескольких аспектах.  Помимо ее важного значения для рынка труда, такая аккредитация важна и для самого человека.  Она стимулирует людей к обучению и является затратоэффективной.  Таким образом, АПОО служит важным инструментом в процессе постоянного личного развития взрослых.</w:t>
      </w:r>
    </w:p>
    <w:p w:rsidR="00000000" w:rsidRDefault="00000000"/>
    <w:p w:rsidR="00000000" w:rsidRDefault="00000000">
      <w:r>
        <w:t>476.</w:t>
      </w:r>
      <w:r>
        <w:tab/>
        <w:t>Важным каналом выявления способностей является механизм "Европасс".  Предполагается, что в 2005 году он будет внедрен во всех государствах - членах ЕС.  Это повысит уровень мобильности на международном рынке труда.  Данный механизм объединяет ряд существующих документов, предусматривающих аккредитацию способностей и умений, приобретенных на основе практического опыта, таких, как "European CV" ("Европейская биографическая справка") и " European Language Portfolio" ("Европейский языковой портфель").  Он также обеспечивает взаимодействие различных сетей, в том числе сетей "Еврогайденс" и "ЕВРЕЗ".  Этот механизм был разработан непосредственно в свете европейских целей в области развития системы обучения на протяжении всей жизни.</w:t>
      </w:r>
    </w:p>
    <w:p w:rsidR="00000000" w:rsidRDefault="00000000"/>
    <w:p w:rsidR="00000000" w:rsidRDefault="00000000">
      <w:pPr>
        <w:rPr>
          <w:b/>
          <w:bCs/>
        </w:rPr>
      </w:pPr>
      <w:r>
        <w:rPr>
          <w:b/>
          <w:bCs/>
        </w:rPr>
        <w:t>Молодежь, не имеющая базовой квалификации</w:t>
      </w:r>
    </w:p>
    <w:p w:rsidR="00000000" w:rsidRDefault="00000000">
      <w:pPr>
        <w:rPr>
          <w:b/>
          <w:bCs/>
        </w:rPr>
      </w:pPr>
    </w:p>
    <w:p w:rsidR="00000000" w:rsidRDefault="00000000">
      <w:r>
        <w:t>477.</w:t>
      </w:r>
      <w:r>
        <w:tab/>
        <w:t>Молодежь, покидающая школы без какой-либо базовой квалификации для выхода на рынок труда, нуждается в гибких программах, позволяющих сочетать работу и учебу, в поддержке со стороны всех служб, занимающихся оказанием содействия молодежи, а также в профессиональной консультативной помощи, которая позволила бы заинтересовать их в продолжении обучения.  Правительство работает над этим в рамках Плана действий по борьбе с безработицей среди молодежи и Операции "Молодежь".  В основу всех этих усилий положен принцип, согласно которому молодые люди, относящиеся к этой категории, должны в любой момент иметь возможность получить средства для ее интеграции в систему общего образования, с тем чтобы приобрести формальную базовую квалификацию.  Новая система приобретения квалификационных навыков, включающая возможность широкой профессионально-технической подготовки до уровня ассистента, открывает широкие перспективы для организации необходимого соответствующего обучения с учетом индивидуальных потребностей.</w:t>
      </w:r>
    </w:p>
    <w:p w:rsidR="00000000" w:rsidRDefault="00000000"/>
    <w:p w:rsidR="00000000" w:rsidRDefault="00000000">
      <w:r>
        <w:t>478.</w:t>
      </w:r>
      <w:r>
        <w:tab/>
        <w:t>В 2007 году количество мест, которые позволят молодым безработным сочетать работу и обучение, будет на 40 000 больше, чем в 2003 году.</w:t>
      </w:r>
    </w:p>
    <w:p w:rsidR="00000000" w:rsidRDefault="00000000"/>
    <w:p w:rsidR="00000000" w:rsidRDefault="00000000">
      <w:pPr>
        <w:rPr>
          <w:b/>
          <w:bCs/>
        </w:rPr>
      </w:pPr>
      <w:r>
        <w:rPr>
          <w:b/>
          <w:bCs/>
        </w:rPr>
        <w:t>Иммигранты и работники, не имеющие базовой квалификации</w:t>
      </w:r>
    </w:p>
    <w:p w:rsidR="00000000" w:rsidRDefault="00000000">
      <w:pPr>
        <w:rPr>
          <w:b/>
          <w:bCs/>
        </w:rPr>
      </w:pPr>
    </w:p>
    <w:p w:rsidR="00000000" w:rsidRDefault="00000000">
      <w:r>
        <w:t>479.</w:t>
      </w:r>
      <w:r>
        <w:tab/>
        <w:t>Иммигранты и работники или безработные, не имеющие базовой квалификации для выхода на рынок труда, нуждаются в совершенствовании базовых навыков и, соответственно, в улучшении перспектив трудоустройства.  В соответствии с рекомендациями, содержащимися в докладах Социального и экономического совета (СЭС)</w:t>
      </w:r>
      <w:r>
        <w:rPr>
          <w:b/>
          <w:bCs/>
          <w:vertAlign w:val="superscript"/>
        </w:rPr>
        <w:t>16</w:t>
      </w:r>
      <w:r>
        <w:t xml:space="preserve"> и Совета по вопросам труда и доходов (СТД)</w:t>
      </w:r>
      <w:r>
        <w:rPr>
          <w:b/>
          <w:bCs/>
          <w:vertAlign w:val="superscript"/>
        </w:rPr>
        <w:t>17</w:t>
      </w:r>
      <w:r>
        <w:t>, в документе с изложением политики правительства по вопросу о сочетании обучения и работы, который должен быть представлен министром социальных дел и по вопросам занятости в Палату представителей в начале 2005 года, будет рассмотрена возможность использования двойных учебных курсов как для коренного населения страны, так и конкретно для иммигрантов, стремящихся интегрироваться в голландское общество, а также для других людей, нуждающихся в образовании и профессиональной подготовке для целей долгосрочного участия в трудовой деятельности.</w:t>
      </w:r>
    </w:p>
    <w:p w:rsidR="00000000" w:rsidRDefault="00000000"/>
    <w:p w:rsidR="00000000" w:rsidRDefault="00000000">
      <w:r>
        <w:t>480.</w:t>
      </w:r>
      <w:r>
        <w:tab/>
        <w:t>Нынешнее правительство проводит более жесткую политику в отношении вновь прибывших и уже обосновавшихся иммигрантов, чем это было в прошлом.  Министр по делам интеграции и иммиграции описал предлагаемую новую систему обеспечения социальной интеграции этнических меньшинств в соответствующем программном документе.  В этом документе излагается теоретическая основа для всестороннего пересмотра Закона 1998 года об интеграции вновь прибывших иммигрантов.  Основные элементы этого программного документа состоят в том, что он обязывает большинство вновь прибывших иммигрантов посещать (и оплачивать) учебные курсы и вводит обязательный процесс интеграции для иммигрантов, уже обосновавшихся в стране.  В рамках этой последней категории первоочередное внимание уделяется лицам, по</w:t>
      </w:r>
      <w:r>
        <w:noBreakHyphen/>
        <w:t>прежнему недостаточно владеющим голландским языком и получающим пособие, зависящее от их готовности работать, а также женщинам, находящимся в неблагоприятном положении.  Комбинированные интеграционные курсы для вновь прибывших и уже обосновавшихся иммигрантов, предложенные в программном документе, в настоящее время организованы на экспериментальной основе в шести муниципалитетах.  Это дает возможность накопить соответствующий опыт и выявить любые проблемы, связанные с такими курсами и с Законом о труде и социальной помощи (Wet Werk en Bijstand, который с 1 января 2004 года заменит Закон о национальной помощи).</w:t>
      </w:r>
    </w:p>
    <w:p w:rsidR="00000000" w:rsidRDefault="00000000"/>
    <w:p w:rsidR="00000000" w:rsidRDefault="00000000">
      <w:pPr>
        <w:keepNext/>
        <w:jc w:val="center"/>
        <w:rPr>
          <w:b/>
          <w:bCs/>
        </w:rPr>
      </w:pPr>
      <w:r>
        <w:rPr>
          <w:b/>
          <w:bCs/>
        </w:rPr>
        <w:t>3.8.2</w:t>
      </w:r>
      <w:r>
        <w:rPr>
          <w:b/>
          <w:bCs/>
        </w:rPr>
        <w:tab/>
        <w:t xml:space="preserve">  Данные об уровне грамотности и меры по борьбе</w:t>
      </w:r>
    </w:p>
    <w:p w:rsidR="00000000" w:rsidRDefault="00000000">
      <w:pPr>
        <w:keepNext/>
        <w:jc w:val="center"/>
        <w:rPr>
          <w:b/>
          <w:bCs/>
        </w:rPr>
      </w:pPr>
      <w:r>
        <w:rPr>
          <w:b/>
          <w:bCs/>
        </w:rPr>
        <w:t>с неграмотностью</w:t>
      </w:r>
    </w:p>
    <w:p w:rsidR="00000000" w:rsidRDefault="00000000">
      <w:pPr>
        <w:keepNext/>
        <w:jc w:val="center"/>
        <w:rPr>
          <w:b/>
          <w:bCs/>
        </w:rPr>
      </w:pPr>
    </w:p>
    <w:p w:rsidR="00000000" w:rsidRDefault="00000000">
      <w:pPr>
        <w:keepNext/>
      </w:pPr>
      <w:r>
        <w:rPr>
          <w:b/>
          <w:bCs/>
        </w:rPr>
        <w:t>Меры по борьбе с неграмотностью</w:t>
      </w:r>
    </w:p>
    <w:p w:rsidR="00000000" w:rsidRDefault="00000000">
      <w:pPr>
        <w:keepNext/>
      </w:pPr>
    </w:p>
    <w:p w:rsidR="00000000" w:rsidRDefault="00000000">
      <w:r>
        <w:t>481.</w:t>
      </w:r>
      <w:r>
        <w:tab/>
        <w:t xml:space="preserve">В последние годы был выявлен значительный уровень неграмотности среди коренного населения Нидерландов.  Коренным гражданам страны, по всей видимости, не уделялось должного внимания, поскольку усилия муниципалитетов и региональных учебных центров были сосредоточены на обеспечении грамотности среди иммигрантов.  Согласно оценкам, среди коренного населения Нидерландов сегодня насчитывается 250 000 "действительно" неграмотных.  Они составляют подгруппу из 1,3 млн. голландцев, которые согласно </w:t>
      </w:r>
      <w:r>
        <w:rPr>
          <w:i/>
          <w:iCs/>
        </w:rPr>
        <w:t xml:space="preserve">Международному обследованию уровней грамотности среди взрослого населения </w:t>
      </w:r>
      <w:r>
        <w:t>(МОГВ), опубликованному ОЭСР в 2000 году, являются функционально неграмотными.  Нидерланды занимают довольно неплохую позицию по уровню грамотности в мире (пятое место по классификации МОГВ), однако для сохранения этой позиции нужно будет сократить число неграмотных среди коренного населения.  Цель состоит в том, чтобы в ближайшие несколько лет добиться существенного увеличения численности посещающих курсы обеспечения базовой грамотности и/или счету, которая повысилась на 10% в 2003 году, а последующие цели будут намечены на основе первоначальных результатов кампании, начатой в 2002 году.</w:t>
      </w:r>
    </w:p>
    <w:p w:rsidR="00000000" w:rsidRDefault="00000000"/>
    <w:p w:rsidR="00000000" w:rsidRDefault="00000000">
      <w:r>
        <w:t>482.</w:t>
      </w:r>
      <w:r>
        <w:tab/>
        <w:t>Для того, чтобы добиться этого, в 2002 году в тесной консультации с Союзом голландских местных органов власти (СГМОВ) и Голландским советом по вопросам профессионально-технического обучения и подготовки и образования для взрослых (ГСПТПОВ) был разработан план действий по обеспечению грамотности для коренных граждан Нидерландов.  Процесс разработки преследовал две основные цели:</w:t>
      </w:r>
    </w:p>
    <w:p w:rsidR="00000000" w:rsidRDefault="00000000"/>
    <w:p w:rsidR="00000000" w:rsidRDefault="00000000">
      <w:pPr>
        <w:numPr>
          <w:ilvl w:val="0"/>
          <w:numId w:val="203"/>
        </w:numPr>
        <w:tabs>
          <w:tab w:val="left" w:pos="2268"/>
        </w:tabs>
        <w:ind w:left="1134"/>
      </w:pPr>
      <w:r>
        <w:t>спланировать и провести информационно-пропагандистскую кампанию;</w:t>
      </w:r>
    </w:p>
    <w:p w:rsidR="00000000" w:rsidRDefault="00000000">
      <w:pPr>
        <w:ind w:left="1134" w:hanging="567"/>
      </w:pPr>
    </w:p>
    <w:p w:rsidR="00000000" w:rsidRDefault="00000000">
      <w:pPr>
        <w:numPr>
          <w:ilvl w:val="0"/>
          <w:numId w:val="203"/>
        </w:numPr>
        <w:tabs>
          <w:tab w:val="left" w:pos="2268"/>
        </w:tabs>
        <w:ind w:left="1134"/>
      </w:pPr>
      <w:r>
        <w:t>составить многолетний план действий на 2003-2006 годы.</w:t>
      </w:r>
    </w:p>
    <w:p w:rsidR="00000000" w:rsidRDefault="00000000">
      <w:pPr>
        <w:tabs>
          <w:tab w:val="clear" w:pos="1134"/>
        </w:tabs>
        <w:ind w:left="1134" w:hanging="567"/>
      </w:pPr>
    </w:p>
    <w:p w:rsidR="00000000" w:rsidRDefault="00000000">
      <w:r>
        <w:t>Кампания была начата в сентябре 2002 года и - в зависимости от того, какие результаты будут получены к осени 2003 года, - может быть продолжена в 2004 году.  Она нацелена на то, чтобы информировать неграмотных представителей коренного населения Нидерландов о возможности посещения бесплатных курсов ликвидации неграмотности (финансируемых из средств муниципального бюджета на цели организации и обучения для взрослых) на базе региональных учебных центров и обеспечить наличие достаточного количества мест на таких курсах.</w:t>
      </w:r>
    </w:p>
    <w:p w:rsidR="00000000" w:rsidRDefault="00000000"/>
    <w:p w:rsidR="00000000" w:rsidRDefault="00000000">
      <w:r>
        <w:t>483.</w:t>
      </w:r>
      <w:r>
        <w:tab/>
        <w:t>Первоначально кампания проводилась через национальные средства массовой информации.  С лета 2003 года и далее в течение 2004 года акцент будет постепенно смещаться в сторону практических региональных инициатив.  В декабре 2002 года многолетний план был направлен в Палату представителей.</w:t>
      </w:r>
    </w:p>
    <w:p w:rsidR="00000000" w:rsidRDefault="00000000"/>
    <w:p w:rsidR="00000000" w:rsidRDefault="00000000">
      <w:r>
        <w:t>484.</w:t>
      </w:r>
      <w:r>
        <w:tab/>
        <w:t>Помимо анализа материалов международных обследований (МОГВ и АЛЛ), исключительно важное значение будет иметь контроль за результативностью вышеуказанной кампании.  Будет проведен обзор посещаемости курсов за 2001</w:t>
      </w:r>
      <w:r>
        <w:noBreakHyphen/>
        <w:t>2002 учебный год, и его результаты будут сопоставлены с результатами повторного обзора за 2002-2003 годы, с тем чтобы осенью 2003 года можно было подготовить решение в отношении мер для включения в многолетний план на период с 2004 года.  В 2004 году на эти цели будет выделена сумма в размере 0,4 млн. евро.</w:t>
      </w:r>
    </w:p>
    <w:p w:rsidR="00000000" w:rsidRDefault="00000000"/>
    <w:p w:rsidR="00000000" w:rsidRDefault="00000000">
      <w:pPr>
        <w:jc w:val="center"/>
        <w:rPr>
          <w:b/>
          <w:bCs/>
          <w:lang w:val="en-US"/>
        </w:rPr>
      </w:pPr>
      <w:r>
        <w:rPr>
          <w:b/>
          <w:bCs/>
        </w:rPr>
        <w:t>3.8.3</w:t>
      </w:r>
      <w:r>
        <w:rPr>
          <w:b/>
          <w:bCs/>
        </w:rPr>
        <w:tab/>
        <w:t xml:space="preserve">  Государственные расходы (основные статистические</w:t>
      </w:r>
    </w:p>
    <w:p w:rsidR="00000000" w:rsidRDefault="00000000">
      <w:pPr>
        <w:jc w:val="center"/>
        <w:rPr>
          <w:b/>
          <w:bCs/>
        </w:rPr>
      </w:pPr>
      <w:r>
        <w:rPr>
          <w:b/>
          <w:bCs/>
        </w:rPr>
        <w:t>данные и показатели)</w:t>
      </w:r>
    </w:p>
    <w:p w:rsidR="00000000" w:rsidRDefault="00000000">
      <w:pPr>
        <w:jc w:val="center"/>
        <w:rPr>
          <w:b/>
          <w:bCs/>
        </w:rPr>
      </w:pPr>
    </w:p>
    <w:p w:rsidR="00000000" w:rsidRDefault="00000000">
      <w:r>
        <w:t>485.</w:t>
      </w:r>
      <w:r>
        <w:tab/>
        <w:t>На диаграммах 2 и 3 показаны расходы Министерства образования, науки и культуры.</w:t>
      </w:r>
    </w:p>
    <w:p w:rsidR="00000000" w:rsidRDefault="00000000"/>
    <w:p w:rsidR="00000000" w:rsidRDefault="00000000">
      <w:pPr>
        <w:keepNext/>
        <w:spacing w:line="216" w:lineRule="auto"/>
        <w:jc w:val="center"/>
        <w:rPr>
          <w:b/>
          <w:bCs/>
        </w:rPr>
      </w:pPr>
      <w:r>
        <w:rPr>
          <w:b/>
          <w:bCs/>
        </w:rPr>
        <w:br w:type="page"/>
        <w:t>Диаграмма 2</w:t>
      </w:r>
    </w:p>
    <w:p w:rsidR="00000000" w:rsidRDefault="00000000">
      <w:pPr>
        <w:keepNext/>
        <w:spacing w:line="216" w:lineRule="auto"/>
        <w:jc w:val="center"/>
        <w:rPr>
          <w:b/>
          <w:bCs/>
        </w:rPr>
      </w:pPr>
    </w:p>
    <w:p w:rsidR="00000000" w:rsidRDefault="00000000">
      <w:pPr>
        <w:keepNext/>
        <w:spacing w:line="216" w:lineRule="auto"/>
        <w:jc w:val="center"/>
        <w:rPr>
          <w:b/>
          <w:bCs/>
        </w:rPr>
      </w:pPr>
      <w:r>
        <w:rPr>
          <w:b/>
          <w:bCs/>
        </w:rPr>
        <w:t>Процентная доля чистых расходов Министерства образования,</w:t>
      </w:r>
      <w:r>
        <w:rPr>
          <w:b/>
          <w:bCs/>
        </w:rPr>
        <w:br/>
        <w:t>науки и культуры в общем объеме ВВП</w:t>
      </w:r>
    </w:p>
    <w:p w:rsidR="00000000" w:rsidRDefault="00000000">
      <w:pPr>
        <w:keepNext/>
        <w:spacing w:line="216" w:lineRule="auto"/>
        <w:jc w:val="center"/>
      </w:pPr>
      <w:r>
        <w:rPr>
          <w:noProof/>
          <w:sz w:val="20"/>
          <w:lang w:eastAsia="ru-RU"/>
        </w:rPr>
        <w:pict>
          <v:shape id="_x0000_s1032" type="#_x0000_t75" style="position:absolute;left:0;text-align:left;margin-left:65.45pt;margin-top:16.6pt;width:330pt;height:212.25pt;z-index:3;visibility:visible;mso-wrap-edited:f">
            <v:imagedata r:id="rId22" o:title=""/>
            <w10:wrap type="topAndBottom"/>
          </v:shape>
          <o:OLEObject Type="Embed" ProgID="Word.Picture.8" ShapeID="_x0000_s1032" DrawAspect="Content" ObjectID="_1394892823" r:id="rId23"/>
        </w:pict>
      </w:r>
    </w:p>
    <w:p w:rsidR="00000000" w:rsidRDefault="00000000">
      <w:pPr>
        <w:keepNext/>
        <w:ind w:left="567"/>
        <w:jc w:val="center"/>
      </w:pPr>
    </w:p>
    <w:p w:rsidR="00000000" w:rsidRDefault="00000000">
      <w:pPr>
        <w:keepNext/>
        <w:tabs>
          <w:tab w:val="clear" w:pos="2268"/>
          <w:tab w:val="left" w:pos="3234"/>
        </w:tabs>
        <w:spacing w:line="240" w:lineRule="auto"/>
        <w:ind w:left="1134" w:firstLine="567"/>
        <w:rPr>
          <w:lang w:val="en-GB"/>
        </w:rPr>
      </w:pPr>
      <w:r>
        <w:rPr>
          <w:i/>
          <w:iCs/>
        </w:rPr>
        <w:t>Источник</w:t>
      </w:r>
      <w:r>
        <w:rPr>
          <w:b/>
          <w:i/>
          <w:iCs/>
          <w:lang w:val="en-GB"/>
        </w:rPr>
        <w:t xml:space="preserve">:  </w:t>
      </w:r>
      <w:r>
        <w:rPr>
          <w:lang w:val="en-GB"/>
        </w:rPr>
        <w:t>Key Figures for Education, Culture and Science in the Netherlands 1999-2003.</w:t>
      </w:r>
    </w:p>
    <w:p w:rsidR="00000000" w:rsidRDefault="00000000">
      <w:pPr>
        <w:rPr>
          <w:lang w:val="en-GB"/>
        </w:rPr>
      </w:pPr>
    </w:p>
    <w:p w:rsidR="00000000" w:rsidRDefault="00000000">
      <w:pPr>
        <w:pStyle w:val="Heading1"/>
        <w:spacing w:line="216" w:lineRule="auto"/>
        <w:jc w:val="center"/>
        <w:rPr>
          <w:b w:val="0"/>
        </w:rPr>
      </w:pPr>
      <w:r>
        <w:t>Диаграмма 3</w:t>
      </w:r>
    </w:p>
    <w:p w:rsidR="00000000" w:rsidRDefault="00000000">
      <w:pPr>
        <w:pStyle w:val="Heading1"/>
        <w:spacing w:line="216" w:lineRule="auto"/>
        <w:jc w:val="center"/>
        <w:rPr>
          <w:b w:val="0"/>
        </w:rPr>
      </w:pPr>
    </w:p>
    <w:p w:rsidR="00000000" w:rsidRDefault="00000000">
      <w:pPr>
        <w:keepNext/>
        <w:spacing w:line="216" w:lineRule="auto"/>
        <w:jc w:val="center"/>
        <w:rPr>
          <w:b/>
          <w:bCs/>
        </w:rPr>
      </w:pPr>
      <w:r>
        <w:rPr>
          <w:b/>
          <w:bCs/>
        </w:rPr>
        <w:t xml:space="preserve">Расходы Министерства образования, науки и культуры на одного учащегося по типам образования, в текущих ценах, </w:t>
      </w:r>
      <w:proofErr w:type="spellStart"/>
      <w:r>
        <w:rPr>
          <w:b/>
          <w:bCs/>
        </w:rPr>
        <w:t>евро</w:t>
      </w:r>
      <w:proofErr w:type="spellEnd"/>
    </w:p>
    <w:p w:rsidR="00000000" w:rsidRDefault="00000000">
      <w:pPr>
        <w:pStyle w:val="Header"/>
        <w:tabs>
          <w:tab w:val="clear" w:pos="4153"/>
          <w:tab w:val="clear" w:pos="8306"/>
          <w:tab w:val="left" w:pos="567"/>
          <w:tab w:val="left" w:pos="1134"/>
          <w:tab w:val="left" w:pos="1701"/>
          <w:tab w:val="left" w:pos="2268"/>
          <w:tab w:val="left" w:pos="2758"/>
        </w:tabs>
        <w:spacing w:line="216" w:lineRule="auto"/>
        <w:ind w:left="567" w:hanging="567"/>
        <w:rPr>
          <w:lang w:val="en-GB"/>
        </w:rPr>
      </w:pPr>
      <w:r>
        <w:rPr>
          <w:noProof/>
          <w:sz w:val="20"/>
          <w:lang w:eastAsia="ru-RU"/>
        </w:rPr>
        <w:pict>
          <v:shape id="_x0000_s1033" type="#_x0000_t75" style="position:absolute;left:0;text-align:left;margin-left:0;margin-top:0;width:345pt;height:218.3pt;z-index:4;visibility:visible;mso-wrap-edited:f;mso-position-horizontal:center">
            <v:imagedata r:id="rId24" o:title=""/>
            <w10:wrap type="topAndBottom"/>
          </v:shape>
          <o:OLEObject Type="Embed" ProgID="Word.Picture.8" ShapeID="_x0000_s1033" DrawAspect="Content" ObjectID="_1394892824" r:id="rId25"/>
        </w:pict>
      </w:r>
      <w:r>
        <w:rPr>
          <w:i/>
          <w:iCs/>
          <w:lang w:val="en-GB"/>
        </w:rPr>
        <w:tab/>
      </w:r>
      <w:r>
        <w:rPr>
          <w:i/>
          <w:iCs/>
          <w:lang w:val="en-GB"/>
        </w:rPr>
        <w:tab/>
      </w:r>
      <w:r>
        <w:rPr>
          <w:i/>
          <w:iCs/>
        </w:rPr>
        <w:t>Источник</w:t>
      </w:r>
      <w:r>
        <w:rPr>
          <w:b/>
          <w:lang w:val="en-GB"/>
        </w:rPr>
        <w:t xml:space="preserve">:  </w:t>
      </w:r>
      <w:r>
        <w:rPr>
          <w:lang w:val="en-GB"/>
        </w:rPr>
        <w:t>Key Figures for Education, Culture and Science in the Netherlands 1999</w:t>
      </w:r>
      <w:r>
        <w:rPr>
          <w:lang w:val="en-GB"/>
        </w:rPr>
        <w:noBreakHyphen/>
        <w:t>2003.</w:t>
      </w:r>
    </w:p>
    <w:p w:rsidR="00000000" w:rsidRDefault="00000000">
      <w:pPr>
        <w:ind w:left="567" w:hanging="567"/>
        <w:rPr>
          <w:lang w:val="en-GB"/>
        </w:rPr>
      </w:pPr>
    </w:p>
    <w:p w:rsidR="00000000" w:rsidRDefault="00000000">
      <w:r>
        <w:t>486.</w:t>
      </w:r>
      <w:r>
        <w:tab/>
        <w:t>Процентная доля фактических годовых расходов на образование (включая финансовую помощь студентам) в общем объеме чистых расходов Министерства образования, науки и культуры в 2000-2002 годах:</w:t>
      </w:r>
    </w:p>
    <w:p w:rsidR="00000000" w:rsidRDefault="00000000"/>
    <w:p w:rsidR="00000000" w:rsidRDefault="00000000">
      <w:pPr>
        <w:ind w:left="851"/>
      </w:pPr>
      <w:r>
        <w:t>1999 год:</w:t>
      </w:r>
      <w:r>
        <w:tab/>
        <w:t>79,6 %</w:t>
      </w:r>
      <w:r>
        <w:br/>
        <w:t>2000 год:</w:t>
      </w:r>
      <w:r>
        <w:tab/>
        <w:t>81,5 %</w:t>
      </w:r>
      <w:r>
        <w:br/>
        <w:t>2001 год:</w:t>
      </w:r>
      <w:r>
        <w:tab/>
        <w:t>81,6 %</w:t>
      </w:r>
      <w:r>
        <w:br/>
        <w:t>2002 год:</w:t>
      </w:r>
      <w:r>
        <w:tab/>
        <w:t>81,1 %</w:t>
      </w:r>
      <w:r>
        <w:br/>
        <w:t>2003 год:</w:t>
      </w:r>
      <w:r>
        <w:tab/>
        <w:t>81,9 %</w:t>
      </w:r>
    </w:p>
    <w:p w:rsidR="00000000" w:rsidRDefault="00000000">
      <w:pPr>
        <w:ind w:left="851"/>
      </w:pPr>
    </w:p>
    <w:p w:rsidR="00000000" w:rsidRDefault="00000000">
      <w:r>
        <w:rPr>
          <w:i/>
          <w:iCs/>
        </w:rPr>
        <w:tab/>
        <w:t>Примечание</w:t>
      </w:r>
      <w:r>
        <w:t xml:space="preserve">:  Приведенные цифры отражают чистые расходы на образование;  остальные расходы Министерства образования, науки и культуры связаны с культурной деятельностью, научной политикой, университетскими исследованиями и медицинским обслуживанием в университетах.  </w:t>
      </w:r>
    </w:p>
    <w:p w:rsidR="00000000" w:rsidRDefault="00000000"/>
    <w:p w:rsidR="00000000" w:rsidRDefault="00000000">
      <w:pPr>
        <w:keepNext/>
        <w:rPr>
          <w:b/>
          <w:bCs/>
        </w:rPr>
      </w:pPr>
      <w:r>
        <w:rPr>
          <w:b/>
          <w:bCs/>
        </w:rPr>
        <w:t>Строительство</w:t>
      </w:r>
    </w:p>
    <w:p w:rsidR="00000000" w:rsidRDefault="00000000">
      <w:pPr>
        <w:keepNext/>
        <w:rPr>
          <w:b/>
          <w:bCs/>
        </w:rPr>
      </w:pPr>
    </w:p>
    <w:p w:rsidR="00000000" w:rsidRDefault="00000000">
      <w:r>
        <w:t>487.</w:t>
      </w:r>
      <w:r>
        <w:tab/>
        <w:t>В секторах начального и среднего образования финансирование учебной базы осуществляется на децентрализованной основе через фонд муниципалитетов и, таким образом, не входит в число статей бюджета Министерства образования, науки и культуры.  В системах образования для взрослых и профессионально-технического образования (ОВПТО), высшего профессионального образования (ВПО) и университетского образования (УО) расходы на финансирование учебной базы включены в бюджет Министерства образования, науки и культуры в качестве части неконкретизируемых расходов на крупные субсидии, охватывающие расходы на персонал и расходы, не связанные с персоналом.</w:t>
      </w:r>
    </w:p>
    <w:p w:rsidR="00000000" w:rsidRDefault="00000000"/>
    <w:p w:rsidR="00000000" w:rsidRDefault="00000000">
      <w:r>
        <w:t>488.</w:t>
      </w:r>
      <w:r>
        <w:tab/>
        <w:t xml:space="preserve">В таблицах 33 и 34 приводятся данные о размере </w:t>
      </w:r>
      <w:r>
        <w:rPr>
          <w:u w:val="single"/>
        </w:rPr>
        <w:t>бюджета на цели образования</w:t>
      </w:r>
      <w:r>
        <w:t xml:space="preserve"> и другие цифры.</w:t>
      </w:r>
    </w:p>
    <w:p w:rsidR="00000000" w:rsidRDefault="00000000"/>
    <w:p w:rsidR="00000000" w:rsidRDefault="00000000">
      <w:pPr>
        <w:jc w:val="center"/>
        <w:rPr>
          <w:b/>
          <w:bCs/>
        </w:rPr>
      </w:pPr>
      <w:r>
        <w:rPr>
          <w:b/>
          <w:bCs/>
        </w:rPr>
        <w:br w:type="page"/>
        <w:t>Таблица 33</w:t>
      </w:r>
    </w:p>
    <w:p w:rsidR="00000000" w:rsidRDefault="00000000">
      <w:pPr>
        <w:jc w:val="center"/>
        <w:rPr>
          <w:b/>
          <w:bCs/>
        </w:rPr>
      </w:pPr>
    </w:p>
    <w:p w:rsidR="00000000" w:rsidRDefault="00000000">
      <w:pPr>
        <w:jc w:val="center"/>
      </w:pPr>
      <w:r>
        <w:rPr>
          <w:b/>
          <w:bCs/>
        </w:rPr>
        <w:t>Министерство образования, науки и культуры - бюджетные</w:t>
      </w:r>
      <w:r>
        <w:rPr>
          <w:b/>
          <w:bCs/>
        </w:rPr>
        <w:br/>
        <w:t>и фактические расходы и поступления, в млн. евро</w:t>
      </w:r>
    </w:p>
    <w:p w:rsidR="00000000" w:rsidRDefault="00000000"/>
    <w:tbl>
      <w:tblPr>
        <w:tblW w:w="0" w:type="auto"/>
        <w:jc w:val="center"/>
        <w:tblInd w:w="397" w:type="dxa"/>
        <w:tblBorders>
          <w:top w:val="single" w:sz="4" w:space="0" w:color="auto"/>
          <w:left w:val="single" w:sz="4" w:space="0" w:color="auto"/>
          <w:bottom w:val="single" w:sz="4" w:space="0" w:color="auto"/>
          <w:right w:val="single" w:sz="4" w:space="0" w:color="auto"/>
        </w:tblBorders>
        <w:tblLayout w:type="fixed"/>
        <w:tblCellMar>
          <w:top w:w="57" w:type="dxa"/>
          <w:left w:w="113" w:type="dxa"/>
          <w:bottom w:w="57" w:type="dxa"/>
          <w:right w:w="113" w:type="dxa"/>
        </w:tblCellMar>
        <w:tblLook w:val="0000" w:firstRow="0" w:lastRow="0" w:firstColumn="0" w:lastColumn="0" w:noHBand="0" w:noVBand="0"/>
      </w:tblPr>
      <w:tblGrid>
        <w:gridCol w:w="2549"/>
        <w:gridCol w:w="1311"/>
        <w:gridCol w:w="1312"/>
        <w:gridCol w:w="1312"/>
        <w:gridCol w:w="1312"/>
      </w:tblGrid>
      <w:tr w:rsidR="00000000">
        <w:trPr>
          <w:cantSplit/>
          <w:jc w:val="center"/>
        </w:trPr>
        <w:tc>
          <w:tcPr>
            <w:tcW w:w="2549" w:type="dxa"/>
            <w:tcBorders>
              <w:top w:val="single" w:sz="4" w:space="0" w:color="auto"/>
              <w:bottom w:val="single" w:sz="4" w:space="0" w:color="auto"/>
              <w:right w:val="single" w:sz="4" w:space="0" w:color="auto"/>
            </w:tcBorders>
            <w:vAlign w:val="center"/>
          </w:tcPr>
          <w:p w:rsidR="00000000" w:rsidRDefault="00000000">
            <w:pPr>
              <w:spacing w:line="240" w:lineRule="auto"/>
              <w:rPr>
                <w:color w:val="000000"/>
              </w:rPr>
            </w:pPr>
          </w:p>
        </w:tc>
        <w:tc>
          <w:tcPr>
            <w:tcW w:w="13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trike/>
                <w:color w:val="000000"/>
              </w:rPr>
            </w:pPr>
            <w:r>
              <w:rPr>
                <w:color w:val="000000"/>
              </w:rPr>
              <w:t>2000</w:t>
            </w:r>
          </w:p>
        </w:tc>
        <w:tc>
          <w:tcPr>
            <w:tcW w:w="13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color w:val="000000"/>
              </w:rPr>
            </w:pPr>
            <w:r>
              <w:rPr>
                <w:color w:val="000000"/>
              </w:rPr>
              <w:t>2001</w:t>
            </w:r>
          </w:p>
        </w:tc>
        <w:tc>
          <w:tcPr>
            <w:tcW w:w="13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color w:val="000000"/>
              </w:rPr>
            </w:pPr>
            <w:r>
              <w:rPr>
                <w:color w:val="000000"/>
              </w:rPr>
              <w:t>2002</w:t>
            </w:r>
          </w:p>
        </w:tc>
        <w:tc>
          <w:tcPr>
            <w:tcW w:w="1312" w:type="dxa"/>
            <w:tcBorders>
              <w:top w:val="single" w:sz="4" w:space="0" w:color="auto"/>
              <w:left w:val="single" w:sz="4" w:space="0" w:color="auto"/>
              <w:bottom w:val="single" w:sz="4" w:space="0" w:color="auto"/>
            </w:tcBorders>
          </w:tcPr>
          <w:p w:rsidR="00000000" w:rsidRDefault="00000000">
            <w:pPr>
              <w:spacing w:line="240" w:lineRule="auto"/>
              <w:jc w:val="center"/>
              <w:rPr>
                <w:color w:val="000000"/>
              </w:rPr>
            </w:pPr>
            <w:r>
              <w:rPr>
                <w:color w:val="000000"/>
              </w:rPr>
              <w:t>2003</w:t>
            </w:r>
          </w:p>
        </w:tc>
      </w:tr>
      <w:tr w:rsidR="00000000">
        <w:trPr>
          <w:cantSplit/>
          <w:jc w:val="center"/>
        </w:trPr>
        <w:tc>
          <w:tcPr>
            <w:tcW w:w="2549" w:type="dxa"/>
            <w:tcBorders>
              <w:top w:val="single" w:sz="4" w:space="0" w:color="auto"/>
              <w:right w:val="single" w:sz="4" w:space="0" w:color="auto"/>
            </w:tcBorders>
            <w:vAlign w:val="center"/>
          </w:tcPr>
          <w:p w:rsidR="00000000" w:rsidRDefault="00000000">
            <w:pPr>
              <w:spacing w:line="240" w:lineRule="auto"/>
              <w:rPr>
                <w:color w:val="000000"/>
              </w:rPr>
            </w:pPr>
            <w:r>
              <w:rPr>
                <w:color w:val="000000"/>
              </w:rPr>
              <w:t>Бюджетные средства</w:t>
            </w:r>
          </w:p>
        </w:tc>
        <w:tc>
          <w:tcPr>
            <w:tcW w:w="1311" w:type="dxa"/>
            <w:tcBorders>
              <w:top w:val="single" w:sz="4" w:space="0" w:color="auto"/>
              <w:left w:val="single" w:sz="4" w:space="0" w:color="auto"/>
              <w:right w:val="single" w:sz="4" w:space="0" w:color="auto"/>
            </w:tcBorders>
            <w:vAlign w:val="center"/>
          </w:tcPr>
          <w:p w:rsidR="00000000" w:rsidRDefault="00000000">
            <w:pPr>
              <w:spacing w:line="240" w:lineRule="auto"/>
              <w:jc w:val="center"/>
              <w:rPr>
                <w:color w:val="000000"/>
              </w:rPr>
            </w:pPr>
          </w:p>
        </w:tc>
        <w:tc>
          <w:tcPr>
            <w:tcW w:w="1312" w:type="dxa"/>
            <w:tcBorders>
              <w:top w:val="single" w:sz="4" w:space="0" w:color="auto"/>
              <w:left w:val="single" w:sz="4" w:space="0" w:color="auto"/>
              <w:right w:val="single" w:sz="4" w:space="0" w:color="auto"/>
            </w:tcBorders>
            <w:vAlign w:val="center"/>
          </w:tcPr>
          <w:p w:rsidR="00000000" w:rsidRDefault="00000000">
            <w:pPr>
              <w:spacing w:line="240" w:lineRule="auto"/>
              <w:jc w:val="center"/>
              <w:rPr>
                <w:color w:val="000000"/>
              </w:rPr>
            </w:pPr>
          </w:p>
        </w:tc>
        <w:tc>
          <w:tcPr>
            <w:tcW w:w="1312" w:type="dxa"/>
            <w:tcBorders>
              <w:top w:val="single" w:sz="4" w:space="0" w:color="auto"/>
              <w:left w:val="single" w:sz="4" w:space="0" w:color="auto"/>
              <w:right w:val="single" w:sz="4" w:space="0" w:color="auto"/>
            </w:tcBorders>
            <w:vAlign w:val="center"/>
          </w:tcPr>
          <w:p w:rsidR="00000000" w:rsidRDefault="00000000">
            <w:pPr>
              <w:spacing w:line="240" w:lineRule="auto"/>
              <w:jc w:val="center"/>
              <w:rPr>
                <w:color w:val="000000"/>
              </w:rPr>
            </w:pPr>
          </w:p>
        </w:tc>
        <w:tc>
          <w:tcPr>
            <w:tcW w:w="1312" w:type="dxa"/>
            <w:tcBorders>
              <w:top w:val="single" w:sz="4" w:space="0" w:color="auto"/>
              <w:left w:val="single" w:sz="4" w:space="0" w:color="auto"/>
            </w:tcBorders>
          </w:tcPr>
          <w:p w:rsidR="00000000" w:rsidRDefault="00000000">
            <w:pPr>
              <w:spacing w:line="240" w:lineRule="auto"/>
              <w:jc w:val="center"/>
              <w:rPr>
                <w:color w:val="000000"/>
              </w:rPr>
            </w:pP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 xml:space="preserve">Расходы </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19 625</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21 072</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23 111</w:t>
            </w: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24 767</w:t>
            </w: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Поступления</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1 039</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1 147</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1 244</w:t>
            </w: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1 155</w:t>
            </w: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 xml:space="preserve">Баланс </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18 586</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20 923</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21 867</w:t>
            </w: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23 612</w:t>
            </w:r>
          </w:p>
        </w:tc>
      </w:tr>
      <w:tr w:rsidR="00000000">
        <w:trPr>
          <w:cantSplit/>
          <w:jc w:val="center"/>
        </w:trPr>
        <w:tc>
          <w:tcPr>
            <w:tcW w:w="2549" w:type="dxa"/>
            <w:tcBorders>
              <w:right w:val="single" w:sz="4" w:space="0" w:color="auto"/>
            </w:tcBorders>
            <w:vAlign w:val="center"/>
          </w:tcPr>
          <w:p w:rsidR="00000000" w:rsidRDefault="00000000">
            <w:pPr>
              <w:spacing w:line="240" w:lineRule="auto"/>
              <w:rPr>
                <w:color w:val="000000"/>
              </w:rPr>
            </w:pPr>
            <w:r>
              <w:rPr>
                <w:color w:val="000000"/>
              </w:rPr>
              <w:t>Фактические средства</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Расходы</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21 347</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23 023</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24 191</w:t>
            </w: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25 474</w:t>
            </w: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Поступления</w:t>
            </w:r>
          </w:p>
        </w:tc>
        <w:tc>
          <w:tcPr>
            <w:tcW w:w="1311"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1 146</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1 181</w:t>
            </w:r>
          </w:p>
        </w:tc>
        <w:tc>
          <w:tcPr>
            <w:tcW w:w="1312" w:type="dxa"/>
            <w:tcBorders>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1 201</w:t>
            </w:r>
          </w:p>
        </w:tc>
        <w:tc>
          <w:tcPr>
            <w:tcW w:w="1312" w:type="dxa"/>
            <w:tcBorders>
              <w:left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1 253</w:t>
            </w:r>
          </w:p>
        </w:tc>
      </w:tr>
      <w:tr w:rsidR="00000000">
        <w:trPr>
          <w:cantSplit/>
          <w:jc w:val="center"/>
        </w:trPr>
        <w:tc>
          <w:tcPr>
            <w:tcW w:w="2549" w:type="dxa"/>
            <w:tcBorders>
              <w:right w:val="single" w:sz="4" w:space="0" w:color="auto"/>
            </w:tcBorders>
            <w:vAlign w:val="center"/>
          </w:tcPr>
          <w:p w:rsidR="00000000" w:rsidRDefault="00000000">
            <w:pPr>
              <w:tabs>
                <w:tab w:val="left" w:pos="279"/>
              </w:tabs>
              <w:spacing w:line="240" w:lineRule="auto"/>
              <w:ind w:left="279"/>
              <w:rPr>
                <w:color w:val="000000"/>
              </w:rPr>
            </w:pPr>
            <w:r>
              <w:rPr>
                <w:color w:val="000000"/>
              </w:rPr>
              <w:t>Баланс</w:t>
            </w:r>
          </w:p>
        </w:tc>
        <w:tc>
          <w:tcPr>
            <w:tcW w:w="1311"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20 201</w:t>
            </w:r>
          </w:p>
        </w:tc>
        <w:tc>
          <w:tcPr>
            <w:tcW w:w="131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21 842</w:t>
            </w:r>
          </w:p>
        </w:tc>
        <w:tc>
          <w:tcPr>
            <w:tcW w:w="1312" w:type="dxa"/>
            <w:tcBorders>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22 990</w:t>
            </w:r>
          </w:p>
        </w:tc>
        <w:tc>
          <w:tcPr>
            <w:tcW w:w="1312" w:type="dxa"/>
            <w:tcBorders>
              <w:left w:val="single" w:sz="4" w:space="0" w:color="auto"/>
              <w:bottom w:val="single" w:sz="4" w:space="0" w:color="auto"/>
            </w:tcBorders>
          </w:tcPr>
          <w:p w:rsidR="00000000" w:rsidRDefault="00000000">
            <w:pPr>
              <w:tabs>
                <w:tab w:val="clear" w:pos="567"/>
                <w:tab w:val="clear" w:pos="1134"/>
                <w:tab w:val="clear" w:pos="1701"/>
                <w:tab w:val="clear" w:pos="2268"/>
                <w:tab w:val="clear" w:pos="6237"/>
                <w:tab w:val="decimal" w:pos="812"/>
              </w:tabs>
              <w:spacing w:line="240" w:lineRule="auto"/>
              <w:rPr>
                <w:color w:val="000000"/>
              </w:rPr>
            </w:pPr>
            <w:r>
              <w:rPr>
                <w:color w:val="000000"/>
              </w:rPr>
              <w:t>24 221</w:t>
            </w:r>
          </w:p>
        </w:tc>
      </w:tr>
    </w:tbl>
    <w:p w:rsidR="00000000" w:rsidRDefault="00000000"/>
    <w:p w:rsidR="00000000" w:rsidRDefault="00000000">
      <w:pPr>
        <w:tabs>
          <w:tab w:val="clear" w:pos="1134"/>
          <w:tab w:val="left" w:pos="1330"/>
          <w:tab w:val="left" w:pos="2694"/>
        </w:tabs>
        <w:spacing w:line="240" w:lineRule="auto"/>
        <w:ind w:left="567" w:hanging="567"/>
        <w:rPr>
          <w:lang w:val="en-GB"/>
        </w:rPr>
      </w:pPr>
      <w:r>
        <w:rPr>
          <w:i/>
          <w:iCs/>
        </w:rPr>
        <w:tab/>
      </w:r>
      <w:r>
        <w:rPr>
          <w:i/>
          <w:iCs/>
        </w:rPr>
        <w:tab/>
        <w:t>Источник</w:t>
      </w:r>
      <w:r>
        <w:rPr>
          <w:i/>
          <w:iCs/>
          <w:lang w:val="en-GB"/>
        </w:rPr>
        <w:t>:</w:t>
      </w:r>
      <w:r>
        <w:rPr>
          <w:i/>
          <w:iCs/>
          <w:lang w:val="en-GB"/>
        </w:rPr>
        <w:tab/>
      </w:r>
      <w:r>
        <w:rPr>
          <w:lang w:val="en-GB"/>
        </w:rPr>
        <w:t>Key Figures for Education, Culture and Science in the Netherlands 1999-2003</w:t>
      </w:r>
      <w:r>
        <w:rPr>
          <w:color w:val="000000"/>
          <w:lang w:val="en-GB"/>
        </w:rPr>
        <w:t xml:space="preserve"> and Ministry of Education, Culture and Science, </w:t>
      </w:r>
      <w:proofErr w:type="spellStart"/>
      <w:r>
        <w:rPr>
          <w:color w:val="000000"/>
          <w:lang w:val="en-GB"/>
        </w:rPr>
        <w:t>OCW</w:t>
      </w:r>
      <w:proofErr w:type="spellEnd"/>
      <w:r>
        <w:rPr>
          <w:color w:val="000000"/>
          <w:lang w:val="en-GB"/>
        </w:rPr>
        <w:t xml:space="preserve"> budget 2000, 2001, 2002 and 2003.</w:t>
      </w:r>
    </w:p>
    <w:p w:rsidR="00000000" w:rsidRDefault="00000000">
      <w:pPr>
        <w:spacing w:line="240" w:lineRule="auto"/>
        <w:rPr>
          <w:lang w:val="en-GB"/>
        </w:rPr>
      </w:pPr>
    </w:p>
    <w:p w:rsidR="00000000" w:rsidRDefault="00000000">
      <w:pPr>
        <w:jc w:val="center"/>
        <w:rPr>
          <w:b/>
          <w:bCs/>
        </w:rPr>
      </w:pPr>
      <w:r>
        <w:rPr>
          <w:b/>
          <w:bCs/>
        </w:rPr>
        <w:t>Таблица 34</w:t>
      </w:r>
    </w:p>
    <w:p w:rsidR="00000000" w:rsidRDefault="00000000">
      <w:pPr>
        <w:jc w:val="center"/>
        <w:rPr>
          <w:b/>
          <w:bCs/>
        </w:rPr>
      </w:pPr>
    </w:p>
    <w:p w:rsidR="00000000" w:rsidRDefault="00000000">
      <w:pPr>
        <w:jc w:val="center"/>
        <w:rPr>
          <w:b/>
          <w:bCs/>
        </w:rPr>
      </w:pPr>
      <w:r>
        <w:rPr>
          <w:b/>
          <w:bCs/>
        </w:rPr>
        <w:t>Смета чистых расходов Министерства образования, науки и культуры в</w:t>
      </w:r>
    </w:p>
    <w:p w:rsidR="00000000" w:rsidRDefault="00000000">
      <w:pPr>
        <w:jc w:val="center"/>
        <w:rPr>
          <w:b/>
          <w:bCs/>
        </w:rPr>
      </w:pPr>
      <w:r>
        <w:rPr>
          <w:b/>
          <w:bCs/>
        </w:rPr>
        <w:t>процентах от ВВП и в процентах от общего объема соответствующих</w:t>
      </w:r>
    </w:p>
    <w:p w:rsidR="00000000" w:rsidRDefault="00000000">
      <w:pPr>
        <w:jc w:val="center"/>
        <w:rPr>
          <w:b/>
          <w:bCs/>
          <w:lang w:val="en-US"/>
        </w:rPr>
      </w:pPr>
      <w:r>
        <w:rPr>
          <w:b/>
          <w:bCs/>
        </w:rPr>
        <w:t>расходов центрального правительства</w:t>
      </w:r>
    </w:p>
    <w:p w:rsidR="00000000" w:rsidRDefault="00000000">
      <w:pPr>
        <w:jc w:val="center"/>
        <w:rPr>
          <w:lang w:val="en-U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51"/>
        <w:gridCol w:w="990"/>
        <w:gridCol w:w="990"/>
        <w:gridCol w:w="990"/>
        <w:gridCol w:w="990"/>
      </w:tblGrid>
      <w:tr w:rsidR="00000000">
        <w:tblPrEx>
          <w:tblCellMar>
            <w:top w:w="0" w:type="dxa"/>
            <w:bottom w:w="0" w:type="dxa"/>
          </w:tblCellMar>
        </w:tblPrEx>
        <w:trPr>
          <w:cantSplit/>
        </w:trPr>
        <w:tc>
          <w:tcPr>
            <w:tcW w:w="5451" w:type="dxa"/>
          </w:tcPr>
          <w:p w:rsidR="00000000" w:rsidRDefault="00000000">
            <w:pPr>
              <w:jc w:val="center"/>
            </w:pPr>
          </w:p>
        </w:tc>
        <w:tc>
          <w:tcPr>
            <w:tcW w:w="990" w:type="dxa"/>
          </w:tcPr>
          <w:p w:rsidR="00000000" w:rsidRDefault="00000000">
            <w:pPr>
              <w:jc w:val="center"/>
            </w:pPr>
            <w:r>
              <w:t>2000</w:t>
            </w:r>
          </w:p>
        </w:tc>
        <w:tc>
          <w:tcPr>
            <w:tcW w:w="990" w:type="dxa"/>
          </w:tcPr>
          <w:p w:rsidR="00000000" w:rsidRDefault="00000000">
            <w:pPr>
              <w:jc w:val="center"/>
            </w:pPr>
            <w:r>
              <w:t>2001</w:t>
            </w:r>
          </w:p>
        </w:tc>
        <w:tc>
          <w:tcPr>
            <w:tcW w:w="990" w:type="dxa"/>
          </w:tcPr>
          <w:p w:rsidR="00000000" w:rsidRDefault="00000000">
            <w:pPr>
              <w:jc w:val="center"/>
            </w:pPr>
            <w:r>
              <w:t>2002</w:t>
            </w:r>
          </w:p>
        </w:tc>
        <w:tc>
          <w:tcPr>
            <w:tcW w:w="990" w:type="dxa"/>
          </w:tcPr>
          <w:p w:rsidR="00000000" w:rsidRDefault="00000000">
            <w:pPr>
              <w:jc w:val="center"/>
            </w:pPr>
            <w:r>
              <w:t>2003</w:t>
            </w:r>
          </w:p>
        </w:tc>
      </w:tr>
      <w:tr w:rsidR="00000000">
        <w:tblPrEx>
          <w:tblCellMar>
            <w:top w:w="0" w:type="dxa"/>
            <w:bottom w:w="0" w:type="dxa"/>
          </w:tblCellMar>
        </w:tblPrEx>
        <w:trPr>
          <w:cantSplit/>
        </w:trPr>
        <w:tc>
          <w:tcPr>
            <w:tcW w:w="5451" w:type="dxa"/>
            <w:tcBorders>
              <w:bottom w:val="nil"/>
            </w:tcBorders>
          </w:tcPr>
          <w:p w:rsidR="00000000" w:rsidRDefault="00000000">
            <w:r>
              <w:t>Чистые расходы Министерства в процентах от ВВП</w:t>
            </w:r>
          </w:p>
        </w:tc>
        <w:tc>
          <w:tcPr>
            <w:tcW w:w="990" w:type="dxa"/>
            <w:tcBorders>
              <w:bottom w:val="nil"/>
            </w:tcBorders>
          </w:tcPr>
          <w:p w:rsidR="00000000" w:rsidRDefault="00000000">
            <w:pPr>
              <w:jc w:val="center"/>
            </w:pPr>
            <w:r>
              <w:t xml:space="preserve">  5,2</w:t>
            </w:r>
          </w:p>
        </w:tc>
        <w:tc>
          <w:tcPr>
            <w:tcW w:w="990" w:type="dxa"/>
            <w:tcBorders>
              <w:bottom w:val="nil"/>
            </w:tcBorders>
          </w:tcPr>
          <w:p w:rsidR="00000000" w:rsidRDefault="00000000">
            <w:pPr>
              <w:jc w:val="center"/>
            </w:pPr>
            <w:r>
              <w:t xml:space="preserve">  5,3</w:t>
            </w:r>
          </w:p>
        </w:tc>
        <w:tc>
          <w:tcPr>
            <w:tcW w:w="990" w:type="dxa"/>
            <w:tcBorders>
              <w:bottom w:val="nil"/>
            </w:tcBorders>
          </w:tcPr>
          <w:p w:rsidR="00000000" w:rsidRDefault="00000000">
            <w:pPr>
              <w:jc w:val="center"/>
            </w:pPr>
            <w:r>
              <w:t xml:space="preserve">  5,3</w:t>
            </w:r>
          </w:p>
        </w:tc>
        <w:tc>
          <w:tcPr>
            <w:tcW w:w="990" w:type="dxa"/>
            <w:tcBorders>
              <w:bottom w:val="nil"/>
            </w:tcBorders>
          </w:tcPr>
          <w:p w:rsidR="00000000" w:rsidRDefault="00000000">
            <w:pPr>
              <w:jc w:val="center"/>
            </w:pPr>
            <w:r>
              <w:t xml:space="preserve">  5,5</w:t>
            </w:r>
          </w:p>
        </w:tc>
      </w:tr>
      <w:tr w:rsidR="00000000">
        <w:tblPrEx>
          <w:tblCellMar>
            <w:top w:w="0" w:type="dxa"/>
            <w:bottom w:w="0" w:type="dxa"/>
          </w:tblCellMar>
        </w:tblPrEx>
        <w:trPr>
          <w:cantSplit/>
        </w:trPr>
        <w:tc>
          <w:tcPr>
            <w:tcW w:w="5451" w:type="dxa"/>
            <w:tcBorders>
              <w:top w:val="nil"/>
            </w:tcBorders>
          </w:tcPr>
          <w:p w:rsidR="00000000" w:rsidRDefault="00000000">
            <w:r>
              <w:t>Чистые расходы Министерства в процентах от</w:t>
            </w:r>
          </w:p>
          <w:p w:rsidR="00000000" w:rsidRDefault="00000000">
            <w:r>
              <w:t xml:space="preserve">    общего объема соответствующих расходов</w:t>
            </w:r>
          </w:p>
          <w:p w:rsidR="00000000" w:rsidRDefault="00000000">
            <w:r>
              <w:t xml:space="preserve">    центрального правительства</w:t>
            </w:r>
          </w:p>
        </w:tc>
        <w:tc>
          <w:tcPr>
            <w:tcW w:w="990" w:type="dxa"/>
            <w:tcBorders>
              <w:top w:val="nil"/>
            </w:tcBorders>
          </w:tcPr>
          <w:p w:rsidR="00000000" w:rsidRDefault="00000000">
            <w:pPr>
              <w:jc w:val="center"/>
            </w:pPr>
            <w:r>
              <w:t>21,3</w:t>
            </w:r>
          </w:p>
        </w:tc>
        <w:tc>
          <w:tcPr>
            <w:tcW w:w="990" w:type="dxa"/>
            <w:tcBorders>
              <w:top w:val="nil"/>
            </w:tcBorders>
          </w:tcPr>
          <w:p w:rsidR="00000000" w:rsidRDefault="00000000">
            <w:pPr>
              <w:jc w:val="center"/>
            </w:pPr>
            <w:r>
              <w:t>20,2</w:t>
            </w:r>
          </w:p>
        </w:tc>
        <w:tc>
          <w:tcPr>
            <w:tcW w:w="990" w:type="dxa"/>
            <w:tcBorders>
              <w:top w:val="nil"/>
            </w:tcBorders>
          </w:tcPr>
          <w:p w:rsidR="00000000" w:rsidRDefault="00000000">
            <w:pPr>
              <w:jc w:val="center"/>
            </w:pPr>
            <w:r>
              <w:t>20,8</w:t>
            </w:r>
          </w:p>
        </w:tc>
        <w:tc>
          <w:tcPr>
            <w:tcW w:w="990" w:type="dxa"/>
            <w:tcBorders>
              <w:top w:val="nil"/>
            </w:tcBorders>
          </w:tcPr>
          <w:p w:rsidR="00000000" w:rsidRDefault="00000000">
            <w:pPr>
              <w:jc w:val="center"/>
            </w:pPr>
            <w:r>
              <w:t>20,8</w:t>
            </w:r>
          </w:p>
        </w:tc>
      </w:tr>
    </w:tbl>
    <w:p w:rsidR="00000000" w:rsidRDefault="00000000"/>
    <w:p w:rsidR="00000000" w:rsidRDefault="00000000">
      <w:pPr>
        <w:spacing w:line="240" w:lineRule="auto"/>
      </w:pPr>
      <w:r>
        <w:tab/>
      </w:r>
      <w:r>
        <w:rPr>
          <w:i/>
          <w:iCs/>
        </w:rPr>
        <w:t>Источник:</w:t>
      </w:r>
      <w:r>
        <w:t xml:space="preserve">  Source material, Key Figures for Education, Culture and Science in the Netherlands 1999-2003.</w:t>
      </w:r>
    </w:p>
    <w:p w:rsidR="00000000" w:rsidRDefault="00000000"/>
    <w:p w:rsidR="00000000" w:rsidRDefault="00000000">
      <w:pPr>
        <w:jc w:val="center"/>
        <w:rPr>
          <w:b/>
          <w:bCs/>
        </w:rPr>
      </w:pPr>
      <w:r>
        <w:rPr>
          <w:b/>
          <w:bCs/>
        </w:rPr>
        <w:t>3.8.4    Равный доступ к образованию</w:t>
      </w:r>
    </w:p>
    <w:p w:rsidR="00000000" w:rsidRDefault="00000000">
      <w:pPr>
        <w:jc w:val="center"/>
        <w:rPr>
          <w:b/>
          <w:bCs/>
        </w:rPr>
      </w:pPr>
    </w:p>
    <w:p w:rsidR="00000000" w:rsidRDefault="00000000">
      <w:r>
        <w:rPr>
          <w:b/>
          <w:bCs/>
        </w:rPr>
        <w:t>Равный доступ к образованию для богатых и бедных</w:t>
      </w:r>
    </w:p>
    <w:p w:rsidR="00000000" w:rsidRDefault="00000000"/>
    <w:p w:rsidR="00000000" w:rsidRDefault="00000000">
      <w:r>
        <w:t>489.</w:t>
      </w:r>
      <w:r>
        <w:tab/>
        <w:t>В своих замечаниях по предыдущему докладу Комитет отметил, что он испытывает озабоченность в связи с влиянием увеличения платы за обучение на принцип равенства доступа к образованию вне зависимости от доходов родителей.  Этот вопрос был рассмотрен выше в пунктах 106-107 раздела 1.7.</w:t>
      </w:r>
    </w:p>
    <w:p w:rsidR="00000000" w:rsidRDefault="00000000"/>
    <w:p w:rsidR="00000000" w:rsidRDefault="00000000">
      <w:r>
        <w:rPr>
          <w:i/>
          <w:iCs/>
        </w:rPr>
        <w:t>Закон о пособиях для компенсации платы за обучение и расходов на образование</w:t>
      </w:r>
    </w:p>
    <w:p w:rsidR="00000000" w:rsidRDefault="00000000"/>
    <w:p w:rsidR="00000000" w:rsidRDefault="00000000">
      <w:r>
        <w:t>490.</w:t>
      </w:r>
      <w:r>
        <w:tab/>
        <w:t>Начальное образование в Нидерландах полностью финансируется государством и является бесплатным для родителей/детей.  Родители детей, обучающихся в системе среднего образования (приблизительно с 12 лет) и профессионально-технического образования (приблизительно с 16 лет), должны приобретать учебные материалы (учебники и т.д.) для своих детей.  Кроме того, согласно Закону об оплате школы и учебных курсов с учащихся средних школ и учебных заведений системы профессионально-технического образования или любой формы специального образования, возраст которых превышает уровень обязательного школьного возраста (т.е. 16 лет или старше по состоянию на 1 августа соответствующего учебного года), требуется взнос для оплаты школы или учебного курса.  На 2004/05 учебный год ставка такой платы за школу составляет 936 евро.  С 18-летнего возраста лица, обучающиеся на курсах профессионально-технической подготовки без отрыва от производства (ПТП без отрыва от производства) и на курсах профессионально-технического обучения с частичным отрывом от производства (ПТОЧОП), должны вносить плату за обучение.  На 2004/05 учебный год размер оплаты за такое обучение составлял 194,06 евро для уровней 1 и 2 и 471,86 евро для уровней 3 и 4.  Предусмотрена также плата за обучение на курсах в системе среднего образования для взрослых без отрыва от производства.  В этом случае стоимость обучения составляет 0,60 евро за каждые 45 минут учебного времени.</w:t>
      </w:r>
    </w:p>
    <w:p w:rsidR="00000000" w:rsidRDefault="00000000"/>
    <w:p w:rsidR="00000000" w:rsidRDefault="00000000">
      <w:r>
        <w:t>491.</w:t>
      </w:r>
      <w:r>
        <w:tab/>
        <w:t>Для детей менее обеспеченных родителей доступ  к образованию гарантируется Законом о пособиях для компенсации платы за обучение и расходов на образование, в соответствии с которым такие дети или их родители имеют право на возмещение платы за обучение и на получение пособия для покрытия других расходов на образование.</w:t>
      </w:r>
    </w:p>
    <w:p w:rsidR="00000000" w:rsidRDefault="00000000"/>
    <w:p w:rsidR="00000000" w:rsidRDefault="00000000">
      <w:r>
        <w:t>492.</w:t>
      </w:r>
      <w:r>
        <w:tab/>
        <w:t>Право на полный размер пособия имеют семьи со скорректированным уровнем дохода до 27 983 евро (цифры на 2004/05 учебный год).  С повышением дохода объем пособия постепенно сокращается.  Закон о пособиях для компенсации платы за обучение и расходов на образование заменил собой Закон о пособиях для оплаты расходов на образование (ЗПО) и был введен в действие в 2001/02 учебном году.  Этот новый Закон существенно расширяет рамки существующей программы.  Он смягчает критерий уровня доходов, в результате чего право на получение пособий приобретает большее число семей, и сегодня при этом учитывается число учащихся детей в семье.  Для семей с несколькими учащимися детьми максимальный предельный уровень доходов для получения помощи повышен.  Наконец, с введением нового Закона был увеличен размер пособий для компенсации расходов на образование.</w:t>
      </w:r>
    </w:p>
    <w:p w:rsidR="00000000" w:rsidRDefault="00000000"/>
    <w:p w:rsidR="00000000" w:rsidRDefault="00000000">
      <w:r>
        <w:t>493.</w:t>
      </w:r>
      <w:r>
        <w:tab/>
        <w:t>Согласно новому Закону право на получение пособий потенциально имеют три категории лиц:</w:t>
      </w:r>
    </w:p>
    <w:p w:rsidR="00000000" w:rsidRDefault="00000000"/>
    <w:p w:rsidR="00000000" w:rsidRDefault="00000000">
      <w:pPr>
        <w:ind w:left="1134" w:hanging="1134"/>
      </w:pPr>
      <w:r>
        <w:tab/>
        <w:t>1.</w:t>
      </w:r>
      <w:r>
        <w:tab/>
        <w:t>Родители учащихся системы среднего и профессионально-технического образования, еще не достигших 18-летнего возраста (пособие "</w:t>
      </w:r>
      <w:r>
        <w:rPr>
          <w:lang w:val="en-US"/>
        </w:rPr>
        <w:t>TS</w:t>
      </w:r>
      <w:r>
        <w:t>17-").  До достижения ребенком 18-летнего возраста родители могут ходатайствовать о предоставлении пособий на основании Закона о пособиях для компенсации платы за обучение и расходов на образование.</w:t>
      </w:r>
    </w:p>
    <w:p w:rsidR="00000000" w:rsidRDefault="00000000"/>
    <w:p w:rsidR="00000000" w:rsidRDefault="00000000">
      <w:pPr>
        <w:ind w:left="1134" w:hanging="1134"/>
      </w:pPr>
      <w:r>
        <w:tab/>
        <w:t>2.</w:t>
      </w:r>
      <w:r>
        <w:tab/>
        <w:t>Учащиеся средних школ в возрасте 18 лет и старше (пособие "</w:t>
      </w:r>
      <w:r>
        <w:rPr>
          <w:lang w:val="en-US"/>
        </w:rPr>
        <w:t>VO</w:t>
      </w:r>
      <w:proofErr w:type="spellStart"/>
      <w:r>
        <w:t>18+</w:t>
      </w:r>
      <w:proofErr w:type="spellEnd"/>
      <w:r>
        <w:t>").  По достижении 18-летнего возраста учащиеся системы среднего образования могут сами ходатайствовать о предоставлении пособия для компенсации платы за обучение и расходов на образование.  Объем пособия все же зависит от дохода родителей, однако учащиеся получают дополнительную базовую субсидию, аналогичную пособию на ребенка, которая не связана с уровнем дохода.</w:t>
      </w:r>
    </w:p>
    <w:p w:rsidR="00000000" w:rsidRDefault="00000000"/>
    <w:p w:rsidR="00000000" w:rsidRDefault="00000000">
      <w:pPr>
        <w:ind w:left="1134" w:hanging="1134"/>
      </w:pPr>
      <w:r>
        <w:tab/>
        <w:t>3.</w:t>
      </w:r>
      <w:r>
        <w:tab/>
        <w:t>Лица, обучающиеся на курсах системы общего среднего образования для взрослых с отрывом или без отрыва от производства ("Т</w:t>
      </w:r>
      <w:r>
        <w:rPr>
          <w:lang w:val="en-US"/>
        </w:rPr>
        <w:t>S</w:t>
      </w:r>
      <w:r>
        <w:t>18+", ОСОВ).  Учащиеся системы общего среднего образования для взрослых (</w:t>
      </w:r>
      <w:proofErr w:type="spellStart"/>
      <w:r>
        <w:t>ОСОВ</w:t>
      </w:r>
      <w:proofErr w:type="spellEnd"/>
      <w:r>
        <w:t>), которые не имеют права на получение пособия "</w:t>
      </w:r>
      <w:r>
        <w:rPr>
          <w:lang w:val="en-US"/>
        </w:rPr>
        <w:t>VO</w:t>
      </w:r>
      <w:proofErr w:type="spellStart"/>
      <w:r>
        <w:t>18+</w:t>
      </w:r>
      <w:proofErr w:type="spellEnd"/>
      <w:r>
        <w:t>", могут получать специальное пособие в зависимости от уровня имеющихся средств для покрытия стоимости обучения и расходов на образование.</w:t>
      </w:r>
    </w:p>
    <w:p w:rsidR="00000000" w:rsidRDefault="00000000">
      <w:pPr>
        <w:ind w:left="1134" w:hanging="1134"/>
      </w:pPr>
    </w:p>
    <w:p w:rsidR="00000000" w:rsidRDefault="00000000">
      <w:pPr>
        <w:rPr>
          <w:i/>
          <w:iCs/>
        </w:rPr>
      </w:pPr>
      <w:r>
        <w:rPr>
          <w:i/>
          <w:iCs/>
        </w:rPr>
        <w:t>Закон 2000 года о финансовой помощи студентам</w:t>
      </w:r>
    </w:p>
    <w:p w:rsidR="00000000" w:rsidRDefault="00000000">
      <w:pPr>
        <w:rPr>
          <w:i/>
          <w:iCs/>
        </w:rPr>
      </w:pPr>
    </w:p>
    <w:p w:rsidR="00000000" w:rsidRDefault="00000000">
      <w:r>
        <w:t>494.</w:t>
      </w:r>
      <w:r>
        <w:tab/>
        <w:t>Студенты могут обучаться в системе высшего образования с отрывом или без отрыва от производства.  Ограничений по количеству лет обучения не существует.  Если учащиеся в системе профессионально-технической подготовки (ПТП) вносят плату за обучение, то согласно Закону о высшем образовании и исследовательской деятельности лица, обучающиеся в системе высшего образования, вносят плату за обучение.  Размер платы за обучение для студентов в возрасте до 30 лет, обучающихся с отрывом от производства, определяется государством, а для студентов в возрасте 30 лет и старше, обучающихся с отрывом и без отрыва от производства, учебные заведения вправе устанавливать размер платы за обучение самостоятельно, но при этом стоимость обучения не должна быть ниже официально установленного минимума.  Официальные ставки платы за обучение корректируются на ежегодной основе с учетом инфляции.  На 2004/05 учебный год плата за обучение для студентов в возрасте до 30 лет, обучающихся с отрывом от производства, составляет 1 476 евро.  Официальная минимальная ставка платы за обучение для студентов в возрасте 30 лет и старше, обучающихся с отрывом от производства, установлена на том же уровне.  Минимальный размер платы, которую учебные заведения могут взимать со студентов, обучающихся без отрыва от производства, в 2004/05 году составляет 567,23 евро.</w:t>
      </w:r>
    </w:p>
    <w:p w:rsidR="00000000" w:rsidRDefault="00000000"/>
    <w:p w:rsidR="00000000" w:rsidRDefault="00000000">
      <w:r>
        <w:t>495.</w:t>
      </w:r>
      <w:r>
        <w:tab/>
        <w:t>Студенты, обучающиеся с отрывом от производства в системе профессионально-технической подготовки (ПТП), высшего профессионального образования (ВПО) и университетского образования (УО) имеют право на получение финансовой помощи для студентов.</w:t>
      </w:r>
    </w:p>
    <w:p w:rsidR="00000000" w:rsidRDefault="00000000"/>
    <w:p w:rsidR="00000000" w:rsidRDefault="00000000">
      <w:r>
        <w:t>496.</w:t>
      </w:r>
      <w:r>
        <w:tab/>
        <w:t>Финансовая помощь студентам в системе ПТП предоставляется лишь учащимся в возрасте 18 лет и старше.  Родители студентов, не достигших 18-летнего возраста, вправе ходатайствовать о предоставлении пособия на ребенка и имеют право на получение помощи на основании Закона о пособиях для компенсации платы за обучение и расходов на образование (см. выше).  В системе высшего образования (ВПО и УО) финансовая помощь студентам не обусловлена никакими минимальными возрастными ограничениями.  Студенты могут ходатайствовать о предоставлении финансовой помощи до достижения 30 лет.  Если по достижении 30-летнего возраста студенты по</w:t>
      </w:r>
      <w:r>
        <w:noBreakHyphen/>
        <w:t>прежнему получают финансовую помощь, они сохраняют право на нее до 34 лет при условии продолжения образования.</w:t>
      </w:r>
    </w:p>
    <w:p w:rsidR="00000000" w:rsidRDefault="00000000"/>
    <w:p w:rsidR="00000000" w:rsidRDefault="00000000">
      <w:r>
        <w:t>497.</w:t>
      </w:r>
      <w:r>
        <w:tab/>
        <w:t xml:space="preserve">Финансовая помощь студентам состоит из трех компонентов:  базовой безвозмездной стипендии, дополнительной стипендии и процентного займа.  В совокупности они составляют стандартный бюджет, на который может рассчитывать студент.  Базовая стипендия предоставляется вне зависимости от дохода родителей.  Студенты, родители которых являются менее обеспеченными, имеют право на получение дополнительной стипендии.  Если доход родителей не превышает 26 703,54 </w:t>
      </w:r>
      <w:proofErr w:type="spellStart"/>
      <w:r>
        <w:t>евро</w:t>
      </w:r>
      <w:proofErr w:type="spellEnd"/>
      <w:r>
        <w:t xml:space="preserve"> в год, студент имеет право на полную дополнительную стипендию.  Если доход превышает этот уровень, то может выплачиваться частичная дополнительная стипендия.  Максимальная дополнительная стипендия включает полную компенсацию платы за обучение (в случае </w:t>
      </w:r>
      <w:proofErr w:type="spellStart"/>
      <w:r>
        <w:t>ВПО</w:t>
      </w:r>
      <w:proofErr w:type="spellEnd"/>
      <w:r>
        <w:t xml:space="preserve"> и </w:t>
      </w:r>
      <w:proofErr w:type="spellStart"/>
      <w:r>
        <w:t>УО</w:t>
      </w:r>
      <w:proofErr w:type="spellEnd"/>
      <w:r>
        <w:t>) или платы за школьное образование (</w:t>
      </w:r>
      <w:proofErr w:type="spellStart"/>
      <w:r>
        <w:t>ПТПСОП</w:t>
      </w:r>
      <w:proofErr w:type="spellEnd"/>
      <w:r>
        <w:t xml:space="preserve">).  </w:t>
      </w:r>
    </w:p>
    <w:p w:rsidR="00000000" w:rsidRDefault="00000000"/>
    <w:p w:rsidR="00000000" w:rsidRDefault="00000000">
      <w:r>
        <w:t>498.</w:t>
      </w:r>
      <w:r>
        <w:tab/>
        <w:t>Для устранения разрыва между уровнем стандартного бюджета и уровнем базовых и/или дополнительных стипендий, которые получают студенты, они могут воспользоваться процентными займами.  Студентам, являющимся родителями-одиночками или имеющим сожителей, находящихся на их иждивении, предоставляются дополнительные пособия.</w:t>
      </w:r>
    </w:p>
    <w:p w:rsidR="00000000" w:rsidRDefault="00000000"/>
    <w:p w:rsidR="00000000" w:rsidRDefault="00000000">
      <w:r>
        <w:t>499.</w:t>
      </w:r>
      <w:r>
        <w:tab/>
        <w:t xml:space="preserve">Все студенты, получающие базовую стипендию, имеют право на проездной билет, который дает им возможность более или менее беспрепятственно пользоваться общественным транспортом на всей территории Нидерландов.  Они имеют возможность выбирать между проездным, действующим в рабочие дни, и проездным на выходные и праздничные дни.  Проездной билет, действующий в рабочие дни, позволяет им бесплатно пользоваться транспортом в течение недели и приобретать билеты со скидкой в выходные и праздничные дни.  Проездной на выходные действует в обратном порядке.  </w:t>
      </w:r>
    </w:p>
    <w:p w:rsidR="00000000" w:rsidRDefault="00000000"/>
    <w:p w:rsidR="00000000" w:rsidRDefault="00000000">
      <w:r>
        <w:t>500.</w:t>
      </w:r>
      <w:r>
        <w:tab/>
        <w:t>Учащиеся системы профессионально-технической подготовки (</w:t>
      </w:r>
      <w:proofErr w:type="spellStart"/>
      <w:r>
        <w:t>ПТП</w:t>
      </w:r>
      <w:proofErr w:type="spellEnd"/>
      <w:r>
        <w:t xml:space="preserve">) получают базовую стипендию и любую дополнительную стипендию, на которую они могут иметь право, пока они остаются в системе профессионально-технической подготовки (или достигают предельного возраста в 30 лет, как это указано выше).  Однако после принятия (как ожидается, к 1 августа 2005 года) законопроекта о внесении поправок в Закон о финансовой помощи студентам 2000 года это положение изменится.  Согласно новому законодательному акту, в некоторых секторах системы </w:t>
      </w:r>
      <w:proofErr w:type="spellStart"/>
      <w:r>
        <w:t>ПТП</w:t>
      </w:r>
      <w:proofErr w:type="spellEnd"/>
      <w:r>
        <w:t xml:space="preserve"> будет действовать система стипендий, зависящих от уровня успеваемости, и финансовая помощь будет предоставляться студентам системы </w:t>
      </w:r>
      <w:proofErr w:type="spellStart"/>
      <w:r>
        <w:t>ПТП</w:t>
      </w:r>
      <w:proofErr w:type="spellEnd"/>
      <w:r>
        <w:t>, желающим обучаться за рубежом.  Система финансовой помощи обучающимся на уровнях 3 и 4 будет сопоставима с системой финансовой помощи студентам в системе высшего образования.  Что касается студентов в системе высшего образования, то базовая и любая дополнительная стипендия предоставляются на протяжении срока официальной продолжительности курса обучения (или до достижения предельного возраста, указанного выше).  В большинстве случаев официальная продолжительность обучения составляет четыре года, однако некоторые программы являются более продолжительными.  Студенты, которым не удается завершить обучение в пределах этого периода, могут брать займы на сумму, равную стандартному бюджету, на протяжении еще трех лет.  В течение этого периода они сохраняют право на проездной билет для поездок на общественном транспорте.</w:t>
      </w:r>
    </w:p>
    <w:p w:rsidR="00000000" w:rsidRDefault="00000000"/>
    <w:p w:rsidR="00000000" w:rsidRDefault="00000000">
      <w:r>
        <w:t>501.</w:t>
      </w:r>
      <w:r>
        <w:tab/>
        <w:t xml:space="preserve">Студенты-инвалиды имеют право на финансовую помощь студентам на один год больше, чем остальные студенты.  Студенты, отстающие от программы в силу обстоятельств объективного характера, могут получать помощь из специальных фондов, созданных для этой цели высшими учебными заведениями.  </w:t>
      </w:r>
    </w:p>
    <w:p w:rsidR="00000000" w:rsidRDefault="00000000"/>
    <w:p w:rsidR="00000000" w:rsidRDefault="00000000">
      <w:r>
        <w:t>502.</w:t>
      </w:r>
      <w:r>
        <w:tab/>
        <w:t xml:space="preserve">Ежегодное студенческое обследование включает изучение моделей поведения в процессе обучения, а также изучение таких аспектов, как уровень доходов и социально-экономическая среда происхождения студентов.  В 2000 году аналогичное исследование впервые было проведено в нескольких странах Европы.  Сопоставление с восьмью другими европейскими странами показало, что влияние социально-экономической среды происхождения на </w:t>
      </w:r>
      <w:proofErr w:type="spellStart"/>
      <w:r>
        <w:t>представленность</w:t>
      </w:r>
      <w:proofErr w:type="spellEnd"/>
      <w:r>
        <w:t xml:space="preserve"> в системе высшего образования в Нидерландах является сравнительно небольшим.  Иными словами, вероятность того, что дети, родители которых имеют низкие доходы или низкий уровень образования, пойдут в систему высшего образования, в Нидерландах является более высокой, чем в других странах.  Это общеевропейское студенческое обследование планируется проводить раз в три года.  </w:t>
      </w:r>
    </w:p>
    <w:p w:rsidR="00000000" w:rsidRDefault="00000000"/>
    <w:p w:rsidR="00000000" w:rsidRDefault="00000000">
      <w:r>
        <w:t>503.</w:t>
      </w:r>
      <w:r>
        <w:tab/>
        <w:t xml:space="preserve">В нижеследующих таблицах приводятся данные о количестве учащихся.  </w:t>
      </w:r>
    </w:p>
    <w:p w:rsidR="00000000" w:rsidRDefault="00000000"/>
    <w:p w:rsidR="00000000" w:rsidRDefault="00000000">
      <w:pPr>
        <w:spacing w:line="240" w:lineRule="auto"/>
        <w:jc w:val="center"/>
        <w:rPr>
          <w:b/>
          <w:bCs/>
        </w:rPr>
      </w:pPr>
      <w:r>
        <w:rPr>
          <w:b/>
          <w:bCs/>
        </w:rPr>
        <w:t>Таблица 35</w:t>
      </w:r>
    </w:p>
    <w:p w:rsidR="00000000" w:rsidRDefault="00000000">
      <w:pPr>
        <w:spacing w:line="240" w:lineRule="auto"/>
        <w:jc w:val="center"/>
        <w:rPr>
          <w:b/>
          <w:bCs/>
        </w:rPr>
      </w:pPr>
    </w:p>
    <w:p w:rsidR="00000000" w:rsidRDefault="00000000">
      <w:pPr>
        <w:spacing w:line="240" w:lineRule="auto"/>
        <w:jc w:val="center"/>
        <w:rPr>
          <w:b/>
          <w:bCs/>
        </w:rPr>
      </w:pPr>
      <w:r>
        <w:rPr>
          <w:b/>
          <w:bCs/>
        </w:rPr>
        <w:t>Количество учащихся в 2000-2003 годах в абсолютном выражении</w:t>
      </w:r>
    </w:p>
    <w:p w:rsidR="00000000" w:rsidRDefault="00000000">
      <w:pPr>
        <w:spacing w:line="240" w:lineRule="auto"/>
        <w:jc w:val="center"/>
        <w:rPr>
          <w:b/>
          <w:bCs/>
        </w:rPr>
      </w:pPr>
      <w:r>
        <w:rPr>
          <w:b/>
          <w:bCs/>
        </w:rPr>
        <w:t>(в 1 000 человек) и в процентах по возрастным группам</w:t>
      </w:r>
    </w:p>
    <w:p w:rsidR="00000000" w:rsidRDefault="00000000">
      <w:pPr>
        <w:spacing w:line="240" w:lineRule="auto"/>
        <w:jc w:val="center"/>
        <w:rPr>
          <w:b/>
          <w:bCs/>
        </w:rPr>
      </w:pPr>
      <w:r>
        <w:rPr>
          <w:b/>
          <w:bCs/>
        </w:rPr>
        <w:t>(все цифры включают сектор образования экологического</w:t>
      </w:r>
    </w:p>
    <w:p w:rsidR="00000000" w:rsidRDefault="00000000">
      <w:pPr>
        <w:spacing w:line="240" w:lineRule="auto"/>
        <w:jc w:val="center"/>
        <w:rPr>
          <w:b/>
          <w:bCs/>
        </w:rPr>
      </w:pPr>
      <w:r>
        <w:rPr>
          <w:b/>
          <w:bCs/>
        </w:rPr>
        <w:t>профиля/</w:t>
      </w:r>
      <w:proofErr w:type="spellStart"/>
      <w:r>
        <w:rPr>
          <w:b/>
          <w:bCs/>
        </w:rPr>
        <w:t>ЛНВ</w:t>
      </w:r>
      <w:proofErr w:type="spellEnd"/>
      <w:r>
        <w:rPr>
          <w:b/>
          <w:bCs/>
        </w:rPr>
        <w:t>)</w:t>
      </w:r>
    </w:p>
    <w:p w:rsidR="00000000" w:rsidRDefault="00000000">
      <w:pPr>
        <w:spacing w:line="240" w:lineRule="auto"/>
        <w:jc w:val="center"/>
        <w:rPr>
          <w:b/>
          <w:bCs/>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164" w:type="dxa"/>
        </w:tblCellMar>
        <w:tblLook w:val="0000" w:firstRow="0" w:lastRow="0" w:firstColumn="0" w:lastColumn="0" w:noHBand="0" w:noVBand="0"/>
      </w:tblPr>
      <w:tblGrid>
        <w:gridCol w:w="2142"/>
        <w:gridCol w:w="1288"/>
        <w:gridCol w:w="1390"/>
        <w:gridCol w:w="1259"/>
        <w:gridCol w:w="770"/>
        <w:gridCol w:w="840"/>
        <w:gridCol w:w="784"/>
        <w:gridCol w:w="756"/>
      </w:tblGrid>
      <w:tr w:rsidR="00000000">
        <w:tblPrEx>
          <w:tblCellMar>
            <w:top w:w="0" w:type="dxa"/>
            <w:bottom w:w="0" w:type="dxa"/>
          </w:tblCellMar>
        </w:tblPrEx>
        <w:trPr>
          <w:tblHeader/>
        </w:trPr>
        <w:tc>
          <w:tcPr>
            <w:tcW w:w="2142" w:type="dxa"/>
          </w:tcPr>
          <w:p w:rsidR="00000000" w:rsidRDefault="00000000">
            <w:pPr>
              <w:pStyle w:val="Header"/>
            </w:pPr>
          </w:p>
        </w:tc>
        <w:tc>
          <w:tcPr>
            <w:tcW w:w="1288" w:type="dxa"/>
          </w:tcPr>
          <w:p w:rsidR="00000000" w:rsidRDefault="00000000">
            <w:pPr>
              <w:jc w:val="center"/>
              <w:rPr>
                <w:sz w:val="20"/>
              </w:rPr>
            </w:pPr>
            <w:r>
              <w:rPr>
                <w:sz w:val="20"/>
              </w:rPr>
              <w:t>Мужчины</w:t>
            </w:r>
          </w:p>
        </w:tc>
        <w:tc>
          <w:tcPr>
            <w:tcW w:w="1390" w:type="dxa"/>
          </w:tcPr>
          <w:p w:rsidR="00000000" w:rsidRDefault="00000000">
            <w:pPr>
              <w:pStyle w:val="FootnoteText"/>
              <w:spacing w:line="288" w:lineRule="auto"/>
              <w:jc w:val="center"/>
              <w:rPr>
                <w:sz w:val="20"/>
              </w:rPr>
            </w:pPr>
            <w:r>
              <w:rPr>
                <w:sz w:val="20"/>
              </w:rPr>
              <w:t>Женщины</w:t>
            </w:r>
          </w:p>
        </w:tc>
        <w:tc>
          <w:tcPr>
            <w:tcW w:w="1259" w:type="dxa"/>
          </w:tcPr>
          <w:p w:rsidR="00000000" w:rsidRDefault="00000000">
            <w:pPr>
              <w:jc w:val="center"/>
              <w:rPr>
                <w:sz w:val="20"/>
              </w:rPr>
            </w:pPr>
            <w:r>
              <w:rPr>
                <w:sz w:val="20"/>
              </w:rPr>
              <w:t>Всего</w:t>
            </w:r>
          </w:p>
        </w:tc>
        <w:tc>
          <w:tcPr>
            <w:tcW w:w="770" w:type="dxa"/>
          </w:tcPr>
          <w:p w:rsidR="00000000" w:rsidRDefault="00000000">
            <w:pPr>
              <w:jc w:val="center"/>
              <w:rPr>
                <w:sz w:val="20"/>
              </w:rPr>
            </w:pPr>
            <w:r>
              <w:rPr>
                <w:sz w:val="20"/>
              </w:rPr>
              <w:t>4</w:t>
            </w:r>
            <w:r>
              <w:rPr>
                <w:sz w:val="20"/>
              </w:rPr>
              <w:noBreakHyphen/>
              <w:t>11</w:t>
            </w:r>
          </w:p>
        </w:tc>
        <w:tc>
          <w:tcPr>
            <w:tcW w:w="840" w:type="dxa"/>
          </w:tcPr>
          <w:p w:rsidR="00000000" w:rsidRDefault="00000000">
            <w:pPr>
              <w:jc w:val="center"/>
              <w:rPr>
                <w:sz w:val="20"/>
              </w:rPr>
            </w:pPr>
            <w:r>
              <w:rPr>
                <w:sz w:val="20"/>
              </w:rPr>
              <w:t>12</w:t>
            </w:r>
            <w:r>
              <w:rPr>
                <w:sz w:val="20"/>
              </w:rPr>
              <w:noBreakHyphen/>
              <w:t>17</w:t>
            </w:r>
          </w:p>
        </w:tc>
        <w:tc>
          <w:tcPr>
            <w:tcW w:w="784" w:type="dxa"/>
          </w:tcPr>
          <w:p w:rsidR="00000000" w:rsidRDefault="00000000">
            <w:pPr>
              <w:jc w:val="center"/>
              <w:rPr>
                <w:sz w:val="20"/>
              </w:rPr>
            </w:pPr>
            <w:r>
              <w:rPr>
                <w:sz w:val="20"/>
              </w:rPr>
              <w:t>18</w:t>
            </w:r>
            <w:r>
              <w:rPr>
                <w:sz w:val="20"/>
              </w:rPr>
              <w:noBreakHyphen/>
              <w:t>27</w:t>
            </w:r>
          </w:p>
        </w:tc>
        <w:tc>
          <w:tcPr>
            <w:tcW w:w="756" w:type="dxa"/>
          </w:tcPr>
          <w:p w:rsidR="00000000" w:rsidRDefault="00000000">
            <w:pPr>
              <w:jc w:val="center"/>
              <w:rPr>
                <w:sz w:val="20"/>
              </w:rPr>
            </w:pPr>
            <w:r>
              <w:rPr>
                <w:sz w:val="20"/>
              </w:rPr>
              <w:t>28</w:t>
            </w:r>
            <w:r>
              <w:rPr>
                <w:sz w:val="20"/>
              </w:rPr>
              <w:noBreakHyphen/>
              <w:t>64</w:t>
            </w:r>
          </w:p>
        </w:tc>
      </w:tr>
      <w:tr w:rsidR="00000000">
        <w:tblPrEx>
          <w:tblCellMar>
            <w:top w:w="0" w:type="dxa"/>
            <w:bottom w:w="0" w:type="dxa"/>
          </w:tblCellMar>
        </w:tblPrEx>
        <w:trPr>
          <w:trHeight w:val="275"/>
        </w:trPr>
        <w:tc>
          <w:tcPr>
            <w:tcW w:w="2142" w:type="dxa"/>
            <w:tcBorders>
              <w:bottom w:val="nil"/>
            </w:tcBorders>
          </w:tcPr>
          <w:p w:rsidR="00000000" w:rsidRDefault="00000000">
            <w:pPr>
              <w:pStyle w:val="Header"/>
              <w:rPr>
                <w:b/>
              </w:rPr>
            </w:pPr>
            <w:r>
              <w:rPr>
                <w:b/>
              </w:rPr>
              <w:t>2000</w:t>
            </w:r>
          </w:p>
        </w:tc>
        <w:tc>
          <w:tcPr>
            <w:tcW w:w="1288" w:type="dxa"/>
            <w:tcBorders>
              <w:bottom w:val="nil"/>
            </w:tcBorders>
          </w:tcPr>
          <w:p w:rsidR="00000000" w:rsidRDefault="00000000">
            <w:pPr>
              <w:jc w:val="right"/>
            </w:pPr>
          </w:p>
        </w:tc>
        <w:tc>
          <w:tcPr>
            <w:tcW w:w="1390" w:type="dxa"/>
            <w:tcBorders>
              <w:bottom w:val="nil"/>
            </w:tcBorders>
          </w:tcPr>
          <w:p w:rsidR="00000000" w:rsidRDefault="00000000">
            <w:pPr>
              <w:pStyle w:val="FootnoteText"/>
              <w:spacing w:line="288" w:lineRule="auto"/>
              <w:jc w:val="right"/>
            </w:pPr>
          </w:p>
        </w:tc>
        <w:tc>
          <w:tcPr>
            <w:tcW w:w="1259" w:type="dxa"/>
            <w:tcBorders>
              <w:bottom w:val="nil"/>
            </w:tcBorders>
          </w:tcPr>
          <w:p w:rsidR="00000000" w:rsidRDefault="00000000">
            <w:pPr>
              <w:jc w:val="right"/>
            </w:pPr>
          </w:p>
        </w:tc>
        <w:tc>
          <w:tcPr>
            <w:tcW w:w="770" w:type="dxa"/>
            <w:tcBorders>
              <w:bottom w:val="nil"/>
            </w:tcBorders>
          </w:tcPr>
          <w:p w:rsidR="00000000" w:rsidRDefault="00000000">
            <w:pPr>
              <w:jc w:val="right"/>
            </w:pPr>
          </w:p>
        </w:tc>
        <w:tc>
          <w:tcPr>
            <w:tcW w:w="840" w:type="dxa"/>
            <w:tcBorders>
              <w:bottom w:val="nil"/>
            </w:tcBorders>
          </w:tcPr>
          <w:p w:rsidR="00000000" w:rsidRDefault="00000000">
            <w:pPr>
              <w:jc w:val="right"/>
            </w:pPr>
          </w:p>
        </w:tc>
        <w:tc>
          <w:tcPr>
            <w:tcW w:w="784" w:type="dxa"/>
            <w:tcBorders>
              <w:bottom w:val="nil"/>
            </w:tcBorders>
          </w:tcPr>
          <w:p w:rsidR="00000000" w:rsidRDefault="00000000">
            <w:pPr>
              <w:jc w:val="right"/>
            </w:pPr>
          </w:p>
        </w:tc>
        <w:tc>
          <w:tcPr>
            <w:tcW w:w="756" w:type="dxa"/>
            <w:tcBorders>
              <w:bottom w:val="nil"/>
            </w:tcBorders>
          </w:tcPr>
          <w:p w:rsidR="00000000" w:rsidRDefault="00000000">
            <w:pPr>
              <w:jc w:val="right"/>
            </w:pPr>
          </w:p>
        </w:tc>
      </w:tr>
      <w:tr w:rsidR="00000000">
        <w:tblPrEx>
          <w:tblCellMar>
            <w:top w:w="0" w:type="dxa"/>
            <w:bottom w:w="0" w:type="dxa"/>
          </w:tblCellMar>
        </w:tblPrEx>
        <w:trPr>
          <w:trHeight w:val="275"/>
        </w:trPr>
        <w:tc>
          <w:tcPr>
            <w:tcW w:w="2142" w:type="dxa"/>
            <w:tcBorders>
              <w:top w:val="nil"/>
              <w:bottom w:val="nil"/>
            </w:tcBorders>
          </w:tcPr>
          <w:p w:rsidR="00000000" w:rsidRDefault="00000000">
            <w:pPr>
              <w:pStyle w:val="Header"/>
              <w:spacing w:line="240" w:lineRule="auto"/>
              <w:rPr>
                <w:sz w:val="20"/>
              </w:rPr>
            </w:pPr>
            <w:r>
              <w:rPr>
                <w:sz w:val="20"/>
              </w:rPr>
              <w:t>Образование с отрывом от производства</w:t>
            </w:r>
          </w:p>
        </w:tc>
        <w:tc>
          <w:tcPr>
            <w:tcW w:w="1288" w:type="dxa"/>
            <w:tcBorders>
              <w:top w:val="nil"/>
              <w:bottom w:val="nil"/>
            </w:tcBorders>
          </w:tcPr>
          <w:p w:rsidR="00000000" w:rsidRDefault="00000000">
            <w:pPr>
              <w:tabs>
                <w:tab w:val="clear" w:pos="567"/>
                <w:tab w:val="clear" w:pos="1134"/>
                <w:tab w:val="clear" w:pos="1701"/>
                <w:tab w:val="clear" w:pos="2268"/>
              </w:tabs>
              <w:ind w:right="39"/>
              <w:jc w:val="right"/>
            </w:pPr>
          </w:p>
        </w:tc>
        <w:tc>
          <w:tcPr>
            <w:tcW w:w="1390" w:type="dxa"/>
            <w:tcBorders>
              <w:top w:val="nil"/>
              <w:bottom w:val="nil"/>
            </w:tcBorders>
          </w:tcPr>
          <w:p w:rsidR="00000000" w:rsidRDefault="00000000">
            <w:pPr>
              <w:pStyle w:val="FootnoteText"/>
              <w:tabs>
                <w:tab w:val="clear" w:pos="567"/>
                <w:tab w:val="clear" w:pos="1134"/>
              </w:tabs>
              <w:spacing w:line="288" w:lineRule="auto"/>
              <w:ind w:right="137"/>
              <w:jc w:val="right"/>
            </w:pPr>
          </w:p>
        </w:tc>
        <w:tc>
          <w:tcPr>
            <w:tcW w:w="1259" w:type="dxa"/>
            <w:tcBorders>
              <w:top w:val="nil"/>
              <w:bottom w:val="nil"/>
            </w:tcBorders>
          </w:tcPr>
          <w:p w:rsidR="00000000" w:rsidRDefault="00000000">
            <w:pPr>
              <w:tabs>
                <w:tab w:val="clear" w:pos="567"/>
                <w:tab w:val="clear" w:pos="1134"/>
              </w:tabs>
              <w:ind w:right="137"/>
              <w:jc w:val="right"/>
            </w:pPr>
          </w:p>
        </w:tc>
        <w:tc>
          <w:tcPr>
            <w:tcW w:w="770" w:type="dxa"/>
            <w:tcBorders>
              <w:top w:val="nil"/>
              <w:bottom w:val="nil"/>
            </w:tcBorders>
          </w:tcPr>
          <w:p w:rsidR="00000000" w:rsidRDefault="00000000">
            <w:pPr>
              <w:jc w:val="right"/>
            </w:pPr>
          </w:p>
        </w:tc>
        <w:tc>
          <w:tcPr>
            <w:tcW w:w="840" w:type="dxa"/>
            <w:tcBorders>
              <w:top w:val="nil"/>
              <w:bottom w:val="nil"/>
            </w:tcBorders>
          </w:tcPr>
          <w:p w:rsidR="00000000" w:rsidRDefault="00000000">
            <w:pPr>
              <w:jc w:val="right"/>
            </w:pPr>
          </w:p>
        </w:tc>
        <w:tc>
          <w:tcPr>
            <w:tcW w:w="784" w:type="dxa"/>
            <w:tcBorders>
              <w:top w:val="nil"/>
              <w:bottom w:val="nil"/>
            </w:tcBorders>
          </w:tcPr>
          <w:p w:rsidR="00000000" w:rsidRDefault="00000000">
            <w:pPr>
              <w:jc w:val="right"/>
            </w:pPr>
          </w:p>
        </w:tc>
        <w:tc>
          <w:tcPr>
            <w:tcW w:w="756" w:type="dxa"/>
            <w:tcBorders>
              <w:top w:val="nil"/>
              <w:bottom w:val="nil"/>
            </w:tcBorders>
          </w:tcPr>
          <w:p w:rsidR="00000000" w:rsidRDefault="00000000">
            <w:pPr>
              <w:jc w:val="right"/>
            </w:pPr>
          </w:p>
        </w:tc>
      </w:tr>
      <w:tr w:rsidR="00000000">
        <w:tblPrEx>
          <w:tblCellMar>
            <w:top w:w="0" w:type="dxa"/>
            <w:bottom w:w="0" w:type="dxa"/>
          </w:tblCellMar>
        </w:tblPrEx>
        <w:tc>
          <w:tcPr>
            <w:tcW w:w="2142" w:type="dxa"/>
            <w:tcBorders>
              <w:top w:val="nil"/>
              <w:bottom w:val="nil"/>
            </w:tcBorders>
          </w:tcPr>
          <w:p w:rsidR="00000000" w:rsidRDefault="00000000">
            <w:r>
              <w:t>ОНО</w:t>
            </w:r>
          </w:p>
        </w:tc>
        <w:tc>
          <w:tcPr>
            <w:tcW w:w="1288" w:type="dxa"/>
            <w:tcBorders>
              <w:top w:val="nil"/>
              <w:bottom w:val="nil"/>
            </w:tcBorders>
          </w:tcPr>
          <w:p w:rsidR="00000000" w:rsidRDefault="00000000">
            <w:pPr>
              <w:tabs>
                <w:tab w:val="clear" w:pos="567"/>
                <w:tab w:val="clear" w:pos="1134"/>
                <w:tab w:val="clear" w:pos="1701"/>
                <w:tab w:val="clear" w:pos="2268"/>
              </w:tabs>
              <w:ind w:left="-139" w:right="179"/>
              <w:jc w:val="right"/>
              <w:rPr>
                <w:lang w:val="en-US"/>
              </w:rPr>
            </w:pPr>
            <w:r>
              <w:rPr>
                <w:lang w:val="en-US"/>
              </w:rPr>
              <w:t>786,0</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760,7</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1 546,7</w:t>
            </w:r>
          </w:p>
        </w:tc>
        <w:tc>
          <w:tcPr>
            <w:tcW w:w="770" w:type="dxa"/>
            <w:tcBorders>
              <w:top w:val="nil"/>
              <w:bottom w:val="nil"/>
            </w:tcBorders>
          </w:tcPr>
          <w:p w:rsidR="00000000" w:rsidRDefault="00000000">
            <w:pPr>
              <w:jc w:val="right"/>
              <w:rPr>
                <w:lang w:val="en-US"/>
              </w:rPr>
            </w:pPr>
            <w:r>
              <w:rPr>
                <w:lang w:val="en-US"/>
              </w:rPr>
              <w:t>92,3</w:t>
            </w:r>
          </w:p>
        </w:tc>
        <w:tc>
          <w:tcPr>
            <w:tcW w:w="840" w:type="dxa"/>
            <w:tcBorders>
              <w:top w:val="nil"/>
              <w:bottom w:val="nil"/>
            </w:tcBorders>
          </w:tcPr>
          <w:p w:rsidR="00000000" w:rsidRDefault="00000000">
            <w:pPr>
              <w:jc w:val="right"/>
              <w:rPr>
                <w:lang w:val="en-US"/>
              </w:rPr>
            </w:pPr>
            <w:r>
              <w:rPr>
                <w:lang w:val="en-US"/>
              </w:rPr>
              <w:t>7,0</w:t>
            </w:r>
          </w:p>
        </w:tc>
        <w:tc>
          <w:tcPr>
            <w:tcW w:w="784" w:type="dxa"/>
            <w:tcBorders>
              <w:top w:val="nil"/>
              <w:bottom w:val="nil"/>
            </w:tcBorders>
          </w:tcPr>
          <w:p w:rsidR="00000000" w:rsidRDefault="00000000">
            <w:pPr>
              <w:jc w:val="right"/>
              <w:rPr>
                <w:lang w:val="en-US"/>
              </w:rPr>
            </w:pPr>
            <w:r>
              <w:rPr>
                <w:lang w:val="en-US"/>
              </w:rPr>
              <w:t>0,0</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СНО</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35,1</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16,5</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51,6</w:t>
            </w:r>
          </w:p>
        </w:tc>
        <w:tc>
          <w:tcPr>
            <w:tcW w:w="770" w:type="dxa"/>
            <w:tcBorders>
              <w:top w:val="nil"/>
              <w:bottom w:val="nil"/>
            </w:tcBorders>
          </w:tcPr>
          <w:p w:rsidR="00000000" w:rsidRDefault="00000000">
            <w:pPr>
              <w:jc w:val="right"/>
              <w:rPr>
                <w:lang w:val="en-US"/>
              </w:rPr>
            </w:pPr>
            <w:r>
              <w:rPr>
                <w:lang w:val="en-US"/>
              </w:rPr>
              <w:t>2,7</w:t>
            </w:r>
          </w:p>
        </w:tc>
        <w:tc>
          <w:tcPr>
            <w:tcW w:w="840" w:type="dxa"/>
            <w:tcBorders>
              <w:top w:val="nil"/>
              <w:bottom w:val="nil"/>
            </w:tcBorders>
          </w:tcPr>
          <w:p w:rsidR="00000000" w:rsidRDefault="00000000">
            <w:pPr>
              <w:jc w:val="right"/>
              <w:rPr>
                <w:lang w:val="en-US"/>
              </w:rPr>
            </w:pPr>
            <w:r>
              <w:rPr>
                <w:lang w:val="en-US"/>
              </w:rPr>
              <w:t>0,8</w:t>
            </w:r>
          </w:p>
        </w:tc>
        <w:tc>
          <w:tcPr>
            <w:tcW w:w="784" w:type="dxa"/>
            <w:tcBorders>
              <w:top w:val="nil"/>
              <w:bottom w:val="nil"/>
            </w:tcBorders>
          </w:tcPr>
          <w:p w:rsidR="00000000" w:rsidRDefault="00000000">
            <w:pPr>
              <w:jc w:val="right"/>
              <w:rPr>
                <w:lang w:val="en-US"/>
              </w:rPr>
            </w:pPr>
            <w:r>
              <w:rPr>
                <w:lang w:val="en-US"/>
              </w:rPr>
              <w:t>0,0</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НССО</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31,3</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14,5</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45,8</w:t>
            </w:r>
          </w:p>
        </w:tc>
        <w:tc>
          <w:tcPr>
            <w:tcW w:w="770" w:type="dxa"/>
            <w:tcBorders>
              <w:top w:val="nil"/>
              <w:bottom w:val="nil"/>
            </w:tcBorders>
          </w:tcPr>
          <w:p w:rsidR="00000000" w:rsidRDefault="00000000">
            <w:pPr>
              <w:jc w:val="right"/>
              <w:rPr>
                <w:lang w:val="en-US"/>
              </w:rPr>
            </w:pPr>
            <w:r>
              <w:rPr>
                <w:lang w:val="en-US"/>
              </w:rPr>
              <w:t>1,5</w:t>
            </w:r>
          </w:p>
        </w:tc>
        <w:tc>
          <w:tcPr>
            <w:tcW w:w="840" w:type="dxa"/>
            <w:tcBorders>
              <w:top w:val="nil"/>
              <w:bottom w:val="nil"/>
            </w:tcBorders>
          </w:tcPr>
          <w:p w:rsidR="00000000" w:rsidRDefault="00000000">
            <w:pPr>
              <w:jc w:val="right"/>
              <w:rPr>
                <w:lang w:val="en-US"/>
              </w:rPr>
            </w:pPr>
            <w:r>
              <w:rPr>
                <w:lang w:val="en-US"/>
              </w:rPr>
              <w:t>1,6</w:t>
            </w:r>
          </w:p>
        </w:tc>
        <w:tc>
          <w:tcPr>
            <w:tcW w:w="784" w:type="dxa"/>
            <w:tcBorders>
              <w:top w:val="nil"/>
              <w:bottom w:val="nil"/>
            </w:tcBorders>
          </w:tcPr>
          <w:p w:rsidR="00000000" w:rsidRDefault="00000000">
            <w:pPr>
              <w:jc w:val="right"/>
              <w:rPr>
                <w:lang w:val="en-US"/>
              </w:rPr>
            </w:pPr>
            <w:r>
              <w:rPr>
                <w:lang w:val="en-US"/>
              </w:rPr>
              <w:t>0,1</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Pr>
              <w:rPr>
                <w:lang w:val="en-US"/>
              </w:rPr>
            </w:pPr>
            <w:proofErr w:type="spellStart"/>
            <w:r>
              <w:t>ПГ</w:t>
            </w:r>
            <w:proofErr w:type="spellEnd"/>
            <w:r>
              <w:t xml:space="preserve"> </w:t>
            </w:r>
            <w:r>
              <w:rPr>
                <w:lang w:val="en-US"/>
              </w:rPr>
              <w:t>1</w:t>
            </w:r>
            <w:r>
              <w:rPr>
                <w:lang w:val="en-US"/>
              </w:rPr>
              <w:noBreakHyphen/>
              <w:t>3</w:t>
            </w:r>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202,1</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194,2</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396,3</w:t>
            </w:r>
          </w:p>
        </w:tc>
        <w:tc>
          <w:tcPr>
            <w:tcW w:w="770" w:type="dxa"/>
            <w:tcBorders>
              <w:top w:val="nil"/>
              <w:bottom w:val="nil"/>
            </w:tcBorders>
          </w:tcPr>
          <w:p w:rsidR="00000000" w:rsidRDefault="00000000">
            <w:pPr>
              <w:jc w:val="right"/>
              <w:rPr>
                <w:lang w:val="en-US"/>
              </w:rPr>
            </w:pPr>
            <w:r>
              <w:rPr>
                <w:lang w:val="en-US"/>
              </w:rPr>
              <w:t>0,1</w:t>
            </w:r>
          </w:p>
        </w:tc>
        <w:tc>
          <w:tcPr>
            <w:tcW w:w="840" w:type="dxa"/>
            <w:tcBorders>
              <w:top w:val="nil"/>
              <w:bottom w:val="nil"/>
            </w:tcBorders>
          </w:tcPr>
          <w:p w:rsidR="00000000" w:rsidRDefault="00000000">
            <w:pPr>
              <w:jc w:val="right"/>
              <w:rPr>
                <w:lang w:val="en-US"/>
              </w:rPr>
            </w:pPr>
            <w:r>
              <w:rPr>
                <w:lang w:val="en-US"/>
              </w:rPr>
              <w:t>34,6</w:t>
            </w:r>
          </w:p>
        </w:tc>
        <w:tc>
          <w:tcPr>
            <w:tcW w:w="784" w:type="dxa"/>
            <w:tcBorders>
              <w:top w:val="nil"/>
              <w:bottom w:val="nil"/>
            </w:tcBorders>
          </w:tcPr>
          <w:p w:rsidR="00000000" w:rsidRDefault="00000000">
            <w:pPr>
              <w:jc w:val="right"/>
              <w:rPr>
                <w:lang w:val="en-US"/>
              </w:rPr>
            </w:pPr>
            <w:r>
              <w:rPr>
                <w:lang w:val="en-US"/>
              </w:rPr>
              <w:t>0,1</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СОТУ</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138,2</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114,9</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253,1</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21,9</w:t>
            </w:r>
          </w:p>
        </w:tc>
        <w:tc>
          <w:tcPr>
            <w:tcW w:w="784" w:type="dxa"/>
            <w:tcBorders>
              <w:top w:val="nil"/>
              <w:bottom w:val="nil"/>
            </w:tcBorders>
          </w:tcPr>
          <w:p w:rsidR="00000000" w:rsidRDefault="00000000">
            <w:pPr>
              <w:jc w:val="right"/>
              <w:rPr>
                <w:lang w:val="en-US"/>
              </w:rPr>
            </w:pPr>
            <w:r>
              <w:rPr>
                <w:lang w:val="en-US"/>
              </w:rPr>
              <w:t>0,2</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ОСО</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55,1</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62,1</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117,2</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9,7</w:t>
            </w:r>
          </w:p>
        </w:tc>
        <w:tc>
          <w:tcPr>
            <w:tcW w:w="784" w:type="dxa"/>
            <w:tcBorders>
              <w:top w:val="nil"/>
              <w:bottom w:val="nil"/>
            </w:tcBorders>
          </w:tcPr>
          <w:p w:rsidR="00000000" w:rsidRDefault="00000000">
            <w:pPr>
              <w:jc w:val="right"/>
              <w:rPr>
                <w:lang w:val="en-US"/>
              </w:rPr>
            </w:pPr>
            <w:r>
              <w:rPr>
                <w:lang w:val="en-US"/>
              </w:rPr>
              <w:t>0,4</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ПУО</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59,6</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68,7</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128,3</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10,0</w:t>
            </w:r>
          </w:p>
        </w:tc>
        <w:tc>
          <w:tcPr>
            <w:tcW w:w="784" w:type="dxa"/>
            <w:tcBorders>
              <w:top w:val="nil"/>
              <w:bottom w:val="nil"/>
            </w:tcBorders>
          </w:tcPr>
          <w:p w:rsidR="00000000" w:rsidRDefault="00000000">
            <w:pPr>
              <w:jc w:val="right"/>
              <w:rPr>
                <w:lang w:val="en-US"/>
              </w:rPr>
            </w:pPr>
            <w:r>
              <w:rPr>
                <w:lang w:val="en-US"/>
              </w:rPr>
              <w:t>0,7</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ПТПСОП</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133,2</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137,7</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270,8</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7,9</w:t>
            </w:r>
          </w:p>
        </w:tc>
        <w:tc>
          <w:tcPr>
            <w:tcW w:w="784" w:type="dxa"/>
            <w:tcBorders>
              <w:top w:val="nil"/>
              <w:bottom w:val="nil"/>
            </w:tcBorders>
          </w:tcPr>
          <w:p w:rsidR="00000000" w:rsidRDefault="00000000">
            <w:pPr>
              <w:jc w:val="right"/>
              <w:rPr>
                <w:lang w:val="en-US"/>
              </w:rPr>
            </w:pPr>
            <w:r>
              <w:rPr>
                <w:lang w:val="en-US"/>
              </w:rPr>
              <w:t>9,1</w:t>
            </w:r>
          </w:p>
        </w:tc>
        <w:tc>
          <w:tcPr>
            <w:tcW w:w="756" w:type="dxa"/>
            <w:tcBorders>
              <w:top w:val="nil"/>
              <w:bottom w:val="nil"/>
            </w:tcBorders>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tcPr>
          <w:p w:rsidR="00000000" w:rsidRDefault="00000000">
            <w:proofErr w:type="spellStart"/>
            <w:r>
              <w:t>ВПО</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121,8</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130,3</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252,1</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0,9</w:t>
            </w:r>
          </w:p>
        </w:tc>
        <w:tc>
          <w:tcPr>
            <w:tcW w:w="784" w:type="dxa"/>
            <w:tcBorders>
              <w:top w:val="nil"/>
              <w:bottom w:val="nil"/>
            </w:tcBorders>
          </w:tcPr>
          <w:p w:rsidR="00000000" w:rsidRDefault="00000000">
            <w:pPr>
              <w:jc w:val="right"/>
              <w:rPr>
                <w:lang w:val="en-US"/>
              </w:rPr>
            </w:pPr>
            <w:r>
              <w:rPr>
                <w:lang w:val="en-US"/>
              </w:rPr>
              <w:t>11,9</w:t>
            </w:r>
          </w:p>
        </w:tc>
        <w:tc>
          <w:tcPr>
            <w:tcW w:w="756" w:type="dxa"/>
            <w:tcBorders>
              <w:top w:val="nil"/>
              <w:bottom w:val="nil"/>
            </w:tcBorders>
          </w:tcPr>
          <w:p w:rsidR="00000000" w:rsidRDefault="00000000">
            <w:pPr>
              <w:jc w:val="right"/>
              <w:rPr>
                <w:lang w:val="en-US"/>
              </w:rPr>
            </w:pPr>
            <w:r>
              <w:rPr>
                <w:lang w:val="en-US"/>
              </w:rPr>
              <w:t>0,1</w:t>
            </w:r>
          </w:p>
        </w:tc>
      </w:tr>
      <w:tr w:rsidR="00000000">
        <w:tblPrEx>
          <w:tblCellMar>
            <w:top w:w="0" w:type="dxa"/>
            <w:bottom w:w="0" w:type="dxa"/>
          </w:tblCellMar>
        </w:tblPrEx>
        <w:tc>
          <w:tcPr>
            <w:tcW w:w="2142" w:type="dxa"/>
            <w:tcBorders>
              <w:top w:val="nil"/>
            </w:tcBorders>
          </w:tcPr>
          <w:p w:rsidR="00000000" w:rsidRDefault="00000000">
            <w:proofErr w:type="spellStart"/>
            <w:r>
              <w:t>УО</w:t>
            </w:r>
            <w:proofErr w:type="spellEnd"/>
          </w:p>
        </w:tc>
        <w:tc>
          <w:tcPr>
            <w:tcW w:w="1288" w:type="dxa"/>
            <w:tcBorders>
              <w:top w:val="nil"/>
            </w:tcBorders>
          </w:tcPr>
          <w:p w:rsidR="00000000" w:rsidRDefault="00000000">
            <w:pPr>
              <w:tabs>
                <w:tab w:val="clear" w:pos="567"/>
                <w:tab w:val="clear" w:pos="1134"/>
                <w:tab w:val="clear" w:pos="1701"/>
                <w:tab w:val="clear" w:pos="2268"/>
              </w:tabs>
              <w:ind w:right="179"/>
              <w:jc w:val="right"/>
              <w:rPr>
                <w:lang w:val="en-US"/>
              </w:rPr>
            </w:pPr>
            <w:r>
              <w:rPr>
                <w:lang w:val="en-US"/>
              </w:rPr>
              <w:t>85,6</w:t>
            </w:r>
          </w:p>
        </w:tc>
        <w:tc>
          <w:tcPr>
            <w:tcW w:w="1390" w:type="dxa"/>
            <w:tcBorders>
              <w:top w:val="nil"/>
            </w:tcBorders>
          </w:tcPr>
          <w:p w:rsidR="00000000" w:rsidRDefault="00000000">
            <w:pPr>
              <w:tabs>
                <w:tab w:val="clear" w:pos="567"/>
                <w:tab w:val="clear" w:pos="1134"/>
              </w:tabs>
              <w:ind w:right="137"/>
              <w:jc w:val="right"/>
              <w:rPr>
                <w:lang w:val="en-US"/>
              </w:rPr>
            </w:pPr>
            <w:r>
              <w:rPr>
                <w:lang w:val="en-US"/>
              </w:rPr>
              <w:t>79,6</w:t>
            </w:r>
          </w:p>
        </w:tc>
        <w:tc>
          <w:tcPr>
            <w:tcW w:w="1259" w:type="dxa"/>
            <w:tcBorders>
              <w:top w:val="nil"/>
            </w:tcBorders>
          </w:tcPr>
          <w:p w:rsidR="00000000" w:rsidRDefault="00000000">
            <w:pPr>
              <w:tabs>
                <w:tab w:val="clear" w:pos="567"/>
                <w:tab w:val="clear" w:pos="1134"/>
              </w:tabs>
              <w:ind w:right="137"/>
              <w:jc w:val="right"/>
              <w:rPr>
                <w:lang w:val="en-US"/>
              </w:rPr>
            </w:pPr>
            <w:r>
              <w:rPr>
                <w:lang w:val="en-US"/>
              </w:rPr>
              <w:t>165,2</w:t>
            </w:r>
          </w:p>
        </w:tc>
        <w:tc>
          <w:tcPr>
            <w:tcW w:w="770" w:type="dxa"/>
            <w:tcBorders>
              <w:top w:val="nil"/>
            </w:tcBorders>
          </w:tcPr>
          <w:p w:rsidR="00000000" w:rsidRDefault="00000000">
            <w:pPr>
              <w:jc w:val="right"/>
              <w:rPr>
                <w:lang w:val="en-US"/>
              </w:rPr>
            </w:pPr>
            <w:r>
              <w:rPr>
                <w:lang w:val="en-US"/>
              </w:rPr>
              <w:t>0,0</w:t>
            </w:r>
          </w:p>
        </w:tc>
        <w:tc>
          <w:tcPr>
            <w:tcW w:w="840" w:type="dxa"/>
            <w:tcBorders>
              <w:top w:val="nil"/>
            </w:tcBorders>
          </w:tcPr>
          <w:p w:rsidR="00000000" w:rsidRDefault="00000000">
            <w:pPr>
              <w:jc w:val="right"/>
              <w:rPr>
                <w:lang w:val="en-US"/>
              </w:rPr>
            </w:pPr>
            <w:r>
              <w:rPr>
                <w:lang w:val="en-US"/>
              </w:rPr>
              <w:t>0,0</w:t>
            </w:r>
          </w:p>
        </w:tc>
        <w:tc>
          <w:tcPr>
            <w:tcW w:w="784" w:type="dxa"/>
            <w:tcBorders>
              <w:top w:val="nil"/>
            </w:tcBorders>
          </w:tcPr>
          <w:p w:rsidR="00000000" w:rsidRDefault="00000000">
            <w:pPr>
              <w:jc w:val="right"/>
              <w:rPr>
                <w:lang w:val="en-US"/>
              </w:rPr>
            </w:pPr>
            <w:r>
              <w:rPr>
                <w:lang w:val="en-US"/>
              </w:rPr>
              <w:t>7,4</w:t>
            </w:r>
          </w:p>
        </w:tc>
        <w:tc>
          <w:tcPr>
            <w:tcW w:w="756" w:type="dxa"/>
            <w:tcBorders>
              <w:top w:val="nil"/>
            </w:tcBorders>
          </w:tcPr>
          <w:p w:rsidR="00000000" w:rsidRDefault="00000000">
            <w:pPr>
              <w:jc w:val="right"/>
              <w:rPr>
                <w:lang w:val="en-US"/>
              </w:rPr>
            </w:pPr>
            <w:r>
              <w:rPr>
                <w:lang w:val="en-US"/>
              </w:rPr>
              <w:t>0,2</w:t>
            </w:r>
          </w:p>
        </w:tc>
      </w:tr>
      <w:tr w:rsidR="00000000">
        <w:tblPrEx>
          <w:tblCellMar>
            <w:top w:w="0" w:type="dxa"/>
            <w:bottom w:w="0" w:type="dxa"/>
          </w:tblCellMar>
        </w:tblPrEx>
        <w:tc>
          <w:tcPr>
            <w:tcW w:w="2142" w:type="dxa"/>
          </w:tcPr>
          <w:p w:rsidR="00000000" w:rsidRDefault="00000000">
            <w:pPr>
              <w:pStyle w:val="Header"/>
              <w:tabs>
                <w:tab w:val="left" w:pos="266"/>
              </w:tabs>
              <w:spacing w:line="240" w:lineRule="auto"/>
              <w:ind w:left="266" w:hanging="266"/>
              <w:rPr>
                <w:sz w:val="20"/>
              </w:rPr>
            </w:pPr>
            <w:r>
              <w:rPr>
                <w:sz w:val="20"/>
              </w:rPr>
              <w:tab/>
              <w:t>Всего учащихся в системе образования с отрывом от производства</w:t>
            </w:r>
          </w:p>
        </w:tc>
        <w:tc>
          <w:tcPr>
            <w:tcW w:w="1288" w:type="dxa"/>
            <w:vAlign w:val="bottom"/>
          </w:tcPr>
          <w:p w:rsidR="00000000" w:rsidRDefault="00000000">
            <w:pPr>
              <w:tabs>
                <w:tab w:val="clear" w:pos="567"/>
                <w:tab w:val="clear" w:pos="1134"/>
                <w:tab w:val="clear" w:pos="1701"/>
                <w:tab w:val="clear" w:pos="2268"/>
              </w:tabs>
              <w:ind w:right="179"/>
              <w:jc w:val="right"/>
              <w:rPr>
                <w:lang w:val="en-US"/>
              </w:rPr>
            </w:pPr>
            <w:r>
              <w:rPr>
                <w:lang w:val="en-US"/>
              </w:rPr>
              <w:t>1 648,0</w:t>
            </w:r>
          </w:p>
        </w:tc>
        <w:tc>
          <w:tcPr>
            <w:tcW w:w="1390" w:type="dxa"/>
            <w:vAlign w:val="bottom"/>
          </w:tcPr>
          <w:p w:rsidR="00000000" w:rsidRDefault="00000000">
            <w:pPr>
              <w:tabs>
                <w:tab w:val="clear" w:pos="567"/>
                <w:tab w:val="clear" w:pos="1134"/>
              </w:tabs>
              <w:ind w:right="137"/>
              <w:jc w:val="right"/>
              <w:rPr>
                <w:lang w:val="en-US"/>
              </w:rPr>
            </w:pPr>
            <w:r>
              <w:rPr>
                <w:lang w:val="en-US"/>
              </w:rPr>
              <w:t>1 579,1</w:t>
            </w:r>
          </w:p>
        </w:tc>
        <w:tc>
          <w:tcPr>
            <w:tcW w:w="1259" w:type="dxa"/>
            <w:vAlign w:val="bottom"/>
          </w:tcPr>
          <w:p w:rsidR="00000000" w:rsidRDefault="00000000">
            <w:pPr>
              <w:tabs>
                <w:tab w:val="clear" w:pos="567"/>
                <w:tab w:val="clear" w:pos="1134"/>
              </w:tabs>
              <w:ind w:right="137"/>
              <w:jc w:val="right"/>
              <w:rPr>
                <w:lang w:val="en-US"/>
              </w:rPr>
            </w:pPr>
            <w:r>
              <w:rPr>
                <w:lang w:val="en-US"/>
              </w:rPr>
              <w:t>3 227,1</w:t>
            </w:r>
          </w:p>
        </w:tc>
        <w:tc>
          <w:tcPr>
            <w:tcW w:w="770" w:type="dxa"/>
            <w:vAlign w:val="bottom"/>
          </w:tcPr>
          <w:p w:rsidR="00000000" w:rsidRDefault="00000000">
            <w:pPr>
              <w:jc w:val="right"/>
              <w:rPr>
                <w:lang w:val="en-US"/>
              </w:rPr>
            </w:pPr>
            <w:r>
              <w:rPr>
                <w:lang w:val="en-US"/>
              </w:rPr>
              <w:t>96,6</w:t>
            </w:r>
          </w:p>
        </w:tc>
        <w:tc>
          <w:tcPr>
            <w:tcW w:w="840" w:type="dxa"/>
            <w:vAlign w:val="bottom"/>
          </w:tcPr>
          <w:p w:rsidR="00000000" w:rsidRDefault="00000000">
            <w:pPr>
              <w:jc w:val="right"/>
              <w:rPr>
                <w:lang w:val="en-US"/>
              </w:rPr>
            </w:pPr>
            <w:r>
              <w:rPr>
                <w:lang w:val="en-US"/>
              </w:rPr>
              <w:t>94,4</w:t>
            </w:r>
          </w:p>
        </w:tc>
        <w:tc>
          <w:tcPr>
            <w:tcW w:w="784" w:type="dxa"/>
            <w:vAlign w:val="bottom"/>
          </w:tcPr>
          <w:p w:rsidR="00000000" w:rsidRDefault="00000000">
            <w:pPr>
              <w:jc w:val="right"/>
              <w:rPr>
                <w:lang w:val="en-US"/>
              </w:rPr>
            </w:pPr>
            <w:r>
              <w:rPr>
                <w:lang w:val="en-US"/>
              </w:rPr>
              <w:t>29,8</w:t>
            </w:r>
          </w:p>
        </w:tc>
        <w:tc>
          <w:tcPr>
            <w:tcW w:w="756" w:type="dxa"/>
            <w:vAlign w:val="bottom"/>
          </w:tcPr>
          <w:p w:rsidR="00000000" w:rsidRDefault="00000000">
            <w:pPr>
              <w:jc w:val="right"/>
              <w:rPr>
                <w:lang w:val="en-US"/>
              </w:rPr>
            </w:pPr>
            <w:r>
              <w:rPr>
                <w:lang w:val="en-US"/>
              </w:rPr>
              <w:t>0,4</w:t>
            </w:r>
          </w:p>
        </w:tc>
      </w:tr>
      <w:tr w:rsidR="00000000">
        <w:tblPrEx>
          <w:tblCellMar>
            <w:top w:w="0" w:type="dxa"/>
            <w:bottom w:w="0" w:type="dxa"/>
          </w:tblCellMar>
        </w:tblPrEx>
        <w:trPr>
          <w:trHeight w:val="325"/>
        </w:trPr>
        <w:tc>
          <w:tcPr>
            <w:tcW w:w="2142" w:type="dxa"/>
            <w:tcBorders>
              <w:bottom w:val="nil"/>
            </w:tcBorders>
          </w:tcPr>
          <w:p w:rsidR="00000000" w:rsidRDefault="00000000">
            <w:pPr>
              <w:pStyle w:val="Header"/>
              <w:spacing w:line="240" w:lineRule="auto"/>
              <w:rPr>
                <w:sz w:val="20"/>
              </w:rPr>
            </w:pPr>
            <w:r>
              <w:rPr>
                <w:sz w:val="20"/>
              </w:rPr>
              <w:t>Образование без отрыва от производства</w:t>
            </w:r>
          </w:p>
        </w:tc>
        <w:tc>
          <w:tcPr>
            <w:tcW w:w="1288" w:type="dxa"/>
            <w:tcBorders>
              <w:bottom w:val="nil"/>
            </w:tcBorders>
          </w:tcPr>
          <w:p w:rsidR="00000000" w:rsidRDefault="00000000">
            <w:pPr>
              <w:tabs>
                <w:tab w:val="clear" w:pos="567"/>
                <w:tab w:val="clear" w:pos="1134"/>
                <w:tab w:val="clear" w:pos="1701"/>
                <w:tab w:val="clear" w:pos="2268"/>
              </w:tabs>
              <w:ind w:right="179"/>
              <w:jc w:val="right"/>
            </w:pPr>
          </w:p>
        </w:tc>
        <w:tc>
          <w:tcPr>
            <w:tcW w:w="1390" w:type="dxa"/>
            <w:tcBorders>
              <w:bottom w:val="nil"/>
            </w:tcBorders>
          </w:tcPr>
          <w:p w:rsidR="00000000" w:rsidRDefault="00000000">
            <w:pPr>
              <w:tabs>
                <w:tab w:val="clear" w:pos="567"/>
                <w:tab w:val="clear" w:pos="1134"/>
              </w:tabs>
              <w:ind w:right="137"/>
              <w:jc w:val="right"/>
            </w:pPr>
          </w:p>
        </w:tc>
        <w:tc>
          <w:tcPr>
            <w:tcW w:w="1259" w:type="dxa"/>
            <w:tcBorders>
              <w:bottom w:val="nil"/>
            </w:tcBorders>
          </w:tcPr>
          <w:p w:rsidR="00000000" w:rsidRDefault="00000000">
            <w:pPr>
              <w:tabs>
                <w:tab w:val="clear" w:pos="567"/>
                <w:tab w:val="clear" w:pos="1134"/>
              </w:tabs>
              <w:ind w:right="137"/>
              <w:jc w:val="right"/>
            </w:pPr>
          </w:p>
        </w:tc>
        <w:tc>
          <w:tcPr>
            <w:tcW w:w="770" w:type="dxa"/>
            <w:tcBorders>
              <w:bottom w:val="nil"/>
            </w:tcBorders>
          </w:tcPr>
          <w:p w:rsidR="00000000" w:rsidRDefault="00000000">
            <w:pPr>
              <w:jc w:val="right"/>
            </w:pPr>
          </w:p>
        </w:tc>
        <w:tc>
          <w:tcPr>
            <w:tcW w:w="840" w:type="dxa"/>
            <w:tcBorders>
              <w:bottom w:val="nil"/>
            </w:tcBorders>
          </w:tcPr>
          <w:p w:rsidR="00000000" w:rsidRDefault="00000000">
            <w:pPr>
              <w:jc w:val="right"/>
            </w:pPr>
          </w:p>
        </w:tc>
        <w:tc>
          <w:tcPr>
            <w:tcW w:w="784" w:type="dxa"/>
            <w:tcBorders>
              <w:bottom w:val="nil"/>
            </w:tcBorders>
          </w:tcPr>
          <w:p w:rsidR="00000000" w:rsidRDefault="00000000">
            <w:pPr>
              <w:jc w:val="right"/>
            </w:pPr>
          </w:p>
        </w:tc>
        <w:tc>
          <w:tcPr>
            <w:tcW w:w="756" w:type="dxa"/>
            <w:tcBorders>
              <w:bottom w:val="nil"/>
            </w:tcBorders>
          </w:tcPr>
          <w:p w:rsidR="00000000" w:rsidRDefault="00000000">
            <w:pPr>
              <w:jc w:val="right"/>
            </w:pPr>
          </w:p>
        </w:tc>
      </w:tr>
      <w:tr w:rsidR="00000000">
        <w:tblPrEx>
          <w:tblCellMar>
            <w:top w:w="0" w:type="dxa"/>
            <w:bottom w:w="0" w:type="dxa"/>
          </w:tblCellMar>
        </w:tblPrEx>
        <w:tc>
          <w:tcPr>
            <w:tcW w:w="2142" w:type="dxa"/>
            <w:tcBorders>
              <w:top w:val="nil"/>
              <w:bottom w:val="nil"/>
            </w:tcBorders>
          </w:tcPr>
          <w:p w:rsidR="00000000" w:rsidRDefault="00000000">
            <w:pPr>
              <w:spacing w:line="240" w:lineRule="auto"/>
              <w:rPr>
                <w:sz w:val="20"/>
              </w:rPr>
            </w:pPr>
            <w:r>
              <w:rPr>
                <w:sz w:val="20"/>
              </w:rPr>
              <w:t>Образование для взрослых</w:t>
            </w:r>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39,9</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66,9</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106,8</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0,3</w:t>
            </w:r>
          </w:p>
        </w:tc>
        <w:tc>
          <w:tcPr>
            <w:tcW w:w="784" w:type="dxa"/>
            <w:tcBorders>
              <w:top w:val="nil"/>
              <w:bottom w:val="nil"/>
            </w:tcBorders>
          </w:tcPr>
          <w:p w:rsidR="00000000" w:rsidRDefault="00000000">
            <w:pPr>
              <w:jc w:val="right"/>
              <w:rPr>
                <w:lang w:val="en-US"/>
              </w:rPr>
            </w:pPr>
            <w:r>
              <w:rPr>
                <w:lang w:val="en-US"/>
              </w:rPr>
              <w:t>1,7</w:t>
            </w:r>
          </w:p>
        </w:tc>
        <w:tc>
          <w:tcPr>
            <w:tcW w:w="756" w:type="dxa"/>
            <w:tcBorders>
              <w:top w:val="nil"/>
              <w:bottom w:val="nil"/>
            </w:tcBorders>
          </w:tcPr>
          <w:p w:rsidR="00000000" w:rsidRDefault="00000000">
            <w:pPr>
              <w:jc w:val="right"/>
              <w:rPr>
                <w:lang w:val="en-US"/>
              </w:rPr>
            </w:pPr>
            <w:r>
              <w:rPr>
                <w:lang w:val="en-US"/>
              </w:rPr>
              <w:t>0,8</w:t>
            </w:r>
          </w:p>
        </w:tc>
      </w:tr>
      <w:tr w:rsidR="00000000">
        <w:tblPrEx>
          <w:tblCellMar>
            <w:top w:w="0" w:type="dxa"/>
            <w:bottom w:w="0" w:type="dxa"/>
          </w:tblCellMar>
        </w:tblPrEx>
        <w:tc>
          <w:tcPr>
            <w:tcW w:w="2142" w:type="dxa"/>
            <w:tcBorders>
              <w:top w:val="nil"/>
              <w:bottom w:val="nil"/>
            </w:tcBorders>
          </w:tcPr>
          <w:p w:rsidR="00000000" w:rsidRDefault="00000000">
            <w:proofErr w:type="spellStart"/>
            <w:r>
              <w:t>ПТОЧОП</w:t>
            </w:r>
            <w:proofErr w:type="spellEnd"/>
          </w:p>
        </w:tc>
        <w:tc>
          <w:tcPr>
            <w:tcW w:w="1288" w:type="dxa"/>
            <w:tcBorders>
              <w:top w:val="nil"/>
              <w:bottom w:val="nil"/>
            </w:tcBorders>
          </w:tcPr>
          <w:p w:rsidR="00000000" w:rsidRDefault="00000000">
            <w:pPr>
              <w:tabs>
                <w:tab w:val="clear" w:pos="567"/>
                <w:tab w:val="clear" w:pos="1134"/>
                <w:tab w:val="clear" w:pos="1701"/>
                <w:tab w:val="clear" w:pos="2268"/>
              </w:tabs>
              <w:ind w:right="179"/>
              <w:jc w:val="right"/>
              <w:rPr>
                <w:lang w:val="en-US"/>
              </w:rPr>
            </w:pPr>
            <w:r>
              <w:rPr>
                <w:lang w:val="en-US"/>
              </w:rPr>
              <w:t>98,8</w:t>
            </w:r>
          </w:p>
        </w:tc>
        <w:tc>
          <w:tcPr>
            <w:tcW w:w="1390" w:type="dxa"/>
            <w:tcBorders>
              <w:top w:val="nil"/>
              <w:bottom w:val="nil"/>
            </w:tcBorders>
          </w:tcPr>
          <w:p w:rsidR="00000000" w:rsidRDefault="00000000">
            <w:pPr>
              <w:tabs>
                <w:tab w:val="clear" w:pos="567"/>
                <w:tab w:val="clear" w:pos="1134"/>
              </w:tabs>
              <w:ind w:right="137"/>
              <w:jc w:val="right"/>
              <w:rPr>
                <w:lang w:val="en-US"/>
              </w:rPr>
            </w:pPr>
            <w:r>
              <w:rPr>
                <w:lang w:val="en-US"/>
              </w:rPr>
              <w:t>51,9</w:t>
            </w:r>
          </w:p>
        </w:tc>
        <w:tc>
          <w:tcPr>
            <w:tcW w:w="1259" w:type="dxa"/>
            <w:tcBorders>
              <w:top w:val="nil"/>
              <w:bottom w:val="nil"/>
            </w:tcBorders>
          </w:tcPr>
          <w:p w:rsidR="00000000" w:rsidRDefault="00000000">
            <w:pPr>
              <w:tabs>
                <w:tab w:val="clear" w:pos="567"/>
                <w:tab w:val="clear" w:pos="1134"/>
              </w:tabs>
              <w:ind w:right="137"/>
              <w:jc w:val="right"/>
              <w:rPr>
                <w:lang w:val="en-US"/>
              </w:rPr>
            </w:pPr>
            <w:r>
              <w:rPr>
                <w:lang w:val="en-US"/>
              </w:rPr>
              <w:t>150,7</w:t>
            </w:r>
          </w:p>
        </w:tc>
        <w:tc>
          <w:tcPr>
            <w:tcW w:w="770" w:type="dxa"/>
            <w:tcBorders>
              <w:top w:val="nil"/>
              <w:bottom w:val="nil"/>
            </w:tcBorders>
          </w:tcPr>
          <w:p w:rsidR="00000000" w:rsidRDefault="00000000">
            <w:pPr>
              <w:jc w:val="right"/>
              <w:rPr>
                <w:lang w:val="en-US"/>
              </w:rPr>
            </w:pPr>
            <w:r>
              <w:rPr>
                <w:lang w:val="en-US"/>
              </w:rPr>
              <w:t>0,0</w:t>
            </w:r>
          </w:p>
        </w:tc>
        <w:tc>
          <w:tcPr>
            <w:tcW w:w="840" w:type="dxa"/>
            <w:tcBorders>
              <w:top w:val="nil"/>
              <w:bottom w:val="nil"/>
            </w:tcBorders>
          </w:tcPr>
          <w:p w:rsidR="00000000" w:rsidRDefault="00000000">
            <w:pPr>
              <w:jc w:val="right"/>
              <w:rPr>
                <w:lang w:val="en-US"/>
              </w:rPr>
            </w:pPr>
            <w:r>
              <w:rPr>
                <w:lang w:val="en-US"/>
              </w:rPr>
              <w:t>2,2</w:t>
            </w:r>
          </w:p>
        </w:tc>
        <w:tc>
          <w:tcPr>
            <w:tcW w:w="784" w:type="dxa"/>
            <w:tcBorders>
              <w:top w:val="nil"/>
              <w:bottom w:val="nil"/>
            </w:tcBorders>
          </w:tcPr>
          <w:p w:rsidR="00000000" w:rsidRDefault="00000000">
            <w:pPr>
              <w:jc w:val="right"/>
              <w:rPr>
                <w:lang w:val="en-US"/>
              </w:rPr>
            </w:pPr>
            <w:r>
              <w:rPr>
                <w:lang w:val="en-US"/>
              </w:rPr>
              <w:t>4,6</w:t>
            </w:r>
          </w:p>
        </w:tc>
        <w:tc>
          <w:tcPr>
            <w:tcW w:w="756" w:type="dxa"/>
            <w:tcBorders>
              <w:top w:val="nil"/>
              <w:bottom w:val="nil"/>
            </w:tcBorders>
          </w:tcPr>
          <w:p w:rsidR="00000000" w:rsidRDefault="00000000">
            <w:pPr>
              <w:jc w:val="right"/>
              <w:rPr>
                <w:lang w:val="en-US"/>
              </w:rPr>
            </w:pPr>
            <w:r>
              <w:rPr>
                <w:lang w:val="en-US"/>
              </w:rPr>
              <w:t>0,4</w:t>
            </w:r>
          </w:p>
        </w:tc>
      </w:tr>
      <w:tr w:rsidR="00000000">
        <w:tblPrEx>
          <w:tblCellMar>
            <w:top w:w="0" w:type="dxa"/>
            <w:bottom w:w="0" w:type="dxa"/>
          </w:tblCellMar>
        </w:tblPrEx>
        <w:tc>
          <w:tcPr>
            <w:tcW w:w="2142" w:type="dxa"/>
            <w:tcBorders>
              <w:top w:val="nil"/>
              <w:bottom w:val="single" w:sz="4" w:space="0" w:color="auto"/>
            </w:tcBorders>
          </w:tcPr>
          <w:p w:rsidR="00000000" w:rsidRDefault="00000000">
            <w:proofErr w:type="spellStart"/>
            <w:r>
              <w:t>ПТПБОП</w:t>
            </w:r>
            <w:proofErr w:type="spellEnd"/>
          </w:p>
        </w:tc>
        <w:tc>
          <w:tcPr>
            <w:tcW w:w="1288" w:type="dxa"/>
            <w:tcBorders>
              <w:top w:val="nil"/>
              <w:bottom w:val="single" w:sz="4" w:space="0" w:color="auto"/>
            </w:tcBorders>
          </w:tcPr>
          <w:p w:rsidR="00000000" w:rsidRDefault="00000000">
            <w:pPr>
              <w:tabs>
                <w:tab w:val="clear" w:pos="567"/>
                <w:tab w:val="clear" w:pos="1134"/>
                <w:tab w:val="clear" w:pos="1701"/>
                <w:tab w:val="clear" w:pos="2268"/>
              </w:tabs>
              <w:ind w:right="179"/>
              <w:jc w:val="right"/>
              <w:rPr>
                <w:lang w:val="en-US"/>
              </w:rPr>
            </w:pPr>
            <w:r>
              <w:rPr>
                <w:lang w:val="en-US"/>
              </w:rPr>
              <w:t>11,9</w:t>
            </w:r>
          </w:p>
        </w:tc>
        <w:tc>
          <w:tcPr>
            <w:tcW w:w="1390" w:type="dxa"/>
            <w:tcBorders>
              <w:top w:val="nil"/>
              <w:bottom w:val="single" w:sz="4" w:space="0" w:color="auto"/>
            </w:tcBorders>
          </w:tcPr>
          <w:p w:rsidR="00000000" w:rsidRDefault="00000000">
            <w:pPr>
              <w:tabs>
                <w:tab w:val="clear" w:pos="567"/>
                <w:tab w:val="clear" w:pos="1134"/>
              </w:tabs>
              <w:ind w:right="137"/>
              <w:jc w:val="right"/>
              <w:rPr>
                <w:lang w:val="en-US"/>
              </w:rPr>
            </w:pPr>
            <w:r>
              <w:rPr>
                <w:lang w:val="en-US"/>
              </w:rPr>
              <w:t>15,0</w:t>
            </w:r>
          </w:p>
        </w:tc>
        <w:tc>
          <w:tcPr>
            <w:tcW w:w="1259" w:type="dxa"/>
            <w:tcBorders>
              <w:top w:val="nil"/>
              <w:bottom w:val="single" w:sz="4" w:space="0" w:color="auto"/>
            </w:tcBorders>
          </w:tcPr>
          <w:p w:rsidR="00000000" w:rsidRDefault="00000000">
            <w:pPr>
              <w:tabs>
                <w:tab w:val="clear" w:pos="567"/>
                <w:tab w:val="clear" w:pos="1134"/>
              </w:tabs>
              <w:ind w:right="137"/>
              <w:jc w:val="right"/>
              <w:rPr>
                <w:lang w:val="en-US"/>
              </w:rPr>
            </w:pPr>
            <w:r>
              <w:rPr>
                <w:lang w:val="en-US"/>
              </w:rPr>
              <w:t>26,9</w:t>
            </w:r>
          </w:p>
        </w:tc>
        <w:tc>
          <w:tcPr>
            <w:tcW w:w="770" w:type="dxa"/>
            <w:tcBorders>
              <w:top w:val="nil"/>
              <w:bottom w:val="single" w:sz="4" w:space="0" w:color="auto"/>
            </w:tcBorders>
          </w:tcPr>
          <w:p w:rsidR="00000000" w:rsidRDefault="00000000">
            <w:pPr>
              <w:jc w:val="right"/>
              <w:rPr>
                <w:lang w:val="en-US"/>
              </w:rPr>
            </w:pPr>
            <w:r>
              <w:rPr>
                <w:lang w:val="en-US"/>
              </w:rPr>
              <w:t>0,0</w:t>
            </w:r>
          </w:p>
        </w:tc>
        <w:tc>
          <w:tcPr>
            <w:tcW w:w="840" w:type="dxa"/>
            <w:tcBorders>
              <w:top w:val="nil"/>
              <w:bottom w:val="single" w:sz="4" w:space="0" w:color="auto"/>
            </w:tcBorders>
          </w:tcPr>
          <w:p w:rsidR="00000000" w:rsidRDefault="00000000">
            <w:pPr>
              <w:jc w:val="right"/>
              <w:rPr>
                <w:lang w:val="en-US"/>
              </w:rPr>
            </w:pPr>
            <w:r>
              <w:rPr>
                <w:lang w:val="en-US"/>
              </w:rPr>
              <w:t>0,2</w:t>
            </w:r>
          </w:p>
        </w:tc>
        <w:tc>
          <w:tcPr>
            <w:tcW w:w="784" w:type="dxa"/>
            <w:tcBorders>
              <w:top w:val="nil"/>
              <w:bottom w:val="single" w:sz="4" w:space="0" w:color="auto"/>
            </w:tcBorders>
          </w:tcPr>
          <w:p w:rsidR="00000000" w:rsidRDefault="00000000">
            <w:pPr>
              <w:jc w:val="right"/>
              <w:rPr>
                <w:lang w:val="en-US"/>
              </w:rPr>
            </w:pPr>
            <w:r>
              <w:rPr>
                <w:lang w:val="en-US"/>
              </w:rPr>
              <w:t>0,5</w:t>
            </w:r>
          </w:p>
        </w:tc>
        <w:tc>
          <w:tcPr>
            <w:tcW w:w="756" w:type="dxa"/>
            <w:tcBorders>
              <w:top w:val="nil"/>
              <w:bottom w:val="single" w:sz="4" w:space="0" w:color="auto"/>
            </w:tcBorders>
          </w:tcPr>
          <w:p w:rsidR="00000000" w:rsidRDefault="00000000">
            <w:pPr>
              <w:jc w:val="right"/>
              <w:rPr>
                <w:lang w:val="en-US"/>
              </w:rPr>
            </w:pPr>
            <w:r>
              <w:rPr>
                <w:lang w:val="en-US"/>
              </w:rPr>
              <w:t>0,2</w:t>
            </w:r>
          </w:p>
        </w:tc>
      </w:tr>
      <w:tr w:rsidR="00000000">
        <w:tblPrEx>
          <w:tblCellMar>
            <w:top w:w="0" w:type="dxa"/>
            <w:bottom w:w="0" w:type="dxa"/>
          </w:tblCellMar>
        </w:tblPrEx>
        <w:tc>
          <w:tcPr>
            <w:tcW w:w="2142" w:type="dxa"/>
            <w:tcBorders>
              <w:top w:val="single" w:sz="4" w:space="0" w:color="auto"/>
            </w:tcBorders>
          </w:tcPr>
          <w:p w:rsidR="00000000" w:rsidRDefault="00000000">
            <w:proofErr w:type="spellStart"/>
            <w:r>
              <w:t>ВПОБОП</w:t>
            </w:r>
            <w:proofErr w:type="spellEnd"/>
          </w:p>
        </w:tc>
        <w:tc>
          <w:tcPr>
            <w:tcW w:w="1288" w:type="dxa"/>
            <w:tcBorders>
              <w:top w:val="single" w:sz="4" w:space="0" w:color="auto"/>
            </w:tcBorders>
          </w:tcPr>
          <w:p w:rsidR="00000000" w:rsidRDefault="00000000">
            <w:pPr>
              <w:tabs>
                <w:tab w:val="clear" w:pos="567"/>
                <w:tab w:val="clear" w:pos="1134"/>
                <w:tab w:val="clear" w:pos="1701"/>
                <w:tab w:val="clear" w:pos="2268"/>
              </w:tabs>
              <w:ind w:right="179"/>
              <w:jc w:val="right"/>
              <w:rPr>
                <w:lang w:val="en-US"/>
              </w:rPr>
            </w:pPr>
            <w:r>
              <w:rPr>
                <w:lang w:val="en-US"/>
              </w:rPr>
              <w:t>27,6</w:t>
            </w:r>
          </w:p>
        </w:tc>
        <w:tc>
          <w:tcPr>
            <w:tcW w:w="1390" w:type="dxa"/>
            <w:tcBorders>
              <w:top w:val="single" w:sz="4" w:space="0" w:color="auto"/>
            </w:tcBorders>
          </w:tcPr>
          <w:p w:rsidR="00000000" w:rsidRDefault="00000000">
            <w:pPr>
              <w:tabs>
                <w:tab w:val="clear" w:pos="567"/>
                <w:tab w:val="clear" w:pos="1134"/>
              </w:tabs>
              <w:ind w:right="137"/>
              <w:jc w:val="right"/>
              <w:rPr>
                <w:lang w:val="en-US"/>
              </w:rPr>
            </w:pPr>
            <w:r>
              <w:rPr>
                <w:lang w:val="en-US"/>
              </w:rPr>
              <w:t>32,2</w:t>
            </w:r>
          </w:p>
        </w:tc>
        <w:tc>
          <w:tcPr>
            <w:tcW w:w="1259" w:type="dxa"/>
            <w:tcBorders>
              <w:top w:val="single" w:sz="4" w:space="0" w:color="auto"/>
            </w:tcBorders>
          </w:tcPr>
          <w:p w:rsidR="00000000" w:rsidRDefault="00000000">
            <w:pPr>
              <w:tabs>
                <w:tab w:val="clear" w:pos="567"/>
                <w:tab w:val="clear" w:pos="1134"/>
              </w:tabs>
              <w:ind w:right="137"/>
              <w:jc w:val="right"/>
              <w:rPr>
                <w:lang w:val="en-US"/>
              </w:rPr>
            </w:pPr>
            <w:r>
              <w:rPr>
                <w:lang w:val="en-US"/>
              </w:rPr>
              <w:t>59,8</w:t>
            </w:r>
          </w:p>
        </w:tc>
        <w:tc>
          <w:tcPr>
            <w:tcW w:w="770" w:type="dxa"/>
            <w:tcBorders>
              <w:top w:val="single" w:sz="4" w:space="0" w:color="auto"/>
            </w:tcBorders>
          </w:tcPr>
          <w:p w:rsidR="00000000" w:rsidRDefault="00000000">
            <w:pPr>
              <w:jc w:val="right"/>
              <w:rPr>
                <w:lang w:val="en-US"/>
              </w:rPr>
            </w:pPr>
            <w:r>
              <w:rPr>
                <w:lang w:val="en-US"/>
              </w:rPr>
              <w:t>0,0</w:t>
            </w:r>
          </w:p>
        </w:tc>
        <w:tc>
          <w:tcPr>
            <w:tcW w:w="840" w:type="dxa"/>
            <w:tcBorders>
              <w:top w:val="single" w:sz="4" w:space="0" w:color="auto"/>
            </w:tcBorders>
          </w:tcPr>
          <w:p w:rsidR="00000000" w:rsidRDefault="00000000">
            <w:pPr>
              <w:jc w:val="right"/>
              <w:rPr>
                <w:lang w:val="en-US"/>
              </w:rPr>
            </w:pPr>
            <w:r>
              <w:rPr>
                <w:lang w:val="en-US"/>
              </w:rPr>
              <w:t>0,0</w:t>
            </w:r>
          </w:p>
        </w:tc>
        <w:tc>
          <w:tcPr>
            <w:tcW w:w="784" w:type="dxa"/>
            <w:tcBorders>
              <w:top w:val="single" w:sz="4" w:space="0" w:color="auto"/>
            </w:tcBorders>
          </w:tcPr>
          <w:p w:rsidR="00000000" w:rsidRDefault="00000000">
            <w:pPr>
              <w:jc w:val="right"/>
              <w:rPr>
                <w:lang w:val="en-US"/>
              </w:rPr>
            </w:pPr>
            <w:r>
              <w:rPr>
                <w:lang w:val="en-US"/>
              </w:rPr>
              <w:t>0,9</w:t>
            </w:r>
          </w:p>
        </w:tc>
        <w:tc>
          <w:tcPr>
            <w:tcW w:w="756" w:type="dxa"/>
            <w:tcBorders>
              <w:top w:val="single" w:sz="4" w:space="0" w:color="auto"/>
            </w:tcBorders>
          </w:tcPr>
          <w:p w:rsidR="00000000" w:rsidRDefault="00000000">
            <w:pPr>
              <w:jc w:val="right"/>
              <w:rPr>
                <w:lang w:val="en-US"/>
              </w:rPr>
            </w:pPr>
            <w:r>
              <w:rPr>
                <w:lang w:val="en-US"/>
              </w:rPr>
              <w:t>0,5</w:t>
            </w:r>
          </w:p>
        </w:tc>
      </w:tr>
      <w:tr w:rsidR="00000000">
        <w:tblPrEx>
          <w:tblCellMar>
            <w:top w:w="0" w:type="dxa"/>
            <w:bottom w:w="0" w:type="dxa"/>
          </w:tblCellMar>
        </w:tblPrEx>
        <w:tc>
          <w:tcPr>
            <w:tcW w:w="2142" w:type="dxa"/>
          </w:tcPr>
          <w:p w:rsidR="00000000" w:rsidRDefault="00000000">
            <w:pPr>
              <w:pStyle w:val="Header"/>
              <w:keepNext/>
              <w:tabs>
                <w:tab w:val="left" w:pos="266"/>
              </w:tabs>
              <w:spacing w:line="240" w:lineRule="auto"/>
              <w:ind w:left="266" w:hanging="266"/>
              <w:rPr>
                <w:sz w:val="20"/>
              </w:rPr>
            </w:pPr>
            <w:r>
              <w:rPr>
                <w:sz w:val="20"/>
              </w:rPr>
              <w:tab/>
              <w:t>Всего учащихся в системе образования без отрыва от производства</w:t>
            </w:r>
          </w:p>
        </w:tc>
        <w:tc>
          <w:tcPr>
            <w:tcW w:w="1288" w:type="dxa"/>
          </w:tcPr>
          <w:p w:rsidR="00000000" w:rsidRDefault="00000000">
            <w:pPr>
              <w:tabs>
                <w:tab w:val="clear" w:pos="567"/>
                <w:tab w:val="clear" w:pos="1134"/>
                <w:tab w:val="clear" w:pos="1701"/>
                <w:tab w:val="clear" w:pos="2268"/>
              </w:tabs>
              <w:ind w:right="179"/>
              <w:jc w:val="right"/>
              <w:rPr>
                <w:lang w:val="en-US"/>
              </w:rPr>
            </w:pPr>
            <w:r>
              <w:rPr>
                <w:lang w:val="en-US"/>
              </w:rPr>
              <w:t>178,3</w:t>
            </w:r>
          </w:p>
        </w:tc>
        <w:tc>
          <w:tcPr>
            <w:tcW w:w="1390" w:type="dxa"/>
          </w:tcPr>
          <w:p w:rsidR="00000000" w:rsidRDefault="00000000">
            <w:pPr>
              <w:tabs>
                <w:tab w:val="clear" w:pos="567"/>
                <w:tab w:val="clear" w:pos="1134"/>
              </w:tabs>
              <w:ind w:right="137"/>
              <w:jc w:val="right"/>
              <w:rPr>
                <w:lang w:val="en-US"/>
              </w:rPr>
            </w:pPr>
            <w:r>
              <w:rPr>
                <w:lang w:val="en-US"/>
              </w:rPr>
              <w:t>165,9</w:t>
            </w:r>
          </w:p>
        </w:tc>
        <w:tc>
          <w:tcPr>
            <w:tcW w:w="1259" w:type="dxa"/>
          </w:tcPr>
          <w:p w:rsidR="00000000" w:rsidRDefault="00000000">
            <w:pPr>
              <w:tabs>
                <w:tab w:val="clear" w:pos="567"/>
                <w:tab w:val="clear" w:pos="1134"/>
              </w:tabs>
              <w:ind w:right="137"/>
              <w:jc w:val="right"/>
              <w:rPr>
                <w:lang w:val="en-US"/>
              </w:rPr>
            </w:pPr>
            <w:r>
              <w:rPr>
                <w:lang w:val="en-US"/>
              </w:rPr>
              <w:t>344,2</w:t>
            </w:r>
          </w:p>
        </w:tc>
        <w:tc>
          <w:tcPr>
            <w:tcW w:w="770" w:type="dxa"/>
          </w:tcPr>
          <w:p w:rsidR="00000000" w:rsidRDefault="00000000">
            <w:pPr>
              <w:jc w:val="right"/>
              <w:rPr>
                <w:lang w:val="en-US"/>
              </w:rPr>
            </w:pPr>
            <w:r>
              <w:rPr>
                <w:lang w:val="en-US"/>
              </w:rPr>
              <w:t>0,0</w:t>
            </w:r>
          </w:p>
        </w:tc>
        <w:tc>
          <w:tcPr>
            <w:tcW w:w="840" w:type="dxa"/>
          </w:tcPr>
          <w:p w:rsidR="00000000" w:rsidRDefault="00000000">
            <w:pPr>
              <w:jc w:val="right"/>
              <w:rPr>
                <w:lang w:val="en-US"/>
              </w:rPr>
            </w:pPr>
            <w:r>
              <w:rPr>
                <w:lang w:val="en-US"/>
              </w:rPr>
              <w:t>2,7</w:t>
            </w:r>
          </w:p>
        </w:tc>
        <w:tc>
          <w:tcPr>
            <w:tcW w:w="784" w:type="dxa"/>
          </w:tcPr>
          <w:p w:rsidR="00000000" w:rsidRDefault="00000000">
            <w:pPr>
              <w:jc w:val="right"/>
              <w:rPr>
                <w:lang w:val="en-US"/>
              </w:rPr>
            </w:pPr>
            <w:r>
              <w:rPr>
                <w:lang w:val="en-US"/>
              </w:rPr>
              <w:t>7,6</w:t>
            </w:r>
          </w:p>
        </w:tc>
        <w:tc>
          <w:tcPr>
            <w:tcW w:w="756" w:type="dxa"/>
          </w:tcPr>
          <w:p w:rsidR="00000000" w:rsidRDefault="00000000">
            <w:pPr>
              <w:jc w:val="right"/>
              <w:rPr>
                <w:lang w:val="en-US"/>
              </w:rPr>
            </w:pPr>
            <w:r>
              <w:rPr>
                <w:lang w:val="en-US"/>
              </w:rPr>
              <w:t>1,9</w:t>
            </w:r>
          </w:p>
        </w:tc>
      </w:tr>
      <w:tr w:rsidR="00000000">
        <w:tblPrEx>
          <w:tblCellMar>
            <w:top w:w="0" w:type="dxa"/>
            <w:bottom w:w="0" w:type="dxa"/>
          </w:tblCellMar>
        </w:tblPrEx>
        <w:tc>
          <w:tcPr>
            <w:tcW w:w="2142" w:type="dxa"/>
            <w:tcBorders>
              <w:bottom w:val="nil"/>
            </w:tcBorders>
          </w:tcPr>
          <w:p w:rsidR="00000000" w:rsidRDefault="00000000">
            <w:pPr>
              <w:pStyle w:val="Header"/>
              <w:rPr>
                <w:b/>
              </w:rPr>
            </w:pPr>
            <w:r>
              <w:rPr>
                <w:b/>
              </w:rPr>
              <w:t>2001</w:t>
            </w:r>
          </w:p>
        </w:tc>
        <w:tc>
          <w:tcPr>
            <w:tcW w:w="1288" w:type="dxa"/>
            <w:tcBorders>
              <w:bottom w:val="nil"/>
            </w:tcBorders>
          </w:tcPr>
          <w:p w:rsidR="00000000" w:rsidRDefault="00000000">
            <w:pPr>
              <w:tabs>
                <w:tab w:val="clear" w:pos="567"/>
                <w:tab w:val="clear" w:pos="1134"/>
                <w:tab w:val="clear" w:pos="1701"/>
                <w:tab w:val="clear" w:pos="2268"/>
              </w:tabs>
              <w:ind w:right="179"/>
              <w:jc w:val="right"/>
            </w:pPr>
          </w:p>
        </w:tc>
        <w:tc>
          <w:tcPr>
            <w:tcW w:w="1390" w:type="dxa"/>
            <w:tcBorders>
              <w:bottom w:val="nil"/>
            </w:tcBorders>
          </w:tcPr>
          <w:p w:rsidR="00000000" w:rsidRDefault="00000000">
            <w:pPr>
              <w:tabs>
                <w:tab w:val="clear" w:pos="567"/>
                <w:tab w:val="clear" w:pos="1134"/>
              </w:tabs>
              <w:ind w:right="137"/>
              <w:jc w:val="right"/>
            </w:pPr>
          </w:p>
        </w:tc>
        <w:tc>
          <w:tcPr>
            <w:tcW w:w="1259" w:type="dxa"/>
            <w:tcBorders>
              <w:bottom w:val="nil"/>
            </w:tcBorders>
          </w:tcPr>
          <w:p w:rsidR="00000000" w:rsidRDefault="00000000">
            <w:pPr>
              <w:tabs>
                <w:tab w:val="clear" w:pos="567"/>
                <w:tab w:val="clear" w:pos="1134"/>
              </w:tabs>
              <w:ind w:right="137"/>
              <w:jc w:val="right"/>
            </w:pPr>
          </w:p>
        </w:tc>
        <w:tc>
          <w:tcPr>
            <w:tcW w:w="770" w:type="dxa"/>
            <w:tcBorders>
              <w:bottom w:val="nil"/>
            </w:tcBorders>
          </w:tcPr>
          <w:p w:rsidR="00000000" w:rsidRDefault="00000000">
            <w:pPr>
              <w:jc w:val="right"/>
            </w:pPr>
          </w:p>
        </w:tc>
        <w:tc>
          <w:tcPr>
            <w:tcW w:w="840" w:type="dxa"/>
            <w:tcBorders>
              <w:bottom w:val="nil"/>
            </w:tcBorders>
          </w:tcPr>
          <w:p w:rsidR="00000000" w:rsidRDefault="00000000">
            <w:pPr>
              <w:jc w:val="right"/>
            </w:pPr>
          </w:p>
        </w:tc>
        <w:tc>
          <w:tcPr>
            <w:tcW w:w="784" w:type="dxa"/>
            <w:tcBorders>
              <w:bottom w:val="nil"/>
            </w:tcBorders>
          </w:tcPr>
          <w:p w:rsidR="00000000" w:rsidRDefault="00000000">
            <w:pPr>
              <w:jc w:val="right"/>
            </w:pPr>
          </w:p>
        </w:tc>
        <w:tc>
          <w:tcPr>
            <w:tcW w:w="756" w:type="dxa"/>
            <w:tcBorders>
              <w:bottom w:val="nil"/>
            </w:tcBorders>
          </w:tcPr>
          <w:p w:rsidR="00000000" w:rsidRDefault="00000000">
            <w:pPr>
              <w:jc w:val="right"/>
            </w:pPr>
          </w:p>
        </w:tc>
      </w:tr>
      <w:tr w:rsidR="00000000">
        <w:tblPrEx>
          <w:tblCellMar>
            <w:top w:w="0" w:type="dxa"/>
            <w:bottom w:w="0" w:type="dxa"/>
          </w:tblCellMar>
        </w:tblPrEx>
        <w:tc>
          <w:tcPr>
            <w:tcW w:w="2142" w:type="dxa"/>
            <w:tcBorders>
              <w:top w:val="nil"/>
              <w:bottom w:val="nil"/>
            </w:tcBorders>
          </w:tcPr>
          <w:p w:rsidR="00000000" w:rsidRDefault="00000000">
            <w:pPr>
              <w:pStyle w:val="Header"/>
              <w:rPr>
                <w:sz w:val="20"/>
              </w:rPr>
            </w:pPr>
            <w:r>
              <w:rPr>
                <w:sz w:val="20"/>
              </w:rPr>
              <w:t>Образование с отрывом от производства</w:t>
            </w:r>
          </w:p>
        </w:tc>
        <w:tc>
          <w:tcPr>
            <w:tcW w:w="1288" w:type="dxa"/>
            <w:tcBorders>
              <w:top w:val="nil"/>
              <w:bottom w:val="nil"/>
            </w:tcBorders>
          </w:tcPr>
          <w:p w:rsidR="00000000" w:rsidRDefault="00000000">
            <w:pPr>
              <w:tabs>
                <w:tab w:val="clear" w:pos="567"/>
                <w:tab w:val="clear" w:pos="1134"/>
                <w:tab w:val="clear" w:pos="1701"/>
                <w:tab w:val="clear" w:pos="2268"/>
              </w:tabs>
              <w:ind w:right="179"/>
              <w:jc w:val="right"/>
            </w:pPr>
          </w:p>
        </w:tc>
        <w:tc>
          <w:tcPr>
            <w:tcW w:w="1390" w:type="dxa"/>
            <w:tcBorders>
              <w:top w:val="nil"/>
              <w:bottom w:val="nil"/>
            </w:tcBorders>
          </w:tcPr>
          <w:p w:rsidR="00000000" w:rsidRDefault="00000000">
            <w:pPr>
              <w:tabs>
                <w:tab w:val="clear" w:pos="567"/>
                <w:tab w:val="clear" w:pos="1134"/>
              </w:tabs>
              <w:ind w:right="137"/>
              <w:jc w:val="right"/>
            </w:pPr>
          </w:p>
        </w:tc>
        <w:tc>
          <w:tcPr>
            <w:tcW w:w="1259" w:type="dxa"/>
            <w:tcBorders>
              <w:top w:val="nil"/>
              <w:bottom w:val="nil"/>
            </w:tcBorders>
          </w:tcPr>
          <w:p w:rsidR="00000000" w:rsidRDefault="00000000">
            <w:pPr>
              <w:tabs>
                <w:tab w:val="clear" w:pos="567"/>
                <w:tab w:val="clear" w:pos="1134"/>
              </w:tabs>
              <w:ind w:right="137"/>
              <w:jc w:val="right"/>
            </w:pPr>
          </w:p>
        </w:tc>
        <w:tc>
          <w:tcPr>
            <w:tcW w:w="770" w:type="dxa"/>
            <w:tcBorders>
              <w:top w:val="nil"/>
              <w:bottom w:val="nil"/>
            </w:tcBorders>
          </w:tcPr>
          <w:p w:rsidR="00000000" w:rsidRDefault="00000000">
            <w:pPr>
              <w:jc w:val="right"/>
            </w:pPr>
          </w:p>
        </w:tc>
        <w:tc>
          <w:tcPr>
            <w:tcW w:w="840" w:type="dxa"/>
            <w:tcBorders>
              <w:top w:val="nil"/>
              <w:bottom w:val="nil"/>
            </w:tcBorders>
          </w:tcPr>
          <w:p w:rsidR="00000000" w:rsidRDefault="00000000">
            <w:pPr>
              <w:jc w:val="right"/>
            </w:pPr>
          </w:p>
        </w:tc>
        <w:tc>
          <w:tcPr>
            <w:tcW w:w="784" w:type="dxa"/>
            <w:tcBorders>
              <w:top w:val="nil"/>
              <w:bottom w:val="nil"/>
            </w:tcBorders>
          </w:tcPr>
          <w:p w:rsidR="00000000" w:rsidRDefault="00000000">
            <w:pPr>
              <w:jc w:val="right"/>
            </w:pPr>
          </w:p>
        </w:tc>
        <w:tc>
          <w:tcPr>
            <w:tcW w:w="756" w:type="dxa"/>
            <w:tcBorders>
              <w:top w:val="nil"/>
              <w:bottom w:val="nil"/>
            </w:tcBorders>
          </w:tcPr>
          <w:p w:rsidR="00000000" w:rsidRDefault="00000000">
            <w:pPr>
              <w:jc w:val="right"/>
            </w:pPr>
          </w:p>
        </w:tc>
      </w:tr>
      <w:tr w:rsidR="00000000">
        <w:tblPrEx>
          <w:tblCellMar>
            <w:top w:w="0" w:type="dxa"/>
            <w:bottom w:w="0" w:type="dxa"/>
          </w:tblCellMar>
        </w:tblPrEx>
        <w:tc>
          <w:tcPr>
            <w:tcW w:w="2142" w:type="dxa"/>
            <w:tcBorders>
              <w:top w:val="nil"/>
              <w:bottom w:val="nil"/>
            </w:tcBorders>
            <w:vAlign w:val="bottom"/>
          </w:tcPr>
          <w:p w:rsidR="00000000" w:rsidRDefault="00000000">
            <w:r>
              <w:t>ОНО</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788,9</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763,5</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1 552,5</w:t>
            </w:r>
          </w:p>
        </w:tc>
        <w:tc>
          <w:tcPr>
            <w:tcW w:w="770" w:type="dxa"/>
            <w:tcBorders>
              <w:top w:val="nil"/>
              <w:bottom w:val="nil"/>
            </w:tcBorders>
            <w:vAlign w:val="bottom"/>
          </w:tcPr>
          <w:p w:rsidR="00000000" w:rsidRDefault="00000000">
            <w:pPr>
              <w:jc w:val="right"/>
              <w:rPr>
                <w:lang w:val="en-US"/>
              </w:rPr>
            </w:pPr>
            <w:r>
              <w:rPr>
                <w:lang w:val="en-US"/>
              </w:rPr>
              <w:t>92,4</w:t>
            </w:r>
          </w:p>
        </w:tc>
        <w:tc>
          <w:tcPr>
            <w:tcW w:w="840" w:type="dxa"/>
            <w:tcBorders>
              <w:top w:val="nil"/>
              <w:bottom w:val="nil"/>
            </w:tcBorders>
            <w:vAlign w:val="bottom"/>
          </w:tcPr>
          <w:p w:rsidR="00000000" w:rsidRDefault="00000000">
            <w:pPr>
              <w:jc w:val="right"/>
              <w:rPr>
                <w:lang w:val="en-US"/>
              </w:rPr>
            </w:pPr>
            <w:r>
              <w:rPr>
                <w:lang w:val="en-US"/>
              </w:rPr>
              <w:t>6,9</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vAlign w:val="bottom"/>
          </w:tcPr>
          <w:p w:rsidR="00000000" w:rsidRDefault="00000000">
            <w:proofErr w:type="spellStart"/>
            <w:r>
              <w:t>СНО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35,0</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16,8</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51,8</w:t>
            </w:r>
          </w:p>
        </w:tc>
        <w:tc>
          <w:tcPr>
            <w:tcW w:w="770" w:type="dxa"/>
            <w:tcBorders>
              <w:top w:val="nil"/>
              <w:bottom w:val="nil"/>
            </w:tcBorders>
            <w:vAlign w:val="bottom"/>
          </w:tcPr>
          <w:p w:rsidR="00000000" w:rsidRDefault="00000000">
            <w:pPr>
              <w:jc w:val="right"/>
              <w:rPr>
                <w:lang w:val="en-US"/>
              </w:rPr>
            </w:pPr>
            <w:r>
              <w:rPr>
                <w:lang w:val="en-US"/>
              </w:rPr>
              <w:t>2,7</w:t>
            </w:r>
          </w:p>
        </w:tc>
        <w:tc>
          <w:tcPr>
            <w:tcW w:w="840" w:type="dxa"/>
            <w:tcBorders>
              <w:top w:val="nil"/>
              <w:bottom w:val="nil"/>
            </w:tcBorders>
            <w:vAlign w:val="bottom"/>
          </w:tcPr>
          <w:p w:rsidR="00000000" w:rsidRDefault="00000000">
            <w:pPr>
              <w:jc w:val="right"/>
              <w:rPr>
                <w:lang w:val="en-US"/>
              </w:rPr>
            </w:pPr>
            <w:r>
              <w:rPr>
                <w:lang w:val="en-US"/>
              </w:rPr>
              <w:t>0,8</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vAlign w:val="bottom"/>
          </w:tcPr>
          <w:p w:rsidR="00000000" w:rsidRDefault="00000000">
            <w:proofErr w:type="spellStart"/>
            <w:r>
              <w:t>НССО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33,1</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15,1</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48,2</w:t>
            </w:r>
          </w:p>
        </w:tc>
        <w:tc>
          <w:tcPr>
            <w:tcW w:w="770" w:type="dxa"/>
            <w:tcBorders>
              <w:top w:val="nil"/>
              <w:bottom w:val="nil"/>
            </w:tcBorders>
            <w:vAlign w:val="bottom"/>
          </w:tcPr>
          <w:p w:rsidR="00000000" w:rsidRDefault="00000000">
            <w:pPr>
              <w:jc w:val="right"/>
              <w:rPr>
                <w:lang w:val="en-US"/>
              </w:rPr>
            </w:pPr>
            <w:r>
              <w:rPr>
                <w:lang w:val="en-US"/>
              </w:rPr>
              <w:t>1,6</w:t>
            </w:r>
          </w:p>
        </w:tc>
        <w:tc>
          <w:tcPr>
            <w:tcW w:w="840" w:type="dxa"/>
            <w:tcBorders>
              <w:top w:val="nil"/>
              <w:bottom w:val="nil"/>
            </w:tcBorders>
            <w:vAlign w:val="bottom"/>
          </w:tcPr>
          <w:p w:rsidR="00000000" w:rsidRDefault="00000000">
            <w:pPr>
              <w:jc w:val="right"/>
              <w:rPr>
                <w:lang w:val="en-US"/>
              </w:rPr>
            </w:pPr>
            <w:r>
              <w:rPr>
                <w:lang w:val="en-US"/>
              </w:rPr>
              <w:t>1,7</w:t>
            </w:r>
          </w:p>
        </w:tc>
        <w:tc>
          <w:tcPr>
            <w:tcW w:w="784" w:type="dxa"/>
            <w:tcBorders>
              <w:top w:val="nil"/>
              <w:bottom w:val="nil"/>
            </w:tcBorders>
            <w:vAlign w:val="bottom"/>
          </w:tcPr>
          <w:p w:rsidR="00000000" w:rsidRDefault="00000000">
            <w:pPr>
              <w:jc w:val="right"/>
              <w:rPr>
                <w:lang w:val="en-US"/>
              </w:rPr>
            </w:pPr>
            <w:r>
              <w:rPr>
                <w:lang w:val="en-US"/>
              </w:rPr>
              <w:t>0,1</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vAlign w:val="bottom"/>
          </w:tcPr>
          <w:p w:rsidR="00000000" w:rsidRDefault="00000000">
            <w:pPr>
              <w:rPr>
                <w:lang w:val="en-US"/>
              </w:rPr>
            </w:pPr>
            <w:proofErr w:type="spellStart"/>
            <w:r>
              <w:t>ПГ</w:t>
            </w:r>
            <w:proofErr w:type="spellEnd"/>
            <w:r>
              <w:t xml:space="preserve"> </w:t>
            </w:r>
            <w:r>
              <w:rPr>
                <w:lang w:val="en-US"/>
              </w:rPr>
              <w:t>1</w:t>
            </w:r>
            <w:r>
              <w:rPr>
                <w:lang w:val="en-US"/>
              </w:rPr>
              <w:noBreakHyphen/>
              <w:t>3</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201,2</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193,9</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395,1</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34,0</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c>
          <w:tcPr>
            <w:tcW w:w="2142" w:type="dxa"/>
            <w:tcBorders>
              <w:top w:val="nil"/>
              <w:bottom w:val="nil"/>
            </w:tcBorders>
            <w:vAlign w:val="bottom"/>
          </w:tcPr>
          <w:p w:rsidR="00000000" w:rsidRDefault="00000000">
            <w:proofErr w:type="spellStart"/>
            <w:r>
              <w:t>СОТУ</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141,2</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118,6</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259,8</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22,2</w:t>
            </w:r>
          </w:p>
        </w:tc>
        <w:tc>
          <w:tcPr>
            <w:tcW w:w="784" w:type="dxa"/>
            <w:tcBorders>
              <w:top w:val="nil"/>
              <w:bottom w:val="nil"/>
            </w:tcBorders>
            <w:vAlign w:val="bottom"/>
          </w:tcPr>
          <w:p w:rsidR="00000000" w:rsidRDefault="00000000">
            <w:pPr>
              <w:jc w:val="right"/>
              <w:rPr>
                <w:lang w:val="en-US"/>
              </w:rPr>
            </w:pPr>
            <w:r>
              <w:rPr>
                <w:lang w:val="en-US"/>
              </w:rPr>
              <w:t>0,1</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110"/>
        </w:trPr>
        <w:tc>
          <w:tcPr>
            <w:tcW w:w="2142" w:type="dxa"/>
            <w:tcBorders>
              <w:top w:val="nil"/>
              <w:bottom w:val="nil"/>
            </w:tcBorders>
            <w:vAlign w:val="bottom"/>
          </w:tcPr>
          <w:p w:rsidR="00000000" w:rsidRDefault="00000000">
            <w:proofErr w:type="spellStart"/>
            <w:r>
              <w:t>ОСО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57,1</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64,0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121,1</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9,8</w:t>
            </w:r>
          </w:p>
        </w:tc>
        <w:tc>
          <w:tcPr>
            <w:tcW w:w="784" w:type="dxa"/>
            <w:tcBorders>
              <w:top w:val="nil"/>
              <w:bottom w:val="nil"/>
            </w:tcBorders>
            <w:vAlign w:val="bottom"/>
          </w:tcPr>
          <w:p w:rsidR="00000000" w:rsidRDefault="00000000">
            <w:pPr>
              <w:jc w:val="right"/>
              <w:rPr>
                <w:lang w:val="en-US"/>
              </w:rPr>
            </w:pPr>
            <w:r>
              <w:rPr>
                <w:lang w:val="en-US"/>
              </w:rPr>
              <w:t>0,4</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110"/>
        </w:trPr>
        <w:tc>
          <w:tcPr>
            <w:tcW w:w="2142" w:type="dxa"/>
            <w:tcBorders>
              <w:top w:val="nil"/>
              <w:bottom w:val="nil"/>
            </w:tcBorders>
            <w:vAlign w:val="bottom"/>
          </w:tcPr>
          <w:p w:rsidR="00000000" w:rsidRDefault="00000000">
            <w:pPr>
              <w:pStyle w:val="Header"/>
            </w:pPr>
            <w:proofErr w:type="spellStart"/>
            <w:r>
              <w:t>ПУО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59,2</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69,1</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128,4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10,0</w:t>
            </w:r>
          </w:p>
        </w:tc>
        <w:tc>
          <w:tcPr>
            <w:tcW w:w="784" w:type="dxa"/>
            <w:tcBorders>
              <w:top w:val="nil"/>
              <w:bottom w:val="nil"/>
            </w:tcBorders>
            <w:vAlign w:val="bottom"/>
          </w:tcPr>
          <w:p w:rsidR="00000000" w:rsidRDefault="00000000">
            <w:pPr>
              <w:jc w:val="right"/>
              <w:rPr>
                <w:lang w:val="en-US"/>
              </w:rPr>
            </w:pPr>
            <w:r>
              <w:rPr>
                <w:lang w:val="en-US"/>
              </w:rPr>
              <w:t>0,6</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215"/>
        </w:trPr>
        <w:tc>
          <w:tcPr>
            <w:tcW w:w="2142" w:type="dxa"/>
            <w:tcBorders>
              <w:top w:val="nil"/>
              <w:bottom w:val="nil"/>
            </w:tcBorders>
            <w:vAlign w:val="bottom"/>
          </w:tcPr>
          <w:p w:rsidR="00000000" w:rsidRDefault="00000000">
            <w:proofErr w:type="spellStart"/>
            <w:r>
              <w:t>ПТПСОП</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132,8</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136,7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269,5</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7,6</w:t>
            </w:r>
          </w:p>
        </w:tc>
        <w:tc>
          <w:tcPr>
            <w:tcW w:w="784" w:type="dxa"/>
            <w:tcBorders>
              <w:top w:val="nil"/>
              <w:bottom w:val="nil"/>
            </w:tcBorders>
            <w:vAlign w:val="bottom"/>
          </w:tcPr>
          <w:p w:rsidR="00000000" w:rsidRDefault="00000000">
            <w:pPr>
              <w:jc w:val="right"/>
              <w:rPr>
                <w:lang w:val="en-US"/>
              </w:rPr>
            </w:pPr>
            <w:r>
              <w:rPr>
                <w:lang w:val="en-US"/>
              </w:rPr>
              <w:t>9,2</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vAlign w:val="bottom"/>
          </w:tcPr>
          <w:p w:rsidR="00000000" w:rsidRDefault="00000000">
            <w:proofErr w:type="spellStart"/>
            <w:r>
              <w:t>ВПО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124,0</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131,7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255,7</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0,9</w:t>
            </w:r>
          </w:p>
        </w:tc>
        <w:tc>
          <w:tcPr>
            <w:tcW w:w="784" w:type="dxa"/>
            <w:tcBorders>
              <w:top w:val="nil"/>
              <w:bottom w:val="nil"/>
            </w:tcBorders>
            <w:vAlign w:val="bottom"/>
          </w:tcPr>
          <w:p w:rsidR="00000000" w:rsidRDefault="00000000">
            <w:pPr>
              <w:jc w:val="right"/>
              <w:rPr>
                <w:lang w:val="en-US"/>
              </w:rPr>
            </w:pPr>
            <w:r>
              <w:rPr>
                <w:lang w:val="en-US"/>
              </w:rPr>
              <w:t>12,0</w:t>
            </w:r>
          </w:p>
        </w:tc>
        <w:tc>
          <w:tcPr>
            <w:tcW w:w="756" w:type="dxa"/>
            <w:tcBorders>
              <w:top w:val="nil"/>
              <w:bottom w:val="nil"/>
            </w:tcBorders>
            <w:vAlign w:val="bottom"/>
          </w:tcPr>
          <w:p w:rsidR="00000000" w:rsidRDefault="00000000">
            <w:pPr>
              <w:jc w:val="right"/>
              <w:rPr>
                <w:lang w:val="en-US"/>
              </w:rPr>
            </w:pPr>
            <w:r>
              <w:rPr>
                <w:lang w:val="en-US"/>
              </w:rPr>
              <w:t>0,1</w:t>
            </w:r>
          </w:p>
        </w:tc>
      </w:tr>
      <w:tr w:rsidR="00000000">
        <w:tblPrEx>
          <w:tblCellMar>
            <w:top w:w="0" w:type="dxa"/>
            <w:bottom w:w="0" w:type="dxa"/>
          </w:tblCellMar>
        </w:tblPrEx>
        <w:trPr>
          <w:trHeight w:val="139"/>
        </w:trPr>
        <w:tc>
          <w:tcPr>
            <w:tcW w:w="2142" w:type="dxa"/>
            <w:tcBorders>
              <w:top w:val="nil"/>
              <w:bottom w:val="single" w:sz="4" w:space="0" w:color="auto"/>
            </w:tcBorders>
            <w:vAlign w:val="bottom"/>
          </w:tcPr>
          <w:p w:rsidR="00000000" w:rsidRDefault="00000000">
            <w:proofErr w:type="spellStart"/>
            <w:r>
              <w:t>УО</w:t>
            </w:r>
            <w:proofErr w:type="spellEnd"/>
          </w:p>
        </w:tc>
        <w:tc>
          <w:tcPr>
            <w:tcW w:w="1288" w:type="dxa"/>
            <w:tcBorders>
              <w:top w:val="nil"/>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88,4</w:t>
            </w:r>
          </w:p>
        </w:tc>
        <w:tc>
          <w:tcPr>
            <w:tcW w:w="1390"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83,5</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171,9</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7,7</w:t>
            </w:r>
          </w:p>
        </w:tc>
        <w:tc>
          <w:tcPr>
            <w:tcW w:w="756" w:type="dxa"/>
            <w:tcBorders>
              <w:top w:val="nil"/>
              <w:bottom w:val="single" w:sz="4" w:space="0" w:color="auto"/>
            </w:tcBorders>
            <w:vAlign w:val="bottom"/>
          </w:tcPr>
          <w:p w:rsidR="00000000" w:rsidRDefault="00000000">
            <w:pPr>
              <w:jc w:val="right"/>
              <w:rPr>
                <w:lang w:val="en-US"/>
              </w:rPr>
            </w:pPr>
            <w:r>
              <w:rPr>
                <w:lang w:val="en-US"/>
              </w:rPr>
              <w:t>0,3</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vAlign w:val="bottom"/>
          </w:tcPr>
          <w:p w:rsidR="00000000" w:rsidRDefault="00000000">
            <w:pPr>
              <w:pStyle w:val="Header"/>
              <w:tabs>
                <w:tab w:val="left" w:pos="266"/>
              </w:tabs>
              <w:spacing w:line="240" w:lineRule="auto"/>
              <w:ind w:left="266" w:hanging="266"/>
            </w:pPr>
            <w:r>
              <w:rPr>
                <w:sz w:val="20"/>
              </w:rPr>
              <w:tab/>
              <w:t>Всего учащихся в системе образования с отрывом от производства</w:t>
            </w:r>
          </w:p>
        </w:tc>
        <w:tc>
          <w:tcPr>
            <w:tcW w:w="1288" w:type="dxa"/>
            <w:tcBorders>
              <w:top w:val="single" w:sz="4" w:space="0" w:color="auto"/>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1 660,9</w:t>
            </w:r>
          </w:p>
        </w:tc>
        <w:tc>
          <w:tcPr>
            <w:tcW w:w="1390"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1 592,9</w:t>
            </w:r>
          </w:p>
        </w:tc>
        <w:tc>
          <w:tcPr>
            <w:tcW w:w="1259"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3 253,8</w:t>
            </w:r>
          </w:p>
        </w:tc>
        <w:tc>
          <w:tcPr>
            <w:tcW w:w="770" w:type="dxa"/>
            <w:tcBorders>
              <w:top w:val="single" w:sz="4" w:space="0" w:color="auto"/>
              <w:bottom w:val="single" w:sz="4" w:space="0" w:color="auto"/>
            </w:tcBorders>
            <w:vAlign w:val="bottom"/>
          </w:tcPr>
          <w:p w:rsidR="00000000" w:rsidRDefault="00000000">
            <w:pPr>
              <w:jc w:val="right"/>
              <w:rPr>
                <w:lang w:val="en-US"/>
              </w:rPr>
            </w:pPr>
            <w:r>
              <w:rPr>
                <w:lang w:val="en-US"/>
              </w:rPr>
              <w:t>96,7</w:t>
            </w:r>
          </w:p>
        </w:tc>
        <w:tc>
          <w:tcPr>
            <w:tcW w:w="840" w:type="dxa"/>
            <w:tcBorders>
              <w:top w:val="single" w:sz="4" w:space="0" w:color="auto"/>
              <w:bottom w:val="single" w:sz="4" w:space="0" w:color="auto"/>
            </w:tcBorders>
            <w:vAlign w:val="bottom"/>
          </w:tcPr>
          <w:p w:rsidR="00000000" w:rsidRDefault="00000000">
            <w:pPr>
              <w:jc w:val="right"/>
              <w:rPr>
                <w:lang w:val="en-US"/>
              </w:rPr>
            </w:pPr>
            <w:r>
              <w:rPr>
                <w:lang w:val="en-US"/>
              </w:rPr>
              <w:t>94,0</w:t>
            </w:r>
          </w:p>
        </w:tc>
        <w:tc>
          <w:tcPr>
            <w:tcW w:w="784" w:type="dxa"/>
            <w:tcBorders>
              <w:top w:val="single" w:sz="4" w:space="0" w:color="auto"/>
              <w:bottom w:val="single" w:sz="4" w:space="0" w:color="auto"/>
            </w:tcBorders>
            <w:vAlign w:val="bottom"/>
          </w:tcPr>
          <w:p w:rsidR="00000000" w:rsidRDefault="00000000">
            <w:pPr>
              <w:jc w:val="right"/>
              <w:rPr>
                <w:lang w:val="en-US"/>
              </w:rPr>
            </w:pPr>
            <w:r>
              <w:rPr>
                <w:lang w:val="en-US"/>
              </w:rPr>
              <w:t>30,1</w:t>
            </w:r>
          </w:p>
        </w:tc>
        <w:tc>
          <w:tcPr>
            <w:tcW w:w="756" w:type="dxa"/>
            <w:tcBorders>
              <w:top w:val="single" w:sz="4" w:space="0" w:color="auto"/>
              <w:bottom w:val="single" w:sz="4" w:space="0" w:color="auto"/>
            </w:tcBorders>
            <w:vAlign w:val="bottom"/>
          </w:tcPr>
          <w:p w:rsidR="00000000" w:rsidRDefault="00000000">
            <w:pPr>
              <w:jc w:val="right"/>
              <w:rPr>
                <w:lang w:val="en-US"/>
              </w:rPr>
            </w:pPr>
            <w:r>
              <w:rPr>
                <w:lang w:val="en-US"/>
              </w:rPr>
              <w:t>0,4</w:t>
            </w:r>
          </w:p>
        </w:tc>
      </w:tr>
      <w:tr w:rsidR="00000000">
        <w:tblPrEx>
          <w:tblCellMar>
            <w:top w:w="0" w:type="dxa"/>
            <w:bottom w:w="0" w:type="dxa"/>
          </w:tblCellMar>
        </w:tblPrEx>
        <w:trPr>
          <w:trHeight w:val="87"/>
        </w:trPr>
        <w:tc>
          <w:tcPr>
            <w:tcW w:w="2142" w:type="dxa"/>
            <w:tcBorders>
              <w:top w:val="single" w:sz="4" w:space="0" w:color="auto"/>
              <w:bottom w:val="nil"/>
            </w:tcBorders>
            <w:vAlign w:val="bottom"/>
          </w:tcPr>
          <w:p w:rsidR="00000000" w:rsidRDefault="00000000">
            <w:pPr>
              <w:pStyle w:val="Header"/>
              <w:spacing w:line="240" w:lineRule="auto"/>
              <w:rPr>
                <w:sz w:val="20"/>
              </w:rPr>
            </w:pPr>
            <w:r>
              <w:rPr>
                <w:sz w:val="20"/>
              </w:rPr>
              <w:t>Образование без отрыва от производства</w:t>
            </w:r>
          </w:p>
        </w:tc>
        <w:tc>
          <w:tcPr>
            <w:tcW w:w="1288" w:type="dxa"/>
            <w:tcBorders>
              <w:top w:val="single" w:sz="4" w:space="0" w:color="auto"/>
              <w:bottom w:val="nil"/>
            </w:tcBorders>
            <w:vAlign w:val="bottom"/>
          </w:tcPr>
          <w:p w:rsidR="00000000" w:rsidRDefault="00000000">
            <w:pPr>
              <w:tabs>
                <w:tab w:val="clear" w:pos="567"/>
                <w:tab w:val="clear" w:pos="1134"/>
                <w:tab w:val="clear" w:pos="1701"/>
                <w:tab w:val="clear" w:pos="2268"/>
              </w:tabs>
              <w:ind w:right="179"/>
              <w:jc w:val="right"/>
            </w:pPr>
          </w:p>
        </w:tc>
        <w:tc>
          <w:tcPr>
            <w:tcW w:w="1390" w:type="dxa"/>
            <w:tcBorders>
              <w:top w:val="single" w:sz="4" w:space="0" w:color="auto"/>
              <w:bottom w:val="nil"/>
            </w:tcBorders>
            <w:vAlign w:val="bottom"/>
          </w:tcPr>
          <w:p w:rsidR="00000000" w:rsidRDefault="00000000">
            <w:pPr>
              <w:tabs>
                <w:tab w:val="clear" w:pos="567"/>
                <w:tab w:val="clear" w:pos="1134"/>
              </w:tabs>
              <w:ind w:right="137"/>
              <w:jc w:val="right"/>
            </w:pPr>
          </w:p>
        </w:tc>
        <w:tc>
          <w:tcPr>
            <w:tcW w:w="1259" w:type="dxa"/>
            <w:tcBorders>
              <w:top w:val="single" w:sz="4" w:space="0" w:color="auto"/>
              <w:bottom w:val="nil"/>
            </w:tcBorders>
            <w:vAlign w:val="bottom"/>
          </w:tcPr>
          <w:p w:rsidR="00000000" w:rsidRDefault="00000000">
            <w:pPr>
              <w:tabs>
                <w:tab w:val="clear" w:pos="567"/>
                <w:tab w:val="clear" w:pos="1134"/>
              </w:tabs>
              <w:ind w:right="137"/>
              <w:jc w:val="right"/>
            </w:pPr>
          </w:p>
        </w:tc>
        <w:tc>
          <w:tcPr>
            <w:tcW w:w="770" w:type="dxa"/>
            <w:tcBorders>
              <w:top w:val="single" w:sz="4" w:space="0" w:color="auto"/>
              <w:bottom w:val="nil"/>
            </w:tcBorders>
            <w:vAlign w:val="bottom"/>
          </w:tcPr>
          <w:p w:rsidR="00000000" w:rsidRDefault="00000000">
            <w:pPr>
              <w:jc w:val="right"/>
            </w:pPr>
          </w:p>
        </w:tc>
        <w:tc>
          <w:tcPr>
            <w:tcW w:w="840" w:type="dxa"/>
            <w:tcBorders>
              <w:top w:val="single" w:sz="4" w:space="0" w:color="auto"/>
              <w:bottom w:val="nil"/>
            </w:tcBorders>
            <w:vAlign w:val="bottom"/>
          </w:tcPr>
          <w:p w:rsidR="00000000" w:rsidRDefault="00000000">
            <w:pPr>
              <w:jc w:val="right"/>
            </w:pPr>
          </w:p>
        </w:tc>
        <w:tc>
          <w:tcPr>
            <w:tcW w:w="784" w:type="dxa"/>
            <w:tcBorders>
              <w:top w:val="single" w:sz="4" w:space="0" w:color="auto"/>
              <w:bottom w:val="nil"/>
            </w:tcBorders>
            <w:vAlign w:val="bottom"/>
          </w:tcPr>
          <w:p w:rsidR="00000000" w:rsidRDefault="00000000">
            <w:pPr>
              <w:jc w:val="right"/>
            </w:pPr>
          </w:p>
        </w:tc>
        <w:tc>
          <w:tcPr>
            <w:tcW w:w="756" w:type="dxa"/>
            <w:tcBorders>
              <w:top w:val="single" w:sz="4" w:space="0" w:color="auto"/>
              <w:bottom w:val="nil"/>
            </w:tcBorders>
            <w:vAlign w:val="bottom"/>
          </w:tcPr>
          <w:p w:rsidR="00000000" w:rsidRDefault="00000000">
            <w:pPr>
              <w:jc w:val="right"/>
            </w:pPr>
          </w:p>
        </w:tc>
      </w:tr>
      <w:tr w:rsidR="00000000">
        <w:tblPrEx>
          <w:tblCellMar>
            <w:top w:w="0" w:type="dxa"/>
            <w:bottom w:w="0" w:type="dxa"/>
          </w:tblCellMar>
        </w:tblPrEx>
        <w:trPr>
          <w:trHeight w:val="87"/>
        </w:trPr>
        <w:tc>
          <w:tcPr>
            <w:tcW w:w="2142" w:type="dxa"/>
            <w:tcBorders>
              <w:top w:val="nil"/>
              <w:bottom w:val="nil"/>
            </w:tcBorders>
            <w:vAlign w:val="bottom"/>
          </w:tcPr>
          <w:p w:rsidR="00000000" w:rsidRDefault="00000000">
            <w:pPr>
              <w:spacing w:line="240" w:lineRule="auto"/>
              <w:rPr>
                <w:sz w:val="20"/>
              </w:rPr>
            </w:pPr>
            <w:r>
              <w:rPr>
                <w:sz w:val="20"/>
              </w:rPr>
              <w:t>Образование для взрослых</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37,9</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66,3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104,2</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0,4</w:t>
            </w:r>
          </w:p>
        </w:tc>
        <w:tc>
          <w:tcPr>
            <w:tcW w:w="784" w:type="dxa"/>
            <w:tcBorders>
              <w:top w:val="nil"/>
              <w:bottom w:val="nil"/>
            </w:tcBorders>
            <w:vAlign w:val="bottom"/>
          </w:tcPr>
          <w:p w:rsidR="00000000" w:rsidRDefault="00000000">
            <w:pPr>
              <w:jc w:val="right"/>
              <w:rPr>
                <w:lang w:val="en-US"/>
              </w:rPr>
            </w:pPr>
            <w:r>
              <w:rPr>
                <w:lang w:val="en-US"/>
              </w:rPr>
              <w:t>1,7</w:t>
            </w:r>
          </w:p>
        </w:tc>
        <w:tc>
          <w:tcPr>
            <w:tcW w:w="756" w:type="dxa"/>
            <w:tcBorders>
              <w:top w:val="nil"/>
              <w:bottom w:val="nil"/>
            </w:tcBorders>
            <w:vAlign w:val="bottom"/>
          </w:tcPr>
          <w:p w:rsidR="00000000" w:rsidRDefault="00000000">
            <w:pPr>
              <w:jc w:val="right"/>
              <w:rPr>
                <w:lang w:val="en-US"/>
              </w:rPr>
            </w:pPr>
            <w:r>
              <w:rPr>
                <w:lang w:val="en-US"/>
              </w:rPr>
              <w:t>0,7</w:t>
            </w:r>
          </w:p>
        </w:tc>
      </w:tr>
      <w:tr w:rsidR="00000000">
        <w:tblPrEx>
          <w:tblCellMar>
            <w:top w:w="0" w:type="dxa"/>
            <w:bottom w:w="0" w:type="dxa"/>
          </w:tblCellMar>
        </w:tblPrEx>
        <w:trPr>
          <w:trHeight w:val="87"/>
        </w:trPr>
        <w:tc>
          <w:tcPr>
            <w:tcW w:w="2142" w:type="dxa"/>
            <w:tcBorders>
              <w:top w:val="nil"/>
              <w:bottom w:val="nil"/>
            </w:tcBorders>
            <w:vAlign w:val="bottom"/>
          </w:tcPr>
          <w:p w:rsidR="00000000" w:rsidRDefault="00000000">
            <w:proofErr w:type="spellStart"/>
            <w:r>
              <w:t>ПТОЧОП</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100,8</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57,7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158,6</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2,2</w:t>
            </w:r>
          </w:p>
        </w:tc>
        <w:tc>
          <w:tcPr>
            <w:tcW w:w="784" w:type="dxa"/>
            <w:tcBorders>
              <w:top w:val="nil"/>
              <w:bottom w:val="nil"/>
            </w:tcBorders>
            <w:vAlign w:val="bottom"/>
          </w:tcPr>
          <w:p w:rsidR="00000000" w:rsidRDefault="00000000">
            <w:pPr>
              <w:jc w:val="right"/>
              <w:rPr>
                <w:lang w:val="en-US"/>
              </w:rPr>
            </w:pPr>
            <w:r>
              <w:rPr>
                <w:lang w:val="en-US"/>
              </w:rPr>
              <w:t>4,7</w:t>
            </w:r>
          </w:p>
        </w:tc>
        <w:tc>
          <w:tcPr>
            <w:tcW w:w="756" w:type="dxa"/>
            <w:tcBorders>
              <w:top w:val="nil"/>
              <w:bottom w:val="nil"/>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nil"/>
              <w:bottom w:val="nil"/>
            </w:tcBorders>
            <w:vAlign w:val="bottom"/>
          </w:tcPr>
          <w:p w:rsidR="00000000" w:rsidRDefault="00000000">
            <w:proofErr w:type="spellStart"/>
            <w:r>
              <w:t>ПТПБОП</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12,9</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14,8</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27,8</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0,2</w:t>
            </w:r>
          </w:p>
        </w:tc>
        <w:tc>
          <w:tcPr>
            <w:tcW w:w="784" w:type="dxa"/>
            <w:tcBorders>
              <w:top w:val="nil"/>
              <w:bottom w:val="nil"/>
            </w:tcBorders>
            <w:vAlign w:val="bottom"/>
          </w:tcPr>
          <w:p w:rsidR="00000000" w:rsidRDefault="00000000">
            <w:pPr>
              <w:jc w:val="right"/>
              <w:rPr>
                <w:lang w:val="en-US"/>
              </w:rPr>
            </w:pPr>
            <w:r>
              <w:rPr>
                <w:lang w:val="en-US"/>
              </w:rPr>
              <w:t>0,5</w:t>
            </w:r>
          </w:p>
        </w:tc>
        <w:tc>
          <w:tcPr>
            <w:tcW w:w="756" w:type="dxa"/>
            <w:tcBorders>
              <w:top w:val="nil"/>
              <w:bottom w:val="nil"/>
            </w:tcBorders>
            <w:vAlign w:val="bottom"/>
          </w:tcPr>
          <w:p w:rsidR="00000000" w:rsidRDefault="00000000">
            <w:pPr>
              <w:jc w:val="right"/>
              <w:rPr>
                <w:lang w:val="en-US"/>
              </w:rPr>
            </w:pPr>
            <w:r>
              <w:rPr>
                <w:lang w:val="en-US"/>
              </w:rPr>
              <w:t>0,2</w:t>
            </w:r>
          </w:p>
        </w:tc>
      </w:tr>
      <w:tr w:rsidR="00000000">
        <w:tblPrEx>
          <w:tblCellMar>
            <w:top w:w="0" w:type="dxa"/>
            <w:bottom w:w="0" w:type="dxa"/>
          </w:tblCellMar>
        </w:tblPrEx>
        <w:trPr>
          <w:trHeight w:val="87"/>
        </w:trPr>
        <w:tc>
          <w:tcPr>
            <w:tcW w:w="2142" w:type="dxa"/>
            <w:tcBorders>
              <w:top w:val="nil"/>
              <w:bottom w:val="single" w:sz="4" w:space="0" w:color="auto"/>
            </w:tcBorders>
            <w:vAlign w:val="bottom"/>
          </w:tcPr>
          <w:p w:rsidR="00000000" w:rsidRDefault="00000000">
            <w:proofErr w:type="spellStart"/>
            <w:r>
              <w:t>ВПОБОП</w:t>
            </w:r>
            <w:proofErr w:type="spellEnd"/>
          </w:p>
        </w:tc>
        <w:tc>
          <w:tcPr>
            <w:tcW w:w="1288" w:type="dxa"/>
            <w:tcBorders>
              <w:top w:val="nil"/>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29,4</w:t>
            </w:r>
          </w:p>
        </w:tc>
        <w:tc>
          <w:tcPr>
            <w:tcW w:w="1390"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35,6</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65,0</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1,0</w:t>
            </w:r>
          </w:p>
        </w:tc>
        <w:tc>
          <w:tcPr>
            <w:tcW w:w="756" w:type="dxa"/>
            <w:tcBorders>
              <w:top w:val="nil"/>
              <w:bottom w:val="single" w:sz="4" w:space="0" w:color="auto"/>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vAlign w:val="bottom"/>
          </w:tcPr>
          <w:p w:rsidR="00000000" w:rsidRDefault="00000000">
            <w:pPr>
              <w:pStyle w:val="Header"/>
              <w:tabs>
                <w:tab w:val="left" w:pos="266"/>
              </w:tabs>
              <w:ind w:left="266" w:hanging="266"/>
              <w:rPr>
                <w:sz w:val="20"/>
              </w:rPr>
            </w:pPr>
            <w:r>
              <w:rPr>
                <w:sz w:val="20"/>
              </w:rPr>
              <w:tab/>
              <w:t xml:space="preserve">Всего учащихся в системе образования без отрыва от производства </w:t>
            </w:r>
          </w:p>
        </w:tc>
        <w:tc>
          <w:tcPr>
            <w:tcW w:w="1288" w:type="dxa"/>
            <w:tcBorders>
              <w:top w:val="single" w:sz="4" w:space="0" w:color="auto"/>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181,1</w:t>
            </w:r>
          </w:p>
        </w:tc>
        <w:tc>
          <w:tcPr>
            <w:tcW w:w="1390"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174,5</w:t>
            </w:r>
          </w:p>
        </w:tc>
        <w:tc>
          <w:tcPr>
            <w:tcW w:w="1259"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355,5</w:t>
            </w:r>
          </w:p>
        </w:tc>
        <w:tc>
          <w:tcPr>
            <w:tcW w:w="770" w:type="dxa"/>
            <w:tcBorders>
              <w:top w:val="single" w:sz="4" w:space="0" w:color="auto"/>
              <w:bottom w:val="single" w:sz="4" w:space="0" w:color="auto"/>
            </w:tcBorders>
            <w:vAlign w:val="bottom"/>
          </w:tcPr>
          <w:p w:rsidR="00000000" w:rsidRDefault="00000000">
            <w:pPr>
              <w:jc w:val="right"/>
              <w:rPr>
                <w:lang w:val="en-US"/>
              </w:rPr>
            </w:pPr>
            <w:r>
              <w:rPr>
                <w:lang w:val="en-US"/>
              </w:rPr>
              <w:t>0,0</w:t>
            </w:r>
          </w:p>
        </w:tc>
        <w:tc>
          <w:tcPr>
            <w:tcW w:w="840" w:type="dxa"/>
            <w:tcBorders>
              <w:top w:val="single" w:sz="4" w:space="0" w:color="auto"/>
              <w:bottom w:val="single" w:sz="4" w:space="0" w:color="auto"/>
            </w:tcBorders>
            <w:vAlign w:val="bottom"/>
          </w:tcPr>
          <w:p w:rsidR="00000000" w:rsidRDefault="00000000">
            <w:pPr>
              <w:jc w:val="right"/>
              <w:rPr>
                <w:lang w:val="en-US"/>
              </w:rPr>
            </w:pPr>
            <w:r>
              <w:rPr>
                <w:lang w:val="en-US"/>
              </w:rPr>
              <w:t>2,8</w:t>
            </w:r>
          </w:p>
        </w:tc>
        <w:tc>
          <w:tcPr>
            <w:tcW w:w="784" w:type="dxa"/>
            <w:tcBorders>
              <w:top w:val="single" w:sz="4" w:space="0" w:color="auto"/>
              <w:bottom w:val="single" w:sz="4" w:space="0" w:color="auto"/>
            </w:tcBorders>
            <w:vAlign w:val="bottom"/>
          </w:tcPr>
          <w:p w:rsidR="00000000" w:rsidRDefault="00000000">
            <w:pPr>
              <w:jc w:val="right"/>
              <w:rPr>
                <w:lang w:val="en-US"/>
              </w:rPr>
            </w:pPr>
            <w:r>
              <w:rPr>
                <w:lang w:val="en-US"/>
              </w:rPr>
              <w:t>7,8</w:t>
            </w:r>
          </w:p>
        </w:tc>
        <w:tc>
          <w:tcPr>
            <w:tcW w:w="756" w:type="dxa"/>
            <w:tcBorders>
              <w:top w:val="single" w:sz="4" w:space="0" w:color="auto"/>
              <w:bottom w:val="single" w:sz="4" w:space="0" w:color="auto"/>
            </w:tcBorders>
            <w:vAlign w:val="bottom"/>
          </w:tcPr>
          <w:p w:rsidR="00000000" w:rsidRDefault="00000000">
            <w:pPr>
              <w:jc w:val="right"/>
              <w:rPr>
                <w:lang w:val="en-US"/>
              </w:rPr>
            </w:pPr>
            <w:r>
              <w:rPr>
                <w:lang w:val="en-US"/>
              </w:rPr>
              <w:t>2,0</w:t>
            </w:r>
          </w:p>
        </w:tc>
      </w:tr>
      <w:tr w:rsidR="00000000">
        <w:tblPrEx>
          <w:tblCellMar>
            <w:top w:w="0" w:type="dxa"/>
            <w:bottom w:w="0" w:type="dxa"/>
          </w:tblCellMar>
        </w:tblPrEx>
        <w:trPr>
          <w:trHeight w:val="87"/>
        </w:trPr>
        <w:tc>
          <w:tcPr>
            <w:tcW w:w="2142" w:type="dxa"/>
            <w:tcBorders>
              <w:top w:val="single" w:sz="4" w:space="0" w:color="auto"/>
              <w:bottom w:val="nil"/>
            </w:tcBorders>
            <w:vAlign w:val="bottom"/>
          </w:tcPr>
          <w:p w:rsidR="00000000" w:rsidRDefault="00000000">
            <w:pPr>
              <w:pStyle w:val="Header"/>
              <w:rPr>
                <w:b/>
                <w:lang w:val="en-US"/>
              </w:rPr>
            </w:pPr>
            <w:r>
              <w:rPr>
                <w:b/>
                <w:lang w:val="en-US"/>
              </w:rPr>
              <w:t>2002</w:t>
            </w:r>
          </w:p>
        </w:tc>
        <w:tc>
          <w:tcPr>
            <w:tcW w:w="1288" w:type="dxa"/>
            <w:tcBorders>
              <w:top w:val="single" w:sz="4" w:space="0" w:color="auto"/>
              <w:bottom w:val="nil"/>
            </w:tcBorders>
            <w:vAlign w:val="bottom"/>
          </w:tcPr>
          <w:p w:rsidR="00000000" w:rsidRDefault="00000000">
            <w:pPr>
              <w:tabs>
                <w:tab w:val="clear" w:pos="567"/>
                <w:tab w:val="clear" w:pos="1134"/>
                <w:tab w:val="clear" w:pos="1701"/>
                <w:tab w:val="clear" w:pos="2268"/>
              </w:tabs>
              <w:ind w:right="179"/>
              <w:jc w:val="right"/>
              <w:rPr>
                <w:lang w:val="en-US"/>
              </w:rPr>
            </w:pPr>
          </w:p>
        </w:tc>
        <w:tc>
          <w:tcPr>
            <w:tcW w:w="1390" w:type="dxa"/>
            <w:tcBorders>
              <w:top w:val="single" w:sz="4" w:space="0" w:color="auto"/>
              <w:bottom w:val="nil"/>
            </w:tcBorders>
            <w:vAlign w:val="bottom"/>
          </w:tcPr>
          <w:p w:rsidR="00000000" w:rsidRDefault="00000000">
            <w:pPr>
              <w:tabs>
                <w:tab w:val="clear" w:pos="567"/>
                <w:tab w:val="clear" w:pos="1134"/>
              </w:tabs>
              <w:ind w:right="137"/>
              <w:jc w:val="right"/>
              <w:rPr>
                <w:lang w:val="en-US"/>
              </w:rPr>
            </w:pPr>
          </w:p>
        </w:tc>
        <w:tc>
          <w:tcPr>
            <w:tcW w:w="1259" w:type="dxa"/>
            <w:tcBorders>
              <w:top w:val="single" w:sz="4" w:space="0" w:color="auto"/>
              <w:bottom w:val="nil"/>
            </w:tcBorders>
            <w:vAlign w:val="bottom"/>
          </w:tcPr>
          <w:p w:rsidR="00000000" w:rsidRDefault="00000000">
            <w:pPr>
              <w:tabs>
                <w:tab w:val="clear" w:pos="567"/>
                <w:tab w:val="clear" w:pos="1134"/>
              </w:tabs>
              <w:ind w:right="137"/>
              <w:jc w:val="right"/>
              <w:rPr>
                <w:lang w:val="en-US"/>
              </w:rPr>
            </w:pPr>
          </w:p>
        </w:tc>
        <w:tc>
          <w:tcPr>
            <w:tcW w:w="770" w:type="dxa"/>
            <w:tcBorders>
              <w:top w:val="single" w:sz="4" w:space="0" w:color="auto"/>
              <w:bottom w:val="nil"/>
            </w:tcBorders>
            <w:vAlign w:val="bottom"/>
          </w:tcPr>
          <w:p w:rsidR="00000000" w:rsidRDefault="00000000">
            <w:pPr>
              <w:jc w:val="right"/>
              <w:rPr>
                <w:lang w:val="en-US"/>
              </w:rPr>
            </w:pPr>
          </w:p>
        </w:tc>
        <w:tc>
          <w:tcPr>
            <w:tcW w:w="840" w:type="dxa"/>
            <w:tcBorders>
              <w:top w:val="single" w:sz="4" w:space="0" w:color="auto"/>
              <w:bottom w:val="nil"/>
            </w:tcBorders>
            <w:vAlign w:val="bottom"/>
          </w:tcPr>
          <w:p w:rsidR="00000000" w:rsidRDefault="00000000">
            <w:pPr>
              <w:jc w:val="right"/>
              <w:rPr>
                <w:lang w:val="en-US"/>
              </w:rPr>
            </w:pPr>
          </w:p>
        </w:tc>
        <w:tc>
          <w:tcPr>
            <w:tcW w:w="784" w:type="dxa"/>
            <w:tcBorders>
              <w:top w:val="single" w:sz="4" w:space="0" w:color="auto"/>
              <w:bottom w:val="nil"/>
            </w:tcBorders>
            <w:vAlign w:val="bottom"/>
          </w:tcPr>
          <w:p w:rsidR="00000000" w:rsidRDefault="00000000">
            <w:pPr>
              <w:jc w:val="right"/>
              <w:rPr>
                <w:lang w:val="en-US"/>
              </w:rPr>
            </w:pPr>
          </w:p>
        </w:tc>
        <w:tc>
          <w:tcPr>
            <w:tcW w:w="756" w:type="dxa"/>
            <w:tcBorders>
              <w:top w:val="single" w:sz="4" w:space="0" w:color="auto"/>
              <w:bottom w:val="nil"/>
            </w:tcBorders>
            <w:vAlign w:val="bottom"/>
          </w:tcPr>
          <w:p w:rsidR="00000000" w:rsidRDefault="00000000">
            <w:pPr>
              <w:jc w:val="right"/>
              <w:rPr>
                <w:lang w:val="en-US"/>
              </w:rPr>
            </w:pPr>
          </w:p>
        </w:tc>
      </w:tr>
      <w:tr w:rsidR="00000000">
        <w:tblPrEx>
          <w:tblCellMar>
            <w:top w:w="0" w:type="dxa"/>
            <w:bottom w:w="0" w:type="dxa"/>
          </w:tblCellMar>
        </w:tblPrEx>
        <w:trPr>
          <w:trHeight w:val="87"/>
        </w:trPr>
        <w:tc>
          <w:tcPr>
            <w:tcW w:w="2142" w:type="dxa"/>
            <w:tcBorders>
              <w:top w:val="nil"/>
              <w:bottom w:val="nil"/>
            </w:tcBorders>
          </w:tcPr>
          <w:p w:rsidR="00000000" w:rsidRDefault="00000000">
            <w:pPr>
              <w:pStyle w:val="Header"/>
              <w:spacing w:line="240" w:lineRule="auto"/>
              <w:rPr>
                <w:sz w:val="20"/>
              </w:rPr>
            </w:pPr>
            <w:r>
              <w:rPr>
                <w:sz w:val="20"/>
              </w:rPr>
              <w:t>Образование с отрывом от производства</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pPr>
          </w:p>
        </w:tc>
        <w:tc>
          <w:tcPr>
            <w:tcW w:w="1390" w:type="dxa"/>
            <w:tcBorders>
              <w:top w:val="nil"/>
              <w:bottom w:val="nil"/>
            </w:tcBorders>
            <w:vAlign w:val="bottom"/>
          </w:tcPr>
          <w:p w:rsidR="00000000" w:rsidRDefault="00000000">
            <w:pPr>
              <w:tabs>
                <w:tab w:val="clear" w:pos="567"/>
                <w:tab w:val="clear" w:pos="1134"/>
              </w:tabs>
              <w:ind w:right="137"/>
              <w:jc w:val="right"/>
            </w:pPr>
          </w:p>
        </w:tc>
        <w:tc>
          <w:tcPr>
            <w:tcW w:w="1259" w:type="dxa"/>
            <w:tcBorders>
              <w:top w:val="nil"/>
              <w:bottom w:val="nil"/>
            </w:tcBorders>
            <w:vAlign w:val="bottom"/>
          </w:tcPr>
          <w:p w:rsidR="00000000" w:rsidRDefault="00000000">
            <w:pPr>
              <w:tabs>
                <w:tab w:val="clear" w:pos="567"/>
                <w:tab w:val="clear" w:pos="1134"/>
              </w:tabs>
              <w:ind w:right="137"/>
              <w:jc w:val="right"/>
            </w:pPr>
          </w:p>
        </w:tc>
        <w:tc>
          <w:tcPr>
            <w:tcW w:w="770" w:type="dxa"/>
            <w:tcBorders>
              <w:top w:val="nil"/>
              <w:bottom w:val="nil"/>
            </w:tcBorders>
            <w:vAlign w:val="bottom"/>
          </w:tcPr>
          <w:p w:rsidR="00000000" w:rsidRDefault="00000000">
            <w:pPr>
              <w:jc w:val="right"/>
            </w:pPr>
          </w:p>
        </w:tc>
        <w:tc>
          <w:tcPr>
            <w:tcW w:w="840" w:type="dxa"/>
            <w:tcBorders>
              <w:top w:val="nil"/>
              <w:bottom w:val="nil"/>
            </w:tcBorders>
            <w:vAlign w:val="bottom"/>
          </w:tcPr>
          <w:p w:rsidR="00000000" w:rsidRDefault="00000000">
            <w:pPr>
              <w:jc w:val="right"/>
            </w:pPr>
          </w:p>
        </w:tc>
        <w:tc>
          <w:tcPr>
            <w:tcW w:w="784" w:type="dxa"/>
            <w:tcBorders>
              <w:top w:val="nil"/>
              <w:bottom w:val="nil"/>
            </w:tcBorders>
            <w:vAlign w:val="bottom"/>
          </w:tcPr>
          <w:p w:rsidR="00000000" w:rsidRDefault="00000000">
            <w:pPr>
              <w:jc w:val="right"/>
            </w:pPr>
          </w:p>
        </w:tc>
        <w:tc>
          <w:tcPr>
            <w:tcW w:w="756" w:type="dxa"/>
            <w:tcBorders>
              <w:top w:val="nil"/>
              <w:bottom w:val="nil"/>
            </w:tcBorders>
            <w:vAlign w:val="bottom"/>
          </w:tcPr>
          <w:p w:rsidR="00000000" w:rsidRDefault="00000000">
            <w:pPr>
              <w:jc w:val="right"/>
            </w:pPr>
          </w:p>
        </w:tc>
      </w:tr>
      <w:tr w:rsidR="00000000">
        <w:tblPrEx>
          <w:tblCellMar>
            <w:top w:w="0" w:type="dxa"/>
            <w:bottom w:w="0" w:type="dxa"/>
          </w:tblCellMar>
        </w:tblPrEx>
        <w:trPr>
          <w:trHeight w:val="87"/>
        </w:trPr>
        <w:tc>
          <w:tcPr>
            <w:tcW w:w="2142" w:type="dxa"/>
            <w:tcBorders>
              <w:top w:val="nil"/>
              <w:bottom w:val="nil"/>
            </w:tcBorders>
          </w:tcPr>
          <w:p w:rsidR="00000000" w:rsidRDefault="00000000">
            <w:r>
              <w:t>ОНО</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787,6</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762,4</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1 550,0</w:t>
            </w:r>
          </w:p>
        </w:tc>
        <w:tc>
          <w:tcPr>
            <w:tcW w:w="770" w:type="dxa"/>
            <w:tcBorders>
              <w:top w:val="nil"/>
              <w:bottom w:val="nil"/>
            </w:tcBorders>
            <w:vAlign w:val="bottom"/>
          </w:tcPr>
          <w:p w:rsidR="00000000" w:rsidRDefault="00000000">
            <w:pPr>
              <w:jc w:val="right"/>
              <w:rPr>
                <w:lang w:val="en-US"/>
              </w:rPr>
            </w:pPr>
            <w:r>
              <w:rPr>
                <w:lang w:val="en-US"/>
              </w:rPr>
              <w:t>92,2</w:t>
            </w:r>
          </w:p>
        </w:tc>
        <w:tc>
          <w:tcPr>
            <w:tcW w:w="840" w:type="dxa"/>
            <w:tcBorders>
              <w:top w:val="nil"/>
              <w:bottom w:val="nil"/>
            </w:tcBorders>
            <w:vAlign w:val="bottom"/>
          </w:tcPr>
          <w:p w:rsidR="00000000" w:rsidRDefault="00000000">
            <w:pPr>
              <w:jc w:val="right"/>
              <w:rPr>
                <w:lang w:val="en-US"/>
              </w:rPr>
            </w:pPr>
            <w:r>
              <w:rPr>
                <w:lang w:val="en-US"/>
              </w:rPr>
              <w:t>7,0</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СНО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35,0</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17,1</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52,1</w:t>
            </w:r>
          </w:p>
        </w:tc>
        <w:tc>
          <w:tcPr>
            <w:tcW w:w="770" w:type="dxa"/>
            <w:tcBorders>
              <w:top w:val="nil"/>
              <w:bottom w:val="nil"/>
            </w:tcBorders>
            <w:vAlign w:val="bottom"/>
          </w:tcPr>
          <w:p w:rsidR="00000000" w:rsidRDefault="00000000">
            <w:pPr>
              <w:jc w:val="right"/>
              <w:rPr>
                <w:lang w:val="en-US"/>
              </w:rPr>
            </w:pPr>
            <w:r>
              <w:rPr>
                <w:lang w:val="en-US"/>
              </w:rPr>
              <w:t>2,7</w:t>
            </w:r>
          </w:p>
        </w:tc>
        <w:tc>
          <w:tcPr>
            <w:tcW w:w="840" w:type="dxa"/>
            <w:tcBorders>
              <w:top w:val="nil"/>
              <w:bottom w:val="nil"/>
            </w:tcBorders>
            <w:vAlign w:val="bottom"/>
          </w:tcPr>
          <w:p w:rsidR="00000000" w:rsidRDefault="00000000">
            <w:pPr>
              <w:jc w:val="right"/>
              <w:rPr>
                <w:lang w:val="en-US"/>
              </w:rPr>
            </w:pPr>
            <w:r>
              <w:rPr>
                <w:lang w:val="en-US"/>
              </w:rPr>
              <w:t>0,8</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single" w:sz="4" w:space="0" w:color="auto"/>
            </w:tcBorders>
          </w:tcPr>
          <w:p w:rsidR="00000000" w:rsidRDefault="00000000">
            <w:proofErr w:type="spellStart"/>
            <w:r>
              <w:t>НССО</w:t>
            </w:r>
            <w:proofErr w:type="spellEnd"/>
          </w:p>
        </w:tc>
        <w:tc>
          <w:tcPr>
            <w:tcW w:w="1288" w:type="dxa"/>
            <w:tcBorders>
              <w:top w:val="nil"/>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35,7</w:t>
            </w:r>
          </w:p>
        </w:tc>
        <w:tc>
          <w:tcPr>
            <w:tcW w:w="1390"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15,9</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51,7</w:t>
            </w:r>
          </w:p>
        </w:tc>
        <w:tc>
          <w:tcPr>
            <w:tcW w:w="770" w:type="dxa"/>
            <w:tcBorders>
              <w:top w:val="nil"/>
              <w:bottom w:val="single" w:sz="4" w:space="0" w:color="auto"/>
            </w:tcBorders>
            <w:vAlign w:val="bottom"/>
          </w:tcPr>
          <w:p w:rsidR="00000000" w:rsidRDefault="00000000">
            <w:pPr>
              <w:jc w:val="right"/>
              <w:rPr>
                <w:lang w:val="en-US"/>
              </w:rPr>
            </w:pPr>
            <w:r>
              <w:rPr>
                <w:lang w:val="en-US"/>
              </w:rPr>
              <w:t>1,7</w:t>
            </w:r>
          </w:p>
        </w:tc>
        <w:tc>
          <w:tcPr>
            <w:tcW w:w="840" w:type="dxa"/>
            <w:tcBorders>
              <w:top w:val="nil"/>
              <w:bottom w:val="single" w:sz="4" w:space="0" w:color="auto"/>
            </w:tcBorders>
            <w:vAlign w:val="bottom"/>
          </w:tcPr>
          <w:p w:rsidR="00000000" w:rsidRDefault="00000000">
            <w:pPr>
              <w:jc w:val="right"/>
              <w:rPr>
                <w:lang w:val="en-US"/>
              </w:rPr>
            </w:pPr>
            <w:r>
              <w:rPr>
                <w:lang w:val="en-US"/>
              </w:rPr>
              <w:t>1,9</w:t>
            </w:r>
          </w:p>
        </w:tc>
        <w:tc>
          <w:tcPr>
            <w:tcW w:w="784" w:type="dxa"/>
            <w:tcBorders>
              <w:top w:val="nil"/>
              <w:bottom w:val="single" w:sz="4" w:space="0" w:color="auto"/>
            </w:tcBorders>
            <w:vAlign w:val="bottom"/>
          </w:tcPr>
          <w:p w:rsidR="00000000" w:rsidRDefault="00000000">
            <w:pPr>
              <w:jc w:val="right"/>
              <w:rPr>
                <w:lang w:val="en-US"/>
              </w:rPr>
            </w:pPr>
            <w:r>
              <w:rPr>
                <w:lang w:val="en-US"/>
              </w:rPr>
              <w:t>0,1</w:t>
            </w:r>
          </w:p>
        </w:tc>
        <w:tc>
          <w:tcPr>
            <w:tcW w:w="756" w:type="dxa"/>
            <w:tcBorders>
              <w:top w:val="nil"/>
              <w:bottom w:val="single" w:sz="4" w:space="0" w:color="auto"/>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single" w:sz="4" w:space="0" w:color="auto"/>
              <w:bottom w:val="nil"/>
            </w:tcBorders>
          </w:tcPr>
          <w:p w:rsidR="00000000" w:rsidRDefault="00000000">
            <w:pPr>
              <w:rPr>
                <w:lang w:val="en-US"/>
              </w:rPr>
            </w:pPr>
            <w:proofErr w:type="spellStart"/>
            <w:r>
              <w:t>ПГ</w:t>
            </w:r>
            <w:proofErr w:type="spellEnd"/>
            <w:r>
              <w:t xml:space="preserve"> </w:t>
            </w:r>
            <w:r>
              <w:rPr>
                <w:lang w:val="en-US"/>
              </w:rPr>
              <w:t>1</w:t>
            </w:r>
            <w:r>
              <w:rPr>
                <w:lang w:val="en-US"/>
              </w:rPr>
              <w:noBreakHyphen/>
              <w:t>3</w:t>
            </w:r>
          </w:p>
        </w:tc>
        <w:tc>
          <w:tcPr>
            <w:tcW w:w="1288" w:type="dxa"/>
            <w:tcBorders>
              <w:top w:val="single" w:sz="4" w:space="0" w:color="auto"/>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206,5</w:t>
            </w:r>
          </w:p>
        </w:tc>
        <w:tc>
          <w:tcPr>
            <w:tcW w:w="1390" w:type="dxa"/>
            <w:tcBorders>
              <w:top w:val="single" w:sz="4" w:space="0" w:color="auto"/>
              <w:bottom w:val="nil"/>
            </w:tcBorders>
            <w:vAlign w:val="bottom"/>
          </w:tcPr>
          <w:p w:rsidR="00000000" w:rsidRDefault="00000000">
            <w:pPr>
              <w:tabs>
                <w:tab w:val="clear" w:pos="567"/>
                <w:tab w:val="clear" w:pos="1134"/>
              </w:tabs>
              <w:ind w:right="137"/>
              <w:jc w:val="right"/>
              <w:rPr>
                <w:lang w:val="en-US"/>
              </w:rPr>
            </w:pPr>
            <w:r>
              <w:rPr>
                <w:lang w:val="en-US"/>
              </w:rPr>
              <w:t>197,9</w:t>
            </w:r>
          </w:p>
        </w:tc>
        <w:tc>
          <w:tcPr>
            <w:tcW w:w="1259" w:type="dxa"/>
            <w:tcBorders>
              <w:top w:val="single" w:sz="4" w:space="0" w:color="auto"/>
              <w:bottom w:val="nil"/>
            </w:tcBorders>
            <w:vAlign w:val="bottom"/>
          </w:tcPr>
          <w:p w:rsidR="00000000" w:rsidRDefault="00000000">
            <w:pPr>
              <w:tabs>
                <w:tab w:val="clear" w:pos="567"/>
                <w:tab w:val="clear" w:pos="1134"/>
              </w:tabs>
              <w:ind w:right="137"/>
              <w:jc w:val="right"/>
              <w:rPr>
                <w:lang w:val="en-US"/>
              </w:rPr>
            </w:pPr>
            <w:r>
              <w:rPr>
                <w:lang w:val="en-US"/>
              </w:rPr>
              <w:t>404,3</w:t>
            </w:r>
          </w:p>
        </w:tc>
        <w:tc>
          <w:tcPr>
            <w:tcW w:w="770" w:type="dxa"/>
            <w:tcBorders>
              <w:top w:val="single" w:sz="4" w:space="0" w:color="auto"/>
              <w:bottom w:val="nil"/>
            </w:tcBorders>
            <w:vAlign w:val="bottom"/>
          </w:tcPr>
          <w:p w:rsidR="00000000" w:rsidRDefault="00000000">
            <w:pPr>
              <w:jc w:val="right"/>
              <w:rPr>
                <w:lang w:val="en-US"/>
              </w:rPr>
            </w:pPr>
            <w:r>
              <w:rPr>
                <w:lang w:val="en-US"/>
              </w:rPr>
              <w:t>0,0</w:t>
            </w:r>
          </w:p>
        </w:tc>
        <w:tc>
          <w:tcPr>
            <w:tcW w:w="840" w:type="dxa"/>
            <w:tcBorders>
              <w:top w:val="single" w:sz="4" w:space="0" w:color="auto"/>
              <w:bottom w:val="nil"/>
            </w:tcBorders>
            <w:vAlign w:val="bottom"/>
          </w:tcPr>
          <w:p w:rsidR="00000000" w:rsidRDefault="00000000">
            <w:pPr>
              <w:jc w:val="right"/>
              <w:rPr>
                <w:lang w:val="en-US"/>
              </w:rPr>
            </w:pPr>
            <w:r>
              <w:rPr>
                <w:lang w:val="en-US"/>
              </w:rPr>
              <w:t>34,2</w:t>
            </w:r>
          </w:p>
        </w:tc>
        <w:tc>
          <w:tcPr>
            <w:tcW w:w="784" w:type="dxa"/>
            <w:tcBorders>
              <w:top w:val="single" w:sz="4" w:space="0" w:color="auto"/>
              <w:bottom w:val="nil"/>
            </w:tcBorders>
            <w:vAlign w:val="bottom"/>
          </w:tcPr>
          <w:p w:rsidR="00000000" w:rsidRDefault="00000000">
            <w:pPr>
              <w:jc w:val="right"/>
              <w:rPr>
                <w:lang w:val="en-US"/>
              </w:rPr>
            </w:pPr>
            <w:r>
              <w:rPr>
                <w:lang w:val="en-US"/>
              </w:rPr>
              <w:t>0,0</w:t>
            </w:r>
          </w:p>
        </w:tc>
        <w:tc>
          <w:tcPr>
            <w:tcW w:w="756" w:type="dxa"/>
            <w:tcBorders>
              <w:top w:val="single" w:sz="4" w:space="0" w:color="auto"/>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СОТУ</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136,1</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117,0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253,0</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21,3</w:t>
            </w:r>
          </w:p>
        </w:tc>
        <w:tc>
          <w:tcPr>
            <w:tcW w:w="784" w:type="dxa"/>
            <w:tcBorders>
              <w:top w:val="nil"/>
              <w:bottom w:val="nil"/>
            </w:tcBorders>
            <w:vAlign w:val="bottom"/>
          </w:tcPr>
          <w:p w:rsidR="00000000" w:rsidRDefault="00000000">
            <w:pPr>
              <w:jc w:val="right"/>
              <w:rPr>
                <w:lang w:val="en-US"/>
              </w:rPr>
            </w:pPr>
            <w:r>
              <w:rPr>
                <w:lang w:val="en-US"/>
              </w:rPr>
              <w:t>0,1</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ОСО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59,1</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65,3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124,4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9,9</w:t>
            </w:r>
          </w:p>
        </w:tc>
        <w:tc>
          <w:tcPr>
            <w:tcW w:w="784" w:type="dxa"/>
            <w:tcBorders>
              <w:top w:val="nil"/>
              <w:bottom w:val="nil"/>
            </w:tcBorders>
            <w:vAlign w:val="bottom"/>
          </w:tcPr>
          <w:p w:rsidR="00000000" w:rsidRDefault="00000000">
            <w:pPr>
              <w:jc w:val="right"/>
              <w:rPr>
                <w:lang w:val="en-US"/>
              </w:rPr>
            </w:pPr>
            <w:r>
              <w:rPr>
                <w:lang w:val="en-US"/>
              </w:rPr>
              <w:t>0,4</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ПУО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61,1</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70,8</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131,9</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10,1</w:t>
            </w:r>
          </w:p>
        </w:tc>
        <w:tc>
          <w:tcPr>
            <w:tcW w:w="784" w:type="dxa"/>
            <w:tcBorders>
              <w:top w:val="nil"/>
              <w:bottom w:val="nil"/>
            </w:tcBorders>
            <w:vAlign w:val="bottom"/>
          </w:tcPr>
          <w:p w:rsidR="00000000" w:rsidRDefault="00000000">
            <w:pPr>
              <w:jc w:val="right"/>
              <w:rPr>
                <w:lang w:val="en-US"/>
              </w:rPr>
            </w:pPr>
            <w:r>
              <w:rPr>
                <w:lang w:val="en-US"/>
              </w:rPr>
              <w:t>0,7</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ПТПСОП</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136,7</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143,0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279,6</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8,0</w:t>
            </w:r>
          </w:p>
        </w:tc>
        <w:tc>
          <w:tcPr>
            <w:tcW w:w="784" w:type="dxa"/>
            <w:tcBorders>
              <w:top w:val="nil"/>
              <w:bottom w:val="nil"/>
            </w:tcBorders>
            <w:vAlign w:val="bottom"/>
          </w:tcPr>
          <w:p w:rsidR="00000000" w:rsidRDefault="00000000">
            <w:pPr>
              <w:jc w:val="right"/>
              <w:rPr>
                <w:lang w:val="en-US"/>
              </w:rPr>
            </w:pPr>
            <w:r>
              <w:rPr>
                <w:lang w:val="en-US"/>
              </w:rPr>
              <w:t>9,3</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ВПО</w:t>
            </w:r>
            <w:proofErr w:type="spellEnd"/>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125,9</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131,7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257,6</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0,9</w:t>
            </w:r>
          </w:p>
        </w:tc>
        <w:tc>
          <w:tcPr>
            <w:tcW w:w="784" w:type="dxa"/>
            <w:tcBorders>
              <w:top w:val="nil"/>
              <w:bottom w:val="nil"/>
            </w:tcBorders>
            <w:vAlign w:val="bottom"/>
          </w:tcPr>
          <w:p w:rsidR="00000000" w:rsidRDefault="00000000">
            <w:pPr>
              <w:jc w:val="right"/>
              <w:rPr>
                <w:lang w:val="en-US"/>
              </w:rPr>
            </w:pPr>
            <w:r>
              <w:rPr>
                <w:lang w:val="en-US"/>
              </w:rPr>
              <w:t>12,0</w:t>
            </w:r>
          </w:p>
        </w:tc>
        <w:tc>
          <w:tcPr>
            <w:tcW w:w="756" w:type="dxa"/>
            <w:tcBorders>
              <w:top w:val="nil"/>
              <w:bottom w:val="nil"/>
            </w:tcBorders>
            <w:vAlign w:val="bottom"/>
          </w:tcPr>
          <w:p w:rsidR="00000000" w:rsidRDefault="00000000">
            <w:pPr>
              <w:jc w:val="right"/>
              <w:rPr>
                <w:lang w:val="en-US"/>
              </w:rPr>
            </w:pPr>
            <w:r>
              <w:rPr>
                <w:lang w:val="en-US"/>
              </w:rPr>
              <w:t>0,1</w:t>
            </w:r>
          </w:p>
        </w:tc>
      </w:tr>
      <w:tr w:rsidR="00000000">
        <w:tblPrEx>
          <w:tblCellMar>
            <w:top w:w="0" w:type="dxa"/>
            <w:bottom w:w="0" w:type="dxa"/>
          </w:tblCellMar>
        </w:tblPrEx>
        <w:trPr>
          <w:trHeight w:val="87"/>
        </w:trPr>
        <w:tc>
          <w:tcPr>
            <w:tcW w:w="2142" w:type="dxa"/>
            <w:tcBorders>
              <w:top w:val="nil"/>
              <w:bottom w:val="single" w:sz="4" w:space="0" w:color="auto"/>
            </w:tcBorders>
          </w:tcPr>
          <w:p w:rsidR="00000000" w:rsidRDefault="00000000">
            <w:proofErr w:type="spellStart"/>
            <w:r>
              <w:t>УО</w:t>
            </w:r>
            <w:proofErr w:type="spellEnd"/>
          </w:p>
        </w:tc>
        <w:tc>
          <w:tcPr>
            <w:tcW w:w="1288" w:type="dxa"/>
            <w:tcBorders>
              <w:top w:val="nil"/>
              <w:bottom w:val="single" w:sz="4" w:space="0" w:color="auto"/>
            </w:tcBorders>
            <w:vAlign w:val="bottom"/>
          </w:tcPr>
          <w:p w:rsidR="00000000" w:rsidRDefault="00000000">
            <w:pPr>
              <w:tabs>
                <w:tab w:val="clear" w:pos="567"/>
                <w:tab w:val="clear" w:pos="1134"/>
                <w:tab w:val="clear" w:pos="1701"/>
                <w:tab w:val="clear" w:pos="2268"/>
              </w:tabs>
              <w:ind w:right="179"/>
              <w:jc w:val="right"/>
              <w:rPr>
                <w:lang w:val="en-US"/>
              </w:rPr>
            </w:pPr>
            <w:r>
              <w:rPr>
                <w:lang w:val="en-US"/>
              </w:rPr>
              <w:t>90,6</w:t>
            </w:r>
          </w:p>
        </w:tc>
        <w:tc>
          <w:tcPr>
            <w:tcW w:w="1390"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88,2</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178,8</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7,9</w:t>
            </w:r>
          </w:p>
        </w:tc>
        <w:tc>
          <w:tcPr>
            <w:tcW w:w="756" w:type="dxa"/>
            <w:tcBorders>
              <w:top w:val="nil"/>
              <w:bottom w:val="single" w:sz="4" w:space="0" w:color="auto"/>
            </w:tcBorders>
            <w:vAlign w:val="bottom"/>
          </w:tcPr>
          <w:p w:rsidR="00000000" w:rsidRDefault="00000000">
            <w:pPr>
              <w:jc w:val="right"/>
              <w:rPr>
                <w:lang w:val="en-US"/>
              </w:rPr>
            </w:pPr>
            <w:r>
              <w:rPr>
                <w:lang w:val="en-US"/>
              </w:rPr>
              <w:t>0,3</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tcPr>
          <w:p w:rsidR="00000000" w:rsidRDefault="00000000">
            <w:pPr>
              <w:pStyle w:val="Header"/>
              <w:tabs>
                <w:tab w:val="left" w:pos="266"/>
              </w:tabs>
              <w:spacing w:line="240" w:lineRule="auto"/>
              <w:ind w:left="266" w:hanging="266"/>
              <w:rPr>
                <w:sz w:val="20"/>
              </w:rPr>
            </w:pPr>
            <w:r>
              <w:rPr>
                <w:sz w:val="20"/>
              </w:rPr>
              <w:tab/>
              <w:t>Всего учащихся в системе образования с отрывом от производства</w:t>
            </w:r>
          </w:p>
        </w:tc>
        <w:tc>
          <w:tcPr>
            <w:tcW w:w="1288" w:type="dxa"/>
            <w:tcBorders>
              <w:top w:val="single" w:sz="4" w:space="0" w:color="auto"/>
              <w:bottom w:val="single" w:sz="4" w:space="0" w:color="auto"/>
            </w:tcBorders>
            <w:vAlign w:val="bottom"/>
          </w:tcPr>
          <w:p w:rsidR="00000000" w:rsidRDefault="00000000">
            <w:pPr>
              <w:tabs>
                <w:tab w:val="clear" w:pos="567"/>
                <w:tab w:val="clear" w:pos="1134"/>
                <w:tab w:val="clear" w:pos="1701"/>
                <w:tab w:val="clear" w:pos="2268"/>
              </w:tabs>
              <w:ind w:right="179"/>
              <w:jc w:val="right"/>
            </w:pPr>
            <w:r>
              <w:t>1 674,3</w:t>
            </w:r>
          </w:p>
        </w:tc>
        <w:tc>
          <w:tcPr>
            <w:tcW w:w="1390"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1 609,1</w:t>
            </w:r>
          </w:p>
        </w:tc>
        <w:tc>
          <w:tcPr>
            <w:tcW w:w="1259"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3 283,4</w:t>
            </w:r>
          </w:p>
        </w:tc>
        <w:tc>
          <w:tcPr>
            <w:tcW w:w="770" w:type="dxa"/>
            <w:tcBorders>
              <w:top w:val="single" w:sz="4" w:space="0" w:color="auto"/>
              <w:bottom w:val="single" w:sz="4" w:space="0" w:color="auto"/>
            </w:tcBorders>
            <w:vAlign w:val="bottom"/>
          </w:tcPr>
          <w:p w:rsidR="00000000" w:rsidRDefault="00000000">
            <w:pPr>
              <w:jc w:val="right"/>
              <w:rPr>
                <w:lang w:val="en-US"/>
              </w:rPr>
            </w:pPr>
            <w:r>
              <w:rPr>
                <w:lang w:val="en-US"/>
              </w:rPr>
              <w:t>96,5</w:t>
            </w:r>
          </w:p>
        </w:tc>
        <w:tc>
          <w:tcPr>
            <w:tcW w:w="840" w:type="dxa"/>
            <w:tcBorders>
              <w:top w:val="single" w:sz="4" w:space="0" w:color="auto"/>
              <w:bottom w:val="single" w:sz="4" w:space="0" w:color="auto"/>
            </w:tcBorders>
            <w:vAlign w:val="bottom"/>
          </w:tcPr>
          <w:p w:rsidR="00000000" w:rsidRDefault="00000000">
            <w:pPr>
              <w:jc w:val="right"/>
              <w:rPr>
                <w:lang w:val="en-US"/>
              </w:rPr>
            </w:pPr>
            <w:r>
              <w:rPr>
                <w:lang w:val="en-US"/>
              </w:rPr>
              <w:t>94,1</w:t>
            </w:r>
          </w:p>
        </w:tc>
        <w:tc>
          <w:tcPr>
            <w:tcW w:w="784" w:type="dxa"/>
            <w:tcBorders>
              <w:top w:val="single" w:sz="4" w:space="0" w:color="auto"/>
              <w:bottom w:val="single" w:sz="4" w:space="0" w:color="auto"/>
            </w:tcBorders>
            <w:vAlign w:val="bottom"/>
          </w:tcPr>
          <w:p w:rsidR="00000000" w:rsidRDefault="00000000">
            <w:pPr>
              <w:jc w:val="right"/>
              <w:rPr>
                <w:lang w:val="en-US"/>
              </w:rPr>
            </w:pPr>
            <w:r>
              <w:rPr>
                <w:lang w:val="en-US"/>
              </w:rPr>
              <w:t>30,6</w:t>
            </w:r>
          </w:p>
        </w:tc>
        <w:tc>
          <w:tcPr>
            <w:tcW w:w="756" w:type="dxa"/>
            <w:tcBorders>
              <w:top w:val="single" w:sz="4" w:space="0" w:color="auto"/>
              <w:bottom w:val="single" w:sz="4" w:space="0" w:color="auto"/>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single" w:sz="4" w:space="0" w:color="auto"/>
              <w:bottom w:val="nil"/>
            </w:tcBorders>
          </w:tcPr>
          <w:p w:rsidR="00000000" w:rsidRDefault="00000000">
            <w:pPr>
              <w:pStyle w:val="Header"/>
              <w:spacing w:line="240" w:lineRule="auto"/>
              <w:rPr>
                <w:sz w:val="20"/>
              </w:rPr>
            </w:pPr>
            <w:r>
              <w:rPr>
                <w:sz w:val="20"/>
              </w:rPr>
              <w:t>Образование без отрыва от производства</w:t>
            </w:r>
          </w:p>
        </w:tc>
        <w:tc>
          <w:tcPr>
            <w:tcW w:w="1288" w:type="dxa"/>
            <w:tcBorders>
              <w:top w:val="single" w:sz="4" w:space="0" w:color="auto"/>
              <w:bottom w:val="nil"/>
            </w:tcBorders>
            <w:vAlign w:val="bottom"/>
          </w:tcPr>
          <w:p w:rsidR="00000000" w:rsidRDefault="00000000">
            <w:pPr>
              <w:tabs>
                <w:tab w:val="clear" w:pos="567"/>
                <w:tab w:val="clear" w:pos="1134"/>
                <w:tab w:val="clear" w:pos="1701"/>
                <w:tab w:val="clear" w:pos="2268"/>
              </w:tabs>
              <w:ind w:right="179"/>
              <w:jc w:val="right"/>
            </w:pPr>
          </w:p>
        </w:tc>
        <w:tc>
          <w:tcPr>
            <w:tcW w:w="1390" w:type="dxa"/>
            <w:tcBorders>
              <w:top w:val="single" w:sz="4" w:space="0" w:color="auto"/>
              <w:bottom w:val="nil"/>
            </w:tcBorders>
            <w:vAlign w:val="bottom"/>
          </w:tcPr>
          <w:p w:rsidR="00000000" w:rsidRDefault="00000000">
            <w:pPr>
              <w:tabs>
                <w:tab w:val="clear" w:pos="567"/>
                <w:tab w:val="clear" w:pos="1134"/>
              </w:tabs>
              <w:ind w:right="137"/>
              <w:jc w:val="right"/>
            </w:pPr>
          </w:p>
        </w:tc>
        <w:tc>
          <w:tcPr>
            <w:tcW w:w="1259" w:type="dxa"/>
            <w:tcBorders>
              <w:top w:val="single" w:sz="4" w:space="0" w:color="auto"/>
              <w:bottom w:val="nil"/>
            </w:tcBorders>
            <w:vAlign w:val="bottom"/>
          </w:tcPr>
          <w:p w:rsidR="00000000" w:rsidRDefault="00000000">
            <w:pPr>
              <w:tabs>
                <w:tab w:val="clear" w:pos="567"/>
                <w:tab w:val="clear" w:pos="1134"/>
              </w:tabs>
              <w:ind w:right="137"/>
              <w:jc w:val="right"/>
            </w:pPr>
          </w:p>
        </w:tc>
        <w:tc>
          <w:tcPr>
            <w:tcW w:w="770" w:type="dxa"/>
            <w:tcBorders>
              <w:top w:val="single" w:sz="4" w:space="0" w:color="auto"/>
              <w:bottom w:val="nil"/>
            </w:tcBorders>
            <w:vAlign w:val="bottom"/>
          </w:tcPr>
          <w:p w:rsidR="00000000" w:rsidRDefault="00000000">
            <w:pPr>
              <w:jc w:val="right"/>
            </w:pPr>
          </w:p>
        </w:tc>
        <w:tc>
          <w:tcPr>
            <w:tcW w:w="840" w:type="dxa"/>
            <w:tcBorders>
              <w:top w:val="single" w:sz="4" w:space="0" w:color="auto"/>
              <w:bottom w:val="nil"/>
            </w:tcBorders>
            <w:vAlign w:val="bottom"/>
          </w:tcPr>
          <w:p w:rsidR="00000000" w:rsidRDefault="00000000">
            <w:pPr>
              <w:jc w:val="right"/>
            </w:pPr>
          </w:p>
        </w:tc>
        <w:tc>
          <w:tcPr>
            <w:tcW w:w="784" w:type="dxa"/>
            <w:tcBorders>
              <w:top w:val="single" w:sz="4" w:space="0" w:color="auto"/>
              <w:bottom w:val="nil"/>
            </w:tcBorders>
            <w:vAlign w:val="bottom"/>
          </w:tcPr>
          <w:p w:rsidR="00000000" w:rsidRDefault="00000000">
            <w:pPr>
              <w:jc w:val="right"/>
            </w:pPr>
          </w:p>
        </w:tc>
        <w:tc>
          <w:tcPr>
            <w:tcW w:w="756" w:type="dxa"/>
            <w:tcBorders>
              <w:top w:val="single" w:sz="4" w:space="0" w:color="auto"/>
              <w:bottom w:val="nil"/>
            </w:tcBorders>
            <w:vAlign w:val="bottom"/>
          </w:tcPr>
          <w:p w:rsidR="00000000" w:rsidRDefault="00000000">
            <w:pPr>
              <w:jc w:val="right"/>
            </w:pPr>
          </w:p>
        </w:tc>
      </w:tr>
      <w:tr w:rsidR="00000000">
        <w:tblPrEx>
          <w:tblCellMar>
            <w:top w:w="0" w:type="dxa"/>
            <w:bottom w:w="0" w:type="dxa"/>
          </w:tblCellMar>
        </w:tblPrEx>
        <w:trPr>
          <w:trHeight w:val="87"/>
        </w:trPr>
        <w:tc>
          <w:tcPr>
            <w:tcW w:w="2142" w:type="dxa"/>
            <w:tcBorders>
              <w:top w:val="nil"/>
              <w:bottom w:val="nil"/>
            </w:tcBorders>
          </w:tcPr>
          <w:p w:rsidR="00000000" w:rsidRDefault="00000000">
            <w:pPr>
              <w:spacing w:line="240" w:lineRule="auto"/>
              <w:rPr>
                <w:sz w:val="20"/>
              </w:rPr>
            </w:pPr>
            <w:r>
              <w:rPr>
                <w:sz w:val="20"/>
              </w:rPr>
              <w:t>Образование для взрослых</w:t>
            </w:r>
          </w:p>
        </w:tc>
        <w:tc>
          <w:tcPr>
            <w:tcW w:w="1288" w:type="dxa"/>
            <w:tcBorders>
              <w:top w:val="nil"/>
              <w:bottom w:val="nil"/>
            </w:tcBorders>
            <w:vAlign w:val="bottom"/>
          </w:tcPr>
          <w:p w:rsidR="00000000" w:rsidRDefault="00000000">
            <w:pPr>
              <w:tabs>
                <w:tab w:val="clear" w:pos="567"/>
                <w:tab w:val="clear" w:pos="1134"/>
                <w:tab w:val="clear" w:pos="1701"/>
                <w:tab w:val="clear" w:pos="2268"/>
              </w:tabs>
              <w:ind w:right="179"/>
              <w:jc w:val="right"/>
              <w:rPr>
                <w:lang w:val="en-US"/>
              </w:rPr>
            </w:pPr>
            <w:r>
              <w:rPr>
                <w:lang w:val="en-US"/>
              </w:rPr>
              <w:t>35,4</w:t>
            </w:r>
          </w:p>
        </w:tc>
        <w:tc>
          <w:tcPr>
            <w:tcW w:w="1390" w:type="dxa"/>
            <w:tcBorders>
              <w:top w:val="nil"/>
              <w:bottom w:val="nil"/>
            </w:tcBorders>
            <w:vAlign w:val="bottom"/>
          </w:tcPr>
          <w:p w:rsidR="00000000" w:rsidRDefault="00000000">
            <w:pPr>
              <w:tabs>
                <w:tab w:val="clear" w:pos="567"/>
                <w:tab w:val="clear" w:pos="1134"/>
              </w:tabs>
              <w:ind w:right="137"/>
              <w:jc w:val="right"/>
              <w:rPr>
                <w:lang w:val="en-US"/>
              </w:rPr>
            </w:pPr>
            <w:r>
              <w:rPr>
                <w:lang w:val="en-US"/>
              </w:rPr>
              <w:t>64,0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99,3</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0,3</w:t>
            </w:r>
          </w:p>
        </w:tc>
        <w:tc>
          <w:tcPr>
            <w:tcW w:w="784" w:type="dxa"/>
            <w:tcBorders>
              <w:top w:val="nil"/>
              <w:bottom w:val="nil"/>
            </w:tcBorders>
            <w:vAlign w:val="bottom"/>
          </w:tcPr>
          <w:p w:rsidR="00000000" w:rsidRDefault="00000000">
            <w:pPr>
              <w:jc w:val="right"/>
              <w:rPr>
                <w:lang w:val="en-US"/>
              </w:rPr>
            </w:pPr>
            <w:r>
              <w:rPr>
                <w:lang w:val="en-US"/>
              </w:rPr>
              <w:t>1,7</w:t>
            </w:r>
          </w:p>
        </w:tc>
        <w:tc>
          <w:tcPr>
            <w:tcW w:w="756" w:type="dxa"/>
            <w:tcBorders>
              <w:top w:val="nil"/>
              <w:bottom w:val="nil"/>
            </w:tcBorders>
            <w:vAlign w:val="bottom"/>
          </w:tcPr>
          <w:p w:rsidR="00000000" w:rsidRDefault="00000000">
            <w:pPr>
              <w:jc w:val="right"/>
              <w:rPr>
                <w:lang w:val="en-US"/>
              </w:rPr>
            </w:pPr>
            <w:r>
              <w:rPr>
                <w:lang w:val="en-US"/>
              </w:rPr>
              <w:t>0,7</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ПТОЧОП</w:t>
            </w:r>
            <w:proofErr w:type="spellEnd"/>
          </w:p>
        </w:tc>
        <w:tc>
          <w:tcPr>
            <w:tcW w:w="1288" w:type="dxa"/>
            <w:tcBorders>
              <w:top w:val="nil"/>
              <w:bottom w:val="nil"/>
            </w:tcBorders>
            <w:vAlign w:val="bottom"/>
          </w:tcPr>
          <w:p w:rsidR="00000000" w:rsidRDefault="00000000">
            <w:pPr>
              <w:ind w:right="179"/>
              <w:jc w:val="right"/>
              <w:rPr>
                <w:lang w:val="en-US"/>
              </w:rPr>
            </w:pPr>
            <w:r>
              <w:rPr>
                <w:lang w:val="en-US"/>
              </w:rPr>
              <w:t>100,2</w:t>
            </w:r>
          </w:p>
        </w:tc>
        <w:tc>
          <w:tcPr>
            <w:tcW w:w="1390" w:type="dxa"/>
            <w:tcBorders>
              <w:top w:val="nil"/>
              <w:bottom w:val="nil"/>
            </w:tcBorders>
            <w:vAlign w:val="bottom"/>
          </w:tcPr>
          <w:p w:rsidR="00000000" w:rsidRDefault="00000000">
            <w:pPr>
              <w:tabs>
                <w:tab w:val="clear" w:pos="1134"/>
                <w:tab w:val="left" w:pos="1208"/>
              </w:tabs>
              <w:ind w:right="158"/>
              <w:jc w:val="right"/>
              <w:rPr>
                <w:lang w:val="en-US"/>
              </w:rPr>
            </w:pPr>
            <w:r>
              <w:rPr>
                <w:lang w:val="en-US"/>
              </w:rPr>
              <w:t>64,4</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164,6</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2,2</w:t>
            </w:r>
          </w:p>
        </w:tc>
        <w:tc>
          <w:tcPr>
            <w:tcW w:w="784" w:type="dxa"/>
            <w:tcBorders>
              <w:top w:val="nil"/>
              <w:bottom w:val="nil"/>
            </w:tcBorders>
            <w:vAlign w:val="bottom"/>
          </w:tcPr>
          <w:p w:rsidR="00000000" w:rsidRDefault="00000000">
            <w:pPr>
              <w:jc w:val="right"/>
              <w:rPr>
                <w:lang w:val="en-US"/>
              </w:rPr>
            </w:pPr>
            <w:r>
              <w:rPr>
                <w:lang w:val="en-US"/>
              </w:rPr>
              <w:t>4,8</w:t>
            </w:r>
          </w:p>
        </w:tc>
        <w:tc>
          <w:tcPr>
            <w:tcW w:w="756" w:type="dxa"/>
            <w:tcBorders>
              <w:top w:val="nil"/>
              <w:bottom w:val="nil"/>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ПТПБОП</w:t>
            </w:r>
            <w:proofErr w:type="spellEnd"/>
          </w:p>
        </w:tc>
        <w:tc>
          <w:tcPr>
            <w:tcW w:w="1288" w:type="dxa"/>
            <w:tcBorders>
              <w:top w:val="nil"/>
              <w:bottom w:val="nil"/>
            </w:tcBorders>
            <w:vAlign w:val="bottom"/>
          </w:tcPr>
          <w:p w:rsidR="00000000" w:rsidRDefault="00000000">
            <w:pPr>
              <w:ind w:right="179"/>
              <w:jc w:val="right"/>
              <w:rPr>
                <w:lang w:val="en-US"/>
              </w:rPr>
            </w:pPr>
            <w:r>
              <w:rPr>
                <w:lang w:val="en-US"/>
              </w:rPr>
              <w:t>11,6</w:t>
            </w:r>
          </w:p>
        </w:tc>
        <w:tc>
          <w:tcPr>
            <w:tcW w:w="1390" w:type="dxa"/>
            <w:tcBorders>
              <w:top w:val="nil"/>
              <w:bottom w:val="nil"/>
            </w:tcBorders>
            <w:vAlign w:val="bottom"/>
          </w:tcPr>
          <w:p w:rsidR="00000000" w:rsidRDefault="00000000">
            <w:pPr>
              <w:tabs>
                <w:tab w:val="clear" w:pos="1134"/>
                <w:tab w:val="left" w:pos="1208"/>
              </w:tabs>
              <w:ind w:right="158"/>
              <w:jc w:val="right"/>
              <w:rPr>
                <w:lang w:val="en-US"/>
              </w:rPr>
            </w:pPr>
            <w:r>
              <w:rPr>
                <w:lang w:val="en-US"/>
              </w:rPr>
              <w:t>14,0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25,5</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0,2</w:t>
            </w:r>
          </w:p>
        </w:tc>
        <w:tc>
          <w:tcPr>
            <w:tcW w:w="784" w:type="dxa"/>
            <w:tcBorders>
              <w:top w:val="nil"/>
              <w:bottom w:val="nil"/>
            </w:tcBorders>
            <w:vAlign w:val="bottom"/>
          </w:tcPr>
          <w:p w:rsidR="00000000" w:rsidRDefault="00000000">
            <w:pPr>
              <w:jc w:val="right"/>
              <w:rPr>
                <w:lang w:val="en-US"/>
              </w:rPr>
            </w:pPr>
            <w:r>
              <w:rPr>
                <w:lang w:val="en-US"/>
              </w:rPr>
              <w:t>0,4</w:t>
            </w:r>
          </w:p>
        </w:tc>
        <w:tc>
          <w:tcPr>
            <w:tcW w:w="756" w:type="dxa"/>
            <w:tcBorders>
              <w:top w:val="nil"/>
              <w:bottom w:val="nil"/>
            </w:tcBorders>
            <w:vAlign w:val="bottom"/>
          </w:tcPr>
          <w:p w:rsidR="00000000" w:rsidRDefault="00000000">
            <w:pPr>
              <w:jc w:val="right"/>
              <w:rPr>
                <w:lang w:val="en-US"/>
              </w:rPr>
            </w:pPr>
            <w:r>
              <w:rPr>
                <w:lang w:val="en-US"/>
              </w:rPr>
              <w:t>0,2</w:t>
            </w:r>
          </w:p>
        </w:tc>
      </w:tr>
      <w:tr w:rsidR="00000000">
        <w:tblPrEx>
          <w:tblCellMar>
            <w:top w:w="0" w:type="dxa"/>
            <w:bottom w:w="0" w:type="dxa"/>
          </w:tblCellMar>
        </w:tblPrEx>
        <w:trPr>
          <w:trHeight w:val="87"/>
        </w:trPr>
        <w:tc>
          <w:tcPr>
            <w:tcW w:w="2142" w:type="dxa"/>
            <w:tcBorders>
              <w:top w:val="nil"/>
              <w:bottom w:val="single" w:sz="4" w:space="0" w:color="auto"/>
            </w:tcBorders>
          </w:tcPr>
          <w:p w:rsidR="00000000" w:rsidRDefault="00000000">
            <w:proofErr w:type="spellStart"/>
            <w:r>
              <w:t>ВПОБОП</w:t>
            </w:r>
            <w:proofErr w:type="spellEnd"/>
          </w:p>
        </w:tc>
        <w:tc>
          <w:tcPr>
            <w:tcW w:w="1288" w:type="dxa"/>
            <w:tcBorders>
              <w:top w:val="nil"/>
              <w:bottom w:val="single" w:sz="4" w:space="0" w:color="auto"/>
            </w:tcBorders>
            <w:vAlign w:val="bottom"/>
          </w:tcPr>
          <w:p w:rsidR="00000000" w:rsidRDefault="00000000">
            <w:pPr>
              <w:ind w:right="179"/>
              <w:jc w:val="right"/>
              <w:rPr>
                <w:lang w:val="en-US"/>
              </w:rPr>
            </w:pPr>
            <w:r>
              <w:rPr>
                <w:lang w:val="en-US"/>
              </w:rPr>
              <w:t>28,1</w:t>
            </w:r>
          </w:p>
        </w:tc>
        <w:tc>
          <w:tcPr>
            <w:tcW w:w="1390" w:type="dxa"/>
            <w:tcBorders>
              <w:top w:val="nil"/>
              <w:bottom w:val="single" w:sz="4" w:space="0" w:color="auto"/>
            </w:tcBorders>
            <w:vAlign w:val="bottom"/>
          </w:tcPr>
          <w:p w:rsidR="00000000" w:rsidRDefault="00000000">
            <w:pPr>
              <w:tabs>
                <w:tab w:val="clear" w:pos="1134"/>
                <w:tab w:val="left" w:pos="1208"/>
              </w:tabs>
              <w:ind w:right="158"/>
              <w:jc w:val="right"/>
              <w:rPr>
                <w:lang w:val="en-US"/>
              </w:rPr>
            </w:pPr>
            <w:r>
              <w:rPr>
                <w:lang w:val="en-US"/>
              </w:rPr>
              <w:t>36,5</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64,6</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0,9</w:t>
            </w:r>
          </w:p>
        </w:tc>
        <w:tc>
          <w:tcPr>
            <w:tcW w:w="756" w:type="dxa"/>
            <w:tcBorders>
              <w:top w:val="nil"/>
              <w:bottom w:val="single" w:sz="4" w:space="0" w:color="auto"/>
            </w:tcBorders>
            <w:vAlign w:val="bottom"/>
          </w:tcPr>
          <w:p w:rsidR="00000000" w:rsidRDefault="00000000">
            <w:pPr>
              <w:jc w:val="right"/>
              <w:rPr>
                <w:lang w:val="en-US"/>
              </w:rPr>
            </w:pPr>
            <w:r>
              <w:rPr>
                <w:lang w:val="en-US"/>
              </w:rPr>
              <w:t>0,6</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tcPr>
          <w:p w:rsidR="00000000" w:rsidRDefault="00000000">
            <w:pPr>
              <w:pStyle w:val="Header"/>
              <w:tabs>
                <w:tab w:val="left" w:pos="266"/>
              </w:tabs>
              <w:spacing w:line="240" w:lineRule="auto"/>
              <w:ind w:left="266" w:hanging="266"/>
              <w:rPr>
                <w:sz w:val="20"/>
              </w:rPr>
            </w:pPr>
            <w:r>
              <w:rPr>
                <w:sz w:val="20"/>
              </w:rPr>
              <w:tab/>
              <w:t>Всего учащихся в системе образования без отрыва от производства</w:t>
            </w:r>
          </w:p>
        </w:tc>
        <w:tc>
          <w:tcPr>
            <w:tcW w:w="1288" w:type="dxa"/>
            <w:tcBorders>
              <w:top w:val="single" w:sz="4" w:space="0" w:color="auto"/>
              <w:bottom w:val="single" w:sz="4" w:space="0" w:color="auto"/>
            </w:tcBorders>
            <w:vAlign w:val="bottom"/>
          </w:tcPr>
          <w:p w:rsidR="00000000" w:rsidRDefault="00000000">
            <w:pPr>
              <w:ind w:right="179"/>
              <w:jc w:val="right"/>
            </w:pPr>
            <w:r>
              <w:t>175,3</w:t>
            </w:r>
          </w:p>
        </w:tc>
        <w:tc>
          <w:tcPr>
            <w:tcW w:w="1390" w:type="dxa"/>
            <w:tcBorders>
              <w:top w:val="single" w:sz="4" w:space="0" w:color="auto"/>
              <w:bottom w:val="single" w:sz="4" w:space="0" w:color="auto"/>
            </w:tcBorders>
            <w:vAlign w:val="bottom"/>
          </w:tcPr>
          <w:p w:rsidR="00000000" w:rsidRDefault="00000000">
            <w:pPr>
              <w:tabs>
                <w:tab w:val="clear" w:pos="1134"/>
              </w:tabs>
              <w:ind w:right="128"/>
              <w:jc w:val="right"/>
              <w:rPr>
                <w:lang w:val="en-US"/>
              </w:rPr>
            </w:pPr>
            <w:r>
              <w:rPr>
                <w:lang w:val="en-US"/>
              </w:rPr>
              <w:t>178,8</w:t>
            </w:r>
          </w:p>
        </w:tc>
        <w:tc>
          <w:tcPr>
            <w:tcW w:w="1259"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354,1</w:t>
            </w:r>
          </w:p>
        </w:tc>
        <w:tc>
          <w:tcPr>
            <w:tcW w:w="770" w:type="dxa"/>
            <w:tcBorders>
              <w:top w:val="single" w:sz="4" w:space="0" w:color="auto"/>
              <w:bottom w:val="single" w:sz="4" w:space="0" w:color="auto"/>
            </w:tcBorders>
            <w:vAlign w:val="bottom"/>
          </w:tcPr>
          <w:p w:rsidR="00000000" w:rsidRDefault="00000000">
            <w:pPr>
              <w:jc w:val="right"/>
              <w:rPr>
                <w:lang w:val="en-US"/>
              </w:rPr>
            </w:pPr>
            <w:r>
              <w:rPr>
                <w:lang w:val="en-US"/>
              </w:rPr>
              <w:t>0,0</w:t>
            </w:r>
          </w:p>
        </w:tc>
        <w:tc>
          <w:tcPr>
            <w:tcW w:w="840" w:type="dxa"/>
            <w:tcBorders>
              <w:top w:val="single" w:sz="4" w:space="0" w:color="auto"/>
              <w:bottom w:val="single" w:sz="4" w:space="0" w:color="auto"/>
            </w:tcBorders>
            <w:vAlign w:val="bottom"/>
          </w:tcPr>
          <w:p w:rsidR="00000000" w:rsidRDefault="00000000">
            <w:pPr>
              <w:jc w:val="right"/>
              <w:rPr>
                <w:lang w:val="en-US"/>
              </w:rPr>
            </w:pPr>
            <w:r>
              <w:rPr>
                <w:lang w:val="en-US"/>
              </w:rPr>
              <w:t>2,7</w:t>
            </w:r>
          </w:p>
        </w:tc>
        <w:tc>
          <w:tcPr>
            <w:tcW w:w="784" w:type="dxa"/>
            <w:tcBorders>
              <w:top w:val="single" w:sz="4" w:space="0" w:color="auto"/>
              <w:bottom w:val="single" w:sz="4" w:space="0" w:color="auto"/>
            </w:tcBorders>
            <w:vAlign w:val="bottom"/>
          </w:tcPr>
          <w:p w:rsidR="00000000" w:rsidRDefault="00000000">
            <w:pPr>
              <w:jc w:val="right"/>
              <w:rPr>
                <w:lang w:val="en-US"/>
              </w:rPr>
            </w:pPr>
            <w:r>
              <w:rPr>
                <w:lang w:val="en-US"/>
              </w:rPr>
              <w:t>7,8</w:t>
            </w:r>
          </w:p>
        </w:tc>
        <w:tc>
          <w:tcPr>
            <w:tcW w:w="756" w:type="dxa"/>
            <w:tcBorders>
              <w:top w:val="single" w:sz="4" w:space="0" w:color="auto"/>
              <w:bottom w:val="single" w:sz="4" w:space="0" w:color="auto"/>
            </w:tcBorders>
            <w:vAlign w:val="bottom"/>
          </w:tcPr>
          <w:p w:rsidR="00000000" w:rsidRDefault="00000000">
            <w:pPr>
              <w:jc w:val="right"/>
              <w:rPr>
                <w:lang w:val="en-US"/>
              </w:rPr>
            </w:pPr>
            <w:r>
              <w:rPr>
                <w:lang w:val="en-US"/>
              </w:rPr>
              <w:t>2,0</w:t>
            </w:r>
          </w:p>
        </w:tc>
      </w:tr>
      <w:tr w:rsidR="00000000">
        <w:tblPrEx>
          <w:tblCellMar>
            <w:top w:w="0" w:type="dxa"/>
            <w:bottom w:w="0" w:type="dxa"/>
          </w:tblCellMar>
        </w:tblPrEx>
        <w:trPr>
          <w:trHeight w:val="87"/>
        </w:trPr>
        <w:tc>
          <w:tcPr>
            <w:tcW w:w="2142" w:type="dxa"/>
            <w:tcBorders>
              <w:top w:val="single" w:sz="4" w:space="0" w:color="auto"/>
              <w:bottom w:val="nil"/>
            </w:tcBorders>
            <w:vAlign w:val="bottom"/>
          </w:tcPr>
          <w:p w:rsidR="00000000" w:rsidRDefault="00000000">
            <w:pPr>
              <w:pStyle w:val="Header"/>
              <w:rPr>
                <w:b/>
                <w:lang w:val="en-US"/>
              </w:rPr>
            </w:pPr>
            <w:r>
              <w:rPr>
                <w:b/>
                <w:lang w:val="en-US"/>
              </w:rPr>
              <w:t>2003</w:t>
            </w:r>
          </w:p>
        </w:tc>
        <w:tc>
          <w:tcPr>
            <w:tcW w:w="1288" w:type="dxa"/>
            <w:tcBorders>
              <w:top w:val="single" w:sz="4" w:space="0" w:color="auto"/>
              <w:bottom w:val="nil"/>
            </w:tcBorders>
            <w:vAlign w:val="bottom"/>
          </w:tcPr>
          <w:p w:rsidR="00000000" w:rsidRDefault="00000000">
            <w:pPr>
              <w:ind w:right="179"/>
              <w:jc w:val="right"/>
              <w:rPr>
                <w:lang w:val="en-US"/>
              </w:rPr>
            </w:pPr>
          </w:p>
        </w:tc>
        <w:tc>
          <w:tcPr>
            <w:tcW w:w="1390" w:type="dxa"/>
            <w:tcBorders>
              <w:top w:val="single" w:sz="4" w:space="0" w:color="auto"/>
              <w:bottom w:val="nil"/>
            </w:tcBorders>
            <w:vAlign w:val="bottom"/>
          </w:tcPr>
          <w:p w:rsidR="00000000" w:rsidRDefault="00000000">
            <w:pPr>
              <w:tabs>
                <w:tab w:val="clear" w:pos="1134"/>
              </w:tabs>
              <w:ind w:right="128"/>
              <w:jc w:val="right"/>
              <w:rPr>
                <w:lang w:val="en-US"/>
              </w:rPr>
            </w:pPr>
          </w:p>
        </w:tc>
        <w:tc>
          <w:tcPr>
            <w:tcW w:w="1259" w:type="dxa"/>
            <w:tcBorders>
              <w:top w:val="single" w:sz="4" w:space="0" w:color="auto"/>
              <w:bottom w:val="nil"/>
            </w:tcBorders>
            <w:vAlign w:val="bottom"/>
          </w:tcPr>
          <w:p w:rsidR="00000000" w:rsidRDefault="00000000">
            <w:pPr>
              <w:tabs>
                <w:tab w:val="clear" w:pos="567"/>
                <w:tab w:val="clear" w:pos="1134"/>
              </w:tabs>
              <w:ind w:right="137"/>
              <w:jc w:val="right"/>
              <w:rPr>
                <w:lang w:val="en-US"/>
              </w:rPr>
            </w:pPr>
          </w:p>
        </w:tc>
        <w:tc>
          <w:tcPr>
            <w:tcW w:w="770" w:type="dxa"/>
            <w:tcBorders>
              <w:top w:val="single" w:sz="4" w:space="0" w:color="auto"/>
              <w:bottom w:val="nil"/>
            </w:tcBorders>
            <w:vAlign w:val="bottom"/>
          </w:tcPr>
          <w:p w:rsidR="00000000" w:rsidRDefault="00000000">
            <w:pPr>
              <w:jc w:val="right"/>
              <w:rPr>
                <w:lang w:val="en-US"/>
              </w:rPr>
            </w:pPr>
          </w:p>
        </w:tc>
        <w:tc>
          <w:tcPr>
            <w:tcW w:w="840" w:type="dxa"/>
            <w:tcBorders>
              <w:top w:val="single" w:sz="4" w:space="0" w:color="auto"/>
              <w:bottom w:val="nil"/>
            </w:tcBorders>
            <w:vAlign w:val="bottom"/>
          </w:tcPr>
          <w:p w:rsidR="00000000" w:rsidRDefault="00000000">
            <w:pPr>
              <w:jc w:val="right"/>
              <w:rPr>
                <w:lang w:val="en-US"/>
              </w:rPr>
            </w:pPr>
          </w:p>
        </w:tc>
        <w:tc>
          <w:tcPr>
            <w:tcW w:w="784" w:type="dxa"/>
            <w:tcBorders>
              <w:top w:val="single" w:sz="4" w:space="0" w:color="auto"/>
              <w:bottom w:val="nil"/>
            </w:tcBorders>
            <w:vAlign w:val="bottom"/>
          </w:tcPr>
          <w:p w:rsidR="00000000" w:rsidRDefault="00000000">
            <w:pPr>
              <w:jc w:val="right"/>
              <w:rPr>
                <w:lang w:val="en-US"/>
              </w:rPr>
            </w:pPr>
          </w:p>
        </w:tc>
        <w:tc>
          <w:tcPr>
            <w:tcW w:w="756" w:type="dxa"/>
            <w:tcBorders>
              <w:top w:val="single" w:sz="4" w:space="0" w:color="auto"/>
              <w:bottom w:val="nil"/>
            </w:tcBorders>
            <w:vAlign w:val="bottom"/>
          </w:tcPr>
          <w:p w:rsidR="00000000" w:rsidRDefault="00000000">
            <w:pPr>
              <w:jc w:val="right"/>
              <w:rPr>
                <w:lang w:val="en-US"/>
              </w:rPr>
            </w:pPr>
          </w:p>
        </w:tc>
      </w:tr>
      <w:tr w:rsidR="00000000">
        <w:tblPrEx>
          <w:tblCellMar>
            <w:top w:w="0" w:type="dxa"/>
            <w:bottom w:w="0" w:type="dxa"/>
          </w:tblCellMar>
        </w:tblPrEx>
        <w:trPr>
          <w:trHeight w:val="87"/>
        </w:trPr>
        <w:tc>
          <w:tcPr>
            <w:tcW w:w="2142" w:type="dxa"/>
            <w:tcBorders>
              <w:top w:val="nil"/>
              <w:bottom w:val="nil"/>
            </w:tcBorders>
          </w:tcPr>
          <w:p w:rsidR="00000000" w:rsidRDefault="00000000">
            <w:pPr>
              <w:pStyle w:val="Header"/>
              <w:spacing w:line="240" w:lineRule="auto"/>
              <w:rPr>
                <w:sz w:val="20"/>
              </w:rPr>
            </w:pPr>
            <w:r>
              <w:rPr>
                <w:sz w:val="20"/>
              </w:rPr>
              <w:t>Образование с отрывом от производства</w:t>
            </w:r>
          </w:p>
        </w:tc>
        <w:tc>
          <w:tcPr>
            <w:tcW w:w="1288" w:type="dxa"/>
            <w:tcBorders>
              <w:top w:val="nil"/>
              <w:bottom w:val="nil"/>
            </w:tcBorders>
            <w:vAlign w:val="bottom"/>
          </w:tcPr>
          <w:p w:rsidR="00000000" w:rsidRDefault="00000000">
            <w:pPr>
              <w:ind w:right="179"/>
              <w:jc w:val="right"/>
            </w:pPr>
          </w:p>
        </w:tc>
        <w:tc>
          <w:tcPr>
            <w:tcW w:w="1390" w:type="dxa"/>
            <w:tcBorders>
              <w:top w:val="nil"/>
              <w:bottom w:val="nil"/>
            </w:tcBorders>
            <w:vAlign w:val="bottom"/>
          </w:tcPr>
          <w:p w:rsidR="00000000" w:rsidRDefault="00000000">
            <w:pPr>
              <w:tabs>
                <w:tab w:val="clear" w:pos="1134"/>
              </w:tabs>
              <w:ind w:right="128"/>
              <w:jc w:val="right"/>
            </w:pPr>
          </w:p>
        </w:tc>
        <w:tc>
          <w:tcPr>
            <w:tcW w:w="1259" w:type="dxa"/>
            <w:tcBorders>
              <w:top w:val="nil"/>
              <w:bottom w:val="nil"/>
            </w:tcBorders>
            <w:vAlign w:val="bottom"/>
          </w:tcPr>
          <w:p w:rsidR="00000000" w:rsidRDefault="00000000">
            <w:pPr>
              <w:tabs>
                <w:tab w:val="clear" w:pos="567"/>
                <w:tab w:val="clear" w:pos="1134"/>
              </w:tabs>
              <w:ind w:right="137"/>
              <w:jc w:val="right"/>
            </w:pPr>
          </w:p>
        </w:tc>
        <w:tc>
          <w:tcPr>
            <w:tcW w:w="770" w:type="dxa"/>
            <w:tcBorders>
              <w:top w:val="nil"/>
              <w:bottom w:val="nil"/>
            </w:tcBorders>
            <w:vAlign w:val="bottom"/>
          </w:tcPr>
          <w:p w:rsidR="00000000" w:rsidRDefault="00000000">
            <w:pPr>
              <w:jc w:val="right"/>
            </w:pPr>
          </w:p>
        </w:tc>
        <w:tc>
          <w:tcPr>
            <w:tcW w:w="840" w:type="dxa"/>
            <w:tcBorders>
              <w:top w:val="nil"/>
              <w:bottom w:val="nil"/>
            </w:tcBorders>
            <w:vAlign w:val="bottom"/>
          </w:tcPr>
          <w:p w:rsidR="00000000" w:rsidRDefault="00000000">
            <w:pPr>
              <w:jc w:val="right"/>
            </w:pPr>
          </w:p>
        </w:tc>
        <w:tc>
          <w:tcPr>
            <w:tcW w:w="784" w:type="dxa"/>
            <w:tcBorders>
              <w:top w:val="nil"/>
              <w:bottom w:val="nil"/>
            </w:tcBorders>
            <w:vAlign w:val="bottom"/>
          </w:tcPr>
          <w:p w:rsidR="00000000" w:rsidRDefault="00000000">
            <w:pPr>
              <w:jc w:val="right"/>
            </w:pPr>
          </w:p>
        </w:tc>
        <w:tc>
          <w:tcPr>
            <w:tcW w:w="756" w:type="dxa"/>
            <w:tcBorders>
              <w:top w:val="nil"/>
              <w:bottom w:val="nil"/>
            </w:tcBorders>
            <w:vAlign w:val="bottom"/>
          </w:tcPr>
          <w:p w:rsidR="00000000" w:rsidRDefault="00000000">
            <w:pPr>
              <w:jc w:val="right"/>
            </w:pPr>
          </w:p>
        </w:tc>
      </w:tr>
      <w:tr w:rsidR="00000000">
        <w:tblPrEx>
          <w:tblCellMar>
            <w:top w:w="0" w:type="dxa"/>
            <w:bottom w:w="0" w:type="dxa"/>
          </w:tblCellMar>
        </w:tblPrEx>
        <w:trPr>
          <w:trHeight w:val="87"/>
        </w:trPr>
        <w:tc>
          <w:tcPr>
            <w:tcW w:w="2142" w:type="dxa"/>
            <w:tcBorders>
              <w:top w:val="nil"/>
              <w:bottom w:val="nil"/>
            </w:tcBorders>
          </w:tcPr>
          <w:p w:rsidR="00000000" w:rsidRDefault="00000000">
            <w:r>
              <w:t>ОНО</w:t>
            </w:r>
          </w:p>
        </w:tc>
        <w:tc>
          <w:tcPr>
            <w:tcW w:w="1288" w:type="dxa"/>
            <w:tcBorders>
              <w:top w:val="nil"/>
              <w:bottom w:val="nil"/>
            </w:tcBorders>
            <w:vAlign w:val="bottom"/>
          </w:tcPr>
          <w:p w:rsidR="00000000" w:rsidRDefault="00000000">
            <w:pPr>
              <w:ind w:right="179"/>
              <w:jc w:val="right"/>
              <w:rPr>
                <w:lang w:val="en-US"/>
              </w:rPr>
            </w:pPr>
            <w:r>
              <w:rPr>
                <w:lang w:val="en-US"/>
              </w:rPr>
              <w:t>788,0</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759,7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1 547,6</w:t>
            </w:r>
          </w:p>
        </w:tc>
        <w:tc>
          <w:tcPr>
            <w:tcW w:w="770" w:type="dxa"/>
            <w:tcBorders>
              <w:top w:val="nil"/>
              <w:bottom w:val="nil"/>
            </w:tcBorders>
            <w:vAlign w:val="bottom"/>
          </w:tcPr>
          <w:p w:rsidR="00000000" w:rsidRDefault="00000000">
            <w:pPr>
              <w:jc w:val="right"/>
              <w:rPr>
                <w:lang w:val="en-US"/>
              </w:rPr>
            </w:pPr>
            <w:r>
              <w:rPr>
                <w:lang w:val="en-US"/>
              </w:rPr>
              <w:t>92,1</w:t>
            </w:r>
          </w:p>
        </w:tc>
        <w:tc>
          <w:tcPr>
            <w:tcW w:w="840" w:type="dxa"/>
            <w:tcBorders>
              <w:top w:val="nil"/>
              <w:bottom w:val="nil"/>
            </w:tcBorders>
            <w:vAlign w:val="bottom"/>
          </w:tcPr>
          <w:p w:rsidR="00000000" w:rsidRDefault="00000000">
            <w:pPr>
              <w:jc w:val="right"/>
              <w:rPr>
                <w:lang w:val="en-US"/>
              </w:rPr>
            </w:pPr>
            <w:r>
              <w:rPr>
                <w:lang w:val="en-US"/>
              </w:rPr>
              <w:t>6,8</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СНО</w:t>
            </w:r>
            <w:proofErr w:type="spellEnd"/>
          </w:p>
        </w:tc>
        <w:tc>
          <w:tcPr>
            <w:tcW w:w="1288" w:type="dxa"/>
            <w:tcBorders>
              <w:top w:val="nil"/>
              <w:bottom w:val="nil"/>
            </w:tcBorders>
            <w:vAlign w:val="bottom"/>
          </w:tcPr>
          <w:p w:rsidR="00000000" w:rsidRDefault="00000000">
            <w:pPr>
              <w:ind w:right="179"/>
              <w:jc w:val="right"/>
              <w:rPr>
                <w:lang w:val="en-US"/>
              </w:rPr>
            </w:pPr>
            <w:r>
              <w:rPr>
                <w:lang w:val="en-US"/>
              </w:rPr>
              <w:t>34,5</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17,0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51,5</w:t>
            </w:r>
          </w:p>
        </w:tc>
        <w:tc>
          <w:tcPr>
            <w:tcW w:w="770" w:type="dxa"/>
            <w:tcBorders>
              <w:top w:val="nil"/>
              <w:bottom w:val="nil"/>
            </w:tcBorders>
            <w:vAlign w:val="bottom"/>
          </w:tcPr>
          <w:p w:rsidR="00000000" w:rsidRDefault="00000000">
            <w:pPr>
              <w:jc w:val="right"/>
              <w:rPr>
                <w:lang w:val="en-US"/>
              </w:rPr>
            </w:pPr>
            <w:r>
              <w:rPr>
                <w:lang w:val="en-US"/>
              </w:rPr>
              <w:t>2,6</w:t>
            </w:r>
          </w:p>
        </w:tc>
        <w:tc>
          <w:tcPr>
            <w:tcW w:w="840" w:type="dxa"/>
            <w:tcBorders>
              <w:top w:val="nil"/>
              <w:bottom w:val="nil"/>
            </w:tcBorders>
            <w:vAlign w:val="bottom"/>
          </w:tcPr>
          <w:p w:rsidR="00000000" w:rsidRDefault="00000000">
            <w:pPr>
              <w:jc w:val="right"/>
              <w:rPr>
                <w:lang w:val="en-US"/>
              </w:rPr>
            </w:pPr>
            <w:r>
              <w:rPr>
                <w:lang w:val="en-US"/>
              </w:rPr>
              <w:t>0,8</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НССО</w:t>
            </w:r>
            <w:proofErr w:type="spellEnd"/>
          </w:p>
        </w:tc>
        <w:tc>
          <w:tcPr>
            <w:tcW w:w="1288" w:type="dxa"/>
            <w:tcBorders>
              <w:top w:val="nil"/>
              <w:bottom w:val="nil"/>
            </w:tcBorders>
            <w:vAlign w:val="bottom"/>
          </w:tcPr>
          <w:p w:rsidR="00000000" w:rsidRDefault="00000000">
            <w:pPr>
              <w:ind w:right="179"/>
              <w:jc w:val="right"/>
              <w:rPr>
                <w:lang w:val="en-US"/>
              </w:rPr>
            </w:pPr>
            <w:r>
              <w:rPr>
                <w:lang w:val="en-US"/>
              </w:rPr>
              <w:t>37,6</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16,4</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54,1</w:t>
            </w:r>
          </w:p>
        </w:tc>
        <w:tc>
          <w:tcPr>
            <w:tcW w:w="770" w:type="dxa"/>
            <w:tcBorders>
              <w:top w:val="nil"/>
              <w:bottom w:val="nil"/>
            </w:tcBorders>
            <w:vAlign w:val="bottom"/>
          </w:tcPr>
          <w:p w:rsidR="00000000" w:rsidRDefault="00000000">
            <w:pPr>
              <w:jc w:val="right"/>
              <w:rPr>
                <w:lang w:val="en-US"/>
              </w:rPr>
            </w:pPr>
            <w:r>
              <w:rPr>
                <w:lang w:val="en-US"/>
              </w:rPr>
              <w:t>1,7</w:t>
            </w:r>
          </w:p>
        </w:tc>
        <w:tc>
          <w:tcPr>
            <w:tcW w:w="840" w:type="dxa"/>
            <w:tcBorders>
              <w:top w:val="nil"/>
              <w:bottom w:val="nil"/>
            </w:tcBorders>
            <w:vAlign w:val="bottom"/>
          </w:tcPr>
          <w:p w:rsidR="00000000" w:rsidRDefault="00000000">
            <w:pPr>
              <w:jc w:val="right"/>
              <w:rPr>
                <w:lang w:val="en-US"/>
              </w:rPr>
            </w:pPr>
            <w:r>
              <w:rPr>
                <w:lang w:val="en-US"/>
              </w:rPr>
              <w:t>2,0</w:t>
            </w:r>
          </w:p>
        </w:tc>
        <w:tc>
          <w:tcPr>
            <w:tcW w:w="784" w:type="dxa"/>
            <w:tcBorders>
              <w:top w:val="nil"/>
              <w:bottom w:val="nil"/>
            </w:tcBorders>
            <w:vAlign w:val="bottom"/>
          </w:tcPr>
          <w:p w:rsidR="00000000" w:rsidRDefault="00000000">
            <w:pPr>
              <w:jc w:val="right"/>
              <w:rPr>
                <w:lang w:val="en-US"/>
              </w:rPr>
            </w:pPr>
            <w:r>
              <w:rPr>
                <w:lang w:val="en-US"/>
              </w:rPr>
              <w:t>0,1</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Pr>
              <w:rPr>
                <w:lang w:val="en-US"/>
              </w:rPr>
            </w:pPr>
            <w:proofErr w:type="spellStart"/>
            <w:r>
              <w:t>ПГ</w:t>
            </w:r>
            <w:proofErr w:type="spellEnd"/>
            <w:r>
              <w:t xml:space="preserve"> </w:t>
            </w:r>
            <w:r>
              <w:rPr>
                <w:lang w:val="en-US"/>
              </w:rPr>
              <w:t>1</w:t>
            </w:r>
            <w:r>
              <w:rPr>
                <w:lang w:val="en-US"/>
              </w:rPr>
              <w:noBreakHyphen/>
              <w:t>3</w:t>
            </w:r>
          </w:p>
        </w:tc>
        <w:tc>
          <w:tcPr>
            <w:tcW w:w="1288" w:type="dxa"/>
            <w:tcBorders>
              <w:top w:val="nil"/>
              <w:bottom w:val="nil"/>
            </w:tcBorders>
            <w:vAlign w:val="bottom"/>
          </w:tcPr>
          <w:p w:rsidR="00000000" w:rsidRDefault="00000000">
            <w:pPr>
              <w:ind w:right="179"/>
              <w:jc w:val="right"/>
              <w:rPr>
                <w:lang w:val="en-US"/>
              </w:rPr>
            </w:pPr>
            <w:r>
              <w:rPr>
                <w:lang w:val="en-US"/>
              </w:rPr>
              <w:t>206,9</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200,5</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407,4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34,0</w:t>
            </w:r>
          </w:p>
        </w:tc>
        <w:tc>
          <w:tcPr>
            <w:tcW w:w="784" w:type="dxa"/>
            <w:tcBorders>
              <w:top w:val="nil"/>
              <w:bottom w:val="nil"/>
            </w:tcBorders>
            <w:vAlign w:val="bottom"/>
          </w:tcPr>
          <w:p w:rsidR="00000000" w:rsidRDefault="00000000">
            <w:pPr>
              <w:jc w:val="right"/>
              <w:rPr>
                <w:lang w:val="en-US"/>
              </w:rPr>
            </w:pPr>
            <w:r>
              <w:rPr>
                <w:lang w:val="en-US"/>
              </w:rPr>
              <w:t>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СОТУ</w:t>
            </w:r>
            <w:proofErr w:type="spellEnd"/>
          </w:p>
        </w:tc>
        <w:tc>
          <w:tcPr>
            <w:tcW w:w="1288" w:type="dxa"/>
            <w:tcBorders>
              <w:top w:val="nil"/>
              <w:bottom w:val="nil"/>
            </w:tcBorders>
            <w:vAlign w:val="bottom"/>
          </w:tcPr>
          <w:p w:rsidR="00000000" w:rsidRDefault="00000000">
            <w:pPr>
              <w:ind w:right="179"/>
              <w:jc w:val="right"/>
              <w:rPr>
                <w:lang w:val="en-US"/>
              </w:rPr>
            </w:pPr>
            <w:r>
              <w:rPr>
                <w:lang w:val="en-US"/>
              </w:rPr>
              <w:t>135,0</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117,7</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252,6</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21,0</w:t>
            </w:r>
          </w:p>
        </w:tc>
        <w:tc>
          <w:tcPr>
            <w:tcW w:w="784" w:type="dxa"/>
            <w:tcBorders>
              <w:top w:val="nil"/>
              <w:bottom w:val="nil"/>
            </w:tcBorders>
            <w:vAlign w:val="bottom"/>
          </w:tcPr>
          <w:p w:rsidR="00000000" w:rsidRDefault="00000000">
            <w:pPr>
              <w:jc w:val="right"/>
              <w:rPr>
                <w:lang w:val="en-US"/>
              </w:rPr>
            </w:pPr>
            <w:r>
              <w:rPr>
                <w:lang w:val="en-US"/>
              </w:rPr>
              <w:t>0,1</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ОСО</w:t>
            </w:r>
            <w:proofErr w:type="spellEnd"/>
          </w:p>
        </w:tc>
        <w:tc>
          <w:tcPr>
            <w:tcW w:w="1288" w:type="dxa"/>
            <w:tcBorders>
              <w:top w:val="nil"/>
              <w:bottom w:val="nil"/>
            </w:tcBorders>
            <w:vAlign w:val="bottom"/>
          </w:tcPr>
          <w:p w:rsidR="00000000" w:rsidRDefault="00000000">
            <w:pPr>
              <w:ind w:right="179"/>
              <w:jc w:val="right"/>
              <w:rPr>
                <w:lang w:val="en-US"/>
              </w:rPr>
            </w:pPr>
            <w:r>
              <w:rPr>
                <w:lang w:val="en-US"/>
              </w:rPr>
              <w:t>61,8</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66,6</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128,4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10,1</w:t>
            </w:r>
          </w:p>
        </w:tc>
        <w:tc>
          <w:tcPr>
            <w:tcW w:w="784" w:type="dxa"/>
            <w:tcBorders>
              <w:top w:val="nil"/>
              <w:bottom w:val="nil"/>
            </w:tcBorders>
            <w:vAlign w:val="bottom"/>
          </w:tcPr>
          <w:p w:rsidR="00000000" w:rsidRDefault="00000000">
            <w:pPr>
              <w:jc w:val="right"/>
              <w:rPr>
                <w:lang w:val="en-US"/>
              </w:rPr>
            </w:pPr>
            <w:r>
              <w:rPr>
                <w:lang w:val="en-US"/>
              </w:rPr>
              <w:t>0,4</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ПУО</w:t>
            </w:r>
            <w:proofErr w:type="spellEnd"/>
          </w:p>
        </w:tc>
        <w:tc>
          <w:tcPr>
            <w:tcW w:w="1288" w:type="dxa"/>
            <w:tcBorders>
              <w:top w:val="nil"/>
              <w:bottom w:val="nil"/>
            </w:tcBorders>
            <w:vAlign w:val="bottom"/>
          </w:tcPr>
          <w:p w:rsidR="00000000" w:rsidRDefault="00000000">
            <w:pPr>
              <w:ind w:right="179"/>
              <w:jc w:val="right"/>
              <w:rPr>
                <w:lang w:val="en-US"/>
              </w:rPr>
            </w:pPr>
            <w:r>
              <w:rPr>
                <w:lang w:val="en-US"/>
              </w:rPr>
              <w:t>63,3</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73,0</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136,4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10,2</w:t>
            </w:r>
          </w:p>
        </w:tc>
        <w:tc>
          <w:tcPr>
            <w:tcW w:w="784" w:type="dxa"/>
            <w:tcBorders>
              <w:top w:val="nil"/>
              <w:bottom w:val="nil"/>
            </w:tcBorders>
            <w:vAlign w:val="bottom"/>
          </w:tcPr>
          <w:p w:rsidR="00000000" w:rsidRDefault="00000000">
            <w:pPr>
              <w:jc w:val="right"/>
              <w:rPr>
                <w:lang w:val="en-US"/>
              </w:rPr>
            </w:pPr>
            <w:r>
              <w:rPr>
                <w:lang w:val="en-US"/>
              </w:rPr>
              <w:t>0,7</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ПТПСОП</w:t>
            </w:r>
            <w:proofErr w:type="spellEnd"/>
          </w:p>
        </w:tc>
        <w:tc>
          <w:tcPr>
            <w:tcW w:w="1288" w:type="dxa"/>
            <w:tcBorders>
              <w:top w:val="nil"/>
              <w:bottom w:val="nil"/>
            </w:tcBorders>
            <w:vAlign w:val="bottom"/>
          </w:tcPr>
          <w:p w:rsidR="00000000" w:rsidRDefault="00000000">
            <w:pPr>
              <w:ind w:right="179"/>
              <w:jc w:val="right"/>
              <w:rPr>
                <w:lang w:val="en-US"/>
              </w:rPr>
            </w:pPr>
            <w:r>
              <w:rPr>
                <w:lang w:val="en-US"/>
              </w:rPr>
              <w:t>145,8</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150,9</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296,7</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8,2</w:t>
            </w:r>
          </w:p>
        </w:tc>
        <w:tc>
          <w:tcPr>
            <w:tcW w:w="784" w:type="dxa"/>
            <w:tcBorders>
              <w:top w:val="nil"/>
              <w:bottom w:val="nil"/>
            </w:tcBorders>
            <w:vAlign w:val="bottom"/>
          </w:tcPr>
          <w:p w:rsidR="00000000" w:rsidRDefault="00000000">
            <w:pPr>
              <w:jc w:val="right"/>
              <w:rPr>
                <w:lang w:val="en-US"/>
              </w:rPr>
            </w:pPr>
            <w:r>
              <w:rPr>
                <w:lang w:val="en-US"/>
              </w:rPr>
              <w:t>10,0</w:t>
            </w:r>
          </w:p>
        </w:tc>
        <w:tc>
          <w:tcPr>
            <w:tcW w:w="756" w:type="dxa"/>
            <w:tcBorders>
              <w:top w:val="nil"/>
              <w:bottom w:val="nil"/>
            </w:tcBorders>
            <w:vAlign w:val="bottom"/>
          </w:tcPr>
          <w:p w:rsidR="00000000" w:rsidRDefault="00000000">
            <w:pPr>
              <w:jc w:val="right"/>
              <w:rPr>
                <w:lang w:val="en-US"/>
              </w:rPr>
            </w:pPr>
            <w:r>
              <w:rPr>
                <w:lang w:val="en-US"/>
              </w:rPr>
              <w:t>0,0</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ВПО</w:t>
            </w:r>
            <w:proofErr w:type="spellEnd"/>
          </w:p>
        </w:tc>
        <w:tc>
          <w:tcPr>
            <w:tcW w:w="1288" w:type="dxa"/>
            <w:tcBorders>
              <w:top w:val="nil"/>
              <w:bottom w:val="nil"/>
            </w:tcBorders>
            <w:vAlign w:val="bottom"/>
          </w:tcPr>
          <w:p w:rsidR="00000000" w:rsidRDefault="00000000">
            <w:pPr>
              <w:ind w:right="179"/>
              <w:jc w:val="right"/>
              <w:rPr>
                <w:lang w:val="en-US"/>
              </w:rPr>
            </w:pPr>
            <w:r>
              <w:rPr>
                <w:lang w:val="en-US"/>
              </w:rPr>
              <w:t>131,7</w:t>
            </w:r>
          </w:p>
        </w:tc>
        <w:tc>
          <w:tcPr>
            <w:tcW w:w="1390" w:type="dxa"/>
            <w:tcBorders>
              <w:top w:val="nil"/>
              <w:bottom w:val="nil"/>
            </w:tcBorders>
            <w:vAlign w:val="bottom"/>
          </w:tcPr>
          <w:p w:rsidR="00000000" w:rsidRDefault="00000000">
            <w:pPr>
              <w:tabs>
                <w:tab w:val="clear" w:pos="1134"/>
              </w:tabs>
              <w:ind w:right="128"/>
              <w:jc w:val="right"/>
              <w:rPr>
                <w:lang w:val="en-US"/>
              </w:rPr>
            </w:pPr>
            <w:r>
              <w:rPr>
                <w:lang w:val="en-US"/>
              </w:rPr>
              <w:t>136,3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268,0</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1,1</w:t>
            </w:r>
          </w:p>
        </w:tc>
        <w:tc>
          <w:tcPr>
            <w:tcW w:w="784" w:type="dxa"/>
            <w:tcBorders>
              <w:top w:val="nil"/>
              <w:bottom w:val="nil"/>
            </w:tcBorders>
            <w:vAlign w:val="bottom"/>
          </w:tcPr>
          <w:p w:rsidR="00000000" w:rsidRDefault="00000000">
            <w:pPr>
              <w:jc w:val="right"/>
              <w:rPr>
                <w:lang w:val="en-US"/>
              </w:rPr>
            </w:pPr>
            <w:r>
              <w:rPr>
                <w:lang w:val="en-US"/>
              </w:rPr>
              <w:t>12,4</w:t>
            </w:r>
          </w:p>
        </w:tc>
        <w:tc>
          <w:tcPr>
            <w:tcW w:w="756" w:type="dxa"/>
            <w:tcBorders>
              <w:top w:val="nil"/>
              <w:bottom w:val="nil"/>
            </w:tcBorders>
            <w:vAlign w:val="bottom"/>
          </w:tcPr>
          <w:p w:rsidR="00000000" w:rsidRDefault="00000000">
            <w:pPr>
              <w:jc w:val="right"/>
              <w:rPr>
                <w:lang w:val="en-US"/>
              </w:rPr>
            </w:pPr>
            <w:r>
              <w:rPr>
                <w:lang w:val="en-US"/>
              </w:rPr>
              <w:t>0,2</w:t>
            </w:r>
          </w:p>
        </w:tc>
      </w:tr>
      <w:tr w:rsidR="00000000">
        <w:tblPrEx>
          <w:tblCellMar>
            <w:top w:w="0" w:type="dxa"/>
            <w:bottom w:w="0" w:type="dxa"/>
          </w:tblCellMar>
        </w:tblPrEx>
        <w:trPr>
          <w:trHeight w:val="87"/>
        </w:trPr>
        <w:tc>
          <w:tcPr>
            <w:tcW w:w="2142" w:type="dxa"/>
            <w:tcBorders>
              <w:top w:val="nil"/>
              <w:bottom w:val="single" w:sz="4" w:space="0" w:color="auto"/>
            </w:tcBorders>
          </w:tcPr>
          <w:p w:rsidR="00000000" w:rsidRDefault="00000000">
            <w:proofErr w:type="spellStart"/>
            <w:r>
              <w:t>УО</w:t>
            </w:r>
            <w:proofErr w:type="spellEnd"/>
          </w:p>
        </w:tc>
        <w:tc>
          <w:tcPr>
            <w:tcW w:w="1288" w:type="dxa"/>
            <w:tcBorders>
              <w:top w:val="nil"/>
              <w:bottom w:val="single" w:sz="4" w:space="0" w:color="auto"/>
            </w:tcBorders>
            <w:vAlign w:val="bottom"/>
          </w:tcPr>
          <w:p w:rsidR="00000000" w:rsidRDefault="00000000">
            <w:pPr>
              <w:ind w:right="179"/>
              <w:jc w:val="right"/>
              <w:rPr>
                <w:lang w:val="en-US"/>
              </w:rPr>
            </w:pPr>
            <w:r>
              <w:rPr>
                <w:lang w:val="en-US"/>
              </w:rPr>
              <w:t>93,7</w:t>
            </w:r>
          </w:p>
        </w:tc>
        <w:tc>
          <w:tcPr>
            <w:tcW w:w="1390" w:type="dxa"/>
            <w:tcBorders>
              <w:top w:val="nil"/>
              <w:bottom w:val="single" w:sz="4" w:space="0" w:color="auto"/>
            </w:tcBorders>
            <w:vAlign w:val="bottom"/>
          </w:tcPr>
          <w:p w:rsidR="00000000" w:rsidRDefault="00000000">
            <w:pPr>
              <w:tabs>
                <w:tab w:val="clear" w:pos="1134"/>
              </w:tabs>
              <w:ind w:right="128"/>
              <w:jc w:val="right"/>
              <w:rPr>
                <w:lang w:val="en-US"/>
              </w:rPr>
            </w:pPr>
            <w:r>
              <w:rPr>
                <w:lang w:val="en-US"/>
              </w:rPr>
              <w:t>92,4</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186,1</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8,2</w:t>
            </w:r>
          </w:p>
        </w:tc>
        <w:tc>
          <w:tcPr>
            <w:tcW w:w="756" w:type="dxa"/>
            <w:tcBorders>
              <w:top w:val="nil"/>
              <w:bottom w:val="single" w:sz="4" w:space="0" w:color="auto"/>
            </w:tcBorders>
            <w:vAlign w:val="bottom"/>
          </w:tcPr>
          <w:p w:rsidR="00000000" w:rsidRDefault="00000000">
            <w:pPr>
              <w:jc w:val="right"/>
              <w:rPr>
                <w:lang w:val="en-US"/>
              </w:rPr>
            </w:pPr>
            <w:r>
              <w:rPr>
                <w:lang w:val="en-US"/>
              </w:rPr>
              <w:t>0,3</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tcPr>
          <w:p w:rsidR="00000000" w:rsidRDefault="00000000">
            <w:pPr>
              <w:pStyle w:val="Header"/>
              <w:tabs>
                <w:tab w:val="left" w:pos="266"/>
              </w:tabs>
              <w:spacing w:line="240" w:lineRule="auto"/>
              <w:ind w:left="266" w:hanging="266"/>
              <w:rPr>
                <w:sz w:val="20"/>
              </w:rPr>
            </w:pPr>
            <w:r>
              <w:rPr>
                <w:sz w:val="20"/>
              </w:rPr>
              <w:tab/>
              <w:t>Всего учащихся в системе образования с отрывом от производства</w:t>
            </w:r>
          </w:p>
        </w:tc>
        <w:tc>
          <w:tcPr>
            <w:tcW w:w="1288" w:type="dxa"/>
            <w:tcBorders>
              <w:top w:val="single" w:sz="4" w:space="0" w:color="auto"/>
              <w:bottom w:val="single" w:sz="4" w:space="0" w:color="auto"/>
            </w:tcBorders>
            <w:vAlign w:val="bottom"/>
          </w:tcPr>
          <w:p w:rsidR="00000000" w:rsidRDefault="00000000">
            <w:pPr>
              <w:ind w:right="179"/>
              <w:jc w:val="right"/>
            </w:pPr>
            <w:r>
              <w:t>1 698,3</w:t>
            </w:r>
          </w:p>
        </w:tc>
        <w:tc>
          <w:tcPr>
            <w:tcW w:w="1390" w:type="dxa"/>
            <w:tcBorders>
              <w:top w:val="single" w:sz="4" w:space="0" w:color="auto"/>
              <w:bottom w:val="single" w:sz="4" w:space="0" w:color="auto"/>
            </w:tcBorders>
            <w:vAlign w:val="bottom"/>
          </w:tcPr>
          <w:p w:rsidR="00000000" w:rsidRDefault="00000000">
            <w:pPr>
              <w:tabs>
                <w:tab w:val="clear" w:pos="1134"/>
                <w:tab w:val="clear" w:pos="1701"/>
              </w:tabs>
              <w:ind w:right="106"/>
              <w:jc w:val="right"/>
              <w:rPr>
                <w:lang w:val="en-US"/>
              </w:rPr>
            </w:pPr>
            <w:r>
              <w:rPr>
                <w:lang w:val="en-US"/>
              </w:rPr>
              <w:t>1 630,5</w:t>
            </w:r>
          </w:p>
        </w:tc>
        <w:tc>
          <w:tcPr>
            <w:tcW w:w="1259" w:type="dxa"/>
            <w:tcBorders>
              <w:top w:val="single" w:sz="4" w:space="0" w:color="auto"/>
              <w:bottom w:val="single" w:sz="4" w:space="0" w:color="auto"/>
            </w:tcBorders>
            <w:vAlign w:val="bottom"/>
          </w:tcPr>
          <w:p w:rsidR="00000000" w:rsidRDefault="00000000">
            <w:pPr>
              <w:tabs>
                <w:tab w:val="clear" w:pos="567"/>
                <w:tab w:val="clear" w:pos="1134"/>
              </w:tabs>
              <w:ind w:right="137"/>
              <w:jc w:val="right"/>
              <w:rPr>
                <w:lang w:val="en-US"/>
              </w:rPr>
            </w:pPr>
            <w:r>
              <w:rPr>
                <w:lang w:val="en-US"/>
              </w:rPr>
              <w:t>3 328,8</w:t>
            </w:r>
          </w:p>
        </w:tc>
        <w:tc>
          <w:tcPr>
            <w:tcW w:w="770" w:type="dxa"/>
            <w:tcBorders>
              <w:top w:val="single" w:sz="4" w:space="0" w:color="auto"/>
              <w:bottom w:val="single" w:sz="4" w:space="0" w:color="auto"/>
            </w:tcBorders>
            <w:vAlign w:val="bottom"/>
          </w:tcPr>
          <w:p w:rsidR="00000000" w:rsidRDefault="00000000">
            <w:pPr>
              <w:jc w:val="right"/>
              <w:rPr>
                <w:lang w:val="en-US"/>
              </w:rPr>
            </w:pPr>
            <w:r>
              <w:rPr>
                <w:lang w:val="en-US"/>
              </w:rPr>
              <w:t>96,5</w:t>
            </w:r>
          </w:p>
        </w:tc>
        <w:tc>
          <w:tcPr>
            <w:tcW w:w="840" w:type="dxa"/>
            <w:tcBorders>
              <w:top w:val="single" w:sz="4" w:space="0" w:color="auto"/>
              <w:bottom w:val="single" w:sz="4" w:space="0" w:color="auto"/>
            </w:tcBorders>
            <w:vAlign w:val="bottom"/>
          </w:tcPr>
          <w:p w:rsidR="00000000" w:rsidRDefault="00000000">
            <w:pPr>
              <w:jc w:val="right"/>
              <w:rPr>
                <w:lang w:val="en-US"/>
              </w:rPr>
            </w:pPr>
            <w:r>
              <w:rPr>
                <w:lang w:val="en-US"/>
              </w:rPr>
              <w:t>94,3</w:t>
            </w:r>
          </w:p>
        </w:tc>
        <w:tc>
          <w:tcPr>
            <w:tcW w:w="784" w:type="dxa"/>
            <w:tcBorders>
              <w:top w:val="single" w:sz="4" w:space="0" w:color="auto"/>
              <w:bottom w:val="single" w:sz="4" w:space="0" w:color="auto"/>
            </w:tcBorders>
            <w:vAlign w:val="bottom"/>
          </w:tcPr>
          <w:p w:rsidR="00000000" w:rsidRDefault="00000000">
            <w:pPr>
              <w:jc w:val="right"/>
              <w:rPr>
                <w:lang w:val="en-US"/>
              </w:rPr>
            </w:pPr>
            <w:r>
              <w:rPr>
                <w:lang w:val="en-US"/>
              </w:rPr>
              <w:t>31,9</w:t>
            </w:r>
          </w:p>
        </w:tc>
        <w:tc>
          <w:tcPr>
            <w:tcW w:w="756" w:type="dxa"/>
            <w:tcBorders>
              <w:top w:val="single" w:sz="4" w:space="0" w:color="auto"/>
              <w:bottom w:val="single" w:sz="4" w:space="0" w:color="auto"/>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single" w:sz="4" w:space="0" w:color="auto"/>
              <w:bottom w:val="nil"/>
            </w:tcBorders>
          </w:tcPr>
          <w:p w:rsidR="00000000" w:rsidRDefault="00000000">
            <w:pPr>
              <w:pStyle w:val="Header"/>
              <w:keepNext/>
              <w:spacing w:line="240" w:lineRule="auto"/>
              <w:rPr>
                <w:sz w:val="20"/>
              </w:rPr>
            </w:pPr>
            <w:r>
              <w:rPr>
                <w:sz w:val="20"/>
              </w:rPr>
              <w:t>Образование без отрыва от производства</w:t>
            </w:r>
          </w:p>
        </w:tc>
        <w:tc>
          <w:tcPr>
            <w:tcW w:w="1288" w:type="dxa"/>
            <w:tcBorders>
              <w:top w:val="single" w:sz="4" w:space="0" w:color="auto"/>
              <w:bottom w:val="nil"/>
            </w:tcBorders>
            <w:vAlign w:val="bottom"/>
          </w:tcPr>
          <w:p w:rsidR="00000000" w:rsidRDefault="00000000">
            <w:pPr>
              <w:ind w:right="179"/>
              <w:jc w:val="right"/>
            </w:pPr>
          </w:p>
        </w:tc>
        <w:tc>
          <w:tcPr>
            <w:tcW w:w="1390" w:type="dxa"/>
            <w:tcBorders>
              <w:top w:val="single" w:sz="4" w:space="0" w:color="auto"/>
              <w:bottom w:val="nil"/>
            </w:tcBorders>
            <w:vAlign w:val="bottom"/>
          </w:tcPr>
          <w:p w:rsidR="00000000" w:rsidRDefault="00000000">
            <w:pPr>
              <w:ind w:right="476"/>
              <w:jc w:val="right"/>
            </w:pPr>
          </w:p>
        </w:tc>
        <w:tc>
          <w:tcPr>
            <w:tcW w:w="1259" w:type="dxa"/>
            <w:tcBorders>
              <w:top w:val="single" w:sz="4" w:space="0" w:color="auto"/>
              <w:bottom w:val="nil"/>
            </w:tcBorders>
            <w:vAlign w:val="bottom"/>
          </w:tcPr>
          <w:p w:rsidR="00000000" w:rsidRDefault="00000000">
            <w:pPr>
              <w:tabs>
                <w:tab w:val="clear" w:pos="567"/>
                <w:tab w:val="clear" w:pos="1134"/>
              </w:tabs>
              <w:ind w:right="137"/>
              <w:jc w:val="right"/>
            </w:pPr>
          </w:p>
        </w:tc>
        <w:tc>
          <w:tcPr>
            <w:tcW w:w="770" w:type="dxa"/>
            <w:tcBorders>
              <w:top w:val="single" w:sz="4" w:space="0" w:color="auto"/>
              <w:bottom w:val="nil"/>
            </w:tcBorders>
            <w:vAlign w:val="bottom"/>
          </w:tcPr>
          <w:p w:rsidR="00000000" w:rsidRDefault="00000000">
            <w:pPr>
              <w:jc w:val="right"/>
            </w:pPr>
          </w:p>
        </w:tc>
        <w:tc>
          <w:tcPr>
            <w:tcW w:w="840" w:type="dxa"/>
            <w:tcBorders>
              <w:top w:val="single" w:sz="4" w:space="0" w:color="auto"/>
              <w:bottom w:val="nil"/>
            </w:tcBorders>
            <w:vAlign w:val="bottom"/>
          </w:tcPr>
          <w:p w:rsidR="00000000" w:rsidRDefault="00000000">
            <w:pPr>
              <w:jc w:val="right"/>
            </w:pPr>
          </w:p>
        </w:tc>
        <w:tc>
          <w:tcPr>
            <w:tcW w:w="784" w:type="dxa"/>
            <w:tcBorders>
              <w:top w:val="single" w:sz="4" w:space="0" w:color="auto"/>
              <w:bottom w:val="nil"/>
            </w:tcBorders>
            <w:vAlign w:val="bottom"/>
          </w:tcPr>
          <w:p w:rsidR="00000000" w:rsidRDefault="00000000">
            <w:pPr>
              <w:jc w:val="right"/>
            </w:pPr>
          </w:p>
        </w:tc>
        <w:tc>
          <w:tcPr>
            <w:tcW w:w="756" w:type="dxa"/>
            <w:tcBorders>
              <w:top w:val="single" w:sz="4" w:space="0" w:color="auto"/>
              <w:bottom w:val="nil"/>
            </w:tcBorders>
            <w:vAlign w:val="bottom"/>
          </w:tcPr>
          <w:p w:rsidR="00000000" w:rsidRDefault="00000000">
            <w:pPr>
              <w:jc w:val="right"/>
            </w:pPr>
          </w:p>
        </w:tc>
      </w:tr>
      <w:tr w:rsidR="00000000">
        <w:tblPrEx>
          <w:tblCellMar>
            <w:top w:w="0" w:type="dxa"/>
            <w:bottom w:w="0" w:type="dxa"/>
          </w:tblCellMar>
        </w:tblPrEx>
        <w:trPr>
          <w:trHeight w:val="87"/>
        </w:trPr>
        <w:tc>
          <w:tcPr>
            <w:tcW w:w="2142" w:type="dxa"/>
            <w:tcBorders>
              <w:top w:val="nil"/>
              <w:bottom w:val="nil"/>
            </w:tcBorders>
          </w:tcPr>
          <w:p w:rsidR="00000000" w:rsidRDefault="00000000">
            <w:pPr>
              <w:spacing w:line="240" w:lineRule="auto"/>
              <w:rPr>
                <w:sz w:val="20"/>
              </w:rPr>
            </w:pPr>
            <w:r>
              <w:rPr>
                <w:sz w:val="20"/>
              </w:rPr>
              <w:t>Образование для взрослых</w:t>
            </w:r>
          </w:p>
        </w:tc>
        <w:tc>
          <w:tcPr>
            <w:tcW w:w="1288" w:type="dxa"/>
            <w:tcBorders>
              <w:top w:val="nil"/>
              <w:bottom w:val="nil"/>
            </w:tcBorders>
            <w:vAlign w:val="bottom"/>
          </w:tcPr>
          <w:p w:rsidR="00000000" w:rsidRDefault="00000000">
            <w:pPr>
              <w:ind w:right="179"/>
              <w:jc w:val="right"/>
              <w:rPr>
                <w:lang w:val="en-US"/>
              </w:rPr>
            </w:pPr>
            <w:r>
              <w:rPr>
                <w:lang w:val="en-US"/>
              </w:rPr>
              <w:t>33,1</w:t>
            </w:r>
          </w:p>
        </w:tc>
        <w:tc>
          <w:tcPr>
            <w:tcW w:w="1390" w:type="dxa"/>
            <w:tcBorders>
              <w:top w:val="nil"/>
              <w:bottom w:val="nil"/>
            </w:tcBorders>
            <w:vAlign w:val="bottom"/>
          </w:tcPr>
          <w:p w:rsidR="00000000" w:rsidRDefault="00000000">
            <w:pPr>
              <w:ind w:right="476"/>
              <w:jc w:val="right"/>
              <w:rPr>
                <w:lang w:val="en-US"/>
              </w:rPr>
            </w:pPr>
            <w:r>
              <w:rPr>
                <w:lang w:val="en-US"/>
              </w:rPr>
              <w:t>58,3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91,4</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0,3</w:t>
            </w:r>
          </w:p>
        </w:tc>
        <w:tc>
          <w:tcPr>
            <w:tcW w:w="784" w:type="dxa"/>
            <w:tcBorders>
              <w:top w:val="nil"/>
              <w:bottom w:val="nil"/>
            </w:tcBorders>
            <w:vAlign w:val="bottom"/>
          </w:tcPr>
          <w:p w:rsidR="00000000" w:rsidRDefault="00000000">
            <w:pPr>
              <w:jc w:val="right"/>
              <w:rPr>
                <w:lang w:val="en-US"/>
              </w:rPr>
            </w:pPr>
            <w:r>
              <w:rPr>
                <w:lang w:val="en-US"/>
              </w:rPr>
              <w:t>1,6</w:t>
            </w:r>
          </w:p>
        </w:tc>
        <w:tc>
          <w:tcPr>
            <w:tcW w:w="756" w:type="dxa"/>
            <w:tcBorders>
              <w:top w:val="nil"/>
              <w:bottom w:val="nil"/>
            </w:tcBorders>
            <w:vAlign w:val="bottom"/>
          </w:tcPr>
          <w:p w:rsidR="00000000" w:rsidRDefault="00000000">
            <w:pPr>
              <w:jc w:val="right"/>
              <w:rPr>
                <w:lang w:val="en-US"/>
              </w:rPr>
            </w:pPr>
            <w:r>
              <w:rPr>
                <w:lang w:val="en-US"/>
              </w:rPr>
              <w:t>0,7</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ПТОЧОП</w:t>
            </w:r>
            <w:proofErr w:type="spellEnd"/>
          </w:p>
        </w:tc>
        <w:tc>
          <w:tcPr>
            <w:tcW w:w="1288" w:type="dxa"/>
            <w:tcBorders>
              <w:top w:val="nil"/>
              <w:bottom w:val="nil"/>
            </w:tcBorders>
            <w:vAlign w:val="bottom"/>
          </w:tcPr>
          <w:p w:rsidR="00000000" w:rsidRDefault="00000000">
            <w:pPr>
              <w:ind w:right="179"/>
              <w:jc w:val="right"/>
              <w:rPr>
                <w:lang w:val="en-US"/>
              </w:rPr>
            </w:pPr>
            <w:r>
              <w:rPr>
                <w:lang w:val="en-US"/>
              </w:rPr>
              <w:t>97,6</w:t>
            </w:r>
          </w:p>
        </w:tc>
        <w:tc>
          <w:tcPr>
            <w:tcW w:w="1390" w:type="dxa"/>
            <w:tcBorders>
              <w:top w:val="nil"/>
              <w:bottom w:val="nil"/>
            </w:tcBorders>
            <w:vAlign w:val="bottom"/>
          </w:tcPr>
          <w:p w:rsidR="00000000" w:rsidRDefault="00000000">
            <w:pPr>
              <w:ind w:right="476"/>
              <w:jc w:val="right"/>
              <w:rPr>
                <w:lang w:val="en-US"/>
              </w:rPr>
            </w:pPr>
            <w:r>
              <w:rPr>
                <w:lang w:val="en-US"/>
              </w:rPr>
              <w:t>63,3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161,0</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2,0</w:t>
            </w:r>
          </w:p>
        </w:tc>
        <w:tc>
          <w:tcPr>
            <w:tcW w:w="784" w:type="dxa"/>
            <w:tcBorders>
              <w:top w:val="nil"/>
              <w:bottom w:val="nil"/>
            </w:tcBorders>
            <w:vAlign w:val="bottom"/>
          </w:tcPr>
          <w:p w:rsidR="00000000" w:rsidRDefault="00000000">
            <w:pPr>
              <w:jc w:val="right"/>
              <w:rPr>
                <w:lang w:val="en-US"/>
              </w:rPr>
            </w:pPr>
            <w:r>
              <w:rPr>
                <w:lang w:val="en-US"/>
              </w:rPr>
              <w:t>4,6</w:t>
            </w:r>
          </w:p>
        </w:tc>
        <w:tc>
          <w:tcPr>
            <w:tcW w:w="756" w:type="dxa"/>
            <w:tcBorders>
              <w:top w:val="nil"/>
              <w:bottom w:val="nil"/>
            </w:tcBorders>
            <w:vAlign w:val="bottom"/>
          </w:tcPr>
          <w:p w:rsidR="00000000" w:rsidRDefault="00000000">
            <w:pPr>
              <w:jc w:val="right"/>
              <w:rPr>
                <w:lang w:val="en-US"/>
              </w:rPr>
            </w:pPr>
            <w:r>
              <w:rPr>
                <w:lang w:val="en-US"/>
              </w:rPr>
              <w:t>0,5</w:t>
            </w:r>
          </w:p>
        </w:tc>
      </w:tr>
      <w:tr w:rsidR="00000000">
        <w:tblPrEx>
          <w:tblCellMar>
            <w:top w:w="0" w:type="dxa"/>
            <w:bottom w:w="0" w:type="dxa"/>
          </w:tblCellMar>
        </w:tblPrEx>
        <w:trPr>
          <w:trHeight w:val="87"/>
        </w:trPr>
        <w:tc>
          <w:tcPr>
            <w:tcW w:w="2142" w:type="dxa"/>
            <w:tcBorders>
              <w:top w:val="nil"/>
              <w:bottom w:val="nil"/>
            </w:tcBorders>
          </w:tcPr>
          <w:p w:rsidR="00000000" w:rsidRDefault="00000000">
            <w:proofErr w:type="spellStart"/>
            <w:r>
              <w:t>ПТПБОП</w:t>
            </w:r>
            <w:proofErr w:type="spellEnd"/>
          </w:p>
        </w:tc>
        <w:tc>
          <w:tcPr>
            <w:tcW w:w="1288" w:type="dxa"/>
            <w:tcBorders>
              <w:top w:val="nil"/>
              <w:bottom w:val="nil"/>
            </w:tcBorders>
            <w:vAlign w:val="bottom"/>
          </w:tcPr>
          <w:p w:rsidR="00000000" w:rsidRDefault="00000000">
            <w:pPr>
              <w:ind w:right="179"/>
              <w:jc w:val="right"/>
              <w:rPr>
                <w:lang w:val="en-US"/>
              </w:rPr>
            </w:pPr>
            <w:r>
              <w:rPr>
                <w:lang w:val="en-US"/>
              </w:rPr>
              <w:t>9,2</w:t>
            </w:r>
          </w:p>
        </w:tc>
        <w:tc>
          <w:tcPr>
            <w:tcW w:w="1390" w:type="dxa"/>
            <w:tcBorders>
              <w:top w:val="nil"/>
              <w:bottom w:val="nil"/>
            </w:tcBorders>
            <w:vAlign w:val="bottom"/>
          </w:tcPr>
          <w:p w:rsidR="00000000" w:rsidRDefault="00000000">
            <w:pPr>
              <w:ind w:right="476"/>
              <w:jc w:val="right"/>
              <w:rPr>
                <w:lang w:val="en-US"/>
              </w:rPr>
            </w:pPr>
            <w:r>
              <w:rPr>
                <w:lang w:val="en-US"/>
              </w:rPr>
              <w:t>11,3</w:t>
            </w:r>
          </w:p>
        </w:tc>
        <w:tc>
          <w:tcPr>
            <w:tcW w:w="1259" w:type="dxa"/>
            <w:tcBorders>
              <w:top w:val="nil"/>
              <w:bottom w:val="nil"/>
            </w:tcBorders>
            <w:vAlign w:val="bottom"/>
          </w:tcPr>
          <w:p w:rsidR="00000000" w:rsidRDefault="00000000">
            <w:pPr>
              <w:tabs>
                <w:tab w:val="clear" w:pos="567"/>
                <w:tab w:val="clear" w:pos="1134"/>
              </w:tabs>
              <w:ind w:right="137"/>
              <w:jc w:val="right"/>
              <w:rPr>
                <w:lang w:val="en-US"/>
              </w:rPr>
            </w:pPr>
            <w:r>
              <w:rPr>
                <w:lang w:val="en-US"/>
              </w:rPr>
              <w:t>20,5</w:t>
            </w:r>
          </w:p>
        </w:tc>
        <w:tc>
          <w:tcPr>
            <w:tcW w:w="770" w:type="dxa"/>
            <w:tcBorders>
              <w:top w:val="nil"/>
              <w:bottom w:val="nil"/>
            </w:tcBorders>
            <w:vAlign w:val="bottom"/>
          </w:tcPr>
          <w:p w:rsidR="00000000" w:rsidRDefault="00000000">
            <w:pPr>
              <w:jc w:val="right"/>
              <w:rPr>
                <w:lang w:val="en-US"/>
              </w:rPr>
            </w:pPr>
            <w:r>
              <w:rPr>
                <w:lang w:val="en-US"/>
              </w:rPr>
              <w:t>0,0</w:t>
            </w:r>
          </w:p>
        </w:tc>
        <w:tc>
          <w:tcPr>
            <w:tcW w:w="840" w:type="dxa"/>
            <w:tcBorders>
              <w:top w:val="nil"/>
              <w:bottom w:val="nil"/>
            </w:tcBorders>
            <w:vAlign w:val="bottom"/>
          </w:tcPr>
          <w:p w:rsidR="00000000" w:rsidRDefault="00000000">
            <w:pPr>
              <w:jc w:val="right"/>
              <w:rPr>
                <w:lang w:val="en-US"/>
              </w:rPr>
            </w:pPr>
            <w:r>
              <w:rPr>
                <w:lang w:val="en-US"/>
              </w:rPr>
              <w:t>0,2</w:t>
            </w:r>
          </w:p>
        </w:tc>
        <w:tc>
          <w:tcPr>
            <w:tcW w:w="784" w:type="dxa"/>
            <w:tcBorders>
              <w:top w:val="nil"/>
              <w:bottom w:val="nil"/>
            </w:tcBorders>
            <w:vAlign w:val="bottom"/>
          </w:tcPr>
          <w:p w:rsidR="00000000" w:rsidRDefault="00000000">
            <w:pPr>
              <w:jc w:val="right"/>
              <w:rPr>
                <w:lang w:val="en-US"/>
              </w:rPr>
            </w:pPr>
            <w:r>
              <w:rPr>
                <w:lang w:val="en-US"/>
              </w:rPr>
              <w:t>0,3</w:t>
            </w:r>
          </w:p>
        </w:tc>
        <w:tc>
          <w:tcPr>
            <w:tcW w:w="756" w:type="dxa"/>
            <w:tcBorders>
              <w:top w:val="nil"/>
              <w:bottom w:val="nil"/>
            </w:tcBorders>
            <w:vAlign w:val="bottom"/>
          </w:tcPr>
          <w:p w:rsidR="00000000" w:rsidRDefault="00000000">
            <w:pPr>
              <w:jc w:val="right"/>
              <w:rPr>
                <w:lang w:val="en-US"/>
              </w:rPr>
            </w:pPr>
            <w:r>
              <w:rPr>
                <w:lang w:val="en-US"/>
              </w:rPr>
              <w:t>0,1</w:t>
            </w:r>
          </w:p>
        </w:tc>
      </w:tr>
      <w:tr w:rsidR="00000000">
        <w:tblPrEx>
          <w:tblCellMar>
            <w:top w:w="0" w:type="dxa"/>
            <w:bottom w:w="0" w:type="dxa"/>
          </w:tblCellMar>
        </w:tblPrEx>
        <w:trPr>
          <w:trHeight w:val="87"/>
        </w:trPr>
        <w:tc>
          <w:tcPr>
            <w:tcW w:w="2142" w:type="dxa"/>
            <w:tcBorders>
              <w:top w:val="nil"/>
              <w:bottom w:val="single" w:sz="4" w:space="0" w:color="auto"/>
            </w:tcBorders>
          </w:tcPr>
          <w:p w:rsidR="00000000" w:rsidRDefault="00000000">
            <w:proofErr w:type="spellStart"/>
            <w:r>
              <w:t>ВПОБОП</w:t>
            </w:r>
            <w:proofErr w:type="spellEnd"/>
          </w:p>
        </w:tc>
        <w:tc>
          <w:tcPr>
            <w:tcW w:w="1288" w:type="dxa"/>
            <w:tcBorders>
              <w:top w:val="nil"/>
              <w:bottom w:val="single" w:sz="4" w:space="0" w:color="auto"/>
            </w:tcBorders>
            <w:vAlign w:val="bottom"/>
          </w:tcPr>
          <w:p w:rsidR="00000000" w:rsidRDefault="00000000">
            <w:pPr>
              <w:ind w:right="179"/>
              <w:jc w:val="right"/>
              <w:rPr>
                <w:lang w:val="en-US"/>
              </w:rPr>
            </w:pPr>
            <w:r>
              <w:rPr>
                <w:lang w:val="en-US"/>
              </w:rPr>
              <w:t>28,5</w:t>
            </w:r>
          </w:p>
        </w:tc>
        <w:tc>
          <w:tcPr>
            <w:tcW w:w="1390" w:type="dxa"/>
            <w:tcBorders>
              <w:top w:val="nil"/>
              <w:bottom w:val="single" w:sz="4" w:space="0" w:color="auto"/>
            </w:tcBorders>
            <w:vAlign w:val="bottom"/>
          </w:tcPr>
          <w:p w:rsidR="00000000" w:rsidRDefault="00000000">
            <w:pPr>
              <w:ind w:right="476"/>
              <w:jc w:val="right"/>
              <w:rPr>
                <w:lang w:val="en-US"/>
              </w:rPr>
            </w:pPr>
            <w:r>
              <w:rPr>
                <w:lang w:val="en-US"/>
              </w:rPr>
              <w:t>38,0</w:t>
            </w:r>
          </w:p>
        </w:tc>
        <w:tc>
          <w:tcPr>
            <w:tcW w:w="1259" w:type="dxa"/>
            <w:tcBorders>
              <w:top w:val="nil"/>
              <w:bottom w:val="single" w:sz="4" w:space="0" w:color="auto"/>
            </w:tcBorders>
            <w:vAlign w:val="bottom"/>
          </w:tcPr>
          <w:p w:rsidR="00000000" w:rsidRDefault="00000000">
            <w:pPr>
              <w:tabs>
                <w:tab w:val="clear" w:pos="567"/>
                <w:tab w:val="clear" w:pos="1134"/>
              </w:tabs>
              <w:ind w:right="137"/>
              <w:jc w:val="right"/>
              <w:rPr>
                <w:lang w:val="en-US"/>
              </w:rPr>
            </w:pPr>
            <w:r>
              <w:rPr>
                <w:lang w:val="en-US"/>
              </w:rPr>
              <w:t>66,5</w:t>
            </w:r>
          </w:p>
        </w:tc>
        <w:tc>
          <w:tcPr>
            <w:tcW w:w="770" w:type="dxa"/>
            <w:tcBorders>
              <w:top w:val="nil"/>
              <w:bottom w:val="single" w:sz="4" w:space="0" w:color="auto"/>
            </w:tcBorders>
            <w:vAlign w:val="bottom"/>
          </w:tcPr>
          <w:p w:rsidR="00000000" w:rsidRDefault="00000000">
            <w:pPr>
              <w:jc w:val="right"/>
              <w:rPr>
                <w:lang w:val="en-US"/>
              </w:rPr>
            </w:pPr>
            <w:r>
              <w:rPr>
                <w:lang w:val="en-US"/>
              </w:rPr>
              <w:t>0,0</w:t>
            </w:r>
          </w:p>
        </w:tc>
        <w:tc>
          <w:tcPr>
            <w:tcW w:w="840" w:type="dxa"/>
            <w:tcBorders>
              <w:top w:val="nil"/>
              <w:bottom w:val="single" w:sz="4" w:space="0" w:color="auto"/>
            </w:tcBorders>
            <w:vAlign w:val="bottom"/>
          </w:tcPr>
          <w:p w:rsidR="00000000" w:rsidRDefault="00000000">
            <w:pPr>
              <w:jc w:val="right"/>
              <w:rPr>
                <w:lang w:val="en-US"/>
              </w:rPr>
            </w:pPr>
            <w:r>
              <w:rPr>
                <w:lang w:val="en-US"/>
              </w:rPr>
              <w:t>0,0</w:t>
            </w:r>
          </w:p>
        </w:tc>
        <w:tc>
          <w:tcPr>
            <w:tcW w:w="784" w:type="dxa"/>
            <w:tcBorders>
              <w:top w:val="nil"/>
              <w:bottom w:val="single" w:sz="4" w:space="0" w:color="auto"/>
            </w:tcBorders>
            <w:vAlign w:val="bottom"/>
          </w:tcPr>
          <w:p w:rsidR="00000000" w:rsidRDefault="00000000">
            <w:pPr>
              <w:jc w:val="right"/>
              <w:rPr>
                <w:lang w:val="en-US"/>
              </w:rPr>
            </w:pPr>
            <w:r>
              <w:rPr>
                <w:lang w:val="en-US"/>
              </w:rPr>
              <w:t>0,9</w:t>
            </w:r>
          </w:p>
        </w:tc>
        <w:tc>
          <w:tcPr>
            <w:tcW w:w="756" w:type="dxa"/>
            <w:tcBorders>
              <w:top w:val="nil"/>
              <w:bottom w:val="single" w:sz="4" w:space="0" w:color="auto"/>
            </w:tcBorders>
            <w:vAlign w:val="bottom"/>
          </w:tcPr>
          <w:p w:rsidR="00000000" w:rsidRDefault="00000000">
            <w:pPr>
              <w:jc w:val="right"/>
              <w:rPr>
                <w:lang w:val="en-US"/>
              </w:rPr>
            </w:pPr>
            <w:r>
              <w:rPr>
                <w:lang w:val="en-US"/>
              </w:rPr>
              <w:t>0,6</w:t>
            </w:r>
          </w:p>
        </w:tc>
      </w:tr>
      <w:tr w:rsidR="00000000">
        <w:tblPrEx>
          <w:tblCellMar>
            <w:top w:w="0" w:type="dxa"/>
            <w:bottom w:w="0" w:type="dxa"/>
          </w:tblCellMar>
        </w:tblPrEx>
        <w:trPr>
          <w:trHeight w:val="87"/>
        </w:trPr>
        <w:tc>
          <w:tcPr>
            <w:tcW w:w="2142" w:type="dxa"/>
            <w:tcBorders>
              <w:top w:val="single" w:sz="4" w:space="0" w:color="auto"/>
              <w:bottom w:val="single" w:sz="4" w:space="0" w:color="auto"/>
            </w:tcBorders>
          </w:tcPr>
          <w:p w:rsidR="00000000" w:rsidRDefault="00000000">
            <w:pPr>
              <w:pStyle w:val="Header"/>
              <w:tabs>
                <w:tab w:val="left" w:pos="266"/>
              </w:tabs>
              <w:spacing w:line="240" w:lineRule="auto"/>
              <w:ind w:left="266" w:hanging="266"/>
              <w:rPr>
                <w:sz w:val="20"/>
              </w:rPr>
            </w:pPr>
            <w:r>
              <w:rPr>
                <w:sz w:val="20"/>
              </w:rPr>
              <w:tab/>
              <w:t>Всего учащихся в системе образования без отрыва от производства</w:t>
            </w:r>
          </w:p>
        </w:tc>
        <w:tc>
          <w:tcPr>
            <w:tcW w:w="1288" w:type="dxa"/>
            <w:tcBorders>
              <w:top w:val="single" w:sz="4" w:space="0" w:color="auto"/>
              <w:bottom w:val="single" w:sz="4" w:space="0" w:color="auto"/>
            </w:tcBorders>
            <w:vAlign w:val="bottom"/>
          </w:tcPr>
          <w:p w:rsidR="00000000" w:rsidRDefault="00000000">
            <w:pPr>
              <w:spacing w:line="240" w:lineRule="auto"/>
              <w:ind w:right="179"/>
              <w:jc w:val="right"/>
            </w:pPr>
            <w:r>
              <w:t>168,4</w:t>
            </w:r>
          </w:p>
        </w:tc>
        <w:tc>
          <w:tcPr>
            <w:tcW w:w="1390" w:type="dxa"/>
            <w:tcBorders>
              <w:top w:val="single" w:sz="4" w:space="0" w:color="auto"/>
              <w:bottom w:val="single" w:sz="4" w:space="0" w:color="auto"/>
            </w:tcBorders>
            <w:vAlign w:val="bottom"/>
          </w:tcPr>
          <w:p w:rsidR="00000000" w:rsidRDefault="00000000">
            <w:pPr>
              <w:spacing w:line="240" w:lineRule="auto"/>
              <w:ind w:right="476"/>
              <w:jc w:val="right"/>
              <w:rPr>
                <w:lang w:val="en-US"/>
              </w:rPr>
            </w:pPr>
            <w:r>
              <w:rPr>
                <w:lang w:val="en-US"/>
              </w:rPr>
              <w:t>170,9</w:t>
            </w:r>
          </w:p>
        </w:tc>
        <w:tc>
          <w:tcPr>
            <w:tcW w:w="1259" w:type="dxa"/>
            <w:tcBorders>
              <w:top w:val="single" w:sz="4" w:space="0" w:color="auto"/>
              <w:bottom w:val="single" w:sz="4" w:space="0" w:color="auto"/>
            </w:tcBorders>
            <w:vAlign w:val="bottom"/>
          </w:tcPr>
          <w:p w:rsidR="00000000" w:rsidRDefault="00000000">
            <w:pPr>
              <w:tabs>
                <w:tab w:val="clear" w:pos="567"/>
                <w:tab w:val="clear" w:pos="1134"/>
              </w:tabs>
              <w:spacing w:line="240" w:lineRule="auto"/>
              <w:ind w:right="137"/>
              <w:jc w:val="right"/>
              <w:rPr>
                <w:lang w:val="en-US"/>
              </w:rPr>
            </w:pPr>
            <w:r>
              <w:rPr>
                <w:lang w:val="en-US"/>
              </w:rPr>
              <w:t>339,3</w:t>
            </w:r>
          </w:p>
        </w:tc>
        <w:tc>
          <w:tcPr>
            <w:tcW w:w="770" w:type="dxa"/>
            <w:tcBorders>
              <w:top w:val="single" w:sz="4" w:space="0" w:color="auto"/>
              <w:bottom w:val="single" w:sz="4" w:space="0" w:color="auto"/>
            </w:tcBorders>
            <w:vAlign w:val="bottom"/>
          </w:tcPr>
          <w:p w:rsidR="00000000" w:rsidRDefault="00000000">
            <w:pPr>
              <w:spacing w:line="240" w:lineRule="auto"/>
              <w:jc w:val="right"/>
              <w:rPr>
                <w:lang w:val="en-US"/>
              </w:rPr>
            </w:pPr>
            <w:r>
              <w:rPr>
                <w:lang w:val="en-US"/>
              </w:rPr>
              <w:t>0,0</w:t>
            </w:r>
          </w:p>
        </w:tc>
        <w:tc>
          <w:tcPr>
            <w:tcW w:w="840" w:type="dxa"/>
            <w:tcBorders>
              <w:top w:val="single" w:sz="4" w:space="0" w:color="auto"/>
              <w:bottom w:val="single" w:sz="4" w:space="0" w:color="auto"/>
            </w:tcBorders>
            <w:vAlign w:val="bottom"/>
          </w:tcPr>
          <w:p w:rsidR="00000000" w:rsidRDefault="00000000">
            <w:pPr>
              <w:spacing w:line="240" w:lineRule="auto"/>
              <w:jc w:val="right"/>
              <w:rPr>
                <w:lang w:val="en-US"/>
              </w:rPr>
            </w:pPr>
            <w:r>
              <w:rPr>
                <w:lang w:val="en-US"/>
              </w:rPr>
              <w:t>2,5</w:t>
            </w:r>
          </w:p>
        </w:tc>
        <w:tc>
          <w:tcPr>
            <w:tcW w:w="784" w:type="dxa"/>
            <w:tcBorders>
              <w:top w:val="single" w:sz="4" w:space="0" w:color="auto"/>
              <w:bottom w:val="single" w:sz="4" w:space="0" w:color="auto"/>
            </w:tcBorders>
            <w:vAlign w:val="bottom"/>
          </w:tcPr>
          <w:p w:rsidR="00000000" w:rsidRDefault="00000000">
            <w:pPr>
              <w:spacing w:line="240" w:lineRule="auto"/>
              <w:jc w:val="right"/>
              <w:rPr>
                <w:lang w:val="en-US"/>
              </w:rPr>
            </w:pPr>
            <w:r>
              <w:rPr>
                <w:lang w:val="en-US"/>
              </w:rPr>
              <w:t>7,5</w:t>
            </w:r>
          </w:p>
        </w:tc>
        <w:tc>
          <w:tcPr>
            <w:tcW w:w="756" w:type="dxa"/>
            <w:tcBorders>
              <w:top w:val="single" w:sz="4" w:space="0" w:color="auto"/>
              <w:bottom w:val="single" w:sz="4" w:space="0" w:color="auto"/>
            </w:tcBorders>
            <w:vAlign w:val="bottom"/>
          </w:tcPr>
          <w:p w:rsidR="00000000" w:rsidRDefault="00000000">
            <w:pPr>
              <w:spacing w:line="240" w:lineRule="auto"/>
              <w:jc w:val="right"/>
              <w:rPr>
                <w:lang w:val="en-US"/>
              </w:rPr>
            </w:pPr>
            <w:r>
              <w:rPr>
                <w:lang w:val="en-US"/>
              </w:rPr>
              <w:t>1,9</w:t>
            </w:r>
          </w:p>
        </w:tc>
      </w:tr>
    </w:tbl>
    <w:p w:rsidR="00000000" w:rsidRDefault="00000000">
      <w:pPr>
        <w:spacing w:line="240" w:lineRule="auto"/>
        <w:rPr>
          <w:lang w:val="en-US"/>
        </w:rPr>
      </w:pPr>
    </w:p>
    <w:p w:rsidR="00000000" w:rsidRDefault="00000000">
      <w:pPr>
        <w:rPr>
          <w:i/>
          <w:iCs/>
        </w:rPr>
      </w:pPr>
      <w:r>
        <w:tab/>
      </w:r>
      <w:r>
        <w:rPr>
          <w:i/>
          <w:iCs/>
        </w:rPr>
        <w:t>Сокращения:</w:t>
      </w:r>
    </w:p>
    <w:p w:rsidR="00000000" w:rsidRDefault="00000000">
      <w:pPr>
        <w:rPr>
          <w:i/>
          <w:iCs/>
        </w:rPr>
      </w:pPr>
    </w:p>
    <w:p w:rsidR="00000000" w:rsidRDefault="00000000">
      <w:r>
        <w:rPr>
          <w:i/>
          <w:iCs/>
        </w:rPr>
        <w:tab/>
      </w:r>
      <w:r>
        <w:t>ОНО - Общее начальное образование</w:t>
      </w:r>
    </w:p>
    <w:p w:rsidR="00000000" w:rsidRDefault="00000000">
      <w:r>
        <w:tab/>
      </w:r>
      <w:proofErr w:type="spellStart"/>
      <w:r>
        <w:t>СНО</w:t>
      </w:r>
      <w:proofErr w:type="spellEnd"/>
      <w:r>
        <w:t xml:space="preserve"> - Специальное начальное образование</w:t>
      </w:r>
    </w:p>
    <w:p w:rsidR="00000000" w:rsidRDefault="00000000">
      <w:r>
        <w:tab/>
      </w:r>
      <w:proofErr w:type="spellStart"/>
      <w:r>
        <w:t>НССО</w:t>
      </w:r>
      <w:proofErr w:type="spellEnd"/>
      <w:r>
        <w:t xml:space="preserve"> - Начальное и среднее специальное образование</w:t>
      </w:r>
    </w:p>
    <w:p w:rsidR="00000000" w:rsidRDefault="00000000">
      <w:r>
        <w:tab/>
      </w:r>
      <w:proofErr w:type="spellStart"/>
      <w:r>
        <w:t>ПГ1-3</w:t>
      </w:r>
      <w:proofErr w:type="spellEnd"/>
      <w:r>
        <w:t xml:space="preserve"> - Переходные годы 1-3</w:t>
      </w:r>
    </w:p>
    <w:p w:rsidR="00000000" w:rsidRDefault="00000000">
      <w:r>
        <w:tab/>
      </w:r>
      <w:proofErr w:type="spellStart"/>
      <w:r>
        <w:t>СОТУ</w:t>
      </w:r>
      <w:proofErr w:type="spellEnd"/>
      <w:r>
        <w:t xml:space="preserve"> - Среднее образование с трудовым уклоном</w:t>
      </w:r>
    </w:p>
    <w:p w:rsidR="00000000" w:rsidRDefault="00000000">
      <w:r>
        <w:tab/>
      </w:r>
      <w:proofErr w:type="spellStart"/>
      <w:r>
        <w:t>ОСО</w:t>
      </w:r>
      <w:proofErr w:type="spellEnd"/>
      <w:r>
        <w:t xml:space="preserve"> - Общее среднее образование</w:t>
      </w:r>
    </w:p>
    <w:p w:rsidR="00000000" w:rsidRDefault="00000000">
      <w:r>
        <w:tab/>
      </w:r>
      <w:proofErr w:type="spellStart"/>
      <w:r>
        <w:t>ПУО</w:t>
      </w:r>
      <w:proofErr w:type="spellEnd"/>
      <w:r>
        <w:t xml:space="preserve"> - Предуниверситетское образование</w:t>
      </w:r>
    </w:p>
    <w:p w:rsidR="00000000" w:rsidRDefault="00000000">
      <w:r>
        <w:tab/>
      </w:r>
      <w:proofErr w:type="spellStart"/>
      <w:r>
        <w:t>ПТО</w:t>
      </w:r>
      <w:proofErr w:type="spellEnd"/>
      <w:r>
        <w:t xml:space="preserve"> (</w:t>
      </w:r>
      <w:proofErr w:type="spellStart"/>
      <w:r>
        <w:t>ПТПСОП</w:t>
      </w:r>
      <w:proofErr w:type="spellEnd"/>
      <w:r>
        <w:t xml:space="preserve"> и ПТОЧОП) - Профессионально-техническое образование</w:t>
      </w:r>
    </w:p>
    <w:p w:rsidR="00000000" w:rsidRDefault="00000000">
      <w:r>
        <w:tab/>
      </w:r>
      <w:proofErr w:type="spellStart"/>
      <w:r>
        <w:t>ПТПСОП</w:t>
      </w:r>
      <w:proofErr w:type="spellEnd"/>
      <w:r>
        <w:t xml:space="preserve"> - Профессионально-техническая подготовка с отрывом от производства</w:t>
      </w:r>
    </w:p>
    <w:p w:rsidR="00000000" w:rsidRDefault="00000000">
      <w:r>
        <w:tab/>
      </w:r>
      <w:proofErr w:type="spellStart"/>
      <w:r>
        <w:t>ВПО</w:t>
      </w:r>
      <w:proofErr w:type="spellEnd"/>
      <w:r>
        <w:t xml:space="preserve"> - Высшее профессиональное образование</w:t>
      </w:r>
    </w:p>
    <w:p w:rsidR="00000000" w:rsidRDefault="00000000">
      <w:r>
        <w:tab/>
      </w:r>
      <w:proofErr w:type="spellStart"/>
      <w:r>
        <w:t>УО</w:t>
      </w:r>
      <w:proofErr w:type="spellEnd"/>
      <w:r>
        <w:t xml:space="preserve"> - Университетское образование</w:t>
      </w:r>
    </w:p>
    <w:p w:rsidR="00000000" w:rsidRDefault="00000000">
      <w:pPr>
        <w:ind w:left="1701" w:hanging="1701"/>
      </w:pPr>
      <w:r>
        <w:tab/>
      </w:r>
      <w:proofErr w:type="spellStart"/>
      <w:r>
        <w:t>ПТОЧОП</w:t>
      </w:r>
      <w:proofErr w:type="spellEnd"/>
      <w:r>
        <w:t xml:space="preserve"> - Профессионально-техническое образование с частичным отрывом от</w:t>
      </w:r>
    </w:p>
    <w:p w:rsidR="00000000" w:rsidRDefault="00000000">
      <w:pPr>
        <w:ind w:left="1701" w:hanging="1701"/>
      </w:pPr>
      <w:r>
        <w:tab/>
      </w:r>
      <w:r>
        <w:tab/>
      </w:r>
      <w:r>
        <w:tab/>
        <w:t xml:space="preserve"> производства</w:t>
      </w:r>
    </w:p>
    <w:p w:rsidR="00000000" w:rsidRDefault="00000000">
      <w:pPr>
        <w:ind w:left="1701" w:hanging="1701"/>
      </w:pPr>
      <w:r>
        <w:tab/>
      </w:r>
      <w:proofErr w:type="spellStart"/>
      <w:r>
        <w:t>ПТПБОП</w:t>
      </w:r>
      <w:proofErr w:type="spellEnd"/>
      <w:r>
        <w:t xml:space="preserve"> - Профессионально-техническая подготовка без отрыва от производства</w:t>
      </w:r>
    </w:p>
    <w:p w:rsidR="00000000" w:rsidRDefault="00000000">
      <w:pPr>
        <w:ind w:left="1701" w:hanging="1701"/>
      </w:pPr>
      <w:r>
        <w:tab/>
      </w:r>
      <w:proofErr w:type="spellStart"/>
      <w:r>
        <w:t>ВПОБОП</w:t>
      </w:r>
      <w:proofErr w:type="spellEnd"/>
      <w:r>
        <w:t xml:space="preserve"> - Высшее профессиональное образование без отрыва от производства</w:t>
      </w:r>
    </w:p>
    <w:p w:rsidR="00000000" w:rsidRDefault="00000000">
      <w:pPr>
        <w:ind w:left="1701" w:hanging="1701"/>
      </w:pPr>
      <w:r>
        <w:tab/>
      </w:r>
      <w:proofErr w:type="spellStart"/>
      <w:r>
        <w:t>ОСОВ</w:t>
      </w:r>
      <w:proofErr w:type="spellEnd"/>
      <w:r>
        <w:t xml:space="preserve"> - Общее среднее образование для взрослых</w:t>
      </w:r>
    </w:p>
    <w:p w:rsidR="00000000" w:rsidRDefault="00000000">
      <w:pPr>
        <w:ind w:left="1701" w:hanging="1701"/>
        <w:jc w:val="center"/>
        <w:rPr>
          <w:b/>
          <w:bCs/>
        </w:rPr>
      </w:pPr>
    </w:p>
    <w:p w:rsidR="00000000" w:rsidRDefault="00000000">
      <w:pPr>
        <w:ind w:left="1701" w:hanging="1701"/>
        <w:jc w:val="center"/>
        <w:rPr>
          <w:b/>
          <w:bCs/>
        </w:rPr>
      </w:pPr>
      <w:r>
        <w:rPr>
          <w:b/>
          <w:bCs/>
        </w:rPr>
        <w:t xml:space="preserve">3.8.4.1   </w:t>
      </w:r>
      <w:proofErr w:type="spellStart"/>
      <w:r>
        <w:rPr>
          <w:b/>
          <w:bCs/>
        </w:rPr>
        <w:t>Гендерный</w:t>
      </w:r>
      <w:proofErr w:type="spellEnd"/>
      <w:r>
        <w:rPr>
          <w:b/>
          <w:bCs/>
        </w:rPr>
        <w:t xml:space="preserve"> баланс</w:t>
      </w:r>
    </w:p>
    <w:p w:rsidR="00000000" w:rsidRDefault="00000000">
      <w:pPr>
        <w:ind w:left="1701" w:hanging="1701"/>
        <w:jc w:val="center"/>
        <w:rPr>
          <w:b/>
          <w:bCs/>
        </w:rPr>
      </w:pPr>
    </w:p>
    <w:p w:rsidR="00000000" w:rsidRDefault="00000000">
      <w:r>
        <w:t>504.</w:t>
      </w:r>
      <w:r>
        <w:tab/>
        <w:t xml:space="preserve">В Нидерландах отмечается неуклонный рост среднего возраста учителей начальных школ.  Доля преподавателей более старшего возраста увеличивается и среди мужчин, и среди женщин, однако наиболее заметно это проявляется среди учителей-мужчин.  В 1997 году учителей-мужчин в возрасте 50 лет и старше насчитывалось немногим более 27%;  в 2001 году эта цифра достигала почти 42%.  Гендерный баланс имеет тесную корреляцию с возрастным параметром:  чем младше возрастная группа, тем больше процент женщин.  В группе до 25 лет мужчины составляют 10%;  в группе старше 50 лет их насчитывается </w:t>
      </w:r>
      <w:proofErr w:type="spellStart"/>
      <w:r>
        <w:t>40%</w:t>
      </w:r>
      <w:proofErr w:type="spellEnd"/>
      <w:r>
        <w:t>.</w:t>
      </w:r>
    </w:p>
    <w:p w:rsidR="00000000" w:rsidRDefault="00000000"/>
    <w:p w:rsidR="00000000" w:rsidRDefault="00000000">
      <w:r>
        <w:t>505.</w:t>
      </w:r>
      <w:r>
        <w:tab/>
        <w:t>Численность мальчиков и девочек в системе среднего образования Нидерландов является равной на протяжении многих лет.  В обзорах положения в области равенства прав и возможностей за 2000 и 2002 годы, опубликованных совместными усилиями Управления социального и культурного планирования Нидерландов (УСКП) и Статистического управления Нидерландов (СУН), отмечается, что в голландской системе образования девочки догнали по своей численности мальчиков еще в 70-е годы.  Мужчины и женщины в возрасте от 25 до 44 лет имеют сегодня приблизительно одинаковый уровень образования.</w:t>
      </w:r>
    </w:p>
    <w:p w:rsidR="00000000" w:rsidRDefault="00000000"/>
    <w:p w:rsidR="00000000" w:rsidRDefault="00000000">
      <w:r>
        <w:t>506.</w:t>
      </w:r>
      <w:r>
        <w:tab/>
        <w:t>В наши дни девочки в целом опережают мальчиков по своим показателям в системе образования.  В связи с этим политика в вопросах уравнения прав и возможностей нацелена сегодня на то, чтобы подготовить и девочек, и мальчиков к тем многочисленным перспективам, которые открывает перед ними будущее.  Это значит, что и девочки, и мальчики, когда они вырастут, должны будут заниматься оплачиваемой трудовой деятельностью, выполнять семейные обязанности и иметь более широкие социальные функции.</w:t>
      </w:r>
    </w:p>
    <w:p w:rsidR="00000000" w:rsidRDefault="00000000"/>
    <w:p w:rsidR="00000000" w:rsidRDefault="00000000">
      <w:r>
        <w:t>507.</w:t>
      </w:r>
      <w:r>
        <w:tab/>
        <w:t>Политика уравнения прав и возможностей охватывает все типы образования.  Сегодня больше внимания уделяется роли образования как такового, и политика ориентирована как на девочек, так и на мальчиков.  Деятельность Министерства образования, науки и культуры в области уравнения прав и возможностей включает работу над вопросами, касающимися выбора будущей профессии молодыми людьми и отношения к техническим дисциплинам (особенно со стороны девочек).  В обзоре положения в области равенства прав и возможностей за 2002 год отмечалось, что мальчики и девочки по</w:t>
      </w:r>
      <w:r>
        <w:noBreakHyphen/>
        <w:t>прежнему склонны следовать традиционным путям при выборе профиля обучения и будущей профессии.  Поэтому именно этот процесс выбора предметов и профессии и является сегодня центральным объектом стратегии Министерства образования, науки и культуры в области обеспечения гендерного равенства.  Цель состоит в том, чтобы добиться большей сбалансированности принимаемых решений и помочь молодым людям сделать более смелый и самостоятельный выбор в этих вопросах.</w:t>
      </w:r>
    </w:p>
    <w:p w:rsidR="00000000" w:rsidRDefault="00000000">
      <w:r>
        <w:br w:type="page"/>
      </w:r>
    </w:p>
    <w:p w:rsidR="00000000" w:rsidRDefault="00000000">
      <w:pPr>
        <w:jc w:val="center"/>
        <w:rPr>
          <w:b/>
          <w:bCs/>
        </w:rPr>
      </w:pPr>
      <w:r>
        <w:rPr>
          <w:b/>
          <w:bCs/>
        </w:rPr>
        <w:t>3.8.4.2    Уязвимые группы в обществе</w:t>
      </w:r>
    </w:p>
    <w:p w:rsidR="00000000" w:rsidRDefault="00000000">
      <w:pPr>
        <w:jc w:val="center"/>
        <w:rPr>
          <w:b/>
          <w:bCs/>
        </w:rPr>
      </w:pPr>
    </w:p>
    <w:p w:rsidR="00000000" w:rsidRDefault="00000000">
      <w:pPr>
        <w:rPr>
          <w:b/>
          <w:bCs/>
        </w:rPr>
      </w:pPr>
      <w:r>
        <w:rPr>
          <w:b/>
          <w:bCs/>
        </w:rPr>
        <w:t>Иностранцы</w:t>
      </w:r>
    </w:p>
    <w:p w:rsidR="00000000" w:rsidRDefault="00000000">
      <w:pPr>
        <w:rPr>
          <w:b/>
          <w:bCs/>
        </w:rPr>
      </w:pPr>
    </w:p>
    <w:p w:rsidR="00000000" w:rsidRDefault="00000000">
      <w:r>
        <w:t>508.</w:t>
      </w:r>
      <w:r>
        <w:tab/>
        <w:t xml:space="preserve">Закон об обязательном образовании применяется ко всем меньшинствам, проживающим в Нидерландах, вне зависимости от того, находятся ли они в стране на законной основе или нет.  Кроме того, при определенных условиях иностранцам разрешается оставаться в Нидерландах для целей обучения.  </w:t>
      </w:r>
    </w:p>
    <w:p w:rsidR="00000000" w:rsidRDefault="00000000"/>
    <w:p w:rsidR="00000000" w:rsidRDefault="00000000">
      <w:pPr>
        <w:rPr>
          <w:b/>
          <w:bCs/>
        </w:rPr>
      </w:pPr>
      <w:r>
        <w:rPr>
          <w:b/>
          <w:bCs/>
        </w:rPr>
        <w:t>Интеграция</w:t>
      </w:r>
    </w:p>
    <w:p w:rsidR="00000000" w:rsidRDefault="00000000">
      <w:pPr>
        <w:rPr>
          <w:b/>
          <w:bCs/>
        </w:rPr>
      </w:pPr>
    </w:p>
    <w:p w:rsidR="00000000" w:rsidRDefault="00000000">
      <w:r>
        <w:t>509.</w:t>
      </w:r>
      <w:r>
        <w:tab/>
        <w:t>В 1990 году одним из направлений политики в отношении меньшинств стало положение взрослых иммигрантов, не относящихся к категории лиц обязательного школьного возраста.  В основе нынешней политики в области интеграции лежит Закон об интеграции вновь прибывших иммигрантов, который вступил в силу в 1998 году.  Его цель состоит в том, чтобы вновь прибывшие иммигранты могли в полном объеме пользоваться услугами и возможностями, доступными для всего населения страны, и не превращались в нижний класс голландского общества.  Важно и то, что он направлен на оказание помощи вновь прибывшим иммигрантам в деле их полномасштабной интеграции в голландское общество.  В этой связи лица из стран, не входящих в состав Европейского союза, должны участвовать в ознакомительных программах, которые рассматриваются в качестве первого шага в длительном процессе интеграции.  Эти программы включают изучение языка, профессиональную ориентацию и ознакомление с условиями жизни в Нидерландах.</w:t>
      </w:r>
    </w:p>
    <w:p w:rsidR="00000000" w:rsidRDefault="00000000"/>
    <w:p w:rsidR="00000000" w:rsidRDefault="00000000">
      <w:r>
        <w:t>510.</w:t>
      </w:r>
      <w:r>
        <w:tab/>
        <w:t>Ознакомительные программы предназначены для тех, кто прибыл в Нидерланды официальным путем и планирует оставаться здесь на постоянной основе.  Они ориентированы на лиц в возрасте 18 лет и старше (иного возрастного предела не установлено), получившим вид на жительство или статус беженцев и находящимся в неблагоприятном положении в обществе.  В принципе они открыты для всех лиц, недавно прибывших в страну, но - поскольку многие способны адаптироваться без посторонней помощи - они конкретно рассчитаны на выходцев из стран, гражданам которых трудно адаптироваться к жизни в Нидерландах (т.е. стран, не входящих в состав Европейского союза).</w:t>
      </w:r>
    </w:p>
    <w:p w:rsidR="00000000" w:rsidRDefault="00000000"/>
    <w:p w:rsidR="00000000" w:rsidRDefault="00000000">
      <w:r>
        <w:t>511.</w:t>
      </w:r>
      <w:r>
        <w:tab/>
        <w:t>Муниципальные власти отвечают за составлением программ местного уровня и за организацию их максимально эффективного выполнения.  Функция центрального правительства состоит главным образом в разработке типовой программы, которая должна служить образцом для муниципальных властей, а также в оказании поддержки и создании (финансовых) стимулов для этих местных органов власти.  Объем средств, направляемых центральным правительством на местный уровень, зависит от числа участников ознакомительной программы в каждом муниципалитете.</w:t>
      </w:r>
    </w:p>
    <w:p w:rsidR="00000000" w:rsidRDefault="00000000"/>
    <w:p w:rsidR="00000000" w:rsidRDefault="00000000">
      <w:r>
        <w:t>512.</w:t>
      </w:r>
      <w:r>
        <w:tab/>
        <w:t xml:space="preserve">Процедура является следующей.  После регистрации в департаменте по делам иностранцев и в муниципальном регистрационном бюро каждый вновь прибывший иностранец приглашается на первоначальное собеседование для выявления имеющихся у него потребностей.  На основе результатов этого первоначального собеседования составляется соответствующая программа, которая является обязательной для выполнения.  Программа включает курс изучения основ голландского общества и языка (который завершают приблизительно 92% участников), а также индивидуальные консультации по вопросам, касающимся общественных услуг, обучения детей и/или ухода за ними, профессиональной подготовки и/или трудоустройства.  Таким образом, муниципальные органы дают иммигрантам возможность быстро и эффективно интегрироваться в общество.  Лица, прибывшие в Нидерланды до 1998 года и в связи с этим не охваченные ознакомительной программой, поощряются к участию в этой ознакомительной инициативе.  Однако в этом случае их участие не является обязательным. </w:t>
      </w:r>
    </w:p>
    <w:p w:rsidR="00000000" w:rsidRDefault="00000000"/>
    <w:p w:rsidR="00000000" w:rsidRDefault="00000000">
      <w:pPr>
        <w:rPr>
          <w:b/>
          <w:bCs/>
        </w:rPr>
      </w:pPr>
      <w:r>
        <w:rPr>
          <w:b/>
          <w:bCs/>
        </w:rPr>
        <w:t>Поощрение равного доступа к образованию;  антидискриминационные меры</w:t>
      </w:r>
    </w:p>
    <w:p w:rsidR="00000000" w:rsidRDefault="00000000">
      <w:pPr>
        <w:rPr>
          <w:b/>
          <w:bCs/>
        </w:rPr>
      </w:pPr>
    </w:p>
    <w:p w:rsidR="00000000" w:rsidRDefault="00000000">
      <w:r>
        <w:t>513.</w:t>
      </w:r>
      <w:r>
        <w:tab/>
        <w:t>В 1986 году правительство Нидерландов приняло комплексный пакет мер для решения проблем неравенства, существующих в области образования, который заменил собой более общие стратегии, проводившиеся ранее.  Эта комплексная Программа приоритетов в области образования (ППО) была нацелена на учащихся, которые в силу своего социально-экономического, культурного или этнического происхождения имеют низкую успеваемость.  Школы с высоким процентом таких детей стали получать дополнительные ресурсы.</w:t>
      </w:r>
    </w:p>
    <w:p w:rsidR="00000000" w:rsidRDefault="00000000"/>
    <w:p w:rsidR="00000000" w:rsidRDefault="00000000">
      <w:r>
        <w:t>514.</w:t>
      </w:r>
      <w:r>
        <w:tab/>
        <w:t>1 августа 1997 года Программа приоритетов в области образования была заменена Программой компенсационных мер муниципального уровня (ПКМ) в области начального и среднего образования.  Цель остается той же:  повышение успеваемости и расширение возможностей обучения для детей и подростков, которые в силу своего происхождения оказываются в неблагоприятном положении.  Их средние показатели в сфере образования в конечном итоге не должны отличаться от соответствующих показателей для других детей.</w:t>
      </w:r>
    </w:p>
    <w:p w:rsidR="00000000" w:rsidRDefault="00000000"/>
    <w:p w:rsidR="00000000" w:rsidRDefault="00000000">
      <w:r>
        <w:t>515.</w:t>
      </w:r>
      <w:r>
        <w:tab/>
        <w:t xml:space="preserve">Программа ПКМ входит в число направлений деятельности правительства, осуществляемой через муниципалитеты.  Для эффективного осуществления этой программы муниципалитеты, охваченные программой ПКМ, обязаны составлять местные планы компенсационных мер.  Эти планы составляются на основе Национальной стратегической платформы (НСП), разрабатываемой центральным правительством на четырехлетний период.  Второй четырехлетний период (2002-2006 годы) начался 1 августа 2002 года.  Национальная стратегическая платформа на этот период была одобрена 18 сентября 2001 года.  Ее акценты отличаются от тех приоритетов, которые были установлены в предшествующей программе.  Были изменены цели и повышены требования, больше внимания уделено практическим результатам.  Расширена сфера охвата платформы, в которую была включена работа на дошкольном/начальном этапе и стратегия расширения возможностей в сфере образования.  Для обеспечения того, чтобы все дети имели равные возможности в системе образования, в национальной стратегической платформе намечены четыре приоритета:  </w:t>
      </w:r>
    </w:p>
    <w:p w:rsidR="00000000" w:rsidRDefault="00000000"/>
    <w:p w:rsidR="00000000" w:rsidRDefault="00000000">
      <w:pPr>
        <w:ind w:left="1134" w:hanging="1134"/>
      </w:pPr>
      <w:r>
        <w:tab/>
        <w:t>1.</w:t>
      </w:r>
      <w:r>
        <w:tab/>
        <w:t>Работа на дошкольном/начальном этапе.  Цель состоит в улучшении исходных условий для детей, принадлежащих к целевой группе, например в плане владения голландским языком.  На 2006 год поставлена конкретная цель добиться по меньшей мере 50-процентного охвата целевой группы эффективными программами начального этапа.</w:t>
      </w:r>
    </w:p>
    <w:p w:rsidR="00000000" w:rsidRDefault="00000000">
      <w:pPr>
        <w:ind w:left="1134" w:hanging="1134"/>
      </w:pPr>
    </w:p>
    <w:p w:rsidR="00000000" w:rsidRDefault="00000000">
      <w:pPr>
        <w:ind w:left="1134" w:hanging="1134"/>
      </w:pPr>
      <w:r>
        <w:tab/>
        <w:t>2.</w:t>
      </w:r>
      <w:r>
        <w:tab/>
        <w:t>Поддержка дальнейшего обучения.  Цель состоит в обеспечении того, чтобы представленность учащихся из целевой группы в различных секторах среднего образования, профессионально-технического образования (ПТО) и высшего образования была, насколько это возможно, такой же, как и у других учащихся с аналогичными способностями.  К 2006 году намечено добиться 4</w:t>
      </w:r>
      <w:r>
        <w:noBreakHyphen/>
        <w:t>процентного увеличения доли учащихся из числа представителей этнических меньшинств в системе ОСО и ПУО.</w:t>
      </w:r>
    </w:p>
    <w:p w:rsidR="00000000" w:rsidRDefault="00000000">
      <w:pPr>
        <w:ind w:left="1134" w:hanging="1134"/>
      </w:pPr>
    </w:p>
    <w:p w:rsidR="00000000" w:rsidRDefault="00000000">
      <w:pPr>
        <w:ind w:left="1134" w:hanging="1134"/>
      </w:pPr>
      <w:r>
        <w:tab/>
        <w:t>3.</w:t>
      </w:r>
      <w:r>
        <w:tab/>
        <w:t>Снижение процента досрочно прекращающих школьное обучение.  Цель состоит в том, чтобы снизить процент учащихся, бросающих школу, не раскрыв своего академического потенциала.  К концу четырехлетнего периода в 2006 году намечено сократить число лиц, досрочно прекращающих школьное обучение, по меньшей мере на 30%.</w:t>
      </w:r>
    </w:p>
    <w:p w:rsidR="00000000" w:rsidRDefault="00000000">
      <w:pPr>
        <w:ind w:left="1134" w:hanging="1134"/>
      </w:pPr>
    </w:p>
    <w:p w:rsidR="00000000" w:rsidRDefault="00000000">
      <w:pPr>
        <w:ind w:left="1134" w:hanging="1134"/>
      </w:pPr>
      <w:r>
        <w:tab/>
        <w:t>4.</w:t>
      </w:r>
      <w:r>
        <w:tab/>
        <w:t>Владение голландским языком.  Цель состоит в том, чтобы сократить масштабы языковых проблем среди детей и подростков в целевых группах.  К концу четырехлетнего периода намечено сократить языковое отставание среди учащихся с "весовыми" коэффициентами по сравнению с их сверстниками, не имеющими таких коэффициентов, на 25%.  В начале периода обучения учащиеся турецкого и марокканского происхождения отставали по этому показателю на два года, а коренные голландцы, входящие в целевую группу, - на один год от большинства учащихся школ.</w:t>
      </w:r>
    </w:p>
    <w:p w:rsidR="00000000" w:rsidRDefault="00000000">
      <w:pPr>
        <w:ind w:left="1134" w:hanging="1134"/>
      </w:pPr>
    </w:p>
    <w:p w:rsidR="00000000" w:rsidRDefault="00000000">
      <w:pPr>
        <w:ind w:left="1134" w:hanging="1134"/>
      </w:pPr>
      <w:r>
        <w:tab/>
        <w:t>5.</w:t>
      </w:r>
      <w:r>
        <w:tab/>
        <w:t>Возможности в сфере образования.  Указанные приоритеты дополняются стратегией расширения возможностей в сфере образования, которая нацелена на повышение успеваемости учащихся, находящихся в неблагоприятном положении, посредством улучшения качества и эффективности обучения в школах с высоким процентом таких учащихся.  Для достижения этой цели осуществляются две стратегии.  Во</w:t>
      </w:r>
      <w:r>
        <w:noBreakHyphen/>
        <w:t>первых, всем начальным и средним школам с высокой численностью учащихся, находящихся в неблагоприятном положении, предоставляются дополнительные ресурсы.  Во</w:t>
      </w:r>
      <w:r>
        <w:noBreakHyphen/>
        <w:t>вторых, разработан специальный подход к расширению возможностей в сфере образования, который нацелен на повышение качества обучения в конкретных школах на основе принятия соответствующих мер, спланированных с учетом специфики учебного заведения и его социальной среды.</w:t>
      </w:r>
    </w:p>
    <w:p w:rsidR="00000000" w:rsidRDefault="00000000">
      <w:pPr>
        <w:ind w:left="1134" w:hanging="1134"/>
      </w:pPr>
    </w:p>
    <w:p w:rsidR="00000000" w:rsidRDefault="00000000">
      <w:r>
        <w:t>516.</w:t>
      </w:r>
      <w:r>
        <w:tab/>
        <w:t xml:space="preserve">Центральное правительство предоставляет муниципалитетам финансовые средства на осуществление программы ПКМ.  С 1 августа 2002 года эти средства - вместе с ресурсами на осуществление работы на дошкольном/начальном этапе и стратегии расширения возможностей в сфере образования - были предоставлены 357 муниципалитетам в форме единоразовых специальных субсидий.  Это позволяет муниципалитетам принимать комплексные меры и устанавливать свои приоритеты в этой области.  </w:t>
      </w:r>
    </w:p>
    <w:p w:rsidR="00000000" w:rsidRDefault="00000000"/>
    <w:p w:rsidR="00000000" w:rsidRDefault="00000000">
      <w:r>
        <w:t>517.</w:t>
      </w:r>
      <w:r>
        <w:tab/>
        <w:t>Средства на осуществление программы ПКМ позволяют муниципалитетам формировать специальные структуры для учащихся-иммигрантов на муниципальном уровне (например, приемные классы, программы продленного дня, системы комплексных услуг в начальных школах) и стимулировать конкретные школы к принятию стратегий и программ, нацеленных на решение проблем неравенства.  К числу примеров широко распространенной практики относятся:</w:t>
      </w:r>
    </w:p>
    <w:p w:rsidR="00000000" w:rsidRDefault="00000000"/>
    <w:p w:rsidR="00000000" w:rsidRDefault="00000000">
      <w:pPr>
        <w:ind w:left="1134" w:hanging="1134"/>
      </w:pPr>
      <w:r>
        <w:tab/>
        <w:t>-</w:t>
      </w:r>
      <w:r>
        <w:tab/>
        <w:t>приемные классы (в начальных школах) или международные переходные классы (в системе среднего образования) для детей-иммигрантов, прибывающих в Нидерланды в более старшем возрасте.  Муниципалитеты организуют такие классы в сотрудничестве со школами;</w:t>
      </w:r>
    </w:p>
    <w:p w:rsidR="00000000" w:rsidRDefault="00000000">
      <w:pPr>
        <w:ind w:left="1134" w:hanging="1134"/>
      </w:pPr>
    </w:p>
    <w:p w:rsidR="00000000" w:rsidRDefault="00000000">
      <w:pPr>
        <w:ind w:left="1134" w:hanging="1134"/>
      </w:pPr>
      <w:r>
        <w:tab/>
        <w:t>-</w:t>
      </w:r>
      <w:r>
        <w:tab/>
        <w:t>специальные языковые классы на этапе перехода от начального к среднему образованию.  В этих классах учащиеся-иммигранты с большими способностями и уровнем заинтересованности, но имеющие проблемы с голландским языком, в течение полного года проходят курс интенсивного изучения голландского языка.  Впоследствии многие из них доходят до более высоких ступеней среднего образования (ОСО или ПУО).</w:t>
      </w:r>
    </w:p>
    <w:p w:rsidR="00000000" w:rsidRDefault="00000000">
      <w:pPr>
        <w:ind w:left="1134" w:hanging="1134"/>
      </w:pPr>
    </w:p>
    <w:p w:rsidR="00000000" w:rsidRDefault="00000000">
      <w:r>
        <w:t>518.</w:t>
      </w:r>
      <w:r>
        <w:tab/>
        <w:t>В конце текущего четырехлетнего периода, т.е. 1 августа 2006 года, нынешнее правительство намерено реформировать эту программу компенсационных мер.  Часть нынешней субсидии на осуществление ПКМ (предоставляемой сегодня муниципалитетам) будет передаваться непосредственно школам в форме дополнительного финансирования на нужды начального образования в соответствии с системой весовых коэффициентов и дополнительных ресурсов на нужды среднего образования с трудовым уклоном (СОТУ).  Что касается муниципалитетов, то, помимо неизменной ответственности за работу на дошкольном/начальном этапе, на них будет возложена ответственность за переходные классы для учащихся, испытывающих острые проблемы с языком или имеющих пробелы в обучении, которые не позволяют им непосредственно интегрироваться в систему общего образования.</w:t>
      </w:r>
    </w:p>
    <w:p w:rsidR="00000000" w:rsidRDefault="00000000"/>
    <w:p w:rsidR="00000000" w:rsidRDefault="00000000">
      <w:r>
        <w:t>519.</w:t>
      </w:r>
      <w:r>
        <w:tab/>
        <w:t>Помимо средств на осуществление программы ПКМ, школы с высоким процентом учащихся из групп, находящихся в неблагоприятном положении, получают дополнительные ресурсы.  Начальные школы получают их по линии системы весовых коэффициентов, а средние школы – в рамках специальных механизмов выделения дополнительных средств для учащихся, принадлежащих к этническим меньшинствам.</w:t>
      </w:r>
    </w:p>
    <w:p w:rsidR="00000000" w:rsidRDefault="00000000"/>
    <w:p w:rsidR="00000000" w:rsidRDefault="00000000">
      <w:r>
        <w:t>520.</w:t>
      </w:r>
      <w:r>
        <w:tab/>
        <w:t>Учащийся начальной школы получает весовой коэффициент 1,9, если:</w:t>
      </w:r>
    </w:p>
    <w:p w:rsidR="00000000" w:rsidRDefault="00000000"/>
    <w:p w:rsidR="00000000" w:rsidRDefault="00000000">
      <w:pPr>
        <w:numPr>
          <w:ilvl w:val="0"/>
          <w:numId w:val="297"/>
        </w:numPr>
      </w:pPr>
      <w:r>
        <w:t>Уровень образования его или ее отца или матери (или опекуна) не превышает уровня среднего образования с трудовым уклоном;</w:t>
      </w:r>
    </w:p>
    <w:p w:rsidR="00000000" w:rsidRDefault="00000000">
      <w:pPr>
        <w:tabs>
          <w:tab w:val="clear" w:pos="1134"/>
        </w:tabs>
        <w:ind w:left="567"/>
      </w:pPr>
    </w:p>
    <w:p w:rsidR="00000000" w:rsidRDefault="00000000">
      <w:pPr>
        <w:numPr>
          <w:ilvl w:val="0"/>
          <w:numId w:val="297"/>
        </w:numPr>
      </w:pPr>
      <w:r>
        <w:t>Родитель или опекун с наибольшим доходом в семье занят в секторе физического или ручного труда и;</w:t>
      </w:r>
    </w:p>
    <w:p w:rsidR="00000000" w:rsidRDefault="00000000">
      <w:pPr>
        <w:tabs>
          <w:tab w:val="clear" w:pos="1134"/>
        </w:tabs>
        <w:ind w:left="567"/>
      </w:pPr>
    </w:p>
    <w:p w:rsidR="00000000" w:rsidRDefault="00000000">
      <w:pPr>
        <w:numPr>
          <w:ilvl w:val="0"/>
          <w:numId w:val="297"/>
        </w:numPr>
      </w:pPr>
      <w:r>
        <w:t>Является представителем населения Молуккских Островов или;</w:t>
      </w:r>
    </w:p>
    <w:p w:rsidR="00000000" w:rsidRDefault="00000000">
      <w:pPr>
        <w:tabs>
          <w:tab w:val="clear" w:pos="1134"/>
        </w:tabs>
        <w:ind w:left="567"/>
      </w:pPr>
    </w:p>
    <w:p w:rsidR="00000000" w:rsidRDefault="00000000">
      <w:pPr>
        <w:numPr>
          <w:ilvl w:val="0"/>
          <w:numId w:val="297"/>
        </w:numPr>
      </w:pPr>
      <w:r>
        <w:t>Один из родителей или опекунов является выходцем из Греции, Италии, бывшей Югославии, Кабо-Верде, Марокко, Португалии, Испании, Туниса или Турции;</w:t>
      </w:r>
    </w:p>
    <w:p w:rsidR="00000000" w:rsidRDefault="00000000">
      <w:pPr>
        <w:tabs>
          <w:tab w:val="clear" w:pos="1134"/>
        </w:tabs>
        <w:ind w:left="567"/>
      </w:pPr>
    </w:p>
    <w:p w:rsidR="00000000" w:rsidRDefault="00000000">
      <w:pPr>
        <w:numPr>
          <w:ilvl w:val="0"/>
          <w:numId w:val="297"/>
        </w:numPr>
      </w:pPr>
      <w:r>
        <w:t>Один из родителей или опекунов является выходцем из Суринама, Арубы или Нидерландских Антильских Островов;</w:t>
      </w:r>
    </w:p>
    <w:p w:rsidR="00000000" w:rsidRDefault="00000000">
      <w:pPr>
        <w:tabs>
          <w:tab w:val="clear" w:pos="1134"/>
        </w:tabs>
        <w:ind w:left="567"/>
      </w:pPr>
    </w:p>
    <w:p w:rsidR="00000000" w:rsidRDefault="00000000">
      <w:pPr>
        <w:numPr>
          <w:ilvl w:val="0"/>
          <w:numId w:val="297"/>
        </w:numPr>
      </w:pPr>
      <w:r>
        <w:t>Один из родителей или опекунов признан министром юстиции в качестве беженца по смыслу статьи 15 Закона об иностранцах;</w:t>
      </w:r>
    </w:p>
    <w:p w:rsidR="00000000" w:rsidRDefault="00000000">
      <w:pPr>
        <w:tabs>
          <w:tab w:val="clear" w:pos="1134"/>
        </w:tabs>
        <w:ind w:left="567"/>
      </w:pPr>
    </w:p>
    <w:p w:rsidR="00000000" w:rsidRDefault="00000000">
      <w:pPr>
        <w:numPr>
          <w:ilvl w:val="0"/>
          <w:numId w:val="297"/>
        </w:numPr>
      </w:pPr>
      <w:r>
        <w:t>Один из родителей или опекунов является выходцем из неанглоязычной неевропейской страны, за исключением Индонезии.</w:t>
      </w:r>
    </w:p>
    <w:p w:rsidR="00000000" w:rsidRDefault="00000000">
      <w:pPr>
        <w:tabs>
          <w:tab w:val="clear" w:pos="1134"/>
        </w:tabs>
        <w:ind w:left="567"/>
      </w:pPr>
    </w:p>
    <w:p w:rsidR="00000000" w:rsidRDefault="00000000">
      <w:r>
        <w:t>521.</w:t>
      </w:r>
      <w:r>
        <w:tab/>
        <w:t xml:space="preserve">В этом контексте термин "англоязычная неевропейская страна" означает Соединенные Штаты, Канаду, Австралию и Новую Зеландию.  Все другие неевропейские страны считаются неанглоязычными странами.  Что касается мер и критериев для распределения средств в системе среднего образования, то критерии 1 и 2 не учитываются;  применяются лишь критерии 3-7.  </w:t>
      </w:r>
    </w:p>
    <w:p w:rsidR="00000000" w:rsidRDefault="00000000"/>
    <w:p w:rsidR="00000000" w:rsidRDefault="00000000">
      <w:r>
        <w:t>522.</w:t>
      </w:r>
      <w:r>
        <w:tab/>
        <w:t>В конце текущего четырехлетнего периода, т.е. к 1 августа 2006 года, нынешнее правительство намерено реформировать систему весовых коэффициентов.  Основные изменения будут состоять в следующем:</w:t>
      </w:r>
    </w:p>
    <w:p w:rsidR="00000000" w:rsidRDefault="00000000"/>
    <w:p w:rsidR="00000000" w:rsidRDefault="00000000">
      <w:pPr>
        <w:numPr>
          <w:ilvl w:val="0"/>
          <w:numId w:val="299"/>
        </w:numPr>
      </w:pPr>
      <w:r>
        <w:t>этническое происхождение родителей больше не будет входить в число факторов, определяющих весовой коэффициент учащегося;</w:t>
      </w:r>
    </w:p>
    <w:p w:rsidR="00000000" w:rsidRDefault="00000000">
      <w:pPr>
        <w:tabs>
          <w:tab w:val="clear" w:pos="1134"/>
        </w:tabs>
        <w:ind w:left="567"/>
      </w:pPr>
    </w:p>
    <w:p w:rsidR="00000000" w:rsidRDefault="00000000">
      <w:pPr>
        <w:numPr>
          <w:ilvl w:val="0"/>
          <w:numId w:val="299"/>
        </w:numPr>
      </w:pPr>
      <w:r>
        <w:t>главным фактором будет уровень образования обоих родителей.  Это будет выражаться в форме двух категорий:  "не выше начального образования" и "не выше среднего профессионально-технического образования начальной ступени (СПТОН)/среднего образования с трудовым уклоном (СОТУ)";</w:t>
      </w:r>
    </w:p>
    <w:p w:rsidR="00000000" w:rsidRDefault="00000000">
      <w:pPr>
        <w:tabs>
          <w:tab w:val="clear" w:pos="1134"/>
        </w:tabs>
        <w:ind w:left="567"/>
      </w:pPr>
    </w:p>
    <w:p w:rsidR="00000000" w:rsidRDefault="00000000">
      <w:pPr>
        <w:numPr>
          <w:ilvl w:val="0"/>
          <w:numId w:val="299"/>
        </w:numPr>
      </w:pPr>
      <w:r>
        <w:t>каждому из этих двух уровней образования родителей будет соответствовать свой весовой коэффициент.  Для учащихся, испытывающих особые проблемы с языком, будет предусмотрен дополнительный весовой коэффициент.  Дополнительные весовые коэффициенты будут предоставляться на основе индивидуального тестирования.  В основу системы положен принцип, согласно которому наибольшие весовые коэффициенты, как правило, будут получать те учащиеся, родители которых имеют самый низкий уровень образования;</w:t>
      </w:r>
    </w:p>
    <w:p w:rsidR="00000000" w:rsidRDefault="00000000">
      <w:pPr>
        <w:tabs>
          <w:tab w:val="clear" w:pos="1134"/>
        </w:tabs>
        <w:ind w:left="567"/>
      </w:pPr>
    </w:p>
    <w:p w:rsidR="00000000" w:rsidRDefault="00000000">
      <w:pPr>
        <w:numPr>
          <w:ilvl w:val="0"/>
          <w:numId w:val="299"/>
        </w:numPr>
      </w:pPr>
      <w:r>
        <w:t>при распределении ресурсов больше внимание будет уделяться реальному отставанию учащихся в школах;</w:t>
      </w:r>
    </w:p>
    <w:p w:rsidR="00000000" w:rsidRDefault="00000000">
      <w:pPr>
        <w:tabs>
          <w:tab w:val="clear" w:pos="1134"/>
        </w:tabs>
        <w:ind w:left="567"/>
      </w:pPr>
    </w:p>
    <w:p w:rsidR="00000000" w:rsidRDefault="00000000">
      <w:pPr>
        <w:numPr>
          <w:ilvl w:val="0"/>
          <w:numId w:val="299"/>
        </w:numPr>
      </w:pPr>
      <w:r>
        <w:t>законодательство, регламентирующее новую систему весовых коэффициентов, планируется ввести в действие 1 августа 2006 года.</w:t>
      </w:r>
    </w:p>
    <w:p w:rsidR="00000000" w:rsidRDefault="00000000">
      <w:pPr>
        <w:tabs>
          <w:tab w:val="clear" w:pos="1134"/>
        </w:tabs>
        <w:ind w:left="567"/>
      </w:pPr>
    </w:p>
    <w:p w:rsidR="00000000" w:rsidRDefault="00000000">
      <w:r>
        <w:rPr>
          <w:b/>
          <w:bCs/>
        </w:rPr>
        <w:t>Дискуссии и дальнейшие реформы</w:t>
      </w:r>
    </w:p>
    <w:p w:rsidR="00000000" w:rsidRDefault="00000000"/>
    <w:p w:rsidR="00000000" w:rsidRDefault="00000000">
      <w:r>
        <w:t>523.</w:t>
      </w:r>
      <w:r>
        <w:tab/>
        <w:t>Сегодня в Нидерландах активно дискутируется вопрос о социальной структуре контингента учащихся школ и все более широкую поддержку встречает идея того, что высокая концентрация детей-иммигрантов в школах оказывает негативное влияние на развитие познавательных способностей учащихся и на социальные отношения – как в школах, так и обществе в целом.  В крупных городах более половины детей обязательного школьного возраста являются выходцами из иммигрантской среды.  Какого-либо пути для достижения более сбалансированного распределения детей-иммигрантов и детей из числа представителей коренного населения страны на сегодняшний день пока не найдено.  Напряженность, связанная с растущим разнообразием исходных культурных укладов среди учащихся школ, нашла отражение в запрете ношения платков мусульманскими девочками, который был введен в некоторых школах.  (Вынесено несколько судебных решений, позволяющих школьным администрациям запрещать ношение предметов одежды, которые, по их мнению, создают помехи нормальному учебному процессу или препятствуют непосредственному визуальному контакту между учителем и учащимися.)  Это напряженность находит также отражение в сложности внедрения таких подходов к преподаванию неязыковых предметов, которые учитывали бы уровень владения языком.</w:t>
      </w:r>
    </w:p>
    <w:p w:rsidR="00000000" w:rsidRDefault="00000000"/>
    <w:p w:rsidR="00000000" w:rsidRDefault="00000000">
      <w:r>
        <w:t>524.</w:t>
      </w:r>
      <w:r>
        <w:tab/>
        <w:t xml:space="preserve">В последние несколько лет заметно повысилось внимание к уровню владения голландским языком и приобретению профессиональной квалификации.  Некоторым школам, имевшим давние традиции двуязычного обучения, не было разрешено продолжать такую практику преподавания.  С 2004 года будет прекращено финансирование преподавания родного языка для учащихся-иммигрантов.  Практика перевода информации о системе образования, школах и других секторах жизни общества на языки меньшинств, которая была широко распространена еще несколько лет назад, сегодня становится все более и более редкой.  </w:t>
      </w:r>
    </w:p>
    <w:p w:rsidR="00000000" w:rsidRDefault="00000000"/>
    <w:p w:rsidR="00000000" w:rsidRDefault="00000000">
      <w:r>
        <w:t>525.</w:t>
      </w:r>
      <w:r>
        <w:tab/>
        <w:t>Некоторые считают, что католические и протестантские частные школы используют статью 23 Конституции для ограничения числа иммигрантов среди своих учащихся, однако результаты исследований не подтверждают этого.  Такие аргументы использовались для обоснования предложений относительно пересмотра или отмены статьи 23, однако Совет по вопросам образования (Onderwijsraad) рекомендовал правительству поддержать эту статью, и правительство последовало этой рекомендации в своем последнем коалиционном соглашении.</w:t>
      </w:r>
    </w:p>
    <w:p w:rsidR="00000000" w:rsidRDefault="00000000"/>
    <w:p w:rsidR="00000000" w:rsidRDefault="00000000">
      <w:r>
        <w:rPr>
          <w:b/>
          <w:bCs/>
        </w:rPr>
        <w:t>Специальные средства для школ, получивших негативную оценку в ходе инспекции</w:t>
      </w:r>
    </w:p>
    <w:p w:rsidR="00000000" w:rsidRDefault="00000000"/>
    <w:p w:rsidR="00000000" w:rsidRDefault="00000000">
      <w:r>
        <w:t>526.</w:t>
      </w:r>
      <w:r>
        <w:tab/>
        <w:t>Для начальных и средних школ, имеющих высокий процент детей-иммигрантов (40</w:t>
      </w:r>
      <w:r>
        <w:noBreakHyphen/>
        <w:t>50% и более) и получивших негативную оценку в ходе инспекции, выделяются специальные средства на четырехлетний период в целях повышения уровня успеваемости среди учащихся-иммигрантов и других учащихся, находящихся в неблагоприятном положении в силу тех или иных социально-экономических факторов.  Школы берут на себя обязательства, предполагающие проведение анализа текущей ситуации и внешних условий, разработку школьного плана с указанием конкретных целей в области овладения языком и других проблемных областях (в зависимости от результатов анализа), а также осуществление контроля и составление отчетов о проведенной работе и ее результатах.  Ресурсы направляются в школы муниципалитетами, которые, в свою очередь, получают средства от Министерства образования.</w:t>
      </w:r>
    </w:p>
    <w:p w:rsidR="00000000" w:rsidRDefault="00000000"/>
    <w:p w:rsidR="00000000" w:rsidRDefault="00000000">
      <w:pPr>
        <w:rPr>
          <w:b/>
          <w:bCs/>
        </w:rPr>
      </w:pPr>
      <w:r>
        <w:rPr>
          <w:b/>
          <w:bCs/>
        </w:rPr>
        <w:t>Дополнительные средства для школ, в которых обучаются</w:t>
      </w:r>
    </w:p>
    <w:p w:rsidR="00000000" w:rsidRDefault="00000000">
      <w:r>
        <w:rPr>
          <w:b/>
          <w:bCs/>
        </w:rPr>
        <w:t>дети просителей убежища</w:t>
      </w:r>
    </w:p>
    <w:p w:rsidR="00000000" w:rsidRDefault="00000000"/>
    <w:p w:rsidR="00000000" w:rsidRDefault="00000000">
      <w:r>
        <w:t>527.</w:t>
      </w:r>
      <w:r>
        <w:tab/>
        <w:t>Школы и муниципалитеты имеют право на получение средств на нужды обучения детей просителей убежища обязательного школьного возраста в течение первого года их пребывания в Нидерландах.</w:t>
      </w:r>
    </w:p>
    <w:p w:rsidR="00000000" w:rsidRDefault="00000000"/>
    <w:p w:rsidR="00000000" w:rsidRDefault="00000000">
      <w:r>
        <w:rPr>
          <w:b/>
          <w:bCs/>
        </w:rPr>
        <w:t>Поддержка родного языка, культуры и религии</w:t>
      </w:r>
    </w:p>
    <w:p w:rsidR="00000000" w:rsidRDefault="00000000"/>
    <w:p w:rsidR="00000000" w:rsidRDefault="00000000">
      <w:pPr>
        <w:tabs>
          <w:tab w:val="clear" w:pos="1701"/>
          <w:tab w:val="left" w:pos="1560"/>
        </w:tabs>
      </w:pPr>
      <w:r>
        <w:t>528.</w:t>
      </w:r>
      <w:r>
        <w:tab/>
        <w:t>См. пункт 524 настоящего раздела.</w:t>
      </w:r>
    </w:p>
    <w:p w:rsidR="00000000" w:rsidRDefault="00000000"/>
    <w:p w:rsidR="00000000" w:rsidRDefault="00000000">
      <w:pPr>
        <w:tabs>
          <w:tab w:val="clear" w:pos="1701"/>
          <w:tab w:val="left" w:pos="1560"/>
          <w:tab w:val="left" w:pos="2835"/>
        </w:tabs>
        <w:rPr>
          <w:b/>
          <w:bCs/>
        </w:rPr>
      </w:pPr>
      <w:r>
        <w:rPr>
          <w:b/>
          <w:bCs/>
        </w:rPr>
        <w:tab/>
      </w:r>
      <w:r>
        <w:rPr>
          <w:b/>
          <w:bCs/>
        </w:rPr>
        <w:tab/>
      </w:r>
      <w:r>
        <w:rPr>
          <w:b/>
          <w:bCs/>
        </w:rPr>
        <w:tab/>
        <w:t>3.8.4.3</w:t>
      </w:r>
      <w:r>
        <w:rPr>
          <w:b/>
          <w:bCs/>
        </w:rPr>
        <w:tab/>
      </w:r>
      <w:r>
        <w:rPr>
          <w:b/>
          <w:bCs/>
        </w:rPr>
        <w:tab/>
        <w:t>Поощрение равного доступа к образованию;</w:t>
      </w:r>
    </w:p>
    <w:p w:rsidR="00000000" w:rsidRDefault="00000000">
      <w:pPr>
        <w:tabs>
          <w:tab w:val="left" w:pos="2835"/>
          <w:tab w:val="left" w:pos="3402"/>
        </w:tabs>
      </w:pPr>
      <w:r>
        <w:rPr>
          <w:b/>
          <w:bCs/>
        </w:rPr>
        <w:tab/>
      </w:r>
      <w:r>
        <w:rPr>
          <w:b/>
          <w:bCs/>
        </w:rPr>
        <w:tab/>
      </w:r>
      <w:r>
        <w:rPr>
          <w:b/>
          <w:bCs/>
        </w:rPr>
        <w:tab/>
      </w:r>
      <w:r>
        <w:rPr>
          <w:b/>
          <w:bCs/>
        </w:rPr>
        <w:tab/>
      </w:r>
      <w:r>
        <w:rPr>
          <w:b/>
          <w:bCs/>
        </w:rPr>
        <w:tab/>
      </w:r>
      <w:r>
        <w:rPr>
          <w:b/>
          <w:bCs/>
        </w:rPr>
        <w:tab/>
      </w:r>
      <w:proofErr w:type="spellStart"/>
      <w:r>
        <w:rPr>
          <w:b/>
          <w:bCs/>
        </w:rPr>
        <w:t>антидискриминационные</w:t>
      </w:r>
      <w:proofErr w:type="spellEnd"/>
      <w:r>
        <w:rPr>
          <w:b/>
          <w:bCs/>
        </w:rPr>
        <w:t xml:space="preserve"> меры</w:t>
      </w:r>
    </w:p>
    <w:p w:rsidR="00000000" w:rsidRDefault="00000000">
      <w:pPr>
        <w:jc w:val="center"/>
      </w:pPr>
    </w:p>
    <w:p w:rsidR="00000000" w:rsidRDefault="00000000">
      <w:r>
        <w:rPr>
          <w:b/>
          <w:bCs/>
        </w:rPr>
        <w:t>Основные принципы:  автономия и дерегулирование</w:t>
      </w:r>
    </w:p>
    <w:p w:rsidR="00000000" w:rsidRDefault="00000000"/>
    <w:p w:rsidR="00000000" w:rsidRDefault="00000000">
      <w:r>
        <w:t>529.</w:t>
      </w:r>
      <w:r>
        <w:tab/>
        <w:t>Основное внимание уделяется повышению степени автономии отдельных школ.  Это означает сокращение объема регулирования, придание ему более общего характера и предоставление школам большей свободы выбора в ведении своих дел.  Коалиционное соглашение гласит:  "Насколько это возможно, школьные бюджеты будут составляться и передаваться (центральным правительством и местными органами власти) самим школам.  … Школы смогут сами решать, каким образом использовать выделенные им дополнительные ресурсы.  Внимание правительства будет сосредоточено в первую очередь на качестве результатов (достижение целей, базовая программа) и соответствующих механизмах контроля.  Школам будет предоставлена бóльшая свобода в организации обучения".</w:t>
      </w:r>
    </w:p>
    <w:p w:rsidR="00000000" w:rsidRDefault="00000000"/>
    <w:p w:rsidR="00000000" w:rsidRDefault="00000000">
      <w:r>
        <w:rPr>
          <w:b/>
          <w:bCs/>
        </w:rPr>
        <w:t>Задачи</w:t>
      </w:r>
    </w:p>
    <w:p w:rsidR="00000000" w:rsidRDefault="00000000"/>
    <w:p w:rsidR="00000000" w:rsidRDefault="00000000">
      <w:r>
        <w:t>530.</w:t>
      </w:r>
      <w:r>
        <w:tab/>
        <w:t>В этом контексте поставлены две задачи.  Во</w:t>
      </w:r>
      <w:r>
        <w:noBreakHyphen/>
        <w:t>первых, школы должны быть таким местом, где учащиеся и учителя чувствуют себя спокойно и безопасно.  В них нет места дискриминации.  Цель состоит в том, чтобы учащиеся и учителя чувствовали себя как дома.  Во</w:t>
      </w:r>
      <w:r>
        <w:noBreakHyphen/>
        <w:t>вторых, они должны быть не только местом, где учащиеся приобретают знания и навыки в традиционных областях;  они должны также помогать им приобщаться к условиям разнообразия и жизни в обществе, в котором сосуществуют различные культурные уклады.  Это значит, что школам нужно воспитывать своих учащихся в духе неприятия расизма.</w:t>
      </w:r>
    </w:p>
    <w:p w:rsidR="00000000" w:rsidRDefault="00000000"/>
    <w:p w:rsidR="00000000" w:rsidRDefault="00000000">
      <w:r>
        <w:rPr>
          <w:b/>
          <w:bCs/>
        </w:rPr>
        <w:t>Меры</w:t>
      </w:r>
    </w:p>
    <w:p w:rsidR="00000000" w:rsidRDefault="00000000"/>
    <w:p w:rsidR="00000000" w:rsidRDefault="00000000">
      <w:pPr>
        <w:rPr>
          <w:i/>
          <w:iCs/>
        </w:rPr>
      </w:pPr>
      <w:r>
        <w:rPr>
          <w:i/>
          <w:iCs/>
        </w:rPr>
        <w:t>Регулирование</w:t>
      </w:r>
    </w:p>
    <w:p w:rsidR="00000000" w:rsidRDefault="00000000">
      <w:pPr>
        <w:rPr>
          <w:i/>
          <w:iCs/>
        </w:rPr>
      </w:pPr>
    </w:p>
    <w:p w:rsidR="00000000" w:rsidRDefault="00000000">
      <w:r>
        <w:t>531.</w:t>
      </w:r>
      <w:r>
        <w:tab/>
        <w:t>Закон гласит, что школы должны готовить учащихся к жизни в обществе с различными культурными укладами.  Это значит, что учащихся начальных и средних школ нужно знакомить с широким кругом различных аспектов, включая их собственную культуру и культуру других народов, историю общества, в котором сосуществуют различные культурные уклады, сходство и различия между разными религиями и этическими философскими концепциями, представленными в голландском обществе, а также такие явления, как дискриминация и нетерпимость.  В официальных целях образования определен набор знаний и навыков, которыми должны обладать учащиеся по завершении начального школьного обучения и базового среднего образования.  Для начального, среднего, профессионально-технического образования и образования для взрослых поставлены также цели, касающиеся приобретения определенных навыков, которые являются необходимыми для жизни в обществе в целом и в обществе, где сосуществуют различные культурные уклады, в частности.  В этом контексте главная цель состоит в поощрении уважительного отношения к другим группам и отдельным лицам в обществе.</w:t>
      </w:r>
    </w:p>
    <w:p w:rsidR="00000000" w:rsidRDefault="00000000"/>
    <w:p w:rsidR="00000000" w:rsidRDefault="00000000">
      <w:pPr>
        <w:rPr>
          <w:i/>
          <w:iCs/>
        </w:rPr>
      </w:pPr>
      <w:r>
        <w:rPr>
          <w:i/>
          <w:iCs/>
        </w:rPr>
        <w:t>Поддержка школ</w:t>
      </w:r>
    </w:p>
    <w:p w:rsidR="00000000" w:rsidRDefault="00000000">
      <w:pPr>
        <w:rPr>
          <w:i/>
          <w:iCs/>
        </w:rPr>
      </w:pPr>
    </w:p>
    <w:p w:rsidR="00000000" w:rsidRDefault="00000000">
      <w:r>
        <w:t>532.</w:t>
      </w:r>
      <w:r>
        <w:tab/>
        <w:t>Как уже отмечалось, школы несут ответственность за создание благополучной и безопасной общей атмосферы, в которой не должно быть место запугиваниям, дискриминации и насилию.  Кардинальное значение для этого имеет понимание и уважение различий между людьми.  Вполне очевидно, что школы сами не в состоянии создать такую атмосферу;  они должны работать совместно с учащимися, родителями и всей сетью имеющихся социальных структур.  Действуя через Министерство образования, науки и культуры, центральное правительство субсидирует ряд направлений деятельности, нацеленной на оказание поддержки в усилиях школ в этой области:</w:t>
      </w:r>
    </w:p>
    <w:p w:rsidR="00000000" w:rsidRDefault="00000000"/>
    <w:p w:rsidR="00000000" w:rsidRDefault="00000000">
      <w:pPr>
        <w:ind w:left="1134" w:hanging="1134"/>
      </w:pPr>
      <w:r>
        <w:tab/>
        <w:t>-</w:t>
      </w:r>
      <w:r>
        <w:tab/>
        <w:t>Научно-информационный центр по проблемам молодежи, школ и безопасности (</w:t>
      </w:r>
      <w:r>
        <w:rPr>
          <w:lang w:val="en-US"/>
        </w:rPr>
        <w:t>Transferpunt</w:t>
      </w:r>
      <w:r>
        <w:t xml:space="preserve"> </w:t>
      </w:r>
      <w:r>
        <w:rPr>
          <w:lang w:val="en-US"/>
        </w:rPr>
        <w:t>Jongeren</w:t>
      </w:r>
      <w:r>
        <w:t xml:space="preserve">, </w:t>
      </w:r>
      <w:r>
        <w:rPr>
          <w:lang w:val="en-US"/>
        </w:rPr>
        <w:t>School</w:t>
      </w:r>
      <w:r>
        <w:t xml:space="preserve"> </w:t>
      </w:r>
      <w:r>
        <w:rPr>
          <w:lang w:val="en-US"/>
        </w:rPr>
        <w:t>en</w:t>
      </w:r>
      <w:r>
        <w:t xml:space="preserve"> </w:t>
      </w:r>
      <w:r>
        <w:rPr>
          <w:lang w:val="en-US"/>
        </w:rPr>
        <w:t>Veiligheid</w:t>
      </w:r>
      <w:r>
        <w:t>):  этот информационный центр не только оказывает стратегическую поддержку школам, но и предоставляет консультативную помощь, информацию и рекомендации для родителей и учащихся.  Он имеет также телефонную линию оперативной помощи и вебсайт, посетители которого могут получить помощь в решении проблем насилия в среде учащихся (</w:t>
      </w:r>
      <w:r>
        <w:rPr>
          <w:lang w:val="en-US"/>
        </w:rPr>
        <w:t>www</w:t>
      </w:r>
      <w:r>
        <w:t>.</w:t>
      </w:r>
      <w:r>
        <w:rPr>
          <w:lang w:val="en-US"/>
        </w:rPr>
        <w:t>pestweb</w:t>
      </w:r>
      <w:r>
        <w:t>.</w:t>
      </w:r>
      <w:r>
        <w:rPr>
          <w:lang w:val="en-US"/>
        </w:rPr>
        <w:t>nl</w:t>
      </w:r>
      <w:r>
        <w:t>).  Телефонная линия оперативной помощи создана для оказания консультативной помощи учащимся, родителям и учителям, сталкивающимся с проблемами безопасности в школе;</w:t>
      </w:r>
    </w:p>
    <w:p w:rsidR="00000000" w:rsidRDefault="00000000">
      <w:pPr>
        <w:ind w:left="1134" w:hanging="1134"/>
      </w:pPr>
    </w:p>
    <w:p w:rsidR="00000000" w:rsidRDefault="00000000">
      <w:pPr>
        <w:ind w:left="1134" w:hanging="1134"/>
      </w:pPr>
      <w:r>
        <w:tab/>
        <w:t>-</w:t>
      </w:r>
      <w:r>
        <w:tab/>
      </w:r>
      <w:proofErr w:type="spellStart"/>
      <w:r>
        <w:t>антидискриминационные</w:t>
      </w:r>
      <w:proofErr w:type="spellEnd"/>
      <w:r>
        <w:t xml:space="preserve"> проекты:  действуя через Министерство образования, науки и культуры, центральное правительство субсидирует различные проекты, непосредственно нацеленные на борьбу против дискриминации, включая Неделю действий против расизма, организованную силами </w:t>
      </w:r>
      <w:proofErr w:type="spellStart"/>
      <w:r>
        <w:rPr>
          <w:lang w:val="en-US"/>
        </w:rPr>
        <w:t>Stic</w:t>
      </w:r>
      <w:r>
        <w:rPr>
          <w:lang w:val="en-US"/>
        </w:rPr>
        <w:t>h</w:t>
      </w:r>
      <w:r>
        <w:rPr>
          <w:lang w:val="en-US"/>
        </w:rPr>
        <w:t>ting</w:t>
      </w:r>
      <w:proofErr w:type="spellEnd"/>
      <w:r>
        <w:t xml:space="preserve"> </w:t>
      </w:r>
      <w:r>
        <w:rPr>
          <w:lang w:val="en-US"/>
        </w:rPr>
        <w:t>Nederland</w:t>
      </w:r>
      <w:r>
        <w:t xml:space="preserve"> </w:t>
      </w:r>
      <w:proofErr w:type="spellStart"/>
      <w:r>
        <w:rPr>
          <w:lang w:val="en-US"/>
        </w:rPr>
        <w:t>Bekent</w:t>
      </w:r>
      <w:proofErr w:type="spellEnd"/>
      <w:r>
        <w:t xml:space="preserve"> </w:t>
      </w:r>
      <w:proofErr w:type="spellStart"/>
      <w:r>
        <w:rPr>
          <w:lang w:val="en-US"/>
        </w:rPr>
        <w:t>Kleur</w:t>
      </w:r>
      <w:proofErr w:type="spellEnd"/>
      <w:r>
        <w:t>, и проект "Школа против расизма", осуществляемый Национальным бюро по борьбе против расовой дискриминации (</w:t>
      </w:r>
      <w:proofErr w:type="spellStart"/>
      <w:r>
        <w:rPr>
          <w:lang w:val="en-US"/>
        </w:rPr>
        <w:t>Landelijk</w:t>
      </w:r>
      <w:proofErr w:type="spellEnd"/>
      <w:r>
        <w:t xml:space="preserve"> </w:t>
      </w:r>
      <w:r>
        <w:rPr>
          <w:lang w:val="en-US"/>
        </w:rPr>
        <w:t>Bureau</w:t>
      </w:r>
      <w:r>
        <w:t xml:space="preserve"> </w:t>
      </w:r>
      <w:proofErr w:type="spellStart"/>
      <w:r>
        <w:rPr>
          <w:lang w:val="en-US"/>
        </w:rPr>
        <w:t>ter</w:t>
      </w:r>
      <w:proofErr w:type="spellEnd"/>
      <w:r>
        <w:t xml:space="preserve"> </w:t>
      </w:r>
      <w:proofErr w:type="spellStart"/>
      <w:r>
        <w:rPr>
          <w:lang w:val="en-US"/>
        </w:rPr>
        <w:t>Bestrijding</w:t>
      </w:r>
      <w:proofErr w:type="spellEnd"/>
      <w:r>
        <w:t xml:space="preserve"> </w:t>
      </w:r>
      <w:r>
        <w:rPr>
          <w:lang w:val="en-US"/>
        </w:rPr>
        <w:t>van</w:t>
      </w:r>
      <w:r>
        <w:t xml:space="preserve"> </w:t>
      </w:r>
      <w:proofErr w:type="spellStart"/>
      <w:r>
        <w:rPr>
          <w:lang w:val="en-US"/>
        </w:rPr>
        <w:t>Rassendiscriminatie</w:t>
      </w:r>
      <w:proofErr w:type="spellEnd"/>
      <w:r>
        <w:t xml:space="preserve">, </w:t>
      </w:r>
      <w:proofErr w:type="spellStart"/>
      <w:r>
        <w:rPr>
          <w:lang w:val="en-US"/>
        </w:rPr>
        <w:t>LBR</w:t>
      </w:r>
      <w:proofErr w:type="spellEnd"/>
      <w:r>
        <w:t>);</w:t>
      </w:r>
    </w:p>
    <w:p w:rsidR="00000000" w:rsidRDefault="00000000">
      <w:pPr>
        <w:ind w:left="1134" w:hanging="1134"/>
      </w:pPr>
    </w:p>
    <w:p w:rsidR="00000000" w:rsidRDefault="00000000">
      <w:pPr>
        <w:ind w:left="1134" w:hanging="1134"/>
      </w:pPr>
      <w:r>
        <w:tab/>
        <w:t>-</w:t>
      </w:r>
      <w:r>
        <w:tab/>
        <w:t>межкультурное образование (МКО):  национальные консультативные центры по вопросам образования (</w:t>
      </w:r>
      <w:r>
        <w:rPr>
          <w:lang w:val="en-US"/>
        </w:rPr>
        <w:t>Landelijke</w:t>
      </w:r>
      <w:r>
        <w:t xml:space="preserve"> </w:t>
      </w:r>
      <w:r>
        <w:rPr>
          <w:lang w:val="en-US"/>
        </w:rPr>
        <w:t>Pedagogische</w:t>
      </w:r>
      <w:r>
        <w:t xml:space="preserve"> </w:t>
      </w:r>
      <w:r>
        <w:rPr>
          <w:lang w:val="en-US"/>
        </w:rPr>
        <w:t>Centra</w:t>
      </w:r>
      <w:r>
        <w:t>) оказывают поддержку школам в области межкультурного образования.  Их усилия дополняются работой в рамках проекта "Активная гражданская позиция", который был начат в 2003 году под эгидой Группы консультантов по вопросам образования КПС.  Исходя из того, что общество нуждается в людях, которые демонстрировали бы бóльшую социальную солидарность, надлежащие формы поведения, социальную сдержанность и личную ответственность (т.е. вели себя как "добросовестные граждане"), а также из того, что школам принадлежит важная роль в этой области, этот проект призван стимулировать школы к увеличению своего вклада в этой области индивидуального развития учащихся;</w:t>
      </w:r>
    </w:p>
    <w:p w:rsidR="00000000" w:rsidRDefault="00000000">
      <w:pPr>
        <w:ind w:left="1134" w:hanging="1134"/>
      </w:pPr>
    </w:p>
    <w:p w:rsidR="00000000" w:rsidRDefault="00000000">
      <w:pPr>
        <w:ind w:left="1134" w:hanging="1134"/>
      </w:pPr>
      <w:r>
        <w:tab/>
        <w:t>-</w:t>
      </w:r>
      <w:r>
        <w:tab/>
        <w:t>рабство:  Министерство образования, науки и культуры заказало компании "Телеак/НОТ" телевизионную учебную программу по проблеме рабства, рассчитанную на учащихся старших классов начальной школы и начальных классов средней школы.  Она будет показана по школьному телевидению в 2003/04 учебном году.  Учебные средства, телевизионные программы и сопровождающие их учебные и информационные материалы призваны повысить уровень осведомленности учащихся об этом аспекте истории и роли Нидерландов в нем.  В программе показано также, каким образом рабство повлияло на расовую структуру современных обществ, причем не только в Карибском бассейне, но и в Нидерландах.  В дополнение к этой телевизионной программе Национальный институт по разработке учебных программ (</w:t>
      </w:r>
      <w:r>
        <w:rPr>
          <w:lang w:val="en-US"/>
        </w:rPr>
        <w:t>Stichting</w:t>
      </w:r>
      <w:r>
        <w:t xml:space="preserve"> </w:t>
      </w:r>
      <w:r>
        <w:rPr>
          <w:lang w:val="en-US"/>
        </w:rPr>
        <w:t>Leerplanontwikkeling</w:t>
      </w:r>
      <w:r>
        <w:t>) составил тематический раздел, посвященный рабству, с тем чтобы эта тема заняла должное место в школьном курсе истории.  Кроме того, Министерство образования, науки и культуры субсидирует работу Национального института по изучению истории и наследия голландской работорговли и рабства (</w:t>
      </w:r>
      <w:proofErr w:type="spellStart"/>
      <w:r>
        <w:rPr>
          <w:lang w:val="en-US"/>
        </w:rPr>
        <w:t>Nationaal</w:t>
      </w:r>
      <w:proofErr w:type="spellEnd"/>
      <w:r>
        <w:t xml:space="preserve"> </w:t>
      </w:r>
      <w:proofErr w:type="spellStart"/>
      <w:r>
        <w:rPr>
          <w:lang w:val="en-US"/>
        </w:rPr>
        <w:t>Instituut</w:t>
      </w:r>
      <w:proofErr w:type="spellEnd"/>
      <w:r>
        <w:t xml:space="preserve"> </w:t>
      </w:r>
      <w:proofErr w:type="spellStart"/>
      <w:r>
        <w:rPr>
          <w:lang w:val="en-US"/>
        </w:rPr>
        <w:t>Nederlands</w:t>
      </w:r>
      <w:proofErr w:type="spellEnd"/>
      <w:r>
        <w:t xml:space="preserve"> </w:t>
      </w:r>
      <w:proofErr w:type="spellStart"/>
      <w:r>
        <w:rPr>
          <w:lang w:val="en-US"/>
        </w:rPr>
        <w:t>Slavernijverleden</w:t>
      </w:r>
      <w:proofErr w:type="spellEnd"/>
      <w:r>
        <w:t xml:space="preserve"> </w:t>
      </w:r>
      <w:r>
        <w:rPr>
          <w:lang w:val="en-US"/>
        </w:rPr>
        <w:t>en</w:t>
      </w:r>
      <w:r>
        <w:t xml:space="preserve"> </w:t>
      </w:r>
      <w:r>
        <w:noBreakHyphen/>
      </w:r>
      <w:proofErr w:type="spellStart"/>
      <w:r>
        <w:rPr>
          <w:lang w:val="en-US"/>
        </w:rPr>
        <w:t>erfenis</w:t>
      </w:r>
      <w:proofErr w:type="spellEnd"/>
      <w:r>
        <w:t>), в задачи которого входит сбор, регистрация и распространение информации об истории рабства и его наследии.</w:t>
      </w:r>
    </w:p>
    <w:p w:rsidR="00000000" w:rsidRDefault="00000000"/>
    <w:p w:rsidR="00000000" w:rsidRDefault="00000000">
      <w:pPr>
        <w:rPr>
          <w:i/>
          <w:iCs/>
        </w:rPr>
      </w:pPr>
      <w:r>
        <w:rPr>
          <w:i/>
          <w:iCs/>
        </w:rPr>
        <w:t>Надзор</w:t>
      </w:r>
    </w:p>
    <w:p w:rsidR="00000000" w:rsidRDefault="00000000">
      <w:pPr>
        <w:rPr>
          <w:i/>
          <w:iCs/>
        </w:rPr>
      </w:pPr>
    </w:p>
    <w:p w:rsidR="00000000" w:rsidRDefault="00000000">
      <w:r>
        <w:t>533.</w:t>
      </w:r>
      <w:r>
        <w:tab/>
        <w:t>Инспекторат по вопросам образования следит за тем, чтобы школы придерживались предписанной минимальной учебной программы и соблюдали соответствующие нормы безопасности.  Закон об инспекциях в сфере образования предусматривает также, что до сведения официальных инспекторов в конфиденциальном порядке могут доводиться сведения, касающиеся таких проявлений, как сексуальные надругательства/ преследования, насилие и запугивание, и что они могут давать рекомендации в отношении дальнейших мер и оказывать поддержку соответствующим лицам (статья 6 Закона).</w:t>
      </w:r>
    </w:p>
    <w:p w:rsidR="00000000" w:rsidRDefault="00000000"/>
    <w:p w:rsidR="00000000" w:rsidRDefault="00000000">
      <w:pPr>
        <w:jc w:val="center"/>
        <w:rPr>
          <w:b/>
          <w:bCs/>
        </w:rPr>
      </w:pPr>
      <w:r>
        <w:rPr>
          <w:b/>
          <w:bCs/>
        </w:rPr>
        <w:t>3.8.4.4    Обучение на родном языке</w:t>
      </w:r>
    </w:p>
    <w:p w:rsidR="00000000" w:rsidRDefault="00000000">
      <w:pPr>
        <w:jc w:val="center"/>
        <w:rPr>
          <w:b/>
          <w:bCs/>
        </w:rPr>
      </w:pPr>
    </w:p>
    <w:p w:rsidR="00000000" w:rsidRDefault="00000000">
      <w:r>
        <w:t>534.</w:t>
      </w:r>
      <w:r>
        <w:tab/>
        <w:t>Программа ПКМ предусматривает предоставление специальной помощи, направленной на обеспечение того, чтобы дети смогли преодолеть имеющиеся у них языковые проблемы (см. также 524 настоящего раздела).</w:t>
      </w:r>
    </w:p>
    <w:p w:rsidR="00000000" w:rsidRDefault="00000000"/>
    <w:p w:rsidR="00000000" w:rsidRDefault="00000000">
      <w:pPr>
        <w:jc w:val="center"/>
        <w:rPr>
          <w:b/>
          <w:bCs/>
        </w:rPr>
      </w:pPr>
      <w:r>
        <w:rPr>
          <w:b/>
          <w:bCs/>
        </w:rPr>
        <w:t>3.8.5    Преподаватели</w:t>
      </w:r>
    </w:p>
    <w:p w:rsidR="00000000" w:rsidRDefault="00000000">
      <w:pPr>
        <w:jc w:val="center"/>
        <w:rPr>
          <w:b/>
          <w:bCs/>
        </w:rPr>
      </w:pPr>
    </w:p>
    <w:p w:rsidR="00000000" w:rsidRDefault="00000000">
      <w:r>
        <w:t>535.</w:t>
      </w:r>
      <w:r>
        <w:tab/>
        <w:t>В период с 1 января 1996 года по 1 января 2003 года были достигнуты существенные позитивные сдвиги в деле улучшения условий труда преподавателей в системах начального, среднего и профессионально-технического образования, а также образования для взрослых.  После крупных повышений начальных уровней заработной платы учителей теперь шкала ставок их заработной платы стала более сжатой, в результате чего они могут достичь максимальных уровней через меньшее число лет.  Кроме того, стандартное число часов, которое должно быть выработано в течение года, было сокращено с 1 710 до 1 659.  К числу других позитивных сдвигов в деле улучшения условий труда преподавателей относится введение премий по окончании года и оплачиваемого отпуска по уходу за ребенком для мужчин.</w:t>
      </w:r>
    </w:p>
    <w:p w:rsidR="00000000" w:rsidRDefault="00000000"/>
    <w:p w:rsidR="00000000" w:rsidRDefault="00000000">
      <w:r>
        <w:t>536.</w:t>
      </w:r>
      <w:r>
        <w:tab/>
        <w:t>Кроме того, школам было предоставлено право применять дифференцированный подход к описанию служебных обязанностей и оплате труда преподавателей.  Это позволяет улучшить перспективы их служебного роста, а также вознаграждать их за хорошую работу и выдающийся вклад в деятельность школы.  Эти меры позволили повысить привлектельность и конкурентоспособность профессии преподавателя.  Угроза кадрового дефицита требует постоянного контроля за положением преподавателей.</w:t>
      </w:r>
    </w:p>
    <w:p w:rsidR="00000000" w:rsidRDefault="00000000"/>
    <w:p w:rsidR="00000000" w:rsidRDefault="00000000">
      <w:r>
        <w:t>537.</w:t>
      </w:r>
      <w:r>
        <w:tab/>
        <w:t xml:space="preserve">Среди преподавателей, имеющих дипломы уровня ВПО, уровень заработной платы, как правило, сопоставим с окладами специалистов, с дипломами </w:t>
      </w:r>
      <w:proofErr w:type="spellStart"/>
      <w:r>
        <w:t>ВПО</w:t>
      </w:r>
      <w:proofErr w:type="spellEnd"/>
      <w:r>
        <w:t xml:space="preserve"> в частном секторе.  Что касается преподавателей с университетским образованием, то здесь положение несколько иное.  Уровни заработной платы преподавателей, имеющих дипломы ВПО, являются сравнительно высокими, если сравнивать их с уровнем заработной платы специалистов аналогичной квалификации в секторах здравоохранения и социального обеспечения.</w:t>
      </w:r>
    </w:p>
    <w:p w:rsidR="00000000" w:rsidRDefault="00000000"/>
    <w:p w:rsidR="00000000" w:rsidRDefault="00000000">
      <w:r>
        <w:t>538.</w:t>
      </w:r>
      <w:r>
        <w:tab/>
        <w:t>В последнем ежегодном обзоре тенденций в области занятости в Нидерландах (</w:t>
      </w:r>
      <w:proofErr w:type="spellStart"/>
      <w:r>
        <w:rPr>
          <w:lang w:val="en-US"/>
        </w:rPr>
        <w:t>Trendnota</w:t>
      </w:r>
      <w:proofErr w:type="spellEnd"/>
      <w:r>
        <w:t xml:space="preserve"> </w:t>
      </w:r>
      <w:proofErr w:type="spellStart"/>
      <w:r>
        <w:rPr>
          <w:lang w:val="en-US"/>
        </w:rPr>
        <w:t>Arbeidszaken</w:t>
      </w:r>
      <w:proofErr w:type="spellEnd"/>
      <w:r>
        <w:t xml:space="preserve"> </w:t>
      </w:r>
      <w:proofErr w:type="spellStart"/>
      <w:r>
        <w:rPr>
          <w:lang w:val="en-US"/>
        </w:rPr>
        <w:t>Overheid</w:t>
      </w:r>
      <w:proofErr w:type="spellEnd"/>
      <w:r>
        <w:t xml:space="preserve"> 2005), который был опубликован Министерством внутренних дел и по делам Королевства, содержатся результаты сопоставлений ставок оплаты труда между различными сегментами государственного сектора и частным сектором.  В их основе лежат последние (за 2001 год) данные Статистического управления Нидерландов (СУН).  Они показывают, что люди, работающие в пяти секторах системы образования, зарабатывают меньше, чем специалисты на сопоставимых должностях в частном секторе.  Вместе с тем в этих сопоставлениях не учтены те кардинальные изменения в оплате труда преподавателей, которые проводились с 2001 года.  В отсутствие более свежих данных в настоящее время нет возможности составить полную картину различий в уровнях оплаты труда между частным и государственным секторами, но положение в сфере образования в любом случае обстоит лучше, чем об этом можно судить по результатам обзора тенденций в области занятости за 2005 год.</w:t>
      </w:r>
    </w:p>
    <w:p w:rsidR="00000000" w:rsidRDefault="00000000"/>
    <w:p w:rsidR="00000000" w:rsidRDefault="00000000">
      <w:pPr>
        <w:keepNext/>
        <w:jc w:val="center"/>
        <w:rPr>
          <w:b/>
          <w:bCs/>
        </w:rPr>
      </w:pPr>
      <w:r>
        <w:rPr>
          <w:b/>
          <w:bCs/>
        </w:rPr>
        <w:t>3.9</w:t>
      </w:r>
      <w:r>
        <w:rPr>
          <w:b/>
          <w:bCs/>
        </w:rPr>
        <w:tab/>
        <w:t>Статья 14</w:t>
      </w:r>
    </w:p>
    <w:p w:rsidR="00000000" w:rsidRDefault="00000000">
      <w:pPr>
        <w:keepNext/>
        <w:jc w:val="center"/>
        <w:rPr>
          <w:b/>
          <w:bCs/>
        </w:rPr>
      </w:pPr>
    </w:p>
    <w:p w:rsidR="00000000" w:rsidRDefault="00000000">
      <w:pPr>
        <w:keepNext/>
        <w:jc w:val="center"/>
        <w:rPr>
          <w:b/>
          <w:bCs/>
        </w:rPr>
      </w:pPr>
      <w:r>
        <w:rPr>
          <w:b/>
          <w:bCs/>
        </w:rPr>
        <w:t>3.9.1    Обязанность государства предоставлять бесплатное</w:t>
      </w:r>
    </w:p>
    <w:p w:rsidR="00000000" w:rsidRDefault="00000000">
      <w:pPr>
        <w:keepNext/>
        <w:jc w:val="center"/>
        <w:rPr>
          <w:b/>
          <w:bCs/>
        </w:rPr>
      </w:pPr>
      <w:r>
        <w:rPr>
          <w:b/>
          <w:bCs/>
        </w:rPr>
        <w:t>начальное образование</w:t>
      </w:r>
    </w:p>
    <w:p w:rsidR="00000000" w:rsidRDefault="00000000">
      <w:pPr>
        <w:keepNext/>
        <w:jc w:val="center"/>
        <w:rPr>
          <w:b/>
          <w:bCs/>
        </w:rPr>
      </w:pPr>
    </w:p>
    <w:p w:rsidR="00000000" w:rsidRDefault="00000000">
      <w:pPr>
        <w:keepNext/>
        <w:rPr>
          <w:b/>
          <w:bCs/>
        </w:rPr>
      </w:pPr>
      <w:r>
        <w:rPr>
          <w:b/>
          <w:bCs/>
        </w:rPr>
        <w:t>Прием учащихся</w:t>
      </w:r>
    </w:p>
    <w:p w:rsidR="00000000" w:rsidRDefault="00000000">
      <w:pPr>
        <w:rPr>
          <w:b/>
          <w:bCs/>
        </w:rPr>
      </w:pPr>
    </w:p>
    <w:p w:rsidR="00000000" w:rsidRDefault="00000000">
      <w:r>
        <w:t>539.</w:t>
      </w:r>
      <w:r>
        <w:tab/>
        <w:t>Начальные школы открыты для детей в возрасте от 4 до 12 лет.  Начальное образование является бесплатным.  В некоторых школах существует система взносов за образование, однако учебное заведение не имеет права отказать в приеме ребенка, родители которого не могут или не хотят внести требуемую сумму.  Родители свободны в выборе государственной или частной школы для своих детей.  См. также таблицу 35 в пункте 503.</w:t>
      </w:r>
    </w:p>
    <w:p w:rsidR="00000000" w:rsidRDefault="00000000"/>
    <w:p w:rsidR="00000000" w:rsidRDefault="00000000">
      <w:pPr>
        <w:jc w:val="center"/>
        <w:rPr>
          <w:b/>
          <w:bCs/>
        </w:rPr>
      </w:pPr>
      <w:r>
        <w:rPr>
          <w:b/>
          <w:bCs/>
        </w:rPr>
        <w:t>3.10</w:t>
      </w:r>
      <w:r>
        <w:rPr>
          <w:b/>
          <w:bCs/>
        </w:rPr>
        <w:tab/>
        <w:t xml:space="preserve"> Статья 15</w:t>
      </w:r>
    </w:p>
    <w:p w:rsidR="00000000" w:rsidRDefault="00000000">
      <w:pPr>
        <w:jc w:val="center"/>
        <w:rPr>
          <w:b/>
          <w:bCs/>
        </w:rPr>
      </w:pPr>
    </w:p>
    <w:p w:rsidR="00000000" w:rsidRDefault="00000000">
      <w:pPr>
        <w:jc w:val="center"/>
        <w:rPr>
          <w:b/>
          <w:bCs/>
        </w:rPr>
      </w:pPr>
      <w:r>
        <w:rPr>
          <w:b/>
          <w:bCs/>
        </w:rPr>
        <w:t>3.10.1    Право на участие в культурной жизни</w:t>
      </w:r>
    </w:p>
    <w:p w:rsidR="00000000" w:rsidRDefault="00000000">
      <w:pPr>
        <w:jc w:val="center"/>
        <w:rPr>
          <w:b/>
          <w:bCs/>
        </w:rPr>
      </w:pPr>
    </w:p>
    <w:p w:rsidR="00000000" w:rsidRDefault="00000000">
      <w:pPr>
        <w:rPr>
          <w:b/>
          <w:bCs/>
        </w:rPr>
      </w:pPr>
      <w:r>
        <w:rPr>
          <w:b/>
          <w:bCs/>
        </w:rPr>
        <w:t>Основные законодательные акты</w:t>
      </w:r>
    </w:p>
    <w:p w:rsidR="00000000" w:rsidRDefault="00000000">
      <w:pPr>
        <w:rPr>
          <w:b/>
          <w:bCs/>
        </w:rPr>
      </w:pPr>
    </w:p>
    <w:p w:rsidR="00000000" w:rsidRDefault="00000000">
      <w:r>
        <w:t>540.</w:t>
      </w:r>
      <w:r>
        <w:tab/>
        <w:t>В декабре 1988 года различные аспекты политики в области культуры, которые в то время относились к ведению министра благосостояния, здравоохранения и по делам культуры, нашли свое отражение в законопроекте о политике в области культуры (специальном целевом финансировании).  Он предусматривал, что правительство должно будет по меньшей мере один раз в четыре года представлять обеим палатам парламента директивный документ по вопросам культурной политики, в котором должен содержаться обзор уже проделанной и намечаемой работы в этой области.  Законопроект явился свидетельством намерения правительства распространить на политику в области культуры в целом систему, существовавшую применительно к искусству, которая была введена в соответствии с Планом развития искусств на 1988-1992 годы.  В административном плане Директивный документ по вопросам культурной политики (ранее известный как План развития искусств) содержит целый ряд взаимно согласованных решений о выделении субсидий, каждое из которых подкрепляется серьезными аргументами.</w:t>
      </w:r>
    </w:p>
    <w:p w:rsidR="00000000" w:rsidRDefault="00000000"/>
    <w:p w:rsidR="00000000" w:rsidRDefault="00000000">
      <w:r>
        <w:t>541.</w:t>
      </w:r>
      <w:r>
        <w:tab/>
        <w:t>Закон о политике в области культуры (специальном целевом финансировании) вступил в силу 16 апреля 1993 года (Бюллетень законов и декретов, 1993 год, № 193).  Закон устанавливает четырехлетний цикл осуществления политики, а также определяет круг обязанностей соответствующего министра.  Он обязывает его (или ответственного государственного секретаря, если министр принимает решение делегировать ему эту работу) создать надлежащие условия для сохранения и развития "культурного достояния" и для его распространения в социальном, географическом и ином плане.  При этом министр должен руководствоваться критериями качества и разнообразия.  В Пояснительном меморандуме к Закону содержится ориентировочный перечень секторов, охватываемых стратегиями министра:  "искусство, музеи, исторические объекты, архивы и документация, средства массовой информации, библиотеки и международные отношения в этих областях".  Сам Закон не содержит определения этих секторов;  их определение и содержание соответствующих стратегий изложены в директивном документе по вопросам культурной политики.</w:t>
      </w:r>
    </w:p>
    <w:p w:rsidR="00000000" w:rsidRDefault="00000000"/>
    <w:p w:rsidR="00000000" w:rsidRDefault="00000000">
      <w:r>
        <w:t>542.</w:t>
      </w:r>
      <w:r>
        <w:tab/>
        <w:t>При определении размера субсидий на четырехлетний период правительство ставит своей целью:  а)  добиться большей гибкости бюджета культурных учреждений (за счет обеспечения того, чтобы обсуждение деятельности всех учреждений проводилось раз в четыре года, а не каждый год);  b)  обеспечить непрерывность функционирования самих учреждений (поскольку каждое из них имеет право на получение единовременных субсидий на четырехлетний период).</w:t>
      </w:r>
    </w:p>
    <w:p w:rsidR="00000000" w:rsidRDefault="00000000"/>
    <w:p w:rsidR="00000000" w:rsidRDefault="00000000">
      <w:r>
        <w:t>543.</w:t>
      </w:r>
      <w:r>
        <w:tab/>
        <w:t>Начиная с 1993 года, когда вступил в силу Закон о политике в области культуры (специальном целевом финансировании), эта система стала применяться по отношению ко всей сфере искусств и культуры.  В Директивном документе по вопросам культурной политики, который заменил собой План развития искусств, определяются основные направления политики </w:t>
      </w:r>
      <w:r>
        <w:noBreakHyphen/>
        <w:t xml:space="preserve"> также на четырехлетний период  - для всей деятельности в области культуры, которая включает функционирование средств массовой информации, работу библиотек и сохранение культурного наследия, а также деятельность в области искусства.  </w:t>
      </w:r>
    </w:p>
    <w:p w:rsidR="00000000" w:rsidRDefault="00000000"/>
    <w:p w:rsidR="00000000" w:rsidRDefault="00000000">
      <w:r>
        <w:t>544.</w:t>
      </w:r>
      <w:r>
        <w:tab/>
        <w:t xml:space="preserve">Любое учреждение, желающее получить многолетнюю субсидию, должно к определенной дате представить план работы.  После этого министр запрашивает консультативное заключение Совета по делам культуры (объединившего в себе Совет по делам искусств, Совет по вопросам сохранения культурного наследия и Совет по делам средств массовой информации).  Планы работы учреждений, обращающихся за получением субсидии, должны содержать полную информацию об их целях в художественном или практическом плане на последующие четыре года и включать оценки их работы за предшествующий период.  К каждому плану должна прилагаться смета поступлений и расходов на новый период.  Соответствующие решения о выделении субсидий подлежат одобрению парламентом в качестве части Директивного документа по вопросам культурной политики, после чего они вступают в силу.  </w:t>
      </w:r>
    </w:p>
    <w:p w:rsidR="00000000" w:rsidRDefault="00000000"/>
    <w:p w:rsidR="00000000" w:rsidRDefault="00000000">
      <w:pPr>
        <w:rPr>
          <w:b/>
          <w:bCs/>
        </w:rPr>
      </w:pPr>
      <w:r>
        <w:rPr>
          <w:b/>
          <w:bCs/>
        </w:rPr>
        <w:t>Совет по делам культуры</w:t>
      </w:r>
    </w:p>
    <w:p w:rsidR="00000000" w:rsidRDefault="00000000">
      <w:pPr>
        <w:rPr>
          <w:b/>
          <w:bCs/>
        </w:rPr>
      </w:pPr>
    </w:p>
    <w:p w:rsidR="00000000" w:rsidRDefault="00000000">
      <w:r>
        <w:t>545.</w:t>
      </w:r>
      <w:r>
        <w:tab/>
        <w:t xml:space="preserve">Совет по делам культуры играет важную роль в этой процедуре, поскольку основной принцип проводимой Нидерландами политики состоит в том, что правительству следует воздерживаться от вынесения суждений по вопросам культурного характера и оставлять такую возможность за независимыми экспертами.  Одним из важнейших преимуществ этого принципа является то, что новые тенденции в области культуры относительно быстро переводятся в практическую плоскость.  Совет по делам культуры дает рекомендации в отношении реализации принципов, изложенных в Директивном документе, и в отношении деятельности отдельных учреждений, обращающихся с просьбами о предоставлении субсидий, оценивая возможность выделения финансовых средств на основе представленных ими планов работы.  После выделения субсидии на четырехлетний период Совет контролирует художественное качество работы учреждения, составляя регулярные письменные оценки.  Эти оценки преследуют две цели:  а)  они показывают, выполняет ли учреждение те обязательства, которые оно взяло на себя в своем плане работы,  и  </w:t>
      </w:r>
      <w:r>
        <w:rPr>
          <w:lang w:val="en-US"/>
        </w:rPr>
        <w:t>b</w:t>
      </w:r>
      <w:r>
        <w:t>)  они используются Советом при проведении общесекторальных анализов в преддверии следующего периода работы.</w:t>
      </w:r>
    </w:p>
    <w:p w:rsidR="00000000" w:rsidRDefault="00000000"/>
    <w:p w:rsidR="00000000" w:rsidRDefault="00000000">
      <w:pPr>
        <w:rPr>
          <w:b/>
          <w:bCs/>
        </w:rPr>
      </w:pPr>
      <w:r>
        <w:rPr>
          <w:b/>
          <w:bCs/>
        </w:rPr>
        <w:t>Вопросы политики</w:t>
      </w:r>
    </w:p>
    <w:p w:rsidR="00000000" w:rsidRDefault="00000000">
      <w:pPr>
        <w:rPr>
          <w:b/>
          <w:bCs/>
        </w:rPr>
      </w:pPr>
    </w:p>
    <w:p w:rsidR="00000000" w:rsidRDefault="00000000">
      <w:pPr>
        <w:rPr>
          <w:i/>
          <w:iCs/>
        </w:rPr>
      </w:pPr>
      <w:r>
        <w:rPr>
          <w:i/>
          <w:iCs/>
        </w:rPr>
        <w:t>Актуальные вопросы политики</w:t>
      </w:r>
    </w:p>
    <w:p w:rsidR="00000000" w:rsidRDefault="00000000">
      <w:pPr>
        <w:rPr>
          <w:i/>
          <w:iCs/>
        </w:rPr>
      </w:pPr>
    </w:p>
    <w:p w:rsidR="00000000" w:rsidRDefault="00000000">
      <w:r>
        <w:t>546.</w:t>
      </w:r>
      <w:r>
        <w:tab/>
        <w:t>Директивный документ по вопросам культурной политики на 1993</w:t>
      </w:r>
      <w:r>
        <w:noBreakHyphen/>
        <w:t>1996 годы, озаглавленный "Инвестиции в культуру", был первым директивным документом, в котором были объединены общие принципы культурной политики и политики в области средств массовой информации.  Директивный документ по вопросам культурной политики на 1997</w:t>
      </w:r>
      <w:r>
        <w:noBreakHyphen/>
        <w:t>2000 годы </w:t>
      </w:r>
      <w:r>
        <w:noBreakHyphen/>
        <w:t xml:space="preserve"> "Защита или основа" </w:t>
      </w:r>
      <w:r>
        <w:noBreakHyphen/>
        <w:t xml:space="preserve"> имел даже еще более комплексный характер.  В отличие от предыдущего документа, который представлял собой набор отдельных документов по различным секторам, он охватывал всю культурную политику в целом на основе девяти основных принципов.  Новым элементом было то, что эти принципы были изложены в отдельном меморандуме и обсуждались в обеих палатах парламента в 1995 году.  В Директивном документе по вопросам культурной политики на 2001</w:t>
      </w:r>
      <w:r>
        <w:noBreakHyphen/>
        <w:t>2004 год </w:t>
      </w:r>
      <w:r>
        <w:noBreakHyphen/>
        <w:t xml:space="preserve"> "Культура как конфронтация" </w:t>
      </w:r>
      <w:r>
        <w:noBreakHyphen/>
        <w:t xml:space="preserve"> был сделан еще бо</w:t>
      </w:r>
      <w:r>
        <w:rPr>
          <w:rFonts w:ascii="Tahoma" w:hAnsi="Tahoma" w:cs="Tahoma"/>
        </w:rPr>
        <w:t></w:t>
      </w:r>
      <w:r>
        <w:t>льший акцент на этих принципах, причем далеко не последнюю роль сыграли в этом аргументы, выдвинутые государственным секретарем, и занятая им позиция в ходе проводившейся в парламенте дискуссии по тем проблемам искусства и культуры, которые охватываются названием этого документа.  И наконец, в Директивном документе по вопросам культурной политики на 2005</w:t>
      </w:r>
      <w:r>
        <w:noBreakHyphen/>
        <w:t>2008 годы </w:t>
      </w:r>
      <w:r>
        <w:noBreakHyphen/>
        <w:t xml:space="preserve"> "Больше, чем простая сумма" </w:t>
      </w:r>
      <w:r>
        <w:noBreakHyphen/>
        <w:t xml:space="preserve"> акцент сделан на трех приоритетах:  сокращении бюрократизма и повышении индивидуальной ответственности, укреплении связей и взаимодействия в сфере культурной жизни и усилении культурного фактора в жизни общества.  </w:t>
      </w:r>
    </w:p>
    <w:p w:rsidR="00000000" w:rsidRDefault="00000000"/>
    <w:p w:rsidR="00000000" w:rsidRDefault="00000000">
      <w:pPr>
        <w:rPr>
          <w:i/>
          <w:iCs/>
        </w:rPr>
      </w:pPr>
      <w:r>
        <w:rPr>
          <w:i/>
          <w:iCs/>
        </w:rPr>
        <w:t>Неизменные принципы культурной политики</w:t>
      </w:r>
    </w:p>
    <w:p w:rsidR="00000000" w:rsidRDefault="00000000">
      <w:pPr>
        <w:rPr>
          <w:i/>
          <w:iCs/>
        </w:rPr>
      </w:pPr>
    </w:p>
    <w:p w:rsidR="00000000" w:rsidRDefault="00000000">
      <w:r>
        <w:t>547.</w:t>
      </w:r>
      <w:r>
        <w:tab/>
        <w:t>В культурной политике Нидерландов главным критерием для выделения финансовых средств, как правило, является качество и разнообразие.  Не менее важную роль играют также соображения социального и географического распределения и эффективности.  Предпринимаются различные шаги для расширения спектра и охвата деятельности в процессе составления программ работы культурных учреждений.  Одна из причин состоит в том, что Нидерланды представляют собой общество с различными культурными укладами, в связи с чем правительство и сектор культуры считают необходимым привлекать новые аудитории для организуемых культурных представлений, выставок и других мероприятий.</w:t>
      </w:r>
    </w:p>
    <w:p w:rsidR="00000000" w:rsidRDefault="00000000"/>
    <w:p w:rsidR="00000000" w:rsidRDefault="00000000">
      <w:r>
        <w:rPr>
          <w:i/>
          <w:iCs/>
        </w:rPr>
        <w:t>Актуальные вопросы политики</w:t>
      </w:r>
    </w:p>
    <w:p w:rsidR="00000000" w:rsidRDefault="00000000"/>
    <w:p w:rsidR="00000000" w:rsidRDefault="00000000">
      <w:r>
        <w:t>548.</w:t>
      </w:r>
      <w:r>
        <w:tab/>
        <w:t>Некоторые вопросы в контексте культурной политики Нидерландов являются предметом широкого общественного интереса и дискуссий.  К их числу относятся следующие:</w:t>
      </w:r>
    </w:p>
    <w:p w:rsidR="00000000" w:rsidRDefault="00000000"/>
    <w:p w:rsidR="00000000" w:rsidRDefault="00000000">
      <w:pPr>
        <w:numPr>
          <w:ilvl w:val="0"/>
          <w:numId w:val="301"/>
        </w:numPr>
      </w:pPr>
      <w:r>
        <w:t>предложение относительно того, что культурным учреждениям, таким, как оркестры, театральные труппы и музеи, нужно принимать меры для повышения своей рентабельности;</w:t>
      </w:r>
    </w:p>
    <w:p w:rsidR="00000000" w:rsidRDefault="00000000">
      <w:pPr>
        <w:tabs>
          <w:tab w:val="clear" w:pos="1134"/>
        </w:tabs>
        <w:ind w:left="567"/>
      </w:pPr>
    </w:p>
    <w:p w:rsidR="00000000" w:rsidRDefault="00000000">
      <w:pPr>
        <w:numPr>
          <w:ilvl w:val="0"/>
          <w:numId w:val="301"/>
        </w:numPr>
      </w:pPr>
      <w:r>
        <w:t>политика, проводимая правительством с 1999</w:t>
      </w:r>
      <w:r>
        <w:rPr>
          <w:lang w:val="en-US"/>
        </w:rPr>
        <w:t> </w:t>
      </w:r>
      <w:r>
        <w:t>года, которая нацелена на увеличение объема отечественной художественной кинематографической продукции и на повышение действенности рыночных механизмов в секторе кинематографии посредством использования соответствующих налогово-финансовых инструментов и т.д.;</w:t>
      </w:r>
    </w:p>
    <w:p w:rsidR="00000000" w:rsidRDefault="00000000">
      <w:pPr>
        <w:tabs>
          <w:tab w:val="clear" w:pos="1134"/>
        </w:tabs>
        <w:ind w:left="567"/>
      </w:pPr>
    </w:p>
    <w:p w:rsidR="00000000" w:rsidRDefault="00000000">
      <w:pPr>
        <w:numPr>
          <w:ilvl w:val="0"/>
          <w:numId w:val="301"/>
        </w:numPr>
      </w:pPr>
      <w:r>
        <w:t>интерес, проявляемый Министерством образования, науки и культуры совместно с Министерством экономики к изучению экономического потенциала культуры.  В основу положены три принципа:  укрепление сектора творческой деятельности, активизация усилий по обеспечению практического использования культуры и расширение вклада частного сектора в культурную жизнь страны.</w:t>
      </w:r>
    </w:p>
    <w:p w:rsidR="00000000" w:rsidRDefault="00000000">
      <w:pPr>
        <w:tabs>
          <w:tab w:val="clear" w:pos="1134"/>
        </w:tabs>
        <w:ind w:left="567"/>
      </w:pPr>
    </w:p>
    <w:p w:rsidR="00000000" w:rsidRDefault="00000000">
      <w:pPr>
        <w:keepNext/>
        <w:rPr>
          <w:i/>
          <w:iCs/>
        </w:rPr>
      </w:pPr>
      <w:r>
        <w:rPr>
          <w:i/>
          <w:iCs/>
        </w:rPr>
        <w:t>Международная культурная политика</w:t>
      </w:r>
    </w:p>
    <w:p w:rsidR="00000000" w:rsidRDefault="00000000">
      <w:pPr>
        <w:keepNext/>
        <w:rPr>
          <w:i/>
          <w:iCs/>
        </w:rPr>
      </w:pPr>
    </w:p>
    <w:p w:rsidR="00000000" w:rsidRDefault="00000000">
      <w:r>
        <w:t>549.</w:t>
      </w:r>
      <w:r>
        <w:tab/>
        <w:t>Нидерланды как торговая держава всегда уделяли особое внимание международным отношениям, особенно когда речь идет о культуре.  В последние годы эта тенденция стала еще более явной под влиянием определенных изменений в экономической, технологической и политической областях.  Свою роль в этом сыграли и глобализация, и растущая динамика миграции и мобильности, и изменения в сфере средств массовой информации, и поступательное развитие процесса европейской интеграции.  Государственные органы, организации частного сектора и простые люди все более остро ощущают потребность в развитии взаимных контактов с другими странами.  В связи с этим с 1997 года на Министерство иностранных дел и Министерство образования, науки и культуры была возложена совместная ответственность за разработку и осуществление международной культурной политики.  В целях активизации международной культурной политики правительство с одобрения парламента решило выделить дополнительные средства:  сформирован Единый бюджет для международного сотрудничества (ЕБМС), известный за рубежом как Голландский фонд культуры.  Совместная ответственность за использование средств возложена на министров, возглавляющих два вышеуказанных Министерства.  Согласованы два главных принципа:  а)  культура и сотрудничество в области культуры могут служить действенным инструментом внешней политики лишь в том случае, если они признаны в качестве самостоятельных целей, и  b)  международная культурная политика может быть эффективной лишь в сочетании с внешней политикой и при условии учета особенностей международного контекста.</w:t>
      </w:r>
    </w:p>
    <w:p w:rsidR="00000000" w:rsidRDefault="00000000"/>
    <w:p w:rsidR="00000000" w:rsidRDefault="00000000">
      <w:pPr>
        <w:spacing w:line="240" w:lineRule="auto"/>
        <w:jc w:val="center"/>
        <w:rPr>
          <w:b/>
          <w:bCs/>
        </w:rPr>
      </w:pPr>
      <w:r>
        <w:rPr>
          <w:b/>
          <w:bCs/>
        </w:rPr>
        <w:t>3.10.1.1</w:t>
      </w:r>
      <w:r>
        <w:rPr>
          <w:b/>
          <w:bCs/>
        </w:rPr>
        <w:tab/>
        <w:t>Фонды для целей культурного развития и участия населения</w:t>
      </w:r>
    </w:p>
    <w:p w:rsidR="00000000" w:rsidRDefault="00000000">
      <w:pPr>
        <w:spacing w:line="240" w:lineRule="auto"/>
        <w:jc w:val="center"/>
        <w:rPr>
          <w:b/>
          <w:bCs/>
        </w:rPr>
      </w:pPr>
    </w:p>
    <w:p w:rsidR="00000000" w:rsidRDefault="00000000">
      <w:pPr>
        <w:spacing w:line="240" w:lineRule="auto"/>
        <w:rPr>
          <w:b/>
          <w:bCs/>
        </w:rPr>
      </w:pPr>
      <w:r>
        <w:rPr>
          <w:b/>
          <w:bCs/>
        </w:rPr>
        <w:t xml:space="preserve">Оперативные финансовые структуры </w:t>
      </w:r>
    </w:p>
    <w:p w:rsidR="00000000" w:rsidRDefault="00000000">
      <w:pPr>
        <w:spacing w:line="240" w:lineRule="auto"/>
        <w:rPr>
          <w:b/>
          <w:bCs/>
        </w:rPr>
      </w:pPr>
    </w:p>
    <w:p w:rsidR="00000000" w:rsidRDefault="00000000">
      <w:r>
        <w:t>550.</w:t>
      </w:r>
      <w:r>
        <w:tab/>
        <w:t>В дополнение к рассчитанной на четыре года финансовой структуре (Документ по вопросам культурной политики) правительство сформировало различные государственные и полугосударственные фонды для поддержки различных видов художественного творчества.  Новые созданные и финансируемые правительством фонды начали появляться во второй половине 1980-х годов на основании Закона о (фондах) творческих видах искусства, который вступил в силу в 1981 году.  В этом Законе фонд определялся как "юридическое лицо, учрежденное в соответствии с частным правом и обладающее всеми юридическими полномочиями, в задачу которого входит содействие созданию и подготовке к использованию произведений искусства путем предоставления средств для этой цели".  Этот Закон был отменен в 1993 году после того, как в силу вступил Закон о культурной политике (специализированном финансировании).  Этот новый Закон создал основу для формирования фондов для любой области культурной политики.  В принципе, в настоящее время обязанности правительства в отношении любого фонда ограничиваются предоставлением финансовых средств и созданием условий для его функционирования.  Полномочиями по предоставлению субсидий из ежегодного бюджета обладает финансовое правление фонда.  Что касается размера бюджетных средств, то здесь последнее слово остается за парламентом.  Контроль со стороны Министерства, как правило, ограничивается утверждением устава фонда и положений, регулирующих распределение средств;  при этом сам министр консультируется с Советом по культуре.  Вместе с тем в обязанности министра входит назначение всех членов Совета правления и осуществление контроля за его политикой.  Примерами таких оперативных финансовых структур служат Нидерландский фонд изобразительных искусств, дизайна и архитектуры (1987 год), Голландский фонд поощрения широковещательных программ культурного характера (1988 год), Фонд для издания и перевода голландской литературы (1991 год), Фонд Мондриана (1993 год), Фонд голландского киноискусства (1993 год), Фонд для поддержки программ и маркетинга в области исполнительских видов искусства (2002 год) и Фонд для поддержки любительского искусства и исполнительских видов искусств (2002 год).</w:t>
      </w:r>
    </w:p>
    <w:p w:rsidR="00000000" w:rsidRDefault="00000000"/>
    <w:p w:rsidR="00000000" w:rsidRDefault="00000000">
      <w:pPr>
        <w:rPr>
          <w:b/>
          <w:bCs/>
        </w:rPr>
      </w:pPr>
      <w:r>
        <w:rPr>
          <w:b/>
          <w:bCs/>
        </w:rPr>
        <w:tab/>
      </w:r>
      <w:r>
        <w:rPr>
          <w:b/>
          <w:bCs/>
        </w:rPr>
        <w:tab/>
        <w:t>3.10.1.2</w:t>
      </w:r>
      <w:r>
        <w:rPr>
          <w:b/>
          <w:bCs/>
        </w:rPr>
        <w:tab/>
        <w:t>Институциональная инфраструктура для содействия</w:t>
      </w:r>
    </w:p>
    <w:p w:rsidR="00000000" w:rsidRDefault="00000000">
      <w:pPr>
        <w:tabs>
          <w:tab w:val="left" w:pos="2835"/>
          <w:tab w:val="left" w:pos="3402"/>
          <w:tab w:val="left" w:pos="3828"/>
        </w:tabs>
        <w:rPr>
          <w:b/>
          <w:bCs/>
        </w:rPr>
      </w:pPr>
      <w:r>
        <w:rPr>
          <w:b/>
          <w:bCs/>
        </w:rPr>
        <w:tab/>
      </w:r>
      <w:r>
        <w:rPr>
          <w:b/>
          <w:bCs/>
        </w:rPr>
        <w:tab/>
      </w:r>
      <w:r>
        <w:rPr>
          <w:b/>
          <w:bCs/>
        </w:rPr>
        <w:tab/>
      </w:r>
      <w:r>
        <w:rPr>
          <w:b/>
          <w:bCs/>
        </w:rPr>
        <w:tab/>
      </w:r>
      <w:r>
        <w:rPr>
          <w:b/>
          <w:bCs/>
        </w:rPr>
        <w:tab/>
      </w:r>
      <w:r>
        <w:rPr>
          <w:b/>
          <w:bCs/>
        </w:rPr>
        <w:tab/>
      </w:r>
      <w:r>
        <w:rPr>
          <w:b/>
          <w:bCs/>
        </w:rPr>
        <w:tab/>
        <w:t>участию населения</w:t>
      </w:r>
    </w:p>
    <w:p w:rsidR="00000000" w:rsidRDefault="00000000">
      <w:pPr>
        <w:rPr>
          <w:b/>
          <w:bCs/>
        </w:rPr>
      </w:pPr>
    </w:p>
    <w:p w:rsidR="00000000" w:rsidRDefault="00000000">
      <w:r>
        <w:t>551.</w:t>
      </w:r>
      <w:r>
        <w:tab/>
        <w:t xml:space="preserve">В 1997 году было начато осуществление проекта "Культура и школа", призванного обеспечить более тесную связь культуры и системы образования.  Главным его элементом является сотрудничество:  на региональном и местном уровнях предпринимаются совместные усилия с участием провинций и крупных муниципалитетов для разработки широкого спектра проектов по развитию искусства и сохранению культурного наследия;  на национальном уровне основным средством служит распространение билетов по сниженной стоимости для учащихся средних школ, которые хотели бы принять участие в культурной деятельности.  Первоначально этот проект был ориентирован на три области, которые, по мнению правительства, требовали повышенного внимания:  культурное наследие, мультикультурные вопросы и предварительная профессионально-техническая подготовка.  Позднее к ним прибавилась литература и образование в области средств массовой информации.  В последние годы одним из приоритетных направлений данного проекта стало начальное образование.  Ожидается, что все организации, занимающиеся вопросами культуры, будут участвовать в распространении информации среди новых различных групп населения (Документы по вопросам культурной политики на 2001-2004 и 2005-2008 годы).  Это </w:t>
      </w:r>
      <w:r>
        <w:noBreakHyphen/>
        <w:t xml:space="preserve"> один из критериев оценки в ходе четырехлетнего финансового цикла.</w:t>
      </w:r>
    </w:p>
    <w:p w:rsidR="00000000" w:rsidRDefault="00000000"/>
    <w:p w:rsidR="00000000" w:rsidRDefault="00000000">
      <w:pPr>
        <w:keepNext/>
        <w:tabs>
          <w:tab w:val="left" w:pos="748"/>
        </w:tabs>
        <w:rPr>
          <w:b/>
          <w:bCs/>
        </w:rPr>
      </w:pPr>
      <w:r>
        <w:rPr>
          <w:b/>
          <w:bCs/>
        </w:rPr>
        <w:tab/>
      </w:r>
      <w:r>
        <w:rPr>
          <w:b/>
          <w:bCs/>
        </w:rPr>
        <w:tab/>
        <w:t>3.10.1.3</w:t>
      </w:r>
      <w:r>
        <w:rPr>
          <w:b/>
          <w:bCs/>
        </w:rPr>
        <w:tab/>
        <w:t>Культурная самобытность и культурное наследие, включая</w:t>
      </w:r>
    </w:p>
    <w:p w:rsidR="00000000" w:rsidRDefault="00000000">
      <w:pPr>
        <w:keepNext/>
        <w:rPr>
          <w:b/>
          <w:bCs/>
        </w:rPr>
      </w:pPr>
      <w:r>
        <w:rPr>
          <w:b/>
          <w:bCs/>
        </w:rPr>
        <w:tab/>
      </w:r>
      <w:r>
        <w:rPr>
          <w:b/>
          <w:bCs/>
        </w:rPr>
        <w:tab/>
      </w:r>
      <w:r>
        <w:rPr>
          <w:b/>
          <w:bCs/>
        </w:rPr>
        <w:tab/>
      </w:r>
      <w:r>
        <w:rPr>
          <w:b/>
          <w:bCs/>
        </w:rPr>
        <w:tab/>
        <w:t>сохранение и доступ к памятникам культуры</w:t>
      </w:r>
    </w:p>
    <w:p w:rsidR="00000000" w:rsidRDefault="00000000">
      <w:pPr>
        <w:keepNext/>
        <w:rPr>
          <w:b/>
          <w:bCs/>
        </w:rPr>
      </w:pPr>
    </w:p>
    <w:p w:rsidR="00000000" w:rsidRDefault="00000000">
      <w:pPr>
        <w:keepNext/>
        <w:rPr>
          <w:b/>
          <w:bCs/>
        </w:rPr>
      </w:pPr>
      <w:r>
        <w:rPr>
          <w:b/>
          <w:bCs/>
        </w:rPr>
        <w:t>Культурное наследие</w:t>
      </w:r>
    </w:p>
    <w:p w:rsidR="00000000" w:rsidRDefault="00000000">
      <w:pPr>
        <w:rPr>
          <w:b/>
          <w:bCs/>
        </w:rPr>
      </w:pPr>
    </w:p>
    <w:p w:rsidR="00000000" w:rsidRDefault="00000000">
      <w:pPr>
        <w:rPr>
          <w:i/>
          <w:iCs/>
        </w:rPr>
      </w:pPr>
      <w:r>
        <w:rPr>
          <w:i/>
          <w:iCs/>
        </w:rPr>
        <w:t>Политика в области культурного наследия</w:t>
      </w:r>
    </w:p>
    <w:p w:rsidR="00000000" w:rsidRDefault="00000000">
      <w:pPr>
        <w:rPr>
          <w:i/>
          <w:iCs/>
        </w:rPr>
      </w:pPr>
    </w:p>
    <w:p w:rsidR="00000000" w:rsidRDefault="00000000">
      <w:r>
        <w:t>552.</w:t>
      </w:r>
      <w:r>
        <w:tab/>
        <w:t xml:space="preserve">В течение последних двадцати лет в политике в области культурного наследия доминировали два аспекта:  а)  работа по сохранению культурного наследия, необходимая для преодоления безразличного отношения к нему в прошлом;  и  </w:t>
      </w:r>
      <w:r>
        <w:rPr>
          <w:lang w:val="en-US"/>
        </w:rPr>
        <w:t>b</w:t>
      </w:r>
      <w:r>
        <w:t>)  необходимость обеспечения того, чтобы национальные культурные учреждения стали самоуправляющимися структурами для улучшения системы их управления.</w:t>
      </w:r>
    </w:p>
    <w:p w:rsidR="00000000" w:rsidRDefault="00000000">
      <w:r>
        <w:t>В основном благодаря Плану "Дельта" по сохранению культурного наследия, осуществление которого началось в 90</w:t>
      </w:r>
      <w:r>
        <w:noBreakHyphen/>
        <w:t>х годах, эти темы в настоящее время стали приоритетными.  Во второй половине 90</w:t>
      </w:r>
      <w:r>
        <w:noBreakHyphen/>
        <w:t>х годов особое внимание уделялось использованию культурного наследия для целей образования (как школьного, так и внешкольного), как того требовали Документ о культурной политике на период 1997</w:t>
      </w:r>
      <w:r>
        <w:noBreakHyphen/>
        <w:t xml:space="preserve">2000 годов и Документ о культуре и школах, оба из которых были опубликованы в конце 1996 года.  Затем в середине 1997 года была создана организация "Эрфгуд актуэль" ("Культурное наследие сегодня") для обеспечения взаимосвязи между школами и учреждениями, занимающимися вопросами культурного наследия.  Было принято решение о необходимости более рационального использования культурного наследия для улучшения качества условий жизни людей, и в этой связи между тремя министерствами (образования, культуры и науки;  жилищного строительства, обустройства территорий и охраны окружающей среды;  и сельского хозяйства, охраны природы и рыболовства) были установлены партнерские отношения с целью координации вопросов культурного наследия и планирования политики.  Политика в области культурного наследия, которая до этого ограничивалась традиционными музеями, местами культурного наследия, археологическими памятниками и архивами, была расширена и стала включать элементы планирования, после чего в обиход был введен термин "культурное планирование".  Это предусматривает, главным образом, совместную деятельность с другими заинтересованными сторонами и подход, ориентированный на развитие, а не просто на сохранение культурного наследия.  Таким образом, политика в области культурного наследия стала в большей степени ориентироваться на широкую общественность и возможное использование памятников материальной культуры, а не просто на сами эти памятники.  Появилось осознание необходимости сотрудничества с учреждениями, занимающимися другими областями деятельности.  Широкой общественности были представлены различные виды культурного наследия, в том числе предназначенные для улучшения качества среды обитания человека.  Этот новый подход, который пока еще находится в стадии становления, требует такого изменения в политике культурного наследия, которое идет дальше традиционного секторального подхода.  При этом весьма полезными были признаны возможности новых цифровых средств массовой информации.  </w:t>
      </w:r>
    </w:p>
    <w:p w:rsidR="00000000" w:rsidRDefault="00000000"/>
    <w:p w:rsidR="00000000" w:rsidRDefault="00000000">
      <w:pPr>
        <w:rPr>
          <w:i/>
          <w:iCs/>
        </w:rPr>
      </w:pPr>
      <w:r>
        <w:rPr>
          <w:i/>
          <w:iCs/>
        </w:rPr>
        <w:t>Музеи</w:t>
      </w:r>
    </w:p>
    <w:p w:rsidR="00000000" w:rsidRDefault="00000000">
      <w:pPr>
        <w:rPr>
          <w:i/>
          <w:iCs/>
        </w:rPr>
      </w:pPr>
    </w:p>
    <w:p w:rsidR="00000000" w:rsidRDefault="00000000">
      <w:r>
        <w:t>553.</w:t>
      </w:r>
      <w:r>
        <w:tab/>
        <w:t>За политику правительства в отношении музейной системы Нидерландов отвечает государственный секретарь по культуре.  Используемый в данном случае термин "музейная система" охватывает все музеи и вспомогательные органы, которые занимаются сбором, сохранением и изучением культурного наследия и ознакомлением с ним широкой общественности на национальном, региональном и местном уровнях.  Основные цели музейной политики заключаются в сохранении культурного наследия (на основе "национальной коллекции", о которой речь пойдет ниже), улучшении доступа (например, путем информатизации коллекций),  поощрении участия общественности (например, путем уделения первоочередного внимания детям школьного возраста и культурным меньшинствам) и сохранении и улучшении музейной инфраструктуры.  В соответствии с этими целями в 1987 году полномочия в отношении ряда музеев, наряду с соответствующим финансированием, были переданы провинциям или муниципалитетам.  В ведении центрального правительства в настоящее время остается лишь небольшое количество музеев.  Как указывалось выше, План "Дельта" по сохранению культурного наследия позволил завершить остающуюся работу по его сохранению.  В соответствии с директивным документом, согласно которому предпочтение должно отдаваться качеству, План "Дельта" заложил основу для превращения национальных музеев в самоуправляющиеся структуры.  В этом документе была представлена концепция "национальной коллекции", означающая, что основой музейной политики является национальное культурное наследие в целом (а не просто собрания отдельных музеев).  На практике это означает, что сами коллекции и сооружения, в которых они размещаются, остаются в государственной собственности, а национальные музеи становятся юридическими лицами, обладающими соответствующими правами.  Это предоставило музеям оперативную независимость, в рамках которой их существование более не зависит от самого правительства.  Была создана Инспекция по вопросам культурного наследия для осуществления контроля за управлением национальными коллекциями.  Национальные музеи в настоящее время большей частью финансируются Министерством образования, культуры и науки.  Финансирование музеев, как и других культурных учреждений, основано на четырехгодичных директивных планах, предусмотренных документом по культурной политике.  В этой связи были достигнуты конкретные, подлежащие проверке договоренности о функционировании.</w:t>
      </w:r>
    </w:p>
    <w:p w:rsidR="00000000" w:rsidRDefault="00000000"/>
    <w:p w:rsidR="00000000" w:rsidRDefault="00000000">
      <w:r>
        <w:t>554.</w:t>
      </w:r>
      <w:r>
        <w:tab/>
        <w:t>Министерство образования, культуры и науки субсидирует ряд органов, которые занимаются обслуживанием музейного сектора в целом, а также финансирует музейные проекты, связанные с сохранением и показом коллекций, их компьютеризацией, организацией специальных публичных мероприятий, приобретением экспонатов, осуществлением международных презентаций и предоставлением грантов для проведения научных исследований.  Все эти проекты находятся в ведении Фонда Мондриана.</w:t>
      </w:r>
    </w:p>
    <w:p w:rsidR="00000000" w:rsidRDefault="00000000"/>
    <w:p w:rsidR="00000000" w:rsidRDefault="00000000">
      <w:pPr>
        <w:keepNext/>
        <w:rPr>
          <w:i/>
          <w:iCs/>
        </w:rPr>
      </w:pPr>
      <w:r>
        <w:rPr>
          <w:i/>
          <w:iCs/>
        </w:rPr>
        <w:t>Архивы и государственные хранилища информации</w:t>
      </w:r>
    </w:p>
    <w:p w:rsidR="00000000" w:rsidRDefault="00000000">
      <w:pPr>
        <w:keepNext/>
        <w:rPr>
          <w:i/>
          <w:iCs/>
        </w:rPr>
      </w:pPr>
    </w:p>
    <w:p w:rsidR="00000000" w:rsidRDefault="00000000">
      <w:r>
        <w:t>555.</w:t>
      </w:r>
      <w:r>
        <w:tab/>
        <w:t xml:space="preserve">Правительство занималось созданием и пополнением архивов с того момента, когда оно начало использовать письменные документы.  Это предполагает три направления деятельности:  а)  хранение архивных документов;  </w:t>
      </w:r>
      <w:r>
        <w:rPr>
          <w:lang w:val="en-US"/>
        </w:rPr>
        <w:t>b</w:t>
      </w:r>
      <w:r>
        <w:t>)  обеспечение того, чтобы архивы носили публичный характер;  и  с)  обеспечение того, чтобы каждый гражданин имел к ним доступ, что является одним из его прав.  В законодательство, касающееся государственных хранилищ информации, были внесены изменения.  Новое законодательство сократило период, после которого государственные хранилища информации переводятся в государственные архивы, с 50 до 20 лет.  Это позволит улучшить доступ к государственным хранилищам информации и повысить выполняемую ими культурную роль.</w:t>
      </w:r>
    </w:p>
    <w:p w:rsidR="00000000" w:rsidRDefault="00000000"/>
    <w:p w:rsidR="00000000" w:rsidRDefault="00000000">
      <w:pPr>
        <w:keepNext/>
        <w:rPr>
          <w:i/>
          <w:iCs/>
        </w:rPr>
      </w:pPr>
      <w:r>
        <w:rPr>
          <w:i/>
          <w:iCs/>
        </w:rPr>
        <w:t>Памятники и исторические здания</w:t>
      </w:r>
    </w:p>
    <w:p w:rsidR="00000000" w:rsidRDefault="00000000">
      <w:pPr>
        <w:keepNext/>
        <w:rPr>
          <w:i/>
          <w:iCs/>
        </w:rPr>
      </w:pPr>
    </w:p>
    <w:p w:rsidR="00000000" w:rsidRDefault="00000000">
      <w:r>
        <w:t>556.</w:t>
      </w:r>
      <w:r>
        <w:tab/>
        <w:t>Защита памятников регулируется Законом 1988 года о памятниках и исторических зданиях.  До настоящего времени защите подлежали главным образом здания, построенные до 1850 года.  В последние годы политика в области сохранения культурного наследия постоянно пересматривается с целью уделения большего внимания не столько реставрации, сколько плановому эксплуатационно-техническому содержанию памятников.  Одним из таких изменений явилась новая система финансирования, направленная на упрощение и повышение транспарентности регулирующих норм, сокращение количества процедур и уменьшение числа промежуточных инстанций.  Государственный секретарь по культурным делам представил эти планы парламенту в конце 2001 года.</w:t>
      </w:r>
    </w:p>
    <w:p w:rsidR="00000000" w:rsidRDefault="00000000"/>
    <w:p w:rsidR="00000000" w:rsidRDefault="00000000">
      <w:pPr>
        <w:keepNext/>
        <w:rPr>
          <w:i/>
          <w:iCs/>
        </w:rPr>
      </w:pPr>
      <w:r>
        <w:rPr>
          <w:i/>
          <w:iCs/>
        </w:rPr>
        <w:t>Археология</w:t>
      </w:r>
    </w:p>
    <w:p w:rsidR="00000000" w:rsidRDefault="00000000">
      <w:pPr>
        <w:keepNext/>
        <w:rPr>
          <w:i/>
          <w:iCs/>
        </w:rPr>
      </w:pPr>
    </w:p>
    <w:p w:rsidR="00000000" w:rsidRDefault="00000000">
      <w:r>
        <w:t>557.</w:t>
      </w:r>
      <w:r>
        <w:tab/>
        <w:t>Государственная защита, предоставляемая археологическим памятникам, также регулируется Законом 1988 года о памятниках и исторических зданиях.  Ответственность за осуществление политики в сфере археологии от имени министра осуществляет Государственная служба археологических исследований.</w:t>
      </w:r>
    </w:p>
    <w:p w:rsidR="00000000" w:rsidRDefault="00000000"/>
    <w:p w:rsidR="00000000" w:rsidRDefault="00000000">
      <w:pPr>
        <w:keepNext/>
        <w:rPr>
          <w:i/>
          <w:iCs/>
        </w:rPr>
      </w:pPr>
      <w:r>
        <w:rPr>
          <w:i/>
          <w:iCs/>
        </w:rPr>
        <w:t>Культурное планирование</w:t>
      </w:r>
    </w:p>
    <w:p w:rsidR="00000000" w:rsidRDefault="00000000">
      <w:pPr>
        <w:keepNext/>
        <w:rPr>
          <w:i/>
          <w:iCs/>
        </w:rPr>
      </w:pPr>
    </w:p>
    <w:p w:rsidR="00000000" w:rsidRDefault="00000000">
      <w:r>
        <w:t>558.</w:t>
      </w:r>
      <w:r>
        <w:tab/>
        <w:t xml:space="preserve">Сфера культурной политики, непосредственно увязываемая с политикой в области планирования в Нидерландах, получила название "культурное планирование".  Ее цель заключается в более эффективном и целенаправленном использовании культурного наследия и памятников архитектуры в качестве фактора, определяющего качество среды обитания человека.  Культурное планирование базируется на двух главных принципах:  а)  в основе изменений в области планирования может лежать история сооружений, населенных пунктов и ландшафтных памятников, вследствие чего традиция должна восприниматься не как некое бремя, а как источник вдохновения, и  </w:t>
      </w:r>
      <w:r>
        <w:rPr>
          <w:lang w:val="en-US"/>
        </w:rPr>
        <w:t>b</w:t>
      </w:r>
      <w:r>
        <w:t>)  конструирование зданий с учетом культурных традиций улучшает внешний вид и привлекательность страны.  Культурное планирование осуществляется рядом учреждений и институтов, включая Архитектурный институт Нидерландов, Департамент по вопросам сохранения культурного наследия, Голландский центр археологической экспертизы и Фонд поощрения архитектурных проектов.</w:t>
      </w:r>
    </w:p>
    <w:p w:rsidR="00000000" w:rsidRDefault="00000000"/>
    <w:p w:rsidR="00000000" w:rsidRDefault="00000000">
      <w:pPr>
        <w:keepNext/>
        <w:jc w:val="center"/>
        <w:rPr>
          <w:b/>
          <w:bCs/>
        </w:rPr>
      </w:pPr>
      <w:r>
        <w:rPr>
          <w:b/>
          <w:bCs/>
        </w:rPr>
        <w:t>3.10.1.4</w:t>
      </w:r>
      <w:r>
        <w:rPr>
          <w:b/>
          <w:bCs/>
        </w:rPr>
        <w:tab/>
        <w:t>Роль средств массовой информации</w:t>
      </w:r>
    </w:p>
    <w:p w:rsidR="00000000" w:rsidRDefault="00000000">
      <w:pPr>
        <w:keepNext/>
        <w:jc w:val="center"/>
        <w:rPr>
          <w:b/>
          <w:bCs/>
        </w:rPr>
      </w:pPr>
    </w:p>
    <w:p w:rsidR="00000000" w:rsidRDefault="00000000">
      <w:pPr>
        <w:keepNext/>
        <w:rPr>
          <w:b/>
          <w:bCs/>
        </w:rPr>
      </w:pPr>
      <w:r>
        <w:rPr>
          <w:b/>
          <w:bCs/>
        </w:rPr>
        <w:t>Средства массовой информации, литература и библиотеки</w:t>
      </w:r>
    </w:p>
    <w:p w:rsidR="00000000" w:rsidRDefault="00000000">
      <w:pPr>
        <w:keepNext/>
        <w:rPr>
          <w:b/>
          <w:bCs/>
        </w:rPr>
      </w:pPr>
    </w:p>
    <w:p w:rsidR="00000000" w:rsidRDefault="00000000">
      <w:r>
        <w:t>559.</w:t>
      </w:r>
      <w:r>
        <w:tab/>
        <w:t>Хотя каждое из направлений государственной политики в области средств массовой информации, литературы и библиотек имеет собственные традиции и средства осуществления, все они действуют на одной общей основе.  В силу своих конституционных обязанностей правительство несет ответственность за обеспечение плюрализма, доступности и приемлемости информации.  Его политика строится на широкомасштабных представлениях об информационном обществе, основанном на социальных, культурных и демократических ценностях.  При этом оно преследует две главные цели:  во</w:t>
      </w:r>
      <w:r>
        <w:noBreakHyphen/>
        <w:t>первых, гарантировать широкое разнообразие высококачественных радио- и телепередач, книг, газет, журналов и новых средств массовой информации и на основе всего это обеспечивать, чтобы все слои населения имели доступ к этим средствам информации и могли их себе позволить.</w:t>
      </w:r>
    </w:p>
    <w:p w:rsidR="00000000" w:rsidRDefault="00000000"/>
    <w:p w:rsidR="00000000" w:rsidRDefault="00000000">
      <w:r>
        <w:t>560.</w:t>
      </w:r>
      <w:r>
        <w:tab/>
        <w:t>Главным нормативом в этой области является Закон о средствах массовой информации, который регулирует порядок организации, финансирования и аннулирования служб публичного вещания, устанавливает ограниченное количество критериев для операторов коммерческих и кабельных каналов и обеспечивает поддержку прессы.  Политика в области средств массовой информации включает выделение ограниченного количества вещательных диапазонов для кабельного и волнового вещания.  Что касается литературы, то основное внимание уделяется многообразию книжной продукции (как литературного, так и нелитературного характера) и обеспечению доступа к ней.  Публичные библиотеки получают государственную помощь, с тем чтобы население имело доступ к широкому объему информации, образованию и культуре за небольшую плату.</w:t>
      </w:r>
    </w:p>
    <w:p w:rsidR="00000000" w:rsidRDefault="00000000"/>
    <w:p w:rsidR="00000000" w:rsidRDefault="00000000">
      <w:pPr>
        <w:keepNext/>
      </w:pPr>
      <w:r>
        <w:rPr>
          <w:b/>
          <w:bCs/>
        </w:rPr>
        <w:t>Книги и чтение</w:t>
      </w:r>
    </w:p>
    <w:p w:rsidR="00000000" w:rsidRDefault="00000000">
      <w:pPr>
        <w:keepNext/>
      </w:pPr>
    </w:p>
    <w:p w:rsidR="00000000" w:rsidRDefault="00000000">
      <w:r>
        <w:t>561.</w:t>
      </w:r>
      <w:r>
        <w:tab/>
        <w:t>Что касается книг и чтения, то в настоящее время в этой связи принимаются следующие меры:  а)  меры общего характера, которые затрагивают всю сферу культуры или ее значительную часть.  Эти меры направлены на активизацию общей политики правительства Нидерландов, предусматривающей расширение возможностей населения в плане ознакомления с произведениями национальной и международной литературы.  Одним из важных инструментов в этой области является фиксированная цена на книги.  Кроме того, при приобретении книг используется сниженный тариф налога на добавленную стоимость;  b)  положения Закона об авторских правах 1912 года, которые регулируют не только авторское право, но и право на доход от библиотечного проката и издательские права.</w:t>
      </w:r>
    </w:p>
    <w:p w:rsidR="00000000" w:rsidRDefault="00000000"/>
    <w:p w:rsidR="00000000" w:rsidRDefault="00000000">
      <w:r>
        <w:t>562.</w:t>
      </w:r>
      <w:r>
        <w:tab/>
        <w:t>Другим инструментом, имеющим широкий спектр воздействия, является законодательство о публичных библиотеках.  Начиная с 1987 года финансовые и управленческие полномочия в отношении функционирования местных публичных библиотек были возложены на муниципалитеты, в то время как провинции отвечают за предоставление библиотекам необходимой непосредственной поддержки.  Центральное правительство занимается вопросами согласования, многообразия, координации деятельности и качества системы публичных библиотек в целом.</w:t>
      </w:r>
    </w:p>
    <w:p w:rsidR="00000000" w:rsidRDefault="00000000"/>
    <w:p w:rsidR="00000000" w:rsidRDefault="00000000">
      <w:r>
        <w:t>563.</w:t>
      </w:r>
      <w:r>
        <w:tab/>
        <w:t>В дополнение к этим инструментам общей политики правительство осуществляет определенную целевую политику, связанную с книжной продукцией и чтением.  В частности, действуют специальные фонды для поддержки подготовки, публикации и перевода литературных произведений на голландском и фризском языках.  Помимо этого, государство предоставляет финансовые средства ряду институтов и организаций, которые занимаются сохранением и документированием голландского литературного наследия, обеспечивают популяризацию голландских авторов и их произведений, особенно среди молодежи, или осуществляет другие мероприятия для повышения интереса к голландской литературе.  И наконец, в этом контексте следует упомянуть о существовании финансовых ресурсов, направленных на содействие достижению конкретных целей в сфере книжной продукции и чтения:  это – фонды, призванные развивать культуру чтения, обеспечивать сохранение и доступность письменного культурного наследия, расширять участие населения в культурной деятельности и поддерживать языковую политику.  В настоящее время чтение становится все менее популярным, и люди тратят меньше времени на чтение, чем в прошлом.  Учитывая социальную и культурную значимость чтения, правительство проводит активную политику для его поощрения.  В дополнение к усилиям книготорговцев, издателей и других многочисленных заинтересованных сторон большую роль в этом играют библиотеки и школы, при этом особое внимание уделяется культурным меньшинствам в голландском обществе.  Библиотеки, школы и другие учебные заведения активно приобщают представителей этих групп к чтению и пользованию библиотеками.  Часть используемых материалов издается на языках меньшинств, однако главная цель заключается в активизации и интеграции этих групп в голландское общество, а следовательно, и в приобщении людей к чтению на голландском языке.</w:t>
      </w:r>
    </w:p>
    <w:p w:rsidR="00000000" w:rsidRDefault="00000000"/>
    <w:p w:rsidR="00000000" w:rsidRDefault="00000000">
      <w:r>
        <w:t>564.</w:t>
      </w:r>
      <w:r>
        <w:tab/>
        <w:t xml:space="preserve">В настоящее время четыре библиотеки для лиц с проблемами зрения ведут общенациональную работу по распространению литературы для слепых и частично зрячих людей.  По причинам социального и культурного характера эта деятельность субсидируется.  Для людей с проблемами зрения эти библиотеки являются средством доступа к знаниям, информации и культуре, а следовательно </w:t>
      </w:r>
      <w:r>
        <w:noBreakHyphen/>
        <w:t xml:space="preserve"> инструментами социальной интеграции и участия в жизни общества.  Библиотеки выдают имеющиеся у них материалы лицам с проблемами зрения в различных специальных форматах, например книги со шрифтом Брайля, аудиокниги и издания с крупным шрифтом.  Пользование этими библиотеками является бесплатным, при этом существует специальная рассылочная служба.  В 1995 году был создан Фонд библиотек для лиц с проблемами зрения для стимулирования более тесного сотрудничества между этими четырьмя библиотеками и выделения им государственных субсидий.  Вместе с тем в 2001 году стало ясно, что данный Фонд просто не может обеспечить требуемую эффективность и инновационный подход.  Поэтому 1 января 2002 года он был ликвидирован, и библиотеки для лиц с проблемами зрения вновь перешли в ведение Министерства образования, культуры и науки, которое провело тщательный анализ их финансового, организационного и технического состояния.  По итогам проведенной работы было начато осуществление срочной программы модернизации, которую планируется завершить в 2006 году.</w:t>
      </w:r>
    </w:p>
    <w:p w:rsidR="00000000" w:rsidRDefault="00000000"/>
    <w:p w:rsidR="00000000" w:rsidRDefault="00000000">
      <w:pPr>
        <w:rPr>
          <w:b/>
          <w:bCs/>
        </w:rPr>
      </w:pPr>
      <w:r>
        <w:rPr>
          <w:b/>
          <w:bCs/>
        </w:rPr>
        <w:t>Радио- и телевещание</w:t>
      </w:r>
    </w:p>
    <w:p w:rsidR="00000000" w:rsidRDefault="00000000">
      <w:pPr>
        <w:rPr>
          <w:b/>
          <w:bCs/>
        </w:rPr>
      </w:pPr>
    </w:p>
    <w:p w:rsidR="00000000" w:rsidRDefault="00000000">
      <w:r>
        <w:t>565.</w:t>
      </w:r>
      <w:r>
        <w:tab/>
        <w:t xml:space="preserve">Существующая система радио- и телевещания регулируется Законом 1988 года о средствах массовой информации (в который неоднократно вносились изменения).  В этом Законе содержатся нормативные положения, касающиеся подготовки и трансляции и радио- и телепрограмм, финансирования публичной службы вещания и оказания финансовой поддержки изданию газет и журналов.  При этом преследуются следующие цели:  a)  предоставление широкого круга высококачественных программных услуг для общих целей вещания на национальном, региональном и местном уровнях в сфере информации, культуры, образования и развлечений, обеспечивать трансляцию этих программ или способствовать их трансляции в открытых сетях;  b)  принимать все меры, направленные на предоставление вещательных услуг и трансляции программ в этих целях;  c)  обеспечить предоставление вещательных услуг и трансляцию программ, направленных на страны и регионы за пределами территории Нидерландов, и для голландцев, проживающих за пределами страны. </w:t>
      </w:r>
    </w:p>
    <w:p w:rsidR="00000000" w:rsidRDefault="00000000"/>
    <w:p w:rsidR="00000000" w:rsidRDefault="00000000">
      <w:r>
        <w:t>566.</w:t>
      </w:r>
      <w:r>
        <w:tab/>
        <w:t>В соответствии с вышеуказанным Законом услуги в сфере программного вещания призваны создавать объективное представление о нынешних интересах общества и народа, а также его взгляды на общество, культуру, религию и убеждения.  Эти услуги в области вещания:  a)  должны быть доступны всему населению в районе, на который ориентированы соответствующие программы;  b)  должны содействовать развитию и распространению идей плюрализма и культурного многообразия Нидерландов;  c)  должны быть независимыми от коммерческого влияния и в соответствии с положениями, закрепленными в вышеуказанном Законе, или, согласно этим положениям, быть свободными от влияния правительства;  и  d)  должны быть нацелены на широкую аудиторию и на население и различные по размеру и составу возрастные группы.  Служба публичного вещания в целом должна обеспечивать комплексную программу, т.е. широкий пакет информационных и просветительских программ, передач культурного характера и развлекательных передач.</w:t>
      </w:r>
    </w:p>
    <w:p w:rsidR="00000000" w:rsidRDefault="00000000"/>
    <w:p w:rsidR="00000000" w:rsidRDefault="00000000">
      <w:r>
        <w:t>567.</w:t>
      </w:r>
      <w:r>
        <w:tab/>
        <w:t>Ассоциации публичного вещания являются юридическими лицами, осуществляющими задачи в области публичного вещания, как об этом указывается в пункте 565.  Исключительная, или по крайней мере главная, цель ассоциации теле- и радиовещания должна заключаться в предоставлении услуг в сфере трансляции программ для целей общего вещания на национальном уровне.  Услуги в области программного вещания, предоставляемые ассоциацией, должны отражать социальные, культурные, религиозные или духовные особенности общества и стремиться удовлетворять существующие социальные, культурные, религиозные или духовные потребности.  Ассоциации вещания должны иметь аудиторию в размере не менее 150 000 человек, хотя в перспективе такие ассоциации смогут подавать заявки на получение времени для вещания в том случае, если аудитория слушателей или телезрителей не превышает 50 000 человек.  Новые ассоциации вещания должны предлагать широкий круг программ, которые в значительной мере отличаются от программ других ассоциаций вещания, с тем чтобы увеличить разнообразие национального радио- и телевещания.</w:t>
      </w:r>
    </w:p>
    <w:p w:rsidR="00000000" w:rsidRDefault="00000000"/>
    <w:p w:rsidR="00000000" w:rsidRDefault="00000000">
      <w:r>
        <w:t>568.</w:t>
      </w:r>
      <w:r>
        <w:tab/>
        <w:t>Нидерландская служба программного вещания (НСПВ) занимается трансляцией широкого круга программ, направленных на удовлетворение любых социальных, культурных, религиозных или идеологических потребностей общества, которые не в полной мере обеспечиваются другими ассоциациями вещания.  Некоторые из этих программ ориентированы на этнические меньшинства.  Голландский фонд поощрения радио- и телевещания в интересах развития культуры отвечает за выделение финансовых средств для поддержки производства и трансляции программ, рассчитанных на широкую аудиторию и непосредственно связанных с голландской культурой.  Средства этого Фонда поступают от доходов Фонда радио- и телерекламы.</w:t>
      </w:r>
    </w:p>
    <w:p w:rsidR="00000000" w:rsidRDefault="00000000"/>
    <w:p w:rsidR="00000000" w:rsidRDefault="00000000">
      <w:r>
        <w:t>569.</w:t>
      </w:r>
      <w:r>
        <w:tab/>
        <w:t>Начиная с 1992 года система вещания также открыта для коммерческих вещательных компаний.</w:t>
      </w:r>
    </w:p>
    <w:p w:rsidR="00000000" w:rsidRDefault="00000000"/>
    <w:p w:rsidR="00000000" w:rsidRDefault="00000000">
      <w:pPr>
        <w:jc w:val="center"/>
      </w:pPr>
      <w:r>
        <w:rPr>
          <w:b/>
          <w:bCs/>
        </w:rPr>
        <w:t>3.10.1.5</w:t>
      </w:r>
      <w:r>
        <w:rPr>
          <w:b/>
          <w:bCs/>
        </w:rPr>
        <w:tab/>
        <w:t>Защита свободы художественного творчества</w:t>
      </w:r>
    </w:p>
    <w:p w:rsidR="00000000" w:rsidRDefault="00000000">
      <w:pPr>
        <w:jc w:val="center"/>
      </w:pPr>
    </w:p>
    <w:p w:rsidR="00000000" w:rsidRDefault="00000000">
      <w:r>
        <w:t>570.</w:t>
      </w:r>
      <w:r>
        <w:tab/>
        <w:t>Значительная доля безвозмездной помощи для развития различных видов искусств поступает от центрального правительства.  Зрительские искусства, архитектура и дизайн, киноиндустрия и новые средства массовой информации, исполнительские и любительские виды искусств и художественное образование - все они поддерживаются центральным правительством в рамках рассчитанной на четыре года системы финансирования и/или специализированных оперативных фондов, о которых говорится в пункте 550.  Различные области искусств обладают полной независимостью, однако все они должны руководствоваться общими политическими целями.  Ниже приводятся два примера.</w:t>
      </w:r>
    </w:p>
    <w:p w:rsidR="00000000" w:rsidRDefault="00000000"/>
    <w:p w:rsidR="00000000" w:rsidRDefault="00000000">
      <w:r>
        <w:t>571.</w:t>
      </w:r>
      <w:r>
        <w:tab/>
        <w:t>Политика в области кинематографии имеет ряд целей:  увеличить количество и улучшить качество голландских кинофильмов, в том числе за счет их совместного производства с другими странами;  улучшить распространение некоммерческих фильмов, имеющих высокие художественные достоинства;  расширить рынок голландской кинопродукции;  укрепить сотрудничество между киноиндустрией и радио- и телевещанием;  создать более подходящие условия для отбора и профессиональной подготовки молодых талантов;  надлежащим образом использовать кинематографическое наследие и знакомить с ним широкую публику;  а также обеспечивать защиту молодых людей.</w:t>
      </w:r>
    </w:p>
    <w:p w:rsidR="00000000" w:rsidRDefault="00000000"/>
    <w:p w:rsidR="00000000" w:rsidRDefault="00000000">
      <w:r>
        <w:t>572.</w:t>
      </w:r>
      <w:r>
        <w:tab/>
        <w:t>Государственная политика в области исполнительских видов искусства направлена на то, чтобы гарантировать высокое качество исполнения при одновременном обеспечении разнообразия и справедливого географического распределения;  важными целями также являются инновационный подход и пропаганда искусства среди населения.  Главное средство - предоставление финансовой помощи.  Подающие заявки лица и организации должны предпринять усилия для обеспечения надлежащего охвата населения и географического распределения, а также способствовать углублению и расширению интереса со стороны общественности.  Многие государственные субсидии предоставляются на условиях того, что определенный процент постановок будет организовываться на общей сцене, а не ограничиваться узкой аудиторией.  Положение о том, что по крайней мере 15% оперативных расходов компаний должно покрываться за счет собственных доходов, стимулирует коммерческий подход.  В обязанности центрального правительства входит обеспечение многообразия и постоянного характера различных постановок в национальном масштабе.  Муниципалитеты отвечают за конкретные места проведения мероприятий, такие, как театры, концертные залы и т.д., а провинции - за организацию мероприятий на провинциальном уровне и охват ими местной аудитории.</w:t>
      </w:r>
    </w:p>
    <w:p w:rsidR="00000000" w:rsidRDefault="00000000"/>
    <w:p w:rsidR="00000000" w:rsidRDefault="00000000">
      <w:pPr>
        <w:jc w:val="center"/>
        <w:rPr>
          <w:b/>
          <w:bCs/>
        </w:rPr>
      </w:pPr>
      <w:r>
        <w:rPr>
          <w:b/>
          <w:bCs/>
        </w:rPr>
        <w:t>3.10.1.6</w:t>
      </w:r>
      <w:r>
        <w:rPr>
          <w:b/>
          <w:bCs/>
        </w:rPr>
        <w:tab/>
        <w:t>Профессиональная подготовка</w:t>
      </w:r>
    </w:p>
    <w:p w:rsidR="00000000" w:rsidRDefault="00000000">
      <w:pPr>
        <w:jc w:val="center"/>
        <w:rPr>
          <w:b/>
          <w:bCs/>
        </w:rPr>
      </w:pPr>
    </w:p>
    <w:p w:rsidR="00000000" w:rsidRDefault="00000000">
      <w:r>
        <w:t>573.</w:t>
      </w:r>
      <w:r>
        <w:tab/>
        <w:t>Право каждого человека принимать участие в культурной жизни по своему усмотрению и пропагандировать собственную культуру гарантируется принципами, закрепленными в Конституции.</w:t>
      </w:r>
    </w:p>
    <w:p w:rsidR="00000000" w:rsidRDefault="00000000"/>
    <w:p w:rsidR="00000000" w:rsidRDefault="00000000">
      <w:pPr>
        <w:jc w:val="center"/>
        <w:rPr>
          <w:b/>
          <w:bCs/>
        </w:rPr>
      </w:pPr>
      <w:r>
        <w:rPr>
          <w:b/>
          <w:bCs/>
        </w:rPr>
        <w:t>3.10.1.7</w:t>
      </w:r>
      <w:r>
        <w:rPr>
          <w:b/>
          <w:bCs/>
        </w:rPr>
        <w:tab/>
        <w:t>Дополнительные материалы о культурной политике</w:t>
      </w:r>
    </w:p>
    <w:p w:rsidR="00000000" w:rsidRDefault="00000000">
      <w:pPr>
        <w:jc w:val="center"/>
        <w:rPr>
          <w:b/>
          <w:bCs/>
        </w:rPr>
      </w:pPr>
      <w:r>
        <w:rPr>
          <w:b/>
          <w:bCs/>
        </w:rPr>
        <w:t>Нидерландов</w:t>
      </w:r>
    </w:p>
    <w:p w:rsidR="00000000" w:rsidRDefault="00000000">
      <w:pPr>
        <w:jc w:val="center"/>
        <w:rPr>
          <w:b/>
          <w:bCs/>
        </w:rPr>
      </w:pPr>
    </w:p>
    <w:p w:rsidR="00000000" w:rsidRDefault="00000000">
      <w:r>
        <w:t>574.</w:t>
      </w:r>
      <w:r>
        <w:tab/>
        <w:t>Дополнительную информацию о культурной политике Нидерландов можно найти в следующих документах:</w:t>
      </w:r>
    </w:p>
    <w:p w:rsidR="00000000" w:rsidRDefault="00000000"/>
    <w:p w:rsidR="00000000" w:rsidRDefault="00000000">
      <w:pPr>
        <w:ind w:left="1134" w:hanging="1134"/>
      </w:pPr>
      <w:r>
        <w:tab/>
        <w:t>-</w:t>
      </w:r>
      <w:r>
        <w:tab/>
        <w:t>Закон о культурной политике (специальное финансирование) (иногда переводится как "Закон о специальной культурной политике") от 11 марта 1993 года;</w:t>
      </w:r>
    </w:p>
    <w:p w:rsidR="00000000" w:rsidRDefault="00000000">
      <w:pPr>
        <w:ind w:left="1134" w:hanging="1134"/>
      </w:pPr>
    </w:p>
    <w:p w:rsidR="00000000" w:rsidRDefault="00000000">
      <w:pPr>
        <w:ind w:left="1134" w:hanging="1134"/>
      </w:pPr>
      <w:r>
        <w:tab/>
        <w:t>-</w:t>
      </w:r>
      <w:r>
        <w:tab/>
        <w:t>Министерство образования, культуры и науки, культурная политика в Нидерландах, доклад Европейской группы экспертов, 1994 год;</w:t>
      </w:r>
    </w:p>
    <w:p w:rsidR="00000000" w:rsidRDefault="00000000">
      <w:pPr>
        <w:ind w:left="1134" w:hanging="1134"/>
      </w:pPr>
    </w:p>
    <w:p w:rsidR="00000000" w:rsidRDefault="00000000">
      <w:pPr>
        <w:ind w:left="1134" w:hanging="1134"/>
      </w:pPr>
      <w:r>
        <w:tab/>
        <w:t>-</w:t>
      </w:r>
      <w:r>
        <w:tab/>
        <w:t>Министерство образования, культуры и науки, автономия национальных музеев в Нидерландах, 1994 год;</w:t>
      </w:r>
    </w:p>
    <w:p w:rsidR="00000000" w:rsidRDefault="00000000">
      <w:pPr>
        <w:ind w:left="1134" w:hanging="1134"/>
      </w:pPr>
    </w:p>
    <w:p w:rsidR="00000000" w:rsidRDefault="00000000">
      <w:pPr>
        <w:ind w:left="1134" w:hanging="1134"/>
      </w:pPr>
      <w:r>
        <w:tab/>
        <w:t>-</w:t>
      </w:r>
      <w:r>
        <w:tab/>
        <w:t>Министерство образования, культуры и науки, внешняя защищенность или внутренняя сила:  документ о принципах культурной политики, 1995 год;</w:t>
      </w:r>
    </w:p>
    <w:p w:rsidR="00000000" w:rsidRDefault="00000000">
      <w:pPr>
        <w:ind w:left="1134" w:hanging="1134"/>
      </w:pPr>
    </w:p>
    <w:p w:rsidR="00000000" w:rsidRDefault="00000000">
      <w:pPr>
        <w:ind w:left="1134" w:hanging="1134"/>
      </w:pPr>
      <w:r>
        <w:tab/>
        <w:t>-</w:t>
      </w:r>
      <w:r>
        <w:tab/>
        <w:t>Министерство здравоохранения, благосостояния и спорта, инвестирование в культуру, 1993 год;</w:t>
      </w:r>
    </w:p>
    <w:p w:rsidR="00000000" w:rsidRDefault="00000000">
      <w:pPr>
        <w:ind w:left="1134" w:hanging="1134"/>
      </w:pPr>
    </w:p>
    <w:p w:rsidR="00000000" w:rsidRDefault="00000000">
      <w:pPr>
        <w:ind w:left="1134" w:hanging="1134"/>
      </w:pPr>
      <w:r>
        <w:tab/>
        <w:t>-</w:t>
      </w:r>
      <w:r>
        <w:tab/>
        <w:t>Министерство здравоохранения, благосостояния и спорта, культурная политика в Нидерландах, 1994 год;</w:t>
      </w:r>
    </w:p>
    <w:p w:rsidR="00000000" w:rsidRDefault="00000000">
      <w:pPr>
        <w:ind w:left="1134" w:hanging="1134"/>
      </w:pPr>
    </w:p>
    <w:p w:rsidR="00000000" w:rsidRDefault="00000000">
      <w:pPr>
        <w:ind w:left="1134" w:hanging="1134"/>
        <w:rPr>
          <w:lang w:val="en-US"/>
        </w:rPr>
      </w:pPr>
      <w:r>
        <w:tab/>
      </w:r>
      <w:r>
        <w:rPr>
          <w:lang w:val="en-US"/>
        </w:rPr>
        <w:t>-</w:t>
      </w:r>
      <w:r>
        <w:rPr>
          <w:lang w:val="en-US"/>
        </w:rPr>
        <w:tab/>
        <w:t>Peter van IJsselmuiden, Truths gained; the events leading up to the Act on Specific Cultural Policy, 19.</w:t>
      </w:r>
    </w:p>
    <w:p w:rsidR="00000000" w:rsidRDefault="00000000">
      <w:pPr>
        <w:ind w:left="1134" w:hanging="1134"/>
        <w:rPr>
          <w:lang w:val="en-US"/>
        </w:rPr>
      </w:pPr>
    </w:p>
    <w:p w:rsidR="00000000" w:rsidRDefault="00000000">
      <w:pPr>
        <w:ind w:left="1134" w:hanging="1134"/>
        <w:rPr>
          <w:lang w:val="en-US"/>
        </w:rPr>
      </w:pPr>
      <w:r>
        <w:rPr>
          <w:lang w:val="en-US"/>
        </w:rPr>
        <w:tab/>
      </w:r>
      <w:r>
        <w:t>-</w:t>
      </w:r>
      <w:r>
        <w:tab/>
        <w:t xml:space="preserve">Министерство образования, культуры и науки, культурная политика в Нидерландах, 2003 год. </w:t>
      </w:r>
      <w:r>
        <w:fldChar w:fldCharType="begin"/>
      </w:r>
      <w:r>
        <w:instrText xml:space="preserve"> HYPERLINK "http://www.minocw.nl" </w:instrText>
      </w:r>
      <w:r>
        <w:fldChar w:fldCharType="separate"/>
      </w:r>
      <w:r>
        <w:rPr>
          <w:rStyle w:val="Hyperlink"/>
          <w:lang w:val="en-US"/>
        </w:rPr>
        <w:t>www.minocw.nl</w:t>
      </w:r>
      <w:r>
        <w:fldChar w:fldCharType="end"/>
      </w:r>
      <w:r>
        <w:rPr>
          <w:lang w:val="en-US"/>
        </w:rPr>
        <w:t xml:space="preserve"> -&gt; English -&gt; Culture -&gt; </w:t>
      </w:r>
      <w:proofErr w:type="spellStart"/>
      <w:r>
        <w:rPr>
          <w:lang w:val="en-US"/>
        </w:rPr>
        <w:t>pdf</w:t>
      </w:r>
      <w:proofErr w:type="spellEnd"/>
      <w:r>
        <w:rPr>
          <w:lang w:val="en-US"/>
        </w:rPr>
        <w:t xml:space="preserve">.  </w:t>
      </w:r>
    </w:p>
    <w:p w:rsidR="00000000" w:rsidRDefault="00000000">
      <w:pPr>
        <w:ind w:left="1134" w:hanging="1134"/>
        <w:rPr>
          <w:lang w:val="en-US"/>
        </w:rPr>
      </w:pPr>
    </w:p>
    <w:p w:rsidR="00000000" w:rsidRDefault="00000000">
      <w:pPr>
        <w:ind w:left="1134" w:hanging="1134"/>
        <w:rPr>
          <w:lang w:val="en-US"/>
        </w:rPr>
      </w:pPr>
      <w:r>
        <w:rPr>
          <w:lang w:val="en-US"/>
        </w:rPr>
        <w:tab/>
      </w:r>
      <w:r>
        <w:t>-</w:t>
      </w:r>
      <w:r>
        <w:tab/>
        <w:t xml:space="preserve">Министерство образования, культуры и науки, больше чем общая сумма, 2003 год.  </w:t>
      </w:r>
      <w:r>
        <w:fldChar w:fldCharType="begin"/>
      </w:r>
      <w:r>
        <w:instrText xml:space="preserve"> HYPERLINK "http://www.minocw.nl" </w:instrText>
      </w:r>
      <w:r>
        <w:fldChar w:fldCharType="separate"/>
      </w:r>
      <w:r>
        <w:rPr>
          <w:rStyle w:val="Hyperlink"/>
          <w:lang w:val="en-US"/>
        </w:rPr>
        <w:t>www.minocw.nl</w:t>
      </w:r>
      <w:r>
        <w:fldChar w:fldCharType="end"/>
      </w:r>
      <w:r>
        <w:rPr>
          <w:lang w:val="en-US"/>
        </w:rPr>
        <w:t xml:space="preserve"> -&gt; English -&gt; Culture;  </w:t>
      </w:r>
    </w:p>
    <w:p w:rsidR="00000000" w:rsidRDefault="00000000">
      <w:pPr>
        <w:ind w:left="1134" w:hanging="1134"/>
        <w:rPr>
          <w:lang w:val="en-US"/>
        </w:rPr>
      </w:pPr>
    </w:p>
    <w:p w:rsidR="00000000" w:rsidRDefault="00000000">
      <w:pPr>
        <w:ind w:left="1134" w:hanging="1134"/>
      </w:pPr>
      <w:r>
        <w:rPr>
          <w:lang w:val="en-US"/>
        </w:rPr>
        <w:tab/>
      </w:r>
      <w:r>
        <w:t>-</w:t>
      </w:r>
      <w:r>
        <w:tab/>
        <w:t>Министерство образования, культуры и науки, Cultuurnota 2005-2008 (Директивный документ по проблемам развития культуры в период 2005</w:t>
      </w:r>
      <w:r>
        <w:noBreakHyphen/>
        <w:t xml:space="preserve">2008 годов, в момент подготовки настоящего документа на английский язык переведен не был) </w:t>
      </w:r>
      <w:hyperlink r:id="rId26" w:history="1">
        <w:r>
          <w:rPr>
            <w:rStyle w:val="Hyperlink"/>
          </w:rPr>
          <w:t>www.minocw.nl</w:t>
        </w:r>
      </w:hyperlink>
      <w:r>
        <w:t xml:space="preserve"> -&gt; English -&gt; Culture.</w:t>
      </w:r>
    </w:p>
    <w:p w:rsidR="00000000" w:rsidRDefault="00000000">
      <w:pPr>
        <w:ind w:left="1134" w:hanging="1134"/>
      </w:pPr>
    </w:p>
    <w:p w:rsidR="00000000" w:rsidRDefault="00000000">
      <w:pPr>
        <w:ind w:left="1134" w:hanging="1134"/>
        <w:jc w:val="center"/>
        <w:rPr>
          <w:b/>
          <w:bCs/>
        </w:rPr>
      </w:pPr>
      <w:r>
        <w:rPr>
          <w:b/>
          <w:bCs/>
        </w:rPr>
        <w:t>3.10.2</w:t>
      </w:r>
      <w:r>
        <w:rPr>
          <w:b/>
          <w:bCs/>
        </w:rPr>
        <w:tab/>
        <w:t xml:space="preserve">Пользование результатами научного прогресса </w:t>
      </w:r>
    </w:p>
    <w:p w:rsidR="00000000" w:rsidRDefault="00000000">
      <w:pPr>
        <w:ind w:left="1134" w:hanging="1134"/>
        <w:jc w:val="center"/>
        <w:rPr>
          <w:b/>
          <w:bCs/>
        </w:rPr>
      </w:pPr>
      <w:r>
        <w:rPr>
          <w:b/>
          <w:bCs/>
        </w:rPr>
        <w:tab/>
      </w:r>
      <w:r>
        <w:rPr>
          <w:b/>
          <w:bCs/>
        </w:rPr>
        <w:tab/>
        <w:t>и их практического применения</w:t>
      </w:r>
    </w:p>
    <w:p w:rsidR="00000000" w:rsidRDefault="00000000">
      <w:pPr>
        <w:ind w:left="1134" w:hanging="1134"/>
        <w:jc w:val="center"/>
        <w:rPr>
          <w:b/>
          <w:bCs/>
        </w:rPr>
      </w:pPr>
    </w:p>
    <w:p w:rsidR="00000000" w:rsidRDefault="00000000">
      <w:pPr>
        <w:rPr>
          <w:b/>
          <w:bCs/>
        </w:rPr>
      </w:pPr>
      <w:r>
        <w:rPr>
          <w:b/>
          <w:bCs/>
        </w:rPr>
        <w:t>Применение, сохранение, развитие и распространение достижений науки при надлежащем учете прав человека</w:t>
      </w:r>
    </w:p>
    <w:p w:rsidR="00000000" w:rsidRDefault="00000000">
      <w:pPr>
        <w:rPr>
          <w:b/>
          <w:bCs/>
        </w:rPr>
      </w:pPr>
    </w:p>
    <w:p w:rsidR="00000000" w:rsidRDefault="00000000">
      <w:r>
        <w:t>575.</w:t>
      </w:r>
      <w:r>
        <w:tab/>
        <w:t>Нидерланды создали научно-техническую систему, в рамках которой действуют механизмы координации на двух уровнях:  а)  Кабинет и b)  министерства.  На обоих уровнях существуют отдельные комитеты, отвечающие за развитие науки, техники и инноваций:  на уровне Кабинета - Комитет по науке, технике и информационной политике (РВТИ);  на межминистерском уровне - Комитет по науке, технике и информационной политике (КВТИ).  РВТИ занимается подготовкой решений, которые принимаются на пленарном заседании Кабинета.  В его состав входят два министра, занимающиеся координацией научно-технической и инновационной политики под председательством премьер-министра;  все другие министры могут посещать заседания РВТИ в тех случаях, когда в повестке дня рассматриваются темы, касающиеся их круга ведения.  В состав КВТИ входят гражданские служащие высокого уровня всех министерств.  Заседания КВТИ проводятся в преддверии пленума РВТИ и на них решаются вопросы о том, какие предложения должны быть выдвинуты на рассмотрение пленума РВТИ.</w:t>
      </w:r>
    </w:p>
    <w:p w:rsidR="00000000" w:rsidRDefault="00000000"/>
    <w:p w:rsidR="00000000" w:rsidRDefault="00000000">
      <w:r>
        <w:t>576.</w:t>
      </w:r>
      <w:r>
        <w:tab/>
        <w:t xml:space="preserve">Наука, техника и инновационная политика - вопросы, которыми занимаются несколько различных министерств.  Научная политика координируется министром образования, культуры и науки.  Существует рассчитанный на четыре года директивный цикл, в рамках которого утверждается научный бюджет, публикуемый каждые четыре года, и доклады о положении дел, публикуемые в промежуточный период.  В научном бюджете представлены мнения министра образования, культуры и науки о состоянии научной системы в целом и его/ее планы на ближайшие четыре года.  В ежегодных докладах о положении дел сообщается о прогрессе, достигнутом в деле осуществления этих планов.  </w:t>
      </w:r>
    </w:p>
    <w:p w:rsidR="00000000" w:rsidRDefault="00000000"/>
    <w:p w:rsidR="00000000" w:rsidRDefault="00000000">
      <w:r>
        <w:t>577.</w:t>
      </w:r>
      <w:r>
        <w:tab/>
        <w:t>Министр образования, культуры и науки отвечает за управление публичными университетами и различными организациями, которые играют важную роль в проведении исследований и в других областях научной политики</w:t>
      </w:r>
      <w:r>
        <w:rPr>
          <w:b/>
          <w:bCs/>
          <w:vertAlign w:val="superscript"/>
        </w:rPr>
        <w:t>18</w:t>
      </w:r>
      <w:r>
        <w:t xml:space="preserve">.  Главными государственными организациями являются НВО (Нидерландская организация научных исследований), ТНО (Нидерландская организация прикладных исследований), КНАН (Королевская нидерландская академия гуманитарных и точных наук) и КБ (Королевская библиотека).  Министерство по экономическим вопросам непосредственно участвует в некоторых областях деятельности ТНО (Программа совместного финансирования ТНО) и НВО (технологический фонд, СТВ), которые частично финансируются Министерством по экономическим вопросам.  </w:t>
      </w:r>
    </w:p>
    <w:p w:rsidR="00000000" w:rsidRDefault="00000000"/>
    <w:p w:rsidR="00000000" w:rsidRDefault="00000000">
      <w:r>
        <w:t>578.</w:t>
      </w:r>
      <w:r>
        <w:tab/>
        <w:t>Координацией технологической и инновационной политики занимается министр по экономическим вопросам.  Совместно с министром образования, культуры и науки в обязанности министра по экономическим вопросам также входит международная часть научно-технической политики Нидерландов (включая вопросы, касающиеся ЕС).  Другие министры разрабатывают собственную политику в области научных исследований и технических разработок в рамках собственного круга ведения, включая здравоохранение, окружающую среду, оборону, транспорт и коммунальные службы.</w:t>
      </w:r>
    </w:p>
    <w:p w:rsidR="00000000" w:rsidRDefault="00000000"/>
    <w:p w:rsidR="00000000" w:rsidRDefault="00000000">
      <w:r>
        <w:t>579.</w:t>
      </w:r>
      <w:r>
        <w:tab/>
        <w:t>Ряд консультативных органов консультирует правительство по вопросам научно-технической политики:</w:t>
      </w:r>
    </w:p>
    <w:p w:rsidR="00000000" w:rsidRDefault="00000000"/>
    <w:p w:rsidR="00000000" w:rsidRDefault="00000000">
      <w:pPr>
        <w:ind w:left="1134" w:hanging="1134"/>
      </w:pPr>
      <w:r>
        <w:tab/>
        <w:t>-</w:t>
      </w:r>
      <w:r>
        <w:tab/>
        <w:t>основная роль в этой области принадлежит Консультативному совету по вопросам научно-технической политики (АВТ).  Первоначально этот Совет был создан на основании Закона от 2 ноября 1990 года, который был подкреплен Законом от 30 января 1997 года.  В обязанности Совета входит консультирование правительства и парламента по вопросам научно-технической политики на национальном и международном уровне, а также по проблемам информационной политики в области науки и техники.  Основное направление его консультативных функций касается процесса распространения знаний, инновационных технологий и их развития.  Разрабатываемые Советом рекомендации могут также касаться вопросов, непосредственно затрагивающих практическое использование научных исследований и технологических разработок.  В состав Совета входят специалисты различного уровня (из университетов, промышленности и т.д.).  Члены Совета назначаются на основе их личных достоинств;</w:t>
      </w:r>
    </w:p>
    <w:p w:rsidR="00000000" w:rsidRDefault="00000000">
      <w:pPr>
        <w:ind w:left="1134" w:hanging="1134"/>
      </w:pPr>
    </w:p>
    <w:p w:rsidR="00000000" w:rsidRDefault="00000000">
      <w:pPr>
        <w:ind w:left="1134" w:hanging="1134"/>
      </w:pPr>
      <w:r>
        <w:tab/>
        <w:t>-</w:t>
      </w:r>
      <w:r>
        <w:tab/>
        <w:t>отраслевые советы консультируют соответствующих министров по конкретным областям политики.  Их перспективные обзоры и исследования используются в качестве вклада в деятельность Министерств в области программирования и координации научных исследований и организации научной инфраструктуры в соответствующей отрасли.  Они могут также содействовать разработке политики и обеспечению поддержки конкретного направления политики.  Отраслевые советы занимаются преимущественно теми вопросами, которые находятся в ведении "их собственных" министерств, однако результаты работы отраслевых советов также используются для подготовки исследовательских программ НВО, ТНО, университетами и другими органами.</w:t>
      </w:r>
    </w:p>
    <w:p w:rsidR="00000000" w:rsidRDefault="00000000">
      <w:pPr>
        <w:ind w:left="1134" w:hanging="1134"/>
      </w:pPr>
      <w:r>
        <w:tab/>
      </w:r>
      <w:r>
        <w:tab/>
        <w:t>В настоящее время существует четыре отраслевых совета, работающих в следующих областях:  исследования в области оказания помощи в целях развития, исследования в области здравоохранения, исследования в области природы и окружающей среды и сельскохозяйственные исследования.  В настоящее время создаются два отраслевых совета (по вопросам государственной администрации, правосудия и безопасности и по вопросам образования).  Для стимулирования сотрудничества между различными отраслевыми советами действует небольшая головная организация под названием "Консультативный комитет отраслевых советов" (КОС), которая занимается вопросами, представляющими общий интерес.  Отраслевые советы финансируются соответствующими министерствами, которые в конечном итоге отвечают за их функционирование;</w:t>
      </w:r>
    </w:p>
    <w:p w:rsidR="00000000" w:rsidRDefault="00000000">
      <w:pPr>
        <w:ind w:left="1134" w:hanging="1134"/>
      </w:pPr>
    </w:p>
    <w:p w:rsidR="00000000" w:rsidRDefault="00000000">
      <w:pPr>
        <w:ind w:left="1134" w:hanging="1134"/>
      </w:pPr>
      <w:r>
        <w:tab/>
        <w:t>-</w:t>
      </w:r>
      <w:r>
        <w:tab/>
        <w:t>Одна из задач Королевской нидерландской академии гуманитарных и точных наук (КНАВ) заключается в консультировании правительства по вопросам науки и техники, особенно в области базовых исследований (кодекс поведения, обеспечение качества и научные школы).</w:t>
      </w:r>
    </w:p>
    <w:p w:rsidR="00000000" w:rsidRDefault="00000000">
      <w:pPr>
        <w:ind w:left="1134" w:hanging="1134"/>
      </w:pPr>
    </w:p>
    <w:p w:rsidR="00000000" w:rsidRDefault="00000000">
      <w:r>
        <w:t xml:space="preserve">В состав научно-технического сообщества входят 14 государственных университетов, один частный университет (школа предпринимательских кадров </w:t>
      </w:r>
      <w:proofErr w:type="spellStart"/>
      <w:r>
        <w:t>Ниенроде</w:t>
      </w:r>
      <w:proofErr w:type="spellEnd"/>
      <w:r>
        <w:t>), КНАВ и 18 институтов, НВО и девять его институтов, пять крупных технологических институтов (КТИ), четыре ведущих технологических института (ВТИ), ТНО и 14 его институтов, институты сельскохозяйственных исследований ДЛО, ряд государственных научно-консультативных центров и ряд других институтов, занимающихся проблемами здравоохранения и социальных наук.</w:t>
      </w:r>
    </w:p>
    <w:p w:rsidR="00000000" w:rsidRDefault="00000000"/>
    <w:p w:rsidR="00000000" w:rsidRDefault="00000000">
      <w:r>
        <w:rPr>
          <w:b/>
          <w:bCs/>
        </w:rPr>
        <w:t>Университеты</w:t>
      </w:r>
    </w:p>
    <w:p w:rsidR="00000000" w:rsidRDefault="00000000"/>
    <w:p w:rsidR="00000000" w:rsidRDefault="00000000">
      <w:r>
        <w:t>580.</w:t>
      </w:r>
      <w:r>
        <w:tab/>
        <w:t>Университеты выполняют трехстороннюю задачу:  проводят научные исследования, занимаются преподаванием и распространением знаний в обществе.  Что касается научно-исследовательской деятельности, то университеты организуют проведение большинства базовых научных исследований (фундаментальных и стратегических) в Нидерландах, а также проводят конкретные заказные и прикладные исследования.  Университетские исследования охватывают все научные дисциплины, хотя и не каждая дисциплина представлена во всех университетах.  Из 14 государственных университетов три являются технологическими и один - сельскохозяйственным (девять университетов являются университетами общего профиля, а один носит название Открытого университета).  Университеты имеют высокий уровень автономии.  Правительство не занимается непосредственно их управлением.  Члены университетских советов назначаются министром образования, культуры и науки.</w:t>
      </w:r>
    </w:p>
    <w:p w:rsidR="00000000" w:rsidRDefault="00000000"/>
    <w:p w:rsidR="00000000" w:rsidRDefault="00000000">
      <w:r>
        <w:t>581.</w:t>
      </w:r>
      <w:r>
        <w:tab/>
        <w:t xml:space="preserve">В Нидерландах, как и во многих других странах, существует двойная система финансирования университетов:  прямое финансирование со стороны правительства и субсидии, выделяемые Советом по научным исследованиям (НВО).  Кроме того, университеты получают доход от контрактных исследований/преподавательской деятельности.  Таким образом, существуют три вида финансового обеспечения университетов:  </w:t>
      </w:r>
    </w:p>
    <w:p w:rsidR="00000000" w:rsidRDefault="00000000"/>
    <w:p w:rsidR="00000000" w:rsidRDefault="00000000">
      <w:pPr>
        <w:ind w:left="1134" w:hanging="1134"/>
      </w:pPr>
      <w:r>
        <w:tab/>
        <w:t>-</w:t>
      </w:r>
      <w:r>
        <w:tab/>
        <w:t>прямое государственное финансирование (примерно 60% от общей суммы) в виде базовых или основных ресурсов, предоставляемых Министерством образования, культуры и науки</w:t>
      </w:r>
      <w:r>
        <w:rPr>
          <w:b/>
          <w:bCs/>
          <w:vertAlign w:val="superscript"/>
        </w:rPr>
        <w:t>19</w:t>
      </w:r>
      <w:r>
        <w:t xml:space="preserve"> в качестве единой субсидии, или единовременно выплачиваемой суммы на цели обучения и научных исследований;</w:t>
      </w:r>
    </w:p>
    <w:p w:rsidR="00000000" w:rsidRDefault="00000000">
      <w:pPr>
        <w:ind w:left="1134" w:hanging="1134"/>
      </w:pPr>
    </w:p>
    <w:p w:rsidR="00000000" w:rsidRDefault="00000000">
      <w:pPr>
        <w:ind w:left="1134" w:hanging="1134"/>
      </w:pPr>
      <w:r>
        <w:tab/>
        <w:t>-</w:t>
      </w:r>
      <w:r>
        <w:tab/>
        <w:t>косвенное государственное финансирование (примерно 10% от общей суммы), состоящее из средств, выделяемых университетам со стороны НВО в форме субсидий или со стороны КНАВ в форме кадровых ресурсов (исследователей и преподавателей, нанимаемых КНАВ).  НВО отбирает отдельных исследователей, научные проекты и программы для финансирования посредством конкурентного процесса на основе отбора кандидатов с учетом их личных достоинств;</w:t>
      </w:r>
    </w:p>
    <w:p w:rsidR="00000000" w:rsidRDefault="00000000">
      <w:pPr>
        <w:ind w:left="1134" w:hanging="1134"/>
      </w:pPr>
    </w:p>
    <w:p w:rsidR="00000000" w:rsidRDefault="00000000">
      <w:pPr>
        <w:ind w:left="1134" w:hanging="1134"/>
      </w:pPr>
      <w:r>
        <w:tab/>
      </w:r>
      <w:r>
        <w:noBreakHyphen/>
      </w:r>
      <w:r>
        <w:tab/>
        <w:t>финансирование в форме выплат за проведение исследований/обучения по контрактам (примерно 30% от общей суммы), состоящее из дополнительных средств, получаемых из государственных и частных национальных и международных источников в рамках выплат по контрактам.  В число контрактных партнеров входят государственные ведомства, промышленность и благотворительные организации, а также международные финансовые организации, такие, как ЕС (Рамочные программы).</w:t>
      </w:r>
    </w:p>
    <w:p w:rsidR="00000000" w:rsidRDefault="00000000">
      <w:pPr>
        <w:ind w:left="1134" w:hanging="1134"/>
      </w:pPr>
    </w:p>
    <w:p w:rsidR="00000000" w:rsidRDefault="00000000">
      <w:pPr>
        <w:ind w:left="1134" w:hanging="1134"/>
        <w:rPr>
          <w:b/>
          <w:bCs/>
        </w:rPr>
      </w:pPr>
      <w:r>
        <w:rPr>
          <w:b/>
          <w:bCs/>
        </w:rPr>
        <w:t>Нидерландская организация научных исследований (НВО)</w:t>
      </w:r>
    </w:p>
    <w:p w:rsidR="00000000" w:rsidRDefault="00000000">
      <w:pPr>
        <w:ind w:left="1134" w:hanging="1134"/>
        <w:rPr>
          <w:b/>
          <w:bCs/>
        </w:rPr>
      </w:pPr>
    </w:p>
    <w:p w:rsidR="00000000" w:rsidRDefault="00000000">
      <w:r>
        <w:t>582.</w:t>
      </w:r>
      <w:r>
        <w:tab/>
        <w:t xml:space="preserve">Задача НВО заключается в стимулировании и повышении качества и инновационного содержания фундаментальных научных исследований в голландских университетах и научно-исследовательских институтах, а также в содействии распространению и использованию результатов исследований.  НВО охватывает все области научной деятельности.  Ее важнейшие задачи заключаются в предоставлении субсидий для проведения исследований высокого уровня и приобретения научного оборудования, а также в координации научно-исследовательских программ.  Помимо этих задач, НВО управляет деятельностью четырех институтов, занимающихся проблемами астрономии, математики, компьютерной техники, физики, истории, морских исследований, права, преступности и </w:t>
      </w:r>
      <w:proofErr w:type="spellStart"/>
      <w:r>
        <w:t>правоприменения</w:t>
      </w:r>
      <w:proofErr w:type="spellEnd"/>
      <w:r>
        <w:t xml:space="preserve"> и космических исследований.</w:t>
      </w:r>
    </w:p>
    <w:p w:rsidR="00000000" w:rsidRDefault="00000000"/>
    <w:p w:rsidR="00000000" w:rsidRDefault="00000000">
      <w:r>
        <w:t>583.</w:t>
      </w:r>
      <w:r>
        <w:tab/>
        <w:t xml:space="preserve">Одно из основных направлений деятельности НВО состоит в предоставлении </w:t>
      </w:r>
      <w:proofErr w:type="spellStart"/>
      <w:r>
        <w:t>грантов</w:t>
      </w:r>
      <w:proofErr w:type="spellEnd"/>
      <w:r>
        <w:t xml:space="preserve"> или субсидий для проведения исследований посредством процесса открытой конкуренции между учеными.  Эта часть бюджета НВО предназначена для финансирования программ, проектов и деятельности отдельных лиц.  В целом все исследователи, работающие в национальных университетах и научно-исследовательских институтах, признанных НВО, могут подавать заявки на получение этих субсидий, хотя критерии отбора по некоторым программам являются различными с точки зрения их широты или ограниченности.  НВО предоставляет различные виды </w:t>
      </w:r>
      <w:proofErr w:type="spellStart"/>
      <w:r>
        <w:t>грантов</w:t>
      </w:r>
      <w:proofErr w:type="spellEnd"/>
      <w:r>
        <w:t xml:space="preserve"> и субсидий: </w:t>
      </w:r>
    </w:p>
    <w:p w:rsidR="00000000" w:rsidRDefault="00000000"/>
    <w:p w:rsidR="00000000" w:rsidRDefault="00000000">
      <w:pPr>
        <w:ind w:left="1134" w:hanging="1134"/>
      </w:pPr>
      <w:r>
        <w:tab/>
      </w:r>
      <w:r>
        <w:noBreakHyphen/>
      </w:r>
      <w:r>
        <w:tab/>
        <w:t>субсидии на осуществление программ;</w:t>
      </w:r>
    </w:p>
    <w:p w:rsidR="00000000" w:rsidRDefault="00000000">
      <w:pPr>
        <w:ind w:left="1134" w:hanging="1134"/>
      </w:pPr>
    </w:p>
    <w:p w:rsidR="00000000" w:rsidRDefault="00000000">
      <w:pPr>
        <w:ind w:left="1134" w:hanging="1134"/>
      </w:pPr>
      <w:r>
        <w:tab/>
      </w:r>
      <w:r>
        <w:noBreakHyphen/>
      </w:r>
      <w:r>
        <w:tab/>
      </w:r>
      <w:proofErr w:type="spellStart"/>
      <w:r>
        <w:t>гранты</w:t>
      </w:r>
      <w:proofErr w:type="spellEnd"/>
      <w:r>
        <w:t xml:space="preserve"> отдельным ученым.  Важнейшей из этих программ является Программа инновационных научных стимулов, которая ориентирована на новых докторов наук, аспирантов и старших исследователей.  Эта программа была начата в 2000 году в сотрудничестве с университетами, КНАВ и Министерством образования, культуры и науки.  К числу других программ, ориентированных на отдельных ученых, относится программа СПИНОЗА (голландский вариант нобелевской премии) и программы, специально предназначенные для женщин (программа МЕЕРВУД и "</w:t>
      </w:r>
      <w:proofErr w:type="spellStart"/>
      <w:r>
        <w:t>Аспазия</w:t>
      </w:r>
      <w:proofErr w:type="spellEnd"/>
      <w:r>
        <w:t>");</w:t>
      </w:r>
    </w:p>
    <w:p w:rsidR="00000000" w:rsidRDefault="00000000">
      <w:pPr>
        <w:ind w:left="1134" w:hanging="1134"/>
      </w:pPr>
    </w:p>
    <w:p w:rsidR="00000000" w:rsidRDefault="00000000">
      <w:pPr>
        <w:ind w:left="1134" w:hanging="1134"/>
      </w:pPr>
      <w:r>
        <w:tab/>
      </w:r>
      <w:r>
        <w:noBreakHyphen/>
      </w:r>
      <w:r>
        <w:tab/>
      </w:r>
      <w:proofErr w:type="spellStart"/>
      <w:r>
        <w:t>гранты</w:t>
      </w:r>
      <w:proofErr w:type="spellEnd"/>
      <w:r>
        <w:t xml:space="preserve"> на публикации;</w:t>
      </w:r>
    </w:p>
    <w:p w:rsidR="00000000" w:rsidRDefault="00000000">
      <w:pPr>
        <w:ind w:left="1134" w:hanging="1134"/>
      </w:pPr>
    </w:p>
    <w:p w:rsidR="00000000" w:rsidRDefault="00000000">
      <w:pPr>
        <w:ind w:left="1134" w:hanging="1134"/>
      </w:pPr>
      <w:r>
        <w:tab/>
      </w:r>
      <w:r>
        <w:noBreakHyphen/>
      </w:r>
      <w:r>
        <w:tab/>
        <w:t>инвестиции в оборудование и научные приспособления;</w:t>
      </w:r>
    </w:p>
    <w:p w:rsidR="00000000" w:rsidRDefault="00000000">
      <w:pPr>
        <w:ind w:left="1134" w:hanging="1134"/>
      </w:pPr>
    </w:p>
    <w:p w:rsidR="00000000" w:rsidRDefault="00000000">
      <w:pPr>
        <w:ind w:left="1134" w:hanging="1134"/>
      </w:pPr>
      <w:r>
        <w:tab/>
      </w:r>
      <w:r>
        <w:noBreakHyphen/>
      </w:r>
      <w:r>
        <w:tab/>
      </w:r>
      <w:proofErr w:type="spellStart"/>
      <w:r>
        <w:t>гранты</w:t>
      </w:r>
      <w:proofErr w:type="spellEnd"/>
      <w:r>
        <w:t xml:space="preserve"> на осуществление поездок и международное сотрудничество.</w:t>
      </w:r>
    </w:p>
    <w:p w:rsidR="00000000" w:rsidRDefault="00000000">
      <w:pPr>
        <w:ind w:left="1134" w:hanging="1134"/>
      </w:pPr>
    </w:p>
    <w:p w:rsidR="00000000" w:rsidRDefault="00000000">
      <w:r>
        <w:t>В задачи НВО также входит сближение науки и общества путем сотрудничества с министерствами, другими посредническими организациями и промышленными предприятиями, а также распространение знаний.</w:t>
      </w:r>
    </w:p>
    <w:p w:rsidR="00000000" w:rsidRDefault="00000000"/>
    <w:p w:rsidR="00000000" w:rsidRDefault="00000000">
      <w:r>
        <w:t>584.</w:t>
      </w:r>
      <w:r>
        <w:tab/>
        <w:t xml:space="preserve">В последнее время бюджет НВО резко увеличился с 30 млн. </w:t>
      </w:r>
      <w:proofErr w:type="spellStart"/>
      <w:r>
        <w:t>евро</w:t>
      </w:r>
      <w:proofErr w:type="spellEnd"/>
      <w:r>
        <w:t xml:space="preserve"> в 1970 году до 400 млн. </w:t>
      </w:r>
      <w:proofErr w:type="spellStart"/>
      <w:r>
        <w:t>евро</w:t>
      </w:r>
      <w:proofErr w:type="spellEnd"/>
      <w:r>
        <w:t xml:space="preserve"> в 2002 году.  Министерство образования, науки и культуры вносит почти 80% от общей суммы (включая финансовые средства, предназначенные для конкретных целей).  Вклад Министерства по экономическим вопросам в размере 4% от общей суммы предназначен для Технологического фонда НВО (СТВ).</w:t>
      </w:r>
    </w:p>
    <w:p w:rsidR="00000000" w:rsidRDefault="00000000"/>
    <w:p w:rsidR="00000000" w:rsidRDefault="00000000">
      <w:pPr>
        <w:keepNext/>
        <w:rPr>
          <w:b/>
          <w:bCs/>
        </w:rPr>
      </w:pPr>
      <w:r>
        <w:rPr>
          <w:b/>
          <w:bCs/>
        </w:rPr>
        <w:t>Королевская нидерландская академия гуманитарных и точных наук (КНАВ)</w:t>
      </w:r>
    </w:p>
    <w:p w:rsidR="00000000" w:rsidRDefault="00000000">
      <w:pPr>
        <w:keepNext/>
        <w:rPr>
          <w:b/>
          <w:bCs/>
        </w:rPr>
      </w:pPr>
    </w:p>
    <w:p w:rsidR="00000000" w:rsidRDefault="00000000">
      <w:r>
        <w:t>585.</w:t>
      </w:r>
      <w:r>
        <w:tab/>
        <w:t>Задача Королевской нидерландской академии гуманитарных и точных наук заключается в стимулировании научных исследований.  Говоря более конкретно, функции и деятельность Академии можно кратко изложить следующим образом:</w:t>
      </w:r>
    </w:p>
    <w:p w:rsidR="00000000" w:rsidRDefault="00000000"/>
    <w:p w:rsidR="00000000" w:rsidRDefault="00000000">
      <w:pPr>
        <w:numPr>
          <w:ilvl w:val="0"/>
          <w:numId w:val="303"/>
        </w:numPr>
      </w:pPr>
      <w:r>
        <w:t>"консультирование" правительства по вопросам, касающимся научных исследований;  для этого в Академии существуют несколько советов и комитетов в составе как членов Академии, так и лиц, не являющихся ее членами.  Запрашиваемые и незапрашиваемые консультативные советы предоставляются правительству, парламенту, университетам и научно-исследовательским институтам, финансовым учреждениям и международным организациям;</w:t>
      </w:r>
    </w:p>
    <w:p w:rsidR="00000000" w:rsidRDefault="00000000">
      <w:pPr>
        <w:tabs>
          <w:tab w:val="clear" w:pos="1134"/>
        </w:tabs>
      </w:pPr>
    </w:p>
    <w:p w:rsidR="00000000" w:rsidRDefault="00000000">
      <w:pPr>
        <w:numPr>
          <w:ilvl w:val="0"/>
          <w:numId w:val="303"/>
        </w:numPr>
      </w:pPr>
      <w:r>
        <w:t>"определение качества" научных исследований путем проведения экспертных обзоров, путем предоставления академических стипендий, а также посредством Комитета по аккредитации для научных школ в Нидерландах;</w:t>
      </w:r>
    </w:p>
    <w:p w:rsidR="00000000" w:rsidRDefault="00000000">
      <w:pPr>
        <w:tabs>
          <w:tab w:val="clear" w:pos="1134"/>
        </w:tabs>
      </w:pPr>
    </w:p>
    <w:p w:rsidR="00000000" w:rsidRDefault="00000000">
      <w:pPr>
        <w:numPr>
          <w:ilvl w:val="0"/>
          <w:numId w:val="303"/>
        </w:numPr>
      </w:pPr>
      <w:r>
        <w:t>"обеспечение форума" для научного сообщества и поощрение международного научного сотрудничества посредством международных контактов, конгрессов, деятельности фондов и представления пожертвований;</w:t>
      </w:r>
    </w:p>
    <w:p w:rsidR="00000000" w:rsidRDefault="00000000">
      <w:pPr>
        <w:tabs>
          <w:tab w:val="clear" w:pos="1134"/>
        </w:tabs>
      </w:pPr>
    </w:p>
    <w:p w:rsidR="00000000" w:rsidRDefault="00000000">
      <w:pPr>
        <w:numPr>
          <w:ilvl w:val="0"/>
          <w:numId w:val="303"/>
        </w:numPr>
      </w:pPr>
      <w:r>
        <w:t>"функционирование в качестве головной организации" для 18 институтов, занимающихся базовыми и стратегическими исследованиями, предоставлением услуг в области научной информации, менеджментом биологических коллекций и хранением документации.</w:t>
      </w:r>
    </w:p>
    <w:p w:rsidR="00000000" w:rsidRDefault="00000000">
      <w:pPr>
        <w:tabs>
          <w:tab w:val="clear" w:pos="1134"/>
        </w:tabs>
      </w:pPr>
    </w:p>
    <w:p w:rsidR="00000000" w:rsidRDefault="00000000">
      <w:r>
        <w:t>586.</w:t>
      </w:r>
      <w:r>
        <w:tab/>
        <w:t>В ведении Академии находится несколько ведущих институтов, которые проводят базовые исследования в сфере медико-биологических и гуманитарных наук или предоставляют услуги в области научной информации.  Некоторые из этих институтов также обслуживают научное сообщество путем сбора и хранения биологических коллекций и документации, предоставления информации и/или содействия проведению научных исследований другими путями.  В 2002 году бюджет КНАВ составлял около 100 млн. евро.  На долю Министерства образования, культуры и науки приходится 77% от этой суммы.</w:t>
      </w:r>
    </w:p>
    <w:p w:rsidR="00000000" w:rsidRDefault="00000000"/>
    <w:p w:rsidR="00000000" w:rsidRDefault="00000000">
      <w:pPr>
        <w:keepNext/>
        <w:rPr>
          <w:b/>
          <w:bCs/>
        </w:rPr>
      </w:pPr>
      <w:r>
        <w:rPr>
          <w:b/>
          <w:bCs/>
        </w:rPr>
        <w:t>Нидерландская организация прикладных исследований (ТНО)</w:t>
      </w:r>
    </w:p>
    <w:p w:rsidR="00000000" w:rsidRDefault="00000000">
      <w:pPr>
        <w:keepNext/>
        <w:rPr>
          <w:b/>
          <w:bCs/>
        </w:rPr>
      </w:pPr>
    </w:p>
    <w:p w:rsidR="00000000" w:rsidRDefault="00000000">
      <w:r>
        <w:t>587.</w:t>
      </w:r>
      <w:r>
        <w:tab/>
        <w:t>ТНО представляет собой независимую организацию для проведения научных исследований по контрактам, эксперты и научные работники которой вносят существенный вклад в конкурентоспособное укрепление организаций частного и государственного сектора, экономику и повышение качества жизни общества в целом.  Будучи крупной организацией для проведения исследований по контрактам, ТНО обеспечивает связь в рамках инновационной цепочки между базовыми исследованиями, являющимися источником знаний, и практическим их применением с точки зрения коммерческого использования полученной информации.</w:t>
      </w:r>
    </w:p>
    <w:p w:rsidR="00000000" w:rsidRDefault="00000000"/>
    <w:p w:rsidR="00000000" w:rsidRDefault="00000000">
      <w:r>
        <w:t>588.</w:t>
      </w:r>
      <w:r>
        <w:tab/>
        <w:t>ТНО проводит широкомасштабные научные исследования и конструкторские разработки (НИОКР) и осуществляет другую деятельность в 14 специализированных институтах ТНО.  Эта деятельность включает:</w:t>
      </w:r>
    </w:p>
    <w:p w:rsidR="00000000" w:rsidRDefault="00000000"/>
    <w:p w:rsidR="00000000" w:rsidRDefault="00000000">
      <w:pPr>
        <w:numPr>
          <w:ilvl w:val="0"/>
          <w:numId w:val="304"/>
        </w:numPr>
      </w:pPr>
      <w:r>
        <w:t>поиск информации;</w:t>
      </w:r>
    </w:p>
    <w:p w:rsidR="00000000" w:rsidRDefault="00000000">
      <w:pPr>
        <w:tabs>
          <w:tab w:val="clear" w:pos="1134"/>
        </w:tabs>
      </w:pPr>
    </w:p>
    <w:p w:rsidR="00000000" w:rsidRDefault="00000000">
      <w:pPr>
        <w:numPr>
          <w:ilvl w:val="0"/>
          <w:numId w:val="304"/>
        </w:numPr>
      </w:pPr>
      <w:r>
        <w:t>использование полученной информации в интересах клиентов в промышленности и правительстве;</w:t>
      </w:r>
    </w:p>
    <w:p w:rsidR="00000000" w:rsidRDefault="00000000">
      <w:pPr>
        <w:tabs>
          <w:tab w:val="clear" w:pos="1134"/>
        </w:tabs>
      </w:pPr>
    </w:p>
    <w:p w:rsidR="00000000" w:rsidRDefault="00000000">
      <w:pPr>
        <w:numPr>
          <w:ilvl w:val="0"/>
          <w:numId w:val="304"/>
        </w:numPr>
      </w:pPr>
      <w:r>
        <w:t>передачу технологии, особенно мелким и средним предприятиям (МСП);</w:t>
      </w:r>
    </w:p>
    <w:p w:rsidR="00000000" w:rsidRDefault="00000000">
      <w:pPr>
        <w:tabs>
          <w:tab w:val="clear" w:pos="1134"/>
        </w:tabs>
      </w:pPr>
    </w:p>
    <w:p w:rsidR="00000000" w:rsidRDefault="00000000">
      <w:pPr>
        <w:numPr>
          <w:ilvl w:val="0"/>
          <w:numId w:val="304"/>
        </w:numPr>
      </w:pPr>
      <w:r>
        <w:t>функционирование в качестве главной лаборатории Министерства обороны и других министерств;</w:t>
      </w:r>
    </w:p>
    <w:p w:rsidR="00000000" w:rsidRDefault="00000000">
      <w:pPr>
        <w:tabs>
          <w:tab w:val="clear" w:pos="1134"/>
        </w:tabs>
      </w:pPr>
    </w:p>
    <w:p w:rsidR="00000000" w:rsidRDefault="00000000">
      <w:pPr>
        <w:numPr>
          <w:ilvl w:val="0"/>
          <w:numId w:val="304"/>
        </w:numPr>
      </w:pPr>
      <w:r>
        <w:t>коммерциализацию знаний в сотрудничестве с компаниями.</w:t>
      </w:r>
    </w:p>
    <w:p w:rsidR="00000000" w:rsidRDefault="00000000"/>
    <w:p w:rsidR="00000000" w:rsidRDefault="00000000">
      <w:r>
        <w:t>Для целей разработки экстенсивных и долгосрочных исследовательских программ в новых областях знаний ТНО заключает различные соглашения с правительством Нидерландов, которые затем субсидируются на основе целевого финансирования.  ТНО сотрудничает с девятью голландскими университетами примерно в 30 центрах.</w:t>
      </w:r>
    </w:p>
    <w:p w:rsidR="00000000" w:rsidRDefault="00000000"/>
    <w:p w:rsidR="00000000" w:rsidRDefault="00000000">
      <w:r>
        <w:t>589.</w:t>
      </w:r>
      <w:r>
        <w:tab/>
        <w:t xml:space="preserve">Деятельность ТНО сосредоточена на шести основных направлениях:  качество жизни;  оборона и безопасность;  новейшие изделия, процессы и системы;  природная и созданная с помощью человека среда;  ИКТ и услуги.  ТНО также осуществляет различные коммерческие и ориентированные на рынок виды деятельности с помощью "ТНО менеджмент Б.В.", дочерней организации, общий оборот которой в 2001 году составил почти 55 млн. евро.  В том же году ТНО были поданы заявки на 56 патентов, и доходы от патентов и лицензий составили 3,6 млн. </w:t>
      </w:r>
      <w:proofErr w:type="spellStart"/>
      <w:r>
        <w:t>евро</w:t>
      </w:r>
      <w:proofErr w:type="spellEnd"/>
      <w:r>
        <w:t>.</w:t>
      </w:r>
    </w:p>
    <w:p w:rsidR="00000000" w:rsidRDefault="00000000"/>
    <w:p w:rsidR="00000000" w:rsidRDefault="00000000">
      <w:r>
        <w:t>590.</w:t>
      </w:r>
      <w:r>
        <w:tab/>
        <w:t xml:space="preserve">В 2002 году оборот ТНО в области НИОКР и других видов деятельности достиг 470 млн. евро.  Основной объем субсидий ТНО получает от Министерства образования, культуры и науки, не считая целевых </w:t>
      </w:r>
      <w:proofErr w:type="spellStart"/>
      <w:r>
        <w:t>грантов</w:t>
      </w:r>
      <w:proofErr w:type="spellEnd"/>
      <w:r>
        <w:t xml:space="preserve"> от ряда других министерств.  Эти средства используются для осуществления долгосрочных научных программ.  Выплаты по контрактам в 2001 году составили существенную часть бюджета ТНО, достигнув 66%.</w:t>
      </w:r>
    </w:p>
    <w:p w:rsidR="00000000" w:rsidRDefault="00000000"/>
    <w:p w:rsidR="00000000" w:rsidRDefault="00000000">
      <w:pPr>
        <w:rPr>
          <w:b/>
          <w:bCs/>
        </w:rPr>
      </w:pPr>
      <w:r>
        <w:rPr>
          <w:b/>
          <w:bCs/>
        </w:rPr>
        <w:t>Крупные технологические институты (КТИ)</w:t>
      </w:r>
    </w:p>
    <w:p w:rsidR="00000000" w:rsidRDefault="00000000">
      <w:pPr>
        <w:rPr>
          <w:b/>
          <w:bCs/>
        </w:rPr>
      </w:pPr>
    </w:p>
    <w:p w:rsidR="00000000" w:rsidRDefault="00000000">
      <w:r>
        <w:t>591.</w:t>
      </w:r>
      <w:r>
        <w:tab/>
        <w:t>Пять крупных технологических институтов занимаются проведением прикладных исследований и связанных с этим видом деятельности, таких, как консультирование промышленности и правительства в конкретных областях.  К их числу относятся:</w:t>
      </w:r>
    </w:p>
    <w:p w:rsidR="00000000" w:rsidRDefault="00000000"/>
    <w:p w:rsidR="00000000" w:rsidRDefault="00000000">
      <w:pPr>
        <w:ind w:left="1134" w:hanging="1134"/>
      </w:pPr>
      <w:r>
        <w:tab/>
        <w:t>-</w:t>
      </w:r>
      <w:r>
        <w:tab/>
        <w:t>Нидерландский центр энергетических исследований (ЭЦИ), который занимается исследованиями в области ядерной и других форм энергии, в сфере энергетики и окружающей среды и исследованиями в области материалов.  ЭЦИ является крупнейшим научным центром Нидерландов в энергетической области;</w:t>
      </w:r>
    </w:p>
    <w:p w:rsidR="00000000" w:rsidRDefault="00000000">
      <w:pPr>
        <w:ind w:left="1134" w:hanging="1134"/>
      </w:pPr>
    </w:p>
    <w:p w:rsidR="00000000" w:rsidRDefault="00000000">
      <w:pPr>
        <w:ind w:left="1134" w:hanging="1134"/>
      </w:pPr>
      <w:r>
        <w:tab/>
        <w:t>-</w:t>
      </w:r>
      <w:r>
        <w:tab/>
        <w:t>"</w:t>
      </w:r>
      <w:proofErr w:type="spellStart"/>
      <w:r>
        <w:t>ГеоДельфт</w:t>
      </w:r>
      <w:proofErr w:type="spellEnd"/>
      <w:r>
        <w:t>" (ГД), который проводит исследования в области строительства автомобильных дорог и гидротехнических сооружений и исследования почвы (включая проблемы загрязнения);</w:t>
      </w:r>
    </w:p>
    <w:p w:rsidR="00000000" w:rsidRDefault="00000000">
      <w:pPr>
        <w:ind w:left="1134" w:hanging="1134"/>
      </w:pPr>
    </w:p>
    <w:p w:rsidR="00000000" w:rsidRDefault="00000000">
      <w:pPr>
        <w:ind w:left="1134" w:hanging="1134"/>
      </w:pPr>
      <w:r>
        <w:tab/>
        <w:t>-</w:t>
      </w:r>
      <w:r>
        <w:tab/>
        <w:t>Морской научно-исследовательский институт Нидерландов (МАРИН), который занимается исследованиями в области кораблестроения, морских и океанских инженерно-технических сооружений;</w:t>
      </w:r>
    </w:p>
    <w:p w:rsidR="00000000" w:rsidRDefault="00000000">
      <w:pPr>
        <w:ind w:left="1134" w:hanging="1134"/>
      </w:pPr>
    </w:p>
    <w:p w:rsidR="00000000" w:rsidRDefault="00000000">
      <w:pPr>
        <w:ind w:left="1134" w:hanging="1134"/>
      </w:pPr>
      <w:r>
        <w:tab/>
        <w:t>-</w:t>
      </w:r>
      <w:r>
        <w:tab/>
        <w:t>Национальная аэрокосмическая лаборатория (НАЛ), которая занимается исследованиями авиакосмического конструирования для гражданских и военных целей;</w:t>
      </w:r>
    </w:p>
    <w:p w:rsidR="00000000" w:rsidRDefault="00000000">
      <w:pPr>
        <w:ind w:left="1134" w:hanging="1134"/>
      </w:pPr>
    </w:p>
    <w:p w:rsidR="00000000" w:rsidRDefault="00000000">
      <w:pPr>
        <w:ind w:left="1134" w:hanging="1134"/>
      </w:pPr>
      <w:r>
        <w:tab/>
        <w:t>-</w:t>
      </w:r>
      <w:r>
        <w:tab/>
        <w:t xml:space="preserve">"ВЛ Дельфт </w:t>
      </w:r>
      <w:proofErr w:type="spellStart"/>
      <w:r>
        <w:t>хидроликс</w:t>
      </w:r>
      <w:proofErr w:type="spellEnd"/>
      <w:r>
        <w:t>", в сферу деятельности которого входят порты, прибрежные районы, реки, судоходство, управление водным хозяйством и окружающая среда.</w:t>
      </w:r>
    </w:p>
    <w:p w:rsidR="00000000" w:rsidRDefault="00000000">
      <w:pPr>
        <w:ind w:left="1134" w:hanging="1134"/>
      </w:pPr>
    </w:p>
    <w:p w:rsidR="00000000" w:rsidRDefault="00000000">
      <w:r>
        <w:t>КТИ выполняют две основные функции:  1)  они являются центрами технической экспертизы для удовлетворения информационных потребностей правительства и промышленных предприятий;  и  2)  они действуют в качестве центров технического развития, разработки технологий и предоставления полученных результатов правительству и промышленным предприятиям.</w:t>
      </w:r>
    </w:p>
    <w:p w:rsidR="00000000" w:rsidRDefault="00000000"/>
    <w:p w:rsidR="00000000" w:rsidRDefault="00000000">
      <w:r>
        <w:rPr>
          <w:b/>
          <w:bCs/>
        </w:rPr>
        <w:t>Ведущие технологические институты (ВТИ)</w:t>
      </w:r>
    </w:p>
    <w:p w:rsidR="00000000" w:rsidRDefault="00000000"/>
    <w:p w:rsidR="00000000" w:rsidRDefault="00000000">
      <w:r>
        <w:tab/>
        <w:t xml:space="preserve">Ведущие технологические институты (ВТИ) были задуманы в 1997 году фактически в качестве организаций, в деятельности которых могли бы участвовать промышленные компании и научные институты (в рамках партнерских связей между государством и частными предприятиями).  К их числу относятся четыре института, которые занимаются исследованиями в отдельных областях, включая диетику, металлургию, полимерные материалы и </w:t>
      </w:r>
      <w:proofErr w:type="spellStart"/>
      <w:r>
        <w:t>телематику</w:t>
      </w:r>
      <w:proofErr w:type="spellEnd"/>
      <w:r>
        <w:t>.  В их задачу входит стимулирование сотрудничества в сфере НИОКР между государственными и частными партнерами в областях, имеющих большое значение для экономики и общества.  В деятельности всех этих институтов участвует ТНО.  Среднесрочная оценка деятельности ВТИ, проведенная в 2002 году, показала, что они представляют собой действенную модель сотрудничества государственных и частных партнеров и что их деятельность в ближайшие четыре года должна быть продолжена.</w:t>
      </w:r>
    </w:p>
    <w:p w:rsidR="00000000" w:rsidRDefault="00000000"/>
    <w:p w:rsidR="00000000" w:rsidRDefault="00000000">
      <w:r>
        <w:rPr>
          <w:i/>
          <w:iCs/>
        </w:rPr>
        <w:t>Институты сельскохозяйственных исследований (ДЛО)</w:t>
      </w:r>
    </w:p>
    <w:p w:rsidR="00000000" w:rsidRDefault="00000000"/>
    <w:p w:rsidR="00000000" w:rsidRDefault="00000000">
      <w:r>
        <w:t>592.</w:t>
      </w:r>
      <w:r>
        <w:tab/>
        <w:t xml:space="preserve">Институты сельскохозяйственных исследований (ДЛО) находились в ведении Министерства сельского хозяйства, охраны природы и качества продовольственных товаров.  Во второй половине 1990-х годов эти институты стали независимыми от Министерства (в качестве фонда ДЛО) и были объединены с Университетом </w:t>
      </w:r>
      <w:proofErr w:type="spellStart"/>
      <w:r>
        <w:t>Вагенингена</w:t>
      </w:r>
      <w:proofErr w:type="spellEnd"/>
      <w:r>
        <w:t xml:space="preserve">, сформировав Центр научных исследований Университета </w:t>
      </w:r>
      <w:proofErr w:type="spellStart"/>
      <w:r>
        <w:t>Вагенингена</w:t>
      </w:r>
      <w:proofErr w:type="spellEnd"/>
      <w:r>
        <w:t xml:space="preserve"> (ЦИУВ).  Фонд ДЛО и Университет являются самостоятельными субъектами, которые в то же время сотрудничают в рамках экспертных групп в пяти различных областях.  В рамках Фонда ДЛО действуют 10 институтов, общий бюджет которых в 2002 году составил 350 млн. </w:t>
      </w:r>
      <w:proofErr w:type="spellStart"/>
      <w:r>
        <w:t>евро</w:t>
      </w:r>
      <w:proofErr w:type="spellEnd"/>
      <w:r>
        <w:t>.</w:t>
      </w:r>
    </w:p>
    <w:p w:rsidR="00000000" w:rsidRDefault="00000000"/>
    <w:p w:rsidR="00000000" w:rsidRDefault="00000000">
      <w:r>
        <w:rPr>
          <w:i/>
          <w:iCs/>
        </w:rPr>
        <w:t>Государственные научно-исследовательские центры</w:t>
      </w:r>
    </w:p>
    <w:p w:rsidR="00000000" w:rsidRDefault="00000000"/>
    <w:p w:rsidR="00000000" w:rsidRDefault="00000000">
      <w:r>
        <w:t>593.</w:t>
      </w:r>
      <w:r>
        <w:tab/>
        <w:t>Ряд институтов действует под управлением того или иного министерства, хотя количество этих научных центров сокращается.  Некоторые из них непосредственно связаны с соответствующим министерством, как, например, Центр научных исследований и документации Министерства юстиции (ВОДК);  другие являются министерскими учреждениями, как, например, Королевский нидерландский метеорологический институт (КНМИ), находящийся в ведении Министерства транспорта, общественных работ и водного хозяйства.</w:t>
      </w:r>
    </w:p>
    <w:p w:rsidR="00000000" w:rsidRDefault="00000000"/>
    <w:p w:rsidR="00000000" w:rsidRDefault="00000000">
      <w:r>
        <w:t>594.</w:t>
      </w:r>
      <w:r>
        <w:tab/>
        <w:t>Всего на долю сектора научно-исследовательских институтов приходится 15% всех расходов на НИОКР в Нидерландах.  В таблице 2.4 показано процентное распределение всех ресурсов на НИОКР между различными типами институтов.</w:t>
      </w:r>
    </w:p>
    <w:p w:rsidR="00000000" w:rsidRDefault="00000000"/>
    <w:p w:rsidR="00000000" w:rsidRDefault="00000000">
      <w:r>
        <w:rPr>
          <w:i/>
          <w:iCs/>
        </w:rPr>
        <w:t>Торгово-промышленные предприятия</w:t>
      </w:r>
    </w:p>
    <w:p w:rsidR="00000000" w:rsidRDefault="00000000"/>
    <w:p w:rsidR="00000000" w:rsidRDefault="00000000">
      <w:r>
        <w:t>595.</w:t>
      </w:r>
      <w:r>
        <w:tab/>
        <w:t xml:space="preserve">В 2001 году на долю сектора торгово-промышленных предприятий приходилось 58% всех расходов на НИОКР в Нидерландах.  Крупнейшим инвестором в НИОКР является обрабатывающий сектор, на который приходится 76% всех расходов торгово-промышленных предприятий в Нидерландах на эти цели.  Доля сектора обслуживания в 2001 году достигала почти 20% всех расходов торгово-промышленных предприятий на цели НИОКР, в то время как на долю остальных секторов (сельское хозяйство, охота, лесное хозяйство и рыболовство;  добыча полезных ископаемых и карьерные разработки;  электроэнергия, </w:t>
      </w:r>
      <w:proofErr w:type="spellStart"/>
      <w:r>
        <w:t>газо</w:t>
      </w:r>
      <w:proofErr w:type="spellEnd"/>
      <w:r>
        <w:t>- и водоснабжение;  строительство) приходилось лишь порядка 5%.  В сфере обрабатывающей промышленности 42% расходов на НИОКР было произведено промышленностью по производству электрооборудования и оптики.  В числе других отраслей в обрабатывающем секторе с относительно крупной долей в общем объеме расходов на цели НИОКР можно назвать машиностроение и производство оборудования (15%), фармацевтическую промышленность (11%), (основные) химические препараты (9%) и производство продуктов питания, напитков и табака (7%).  В секторе услуг к числу отраслей с наибольшей долей расходов на НИОКР относятся компьютерная и связанная с ней отрасли (30%), научные исследования и разработки (20%) и оптовая торговля (17%).</w:t>
      </w:r>
    </w:p>
    <w:p w:rsidR="00000000" w:rsidRDefault="00000000"/>
    <w:p w:rsidR="00000000" w:rsidRDefault="00000000">
      <w:pPr>
        <w:jc w:val="center"/>
        <w:rPr>
          <w:b/>
          <w:bCs/>
        </w:rPr>
      </w:pPr>
      <w:r>
        <w:rPr>
          <w:b/>
          <w:bCs/>
        </w:rPr>
        <w:t>3.10.3    Защита моральных и материальных интересов, связанных</w:t>
      </w:r>
    </w:p>
    <w:p w:rsidR="00000000" w:rsidRDefault="00000000">
      <w:pPr>
        <w:jc w:val="center"/>
        <w:rPr>
          <w:b/>
          <w:bCs/>
        </w:rPr>
      </w:pPr>
      <w:r>
        <w:rPr>
          <w:b/>
          <w:bCs/>
        </w:rPr>
        <w:t>с научной и иной деятельностью</w:t>
      </w:r>
    </w:p>
    <w:p w:rsidR="00000000" w:rsidRDefault="00000000">
      <w:pPr>
        <w:jc w:val="center"/>
        <w:rPr>
          <w:b/>
          <w:bCs/>
        </w:rPr>
      </w:pPr>
    </w:p>
    <w:p w:rsidR="00000000" w:rsidRDefault="00000000">
      <w:pPr>
        <w:rPr>
          <w:b/>
          <w:bCs/>
        </w:rPr>
      </w:pPr>
      <w:r>
        <w:rPr>
          <w:b/>
          <w:bCs/>
        </w:rPr>
        <w:t>Авторское право</w:t>
      </w:r>
    </w:p>
    <w:p w:rsidR="00000000" w:rsidRDefault="00000000">
      <w:pPr>
        <w:rPr>
          <w:b/>
          <w:bCs/>
        </w:rPr>
      </w:pPr>
    </w:p>
    <w:p w:rsidR="00000000" w:rsidRDefault="00000000">
      <w:r>
        <w:t>596.</w:t>
      </w:r>
      <w:r>
        <w:tab/>
        <w:t>В соответствии с Директивой ЕС 92/100 Совета от 19 ноября 1992 года о коммерческом и некоммерческой арендном праве и некоторых правах, связанных с авторским правом в области интеллектуальной собственности (</w:t>
      </w:r>
      <w:proofErr w:type="spellStart"/>
      <w:r>
        <w:rPr>
          <w:lang w:val="en-US"/>
        </w:rPr>
        <w:t>OJ</w:t>
      </w:r>
      <w:proofErr w:type="spellEnd"/>
      <w:r>
        <w:t xml:space="preserve"> </w:t>
      </w:r>
      <w:r>
        <w:rPr>
          <w:lang w:val="en-US"/>
        </w:rPr>
        <w:t>EC</w:t>
      </w:r>
      <w:r>
        <w:t xml:space="preserve"> </w:t>
      </w:r>
      <w:r>
        <w:rPr>
          <w:lang w:val="en-US"/>
        </w:rPr>
        <w:t>L</w:t>
      </w:r>
      <w:r>
        <w:t xml:space="preserve"> 346/61 от 27 ноября 1992 года), с изменениями, внесенными на основании Директивы 93/83/</w:t>
      </w:r>
      <w:r>
        <w:rPr>
          <w:lang w:val="en-US"/>
        </w:rPr>
        <w:t>EEC</w:t>
      </w:r>
      <w:r>
        <w:t xml:space="preserve"> Совета от 27 сентября 1993 года о согласовании некоторых правил, касающихся авторского права и прав, связанных с авторским правом в сфере спутникового и кабельного вещания (</w:t>
      </w:r>
      <w:proofErr w:type="spellStart"/>
      <w:r>
        <w:rPr>
          <w:lang w:val="en-US"/>
        </w:rPr>
        <w:t>OJ</w:t>
      </w:r>
      <w:proofErr w:type="spellEnd"/>
      <w:r>
        <w:t> </w:t>
      </w:r>
      <w:r>
        <w:rPr>
          <w:lang w:val="en-US"/>
        </w:rPr>
        <w:t>EC</w:t>
      </w:r>
      <w:r>
        <w:t> </w:t>
      </w:r>
      <w:r>
        <w:rPr>
          <w:lang w:val="en-US"/>
        </w:rPr>
        <w:t>L</w:t>
      </w:r>
      <w:r>
        <w:t> 248/15 от 6 октября 1993 года), некоммерческое арендное право было включено в Закон 1912 года об авторском праве.  В этом Законе указывается, что авторы не могут запрещать некоммерческую аренду их работ и других подлежащих защите материалов при условии, что заимодавец выплачивает за это справедливое вознаграждение.</w:t>
      </w:r>
    </w:p>
    <w:p w:rsidR="00000000" w:rsidRDefault="00000000"/>
    <w:p w:rsidR="00000000" w:rsidRDefault="00000000">
      <w:r>
        <w:t>597.</w:t>
      </w:r>
      <w:r>
        <w:tab/>
        <w:t>Согласно директиве 93/98/</w:t>
      </w:r>
      <w:r>
        <w:rPr>
          <w:lang w:val="en-US"/>
        </w:rPr>
        <w:t>EEC</w:t>
      </w:r>
      <w:r>
        <w:t xml:space="preserve"> Совета от 19 октября 1993 года о согласовании срока действия защиты авторского права и некоторых связанных с ним прав (</w:t>
      </w:r>
      <w:proofErr w:type="spellStart"/>
      <w:r>
        <w:rPr>
          <w:lang w:val="en-US"/>
        </w:rPr>
        <w:t>OJ</w:t>
      </w:r>
      <w:proofErr w:type="spellEnd"/>
      <w:r>
        <w:t> </w:t>
      </w:r>
      <w:r>
        <w:rPr>
          <w:lang w:val="en-US"/>
        </w:rPr>
        <w:t>EC</w:t>
      </w:r>
      <w:r>
        <w:t> 290/9 от 24 ноября 1993 года), срок действия защиты произведений, в том что касается прав экономического использования, был увеличен с 50 до 70 лет после смерти автора.</w:t>
      </w:r>
    </w:p>
    <w:p w:rsidR="00000000" w:rsidRDefault="00000000"/>
    <w:p w:rsidR="00000000" w:rsidRDefault="00000000">
      <w:r>
        <w:t>598.</w:t>
      </w:r>
      <w:r>
        <w:tab/>
        <w:t>Осуществление Директивы 96/9/</w:t>
      </w:r>
      <w:r>
        <w:rPr>
          <w:lang w:val="en-US"/>
        </w:rPr>
        <w:t>EC</w:t>
      </w:r>
      <w:r>
        <w:t xml:space="preserve"> Европейского парламента и Совета от 11 марта 1996 года о юридической защите баз данных (</w:t>
      </w:r>
      <w:proofErr w:type="spellStart"/>
      <w:r>
        <w:rPr>
          <w:lang w:val="en-US"/>
        </w:rPr>
        <w:t>OJ</w:t>
      </w:r>
      <w:proofErr w:type="spellEnd"/>
      <w:r>
        <w:t xml:space="preserve"> </w:t>
      </w:r>
      <w:r>
        <w:rPr>
          <w:lang w:val="en-US"/>
        </w:rPr>
        <w:t>EC</w:t>
      </w:r>
      <w:r>
        <w:t xml:space="preserve"> </w:t>
      </w:r>
      <w:r>
        <w:rPr>
          <w:lang w:val="en-US"/>
        </w:rPr>
        <w:t>L</w:t>
      </w:r>
      <w:r>
        <w:t xml:space="preserve"> 77/20 от 27 марта 1996 года) обеспечило защиту баз вторичных данных согласно Закону 1999</w:t>
      </w:r>
      <w:r>
        <w:rPr>
          <w:lang w:val="en-US"/>
        </w:rPr>
        <w:t> </w:t>
      </w:r>
      <w:r>
        <w:t>года о (юридической защите) базах данных.</w:t>
      </w:r>
    </w:p>
    <w:p w:rsidR="00000000" w:rsidRDefault="00000000"/>
    <w:p w:rsidR="00000000" w:rsidRDefault="00000000">
      <w:r>
        <w:t>599.</w:t>
      </w:r>
      <w:r>
        <w:tab/>
        <w:t>И наконец, следует упомянуть о Директиве 2001/29/</w:t>
      </w:r>
      <w:r>
        <w:rPr>
          <w:lang w:val="en-US"/>
        </w:rPr>
        <w:t>EC</w:t>
      </w:r>
      <w:r>
        <w:t xml:space="preserve"> Европейского парламента и Совета, принятой 22 мая 2001 года, о согласовании некоторых аспектов авторского права и связанных с ним прав в информационном обществе.  В настоящее время эта Директива инкорпорирована в законодательство Нидерландов.  Предлагаемое законодательство позволит использовать защищенные материалы, при соблюдении определенных условий, в рамках закрытой сети библиотек.</w:t>
      </w:r>
    </w:p>
    <w:p w:rsidR="00000000" w:rsidRDefault="00000000"/>
    <w:p w:rsidR="00000000" w:rsidRDefault="00000000">
      <w:pPr>
        <w:rPr>
          <w:b/>
          <w:bCs/>
        </w:rPr>
      </w:pPr>
      <w:r>
        <w:rPr>
          <w:b/>
          <w:bCs/>
        </w:rPr>
        <w:t>Право на пользование результатами научного прогресса и их практического применения</w:t>
      </w:r>
    </w:p>
    <w:p w:rsidR="00000000" w:rsidRDefault="00000000">
      <w:pPr>
        <w:rPr>
          <w:b/>
          <w:bCs/>
        </w:rPr>
      </w:pPr>
    </w:p>
    <w:p w:rsidR="00000000" w:rsidRDefault="00000000">
      <w:r>
        <w:t>600.</w:t>
      </w:r>
      <w:r>
        <w:tab/>
        <w:t>В этом пункте речь идет о защите моральных и практических интересов авторов.  С момента представления предыдущего доклада в этой области произошел целый ряд изменений.  На уровне Европейского сообщества за последние несколько лет был принят ряд директив:</w:t>
      </w:r>
    </w:p>
    <w:p w:rsidR="00000000" w:rsidRDefault="00000000"/>
    <w:p w:rsidR="00000000" w:rsidRDefault="00000000">
      <w:pPr>
        <w:ind w:left="1134" w:hanging="1134"/>
      </w:pPr>
      <w:r>
        <w:tab/>
        <w:t>-</w:t>
      </w:r>
      <w:r>
        <w:tab/>
        <w:t>Директива 92/100 Совета от 19 ноября 1992 года о коммерческом и некоммерческом арендном праве и некоторых правах, связанных с авторским правом в области интеллектуальной собственности (</w:t>
      </w:r>
      <w:proofErr w:type="spellStart"/>
      <w:r>
        <w:rPr>
          <w:lang w:val="en-US"/>
        </w:rPr>
        <w:t>OJ</w:t>
      </w:r>
      <w:proofErr w:type="spellEnd"/>
      <w:r>
        <w:t xml:space="preserve"> </w:t>
      </w:r>
      <w:r>
        <w:rPr>
          <w:lang w:val="en-US"/>
        </w:rPr>
        <w:t>EC</w:t>
      </w:r>
      <w:r>
        <w:t xml:space="preserve"> </w:t>
      </w:r>
      <w:r>
        <w:rPr>
          <w:lang w:val="en-US"/>
        </w:rPr>
        <w:t>L</w:t>
      </w:r>
      <w:r>
        <w:t xml:space="preserve"> 346/61 от 27 ноября 1992 года), с изменениями, внесенными на основании Директивы 93/83/</w:t>
      </w:r>
      <w:r>
        <w:rPr>
          <w:lang w:val="en-US"/>
        </w:rPr>
        <w:t>EEC</w:t>
      </w:r>
      <w:r>
        <w:t>;</w:t>
      </w:r>
    </w:p>
    <w:p w:rsidR="00000000" w:rsidRDefault="00000000">
      <w:pPr>
        <w:ind w:left="1134" w:hanging="1134"/>
      </w:pPr>
    </w:p>
    <w:p w:rsidR="00000000" w:rsidRDefault="00000000">
      <w:pPr>
        <w:ind w:left="1134" w:hanging="1134"/>
      </w:pPr>
      <w:r>
        <w:tab/>
        <w:t>-</w:t>
      </w:r>
      <w:r>
        <w:tab/>
        <w:t>Директива 93/83/</w:t>
      </w:r>
      <w:r>
        <w:rPr>
          <w:lang w:val="en-US"/>
        </w:rPr>
        <w:t>EEC</w:t>
      </w:r>
      <w:r>
        <w:t xml:space="preserve"> Совета от 27 сентября 1993 года о согласовании некоторых правил, касающихся авторского права и прав, связанных с авторским правом в сфере спутникового и кабельного вещания (</w:t>
      </w:r>
      <w:proofErr w:type="spellStart"/>
      <w:r>
        <w:rPr>
          <w:lang w:val="en-US"/>
        </w:rPr>
        <w:t>OJ</w:t>
      </w:r>
      <w:proofErr w:type="spellEnd"/>
      <w:r>
        <w:t xml:space="preserve"> </w:t>
      </w:r>
      <w:r>
        <w:rPr>
          <w:lang w:val="en-US"/>
        </w:rPr>
        <w:t>EC</w:t>
      </w:r>
      <w:r>
        <w:t xml:space="preserve"> </w:t>
      </w:r>
      <w:r>
        <w:rPr>
          <w:lang w:val="en-US"/>
        </w:rPr>
        <w:t>L</w:t>
      </w:r>
      <w:r>
        <w:t xml:space="preserve"> 248/15 от 6 октября 1993 года);</w:t>
      </w:r>
    </w:p>
    <w:p w:rsidR="00000000" w:rsidRDefault="00000000">
      <w:pPr>
        <w:ind w:left="1134" w:hanging="1134"/>
      </w:pPr>
    </w:p>
    <w:p w:rsidR="00000000" w:rsidRDefault="00000000">
      <w:pPr>
        <w:ind w:left="1134" w:hanging="1134"/>
      </w:pPr>
      <w:r>
        <w:tab/>
        <w:t>-</w:t>
      </w:r>
      <w:r>
        <w:tab/>
        <w:t>Директива 93/98/</w:t>
      </w:r>
      <w:r>
        <w:rPr>
          <w:lang w:val="en-US"/>
        </w:rPr>
        <w:t>EEC</w:t>
      </w:r>
      <w:r>
        <w:t xml:space="preserve"> Совета от 19 октября 1993 года о согласовании срока действия защиты авторского права и некоторых связанных с ним прав (</w:t>
      </w:r>
      <w:proofErr w:type="spellStart"/>
      <w:r>
        <w:rPr>
          <w:lang w:val="en-US"/>
        </w:rPr>
        <w:t>OJ</w:t>
      </w:r>
      <w:proofErr w:type="spellEnd"/>
      <w:r>
        <w:t> </w:t>
      </w:r>
      <w:r>
        <w:rPr>
          <w:lang w:val="en-US"/>
        </w:rPr>
        <w:t>EC</w:t>
      </w:r>
      <w:r>
        <w:t> 290/9 от 24 ноября 1993 года);</w:t>
      </w:r>
    </w:p>
    <w:p w:rsidR="00000000" w:rsidRDefault="00000000"/>
    <w:p w:rsidR="00000000" w:rsidRDefault="00000000">
      <w:pPr>
        <w:ind w:left="1134" w:hanging="1134"/>
      </w:pPr>
      <w:r>
        <w:rPr>
          <w:lang w:val="en-US"/>
        </w:rPr>
        <w:tab/>
      </w:r>
      <w:r>
        <w:t>-</w:t>
      </w:r>
      <w:r>
        <w:tab/>
        <w:t>Директива 96/9/ЕС Европейского парламента и Совета от 11 марта 1996 года о юридической защите баз данных (</w:t>
      </w:r>
      <w:r>
        <w:rPr>
          <w:lang w:val="en-US"/>
        </w:rPr>
        <w:t>OJ</w:t>
      </w:r>
      <w:r>
        <w:t xml:space="preserve"> </w:t>
      </w:r>
      <w:r>
        <w:rPr>
          <w:lang w:val="en-US"/>
        </w:rPr>
        <w:t>EC</w:t>
      </w:r>
      <w:r>
        <w:t xml:space="preserve"> </w:t>
      </w:r>
      <w:r>
        <w:rPr>
          <w:lang w:val="en-US"/>
        </w:rPr>
        <w:t>L</w:t>
      </w:r>
      <w:r>
        <w:t xml:space="preserve"> 77/20 от 27 марта 1996 года);  и</w:t>
      </w:r>
    </w:p>
    <w:p w:rsidR="00000000" w:rsidRDefault="00000000">
      <w:pPr>
        <w:ind w:left="1134" w:hanging="1134"/>
      </w:pPr>
    </w:p>
    <w:p w:rsidR="00000000" w:rsidRDefault="00000000">
      <w:pPr>
        <w:ind w:left="1134" w:hanging="1134"/>
      </w:pPr>
      <w:r>
        <w:tab/>
        <w:t xml:space="preserve">- </w:t>
      </w:r>
      <w:r>
        <w:tab/>
        <w:t>Директива 2001/84/ЕС Европейского парламента и Совета, принятая 27 сентября 2001 года и касающаяся переуступления права в интересах автора первоначального произведения искусства (</w:t>
      </w:r>
      <w:r>
        <w:rPr>
          <w:lang w:val="en-US"/>
        </w:rPr>
        <w:t>OJ</w:t>
      </w:r>
      <w:r>
        <w:t xml:space="preserve"> </w:t>
      </w:r>
      <w:r>
        <w:rPr>
          <w:lang w:val="en-US"/>
        </w:rPr>
        <w:t>EC</w:t>
      </w:r>
      <w:r>
        <w:t xml:space="preserve"> </w:t>
      </w:r>
      <w:r>
        <w:rPr>
          <w:lang w:val="en-US"/>
        </w:rPr>
        <w:t>L</w:t>
      </w:r>
      <w:r>
        <w:t xml:space="preserve"> 272).</w:t>
      </w:r>
    </w:p>
    <w:p w:rsidR="00000000" w:rsidRDefault="00000000">
      <w:pPr>
        <w:ind w:left="1134" w:hanging="1134"/>
      </w:pPr>
    </w:p>
    <w:p w:rsidR="00000000" w:rsidRDefault="00000000">
      <w:r>
        <w:t>601.</w:t>
      </w:r>
      <w:r>
        <w:tab/>
        <w:t>Все эти директивы, за исключением последней, были инкорпорированы в законодательство Нидерландов (Закон 1912 года об авторском праве, Закон 1993 года о смежных правах и Закон 1999</w:t>
      </w:r>
      <w:r>
        <w:rPr>
          <w:lang w:val="en-US"/>
        </w:rPr>
        <w:t> </w:t>
      </w:r>
      <w:r>
        <w:t>года о базах данных (юридической защите)).  Первая Директива предусматривает право на справедливое вознаграждение в случае заимствования защищенного материала.  Во второй указывается, что авторское право и связанные и ним права должны приобретаться на основании соглашения в стране, в которой соответствующее произведение передается аудитории посредством спутникового вещания.  Это способствует тому, чтобы вещание не становилось объектом конфликта норм, касающихся авторского права и связанных с ним прав, которые существуют в разных странах.  Третья Директива способствует согласованию срока защиты произведений и других защищенных материалов.  Четвертая обеспечивает защиту баз вторичных данных, в которые были вложены существенные инвестиции.  Производитель такой базы данных имеет исключительное право на извлечение данных и их повторное использование.</w:t>
      </w:r>
    </w:p>
    <w:p w:rsidR="00000000" w:rsidRDefault="00000000"/>
    <w:p w:rsidR="00000000" w:rsidRDefault="00000000">
      <w:r>
        <w:t>602.</w:t>
      </w:r>
      <w:r>
        <w:tab/>
        <w:t xml:space="preserve">И наконец, с принятием Директивы 2001/84/ЕС в Закон 1912 года об авторском праве будет инкорпорировано положение о переуступлении права в интересах автора первоначального произведения искусства. </w:t>
      </w:r>
    </w:p>
    <w:p w:rsidR="00000000" w:rsidRDefault="00000000"/>
    <w:p w:rsidR="00000000" w:rsidRDefault="00000000">
      <w:pPr>
        <w:jc w:val="center"/>
        <w:rPr>
          <w:b/>
          <w:bCs/>
        </w:rPr>
      </w:pPr>
      <w:r>
        <w:rPr>
          <w:b/>
          <w:bCs/>
        </w:rPr>
        <w:t>3.10.4</w:t>
      </w:r>
      <w:r>
        <w:rPr>
          <w:b/>
          <w:bCs/>
        </w:rPr>
        <w:tab/>
        <w:t>Охрана, развитие и распространение достижений науки и культуры</w:t>
      </w:r>
    </w:p>
    <w:p w:rsidR="00000000" w:rsidRDefault="00000000">
      <w:pPr>
        <w:jc w:val="center"/>
        <w:rPr>
          <w:b/>
          <w:bCs/>
        </w:rPr>
      </w:pPr>
    </w:p>
    <w:p w:rsidR="00000000" w:rsidRDefault="00000000">
      <w:r>
        <w:t>603.</w:t>
      </w:r>
      <w:r>
        <w:tab/>
        <w:t>Научно-техническая система (НТС) Нидерландов уделяет большое внимание финансированию и получению новых знаний торгово-промышленными предприятиями, университетами и научно-исследовательскими институтами.  Хотя накопление новых знаний изначально является дорогостоящим процессом, новые научные познания, генерируемые этими организациями, также являются важным вкладом в обеспечение инновационных процессов на предприятиях.</w:t>
      </w:r>
    </w:p>
    <w:p w:rsidR="00000000" w:rsidRDefault="00000000"/>
    <w:p w:rsidR="00000000" w:rsidRDefault="00000000">
      <w:r>
        <w:t>604.</w:t>
      </w:r>
      <w:r>
        <w:tab/>
        <w:t xml:space="preserve">Общая идея, лежащая в основе динамичной инновационной системы, заключается в том, что прогресс представляет собой интерактивный процесс, в котором свою роль играют различные субъекты:  научные институты, торгово-промышленные предприятия, потребители, посреднические организации и правительство.  Действенность инновационной системы зависит от обменов, интерактивных связей и сотрудничества между различными элементами этой системы.  Хотя наука и техника являются ключевыми факторами в формировании динамичной инновационной системы, прогресс представляет собой нечто большее, чем простое развитие научного познания.  Поэтому вклад НТС в прогресс зависит от той степени, в которой он воплощен в рамках четко функционирующей инновационной системы.  Инновационная система используется в Нидерландах в качестве основной структуры для развития различных аспектов науки, техники и инновационной политики.  </w:t>
      </w:r>
    </w:p>
    <w:p w:rsidR="00000000" w:rsidRDefault="00000000"/>
    <w:p w:rsidR="00000000" w:rsidRDefault="00000000">
      <w:r>
        <w:t>605.</w:t>
      </w:r>
      <w:r>
        <w:tab/>
        <w:t>Вопросы охраны культурного наследия, его развития и распространения см. в разделе 3.10.1, пункты 540-575.</w:t>
      </w:r>
    </w:p>
    <w:p w:rsidR="00000000" w:rsidRDefault="00000000"/>
    <w:p w:rsidR="00000000" w:rsidRDefault="00000000">
      <w:pPr>
        <w:keepNext/>
        <w:jc w:val="center"/>
        <w:rPr>
          <w:b/>
          <w:bCs/>
        </w:rPr>
      </w:pPr>
      <w:r>
        <w:rPr>
          <w:b/>
          <w:bCs/>
        </w:rPr>
        <w:t>3.10.5</w:t>
      </w:r>
      <w:r>
        <w:rPr>
          <w:b/>
          <w:bCs/>
        </w:rPr>
        <w:tab/>
        <w:t>Свобода, необходимая для научных исследований и творческой деятельности</w:t>
      </w:r>
    </w:p>
    <w:p w:rsidR="00000000" w:rsidRDefault="00000000">
      <w:pPr>
        <w:keepNext/>
        <w:jc w:val="center"/>
        <w:rPr>
          <w:b/>
          <w:bCs/>
        </w:rPr>
      </w:pPr>
    </w:p>
    <w:p w:rsidR="00000000" w:rsidRDefault="00000000">
      <w:pPr>
        <w:keepNext/>
      </w:pPr>
      <w:r>
        <w:t>606.</w:t>
      </w:r>
      <w:r>
        <w:tab/>
        <w:t>Принципы свободы научных исследований, как с точки зрения преподавания, так и проведения научных исследований, закреплены в Законе о высшем образовании и научных исследованиях.  Подробнее см. раздел 3.10.2.1, пункты 575-595.</w:t>
      </w:r>
    </w:p>
    <w:p w:rsidR="00000000" w:rsidRDefault="00000000"/>
    <w:p w:rsidR="00000000" w:rsidRDefault="00000000">
      <w:pPr>
        <w:jc w:val="center"/>
        <w:rPr>
          <w:b/>
          <w:bCs/>
        </w:rPr>
      </w:pPr>
      <w:r>
        <w:rPr>
          <w:b/>
          <w:bCs/>
        </w:rPr>
        <w:t>3.10.5.1</w:t>
      </w:r>
      <w:r>
        <w:rPr>
          <w:b/>
          <w:bCs/>
        </w:rPr>
        <w:tab/>
        <w:t>Свобода обмена научной, технической и культурной информацией,</w:t>
      </w:r>
      <w:r>
        <w:rPr>
          <w:b/>
          <w:bCs/>
        </w:rPr>
        <w:br/>
        <w:t>мнениями и опытом</w:t>
      </w:r>
    </w:p>
    <w:p w:rsidR="00000000" w:rsidRDefault="00000000">
      <w:pPr>
        <w:jc w:val="center"/>
        <w:rPr>
          <w:b/>
          <w:bCs/>
        </w:rPr>
      </w:pPr>
    </w:p>
    <w:p w:rsidR="00000000" w:rsidRDefault="00000000">
      <w:r>
        <w:t>607.</w:t>
      </w:r>
      <w:r>
        <w:tab/>
        <w:t>Свобода обмена научной, технической и культурной информацией, мнениями и опытом между учеными, писателями, творческими деятелями, художниками и другими лицами и их соответствующими организациями гарантируется общими принципами Конституции.  Подробнее см. раздел 3.10.2.1, пункты 575-595.</w:t>
      </w:r>
    </w:p>
    <w:p w:rsidR="00000000" w:rsidRDefault="00000000"/>
    <w:p w:rsidR="00000000" w:rsidRDefault="00000000">
      <w:pPr>
        <w:jc w:val="center"/>
      </w:pPr>
      <w:r>
        <w:rPr>
          <w:b/>
          <w:bCs/>
        </w:rPr>
        <w:t>3.10.5.2</w:t>
      </w:r>
      <w:r>
        <w:rPr>
          <w:b/>
          <w:bCs/>
        </w:rPr>
        <w:tab/>
        <w:t>Поддержка научных и культурных учреждений</w:t>
      </w:r>
    </w:p>
    <w:p w:rsidR="00000000" w:rsidRDefault="00000000">
      <w:pPr>
        <w:jc w:val="center"/>
      </w:pPr>
    </w:p>
    <w:p w:rsidR="00000000" w:rsidRDefault="00000000">
      <w:r>
        <w:t>608.</w:t>
      </w:r>
      <w:r>
        <w:tab/>
        <w:t>Более подробную информацию по этой теме см. в разделе 3.10.2.1, пункты 575-595.</w:t>
      </w:r>
    </w:p>
    <w:p w:rsidR="00000000" w:rsidRDefault="00000000"/>
    <w:p w:rsidR="00000000" w:rsidRDefault="00000000">
      <w:pPr>
        <w:jc w:val="center"/>
        <w:rPr>
          <w:b/>
          <w:bCs/>
        </w:rPr>
      </w:pPr>
      <w:r>
        <w:rPr>
          <w:b/>
          <w:bCs/>
        </w:rPr>
        <w:t>3.10.6</w:t>
      </w:r>
      <w:r>
        <w:rPr>
          <w:b/>
          <w:bCs/>
        </w:rPr>
        <w:tab/>
        <w:t>Международные контакты и сотрудничество в научной</w:t>
      </w:r>
      <w:r>
        <w:rPr>
          <w:b/>
          <w:bCs/>
        </w:rPr>
        <w:br/>
        <w:t>и культурной областях</w:t>
      </w:r>
    </w:p>
    <w:p w:rsidR="00000000" w:rsidRDefault="00000000">
      <w:pPr>
        <w:jc w:val="center"/>
        <w:rPr>
          <w:b/>
          <w:bCs/>
        </w:rPr>
      </w:pPr>
    </w:p>
    <w:p w:rsidR="00000000" w:rsidRDefault="00000000">
      <w:r>
        <w:t>609.</w:t>
      </w:r>
      <w:r>
        <w:tab/>
        <w:t>Что касается международного сотрудничества в научной и культурной областях, то Нидерланды являются участником целого ряда конвенций и соглашений в рамках Европейского союза, ОЭСР и двусторонних отношений.</w:t>
      </w:r>
    </w:p>
    <w:p w:rsidR="00000000" w:rsidRDefault="00000000"/>
    <w:p w:rsidR="00000000" w:rsidRDefault="00000000">
      <w:pPr>
        <w:keepNext/>
        <w:jc w:val="center"/>
        <w:rPr>
          <w:b/>
          <w:bCs/>
        </w:rPr>
      </w:pPr>
      <w:r>
        <w:rPr>
          <w:b/>
          <w:bCs/>
        </w:rPr>
        <w:t>3.10.7</w:t>
      </w:r>
      <w:r>
        <w:rPr>
          <w:b/>
          <w:bCs/>
        </w:rPr>
        <w:tab/>
        <w:t>Новые тенденции в области науки и культуры</w:t>
      </w:r>
    </w:p>
    <w:p w:rsidR="00000000" w:rsidRDefault="00000000">
      <w:pPr>
        <w:keepNext/>
        <w:jc w:val="center"/>
        <w:rPr>
          <w:b/>
          <w:bCs/>
        </w:rPr>
      </w:pPr>
    </w:p>
    <w:p w:rsidR="00000000" w:rsidRDefault="00000000">
      <w:pPr>
        <w:keepNext/>
      </w:pPr>
      <w:r>
        <w:t>610.</w:t>
      </w:r>
      <w:r>
        <w:tab/>
        <w:t>Новое законодательство о высшем образовании и научных исследованиях в настоящее время находится в стадии разработки.  Вопрос о новых тенденциях в культурной области см. в разделе 3.10.1, пункты 540-574.</w:t>
      </w:r>
    </w:p>
    <w:p w:rsidR="00000000" w:rsidRDefault="00000000"/>
    <w:p w:rsidR="00000000" w:rsidRDefault="00000000">
      <w:pPr>
        <w:jc w:val="center"/>
        <w:rPr>
          <w:b/>
          <w:bCs/>
          <w:lang w:val="en-US"/>
        </w:rPr>
      </w:pPr>
      <w:r>
        <w:rPr>
          <w:b/>
          <w:bCs/>
        </w:rPr>
        <w:t>Примечания</w:t>
      </w:r>
    </w:p>
    <w:p w:rsidR="00000000" w:rsidRDefault="00000000">
      <w:pPr>
        <w:jc w:val="center"/>
        <w:rPr>
          <w:b/>
          <w:bCs/>
          <w:lang w:val="en-US"/>
        </w:rPr>
      </w:pPr>
    </w:p>
    <w:p w:rsidR="00000000" w:rsidRDefault="00000000">
      <w:pPr>
        <w:rPr>
          <w:lang w:val="en-US"/>
        </w:rPr>
      </w:pPr>
      <w:r>
        <w:rPr>
          <w:b/>
          <w:bCs/>
          <w:vertAlign w:val="superscript"/>
          <w:lang w:val="en-US"/>
        </w:rPr>
        <w:t>1</w:t>
      </w:r>
      <w:r>
        <w:rPr>
          <w:lang w:val="en-US"/>
        </w:rPr>
        <w:tab/>
        <w:t xml:space="preserve">Research </w:t>
      </w:r>
      <w:proofErr w:type="spellStart"/>
      <w:r>
        <w:rPr>
          <w:lang w:val="en-US"/>
        </w:rPr>
        <w:t>Centre</w:t>
      </w:r>
      <w:proofErr w:type="spellEnd"/>
      <w:r>
        <w:rPr>
          <w:lang w:val="en-US"/>
        </w:rPr>
        <w:t xml:space="preserve"> for Education and the </w:t>
      </w:r>
      <w:proofErr w:type="spellStart"/>
      <w:r>
        <w:rPr>
          <w:lang w:val="en-US"/>
        </w:rPr>
        <w:t>Labour</w:t>
      </w:r>
      <w:proofErr w:type="spellEnd"/>
      <w:r>
        <w:rPr>
          <w:lang w:val="en-US"/>
        </w:rPr>
        <w:t xml:space="preserve"> Market, </w:t>
      </w:r>
      <w:proofErr w:type="spellStart"/>
      <w:r>
        <w:rPr>
          <w:i/>
          <w:iCs/>
          <w:lang w:val="en-US"/>
        </w:rPr>
        <w:t>Werkgelegenheid</w:t>
      </w:r>
      <w:proofErr w:type="spellEnd"/>
      <w:r>
        <w:rPr>
          <w:i/>
          <w:iCs/>
          <w:lang w:val="en-US"/>
        </w:rPr>
        <w:t xml:space="preserve"> en schooling 2001</w:t>
      </w:r>
      <w:r>
        <w:rPr>
          <w:lang w:val="en-US"/>
        </w:rPr>
        <w:t xml:space="preserve"> (Employment and training 2001), </w:t>
      </w:r>
      <w:proofErr w:type="spellStart"/>
      <w:r>
        <w:rPr>
          <w:lang w:val="en-US"/>
        </w:rPr>
        <w:t>Maastricht</w:t>
      </w:r>
      <w:proofErr w:type="spellEnd"/>
      <w:r>
        <w:rPr>
          <w:lang w:val="en-US"/>
        </w:rPr>
        <w:t xml:space="preserve"> 2002.</w:t>
      </w:r>
    </w:p>
    <w:p w:rsidR="00000000" w:rsidRDefault="00000000">
      <w:pPr>
        <w:rPr>
          <w:lang w:val="en-US"/>
        </w:rPr>
      </w:pPr>
    </w:p>
    <w:p w:rsidR="00000000" w:rsidRDefault="00000000">
      <w:pPr>
        <w:rPr>
          <w:lang w:val="en-US"/>
        </w:rPr>
      </w:pPr>
      <w:r>
        <w:rPr>
          <w:b/>
          <w:bCs/>
          <w:vertAlign w:val="superscript"/>
          <w:lang w:val="en-US"/>
        </w:rPr>
        <w:t>2</w:t>
      </w:r>
      <w:r>
        <w:rPr>
          <w:lang w:val="en-US"/>
        </w:rPr>
        <w:tab/>
        <w:t>C</w:t>
      </w:r>
      <w:r>
        <w:t>м</w:t>
      </w:r>
      <w:r>
        <w:rPr>
          <w:lang w:val="en-US"/>
        </w:rPr>
        <w:t xml:space="preserve">. "Wife battering and violence outside the family", E. Kandel-Englander.  In:  </w:t>
      </w:r>
      <w:r>
        <w:rPr>
          <w:i/>
          <w:iCs/>
          <w:lang w:val="en-US"/>
        </w:rPr>
        <w:t>Journal of interpersonal violence</w:t>
      </w:r>
      <w:r>
        <w:rPr>
          <w:lang w:val="en-US"/>
        </w:rPr>
        <w:t xml:space="preserve"> (1992);  "Partner abuse and general crime:  how are the the same?  How are they different?, T.E. Moffitt et al.  In:  </w:t>
      </w:r>
      <w:r>
        <w:rPr>
          <w:i/>
          <w:iCs/>
          <w:lang w:val="en-US"/>
        </w:rPr>
        <w:t>Criminology</w:t>
      </w:r>
      <w:r>
        <w:rPr>
          <w:lang w:val="en-US"/>
        </w:rPr>
        <w:t xml:space="preserve"> (2000).</w:t>
      </w:r>
    </w:p>
    <w:p w:rsidR="00000000" w:rsidRDefault="00000000">
      <w:pPr>
        <w:rPr>
          <w:lang w:val="en-US"/>
        </w:rPr>
      </w:pPr>
    </w:p>
    <w:p w:rsidR="00000000" w:rsidRDefault="00000000">
      <w:pPr>
        <w:rPr>
          <w:lang w:val="en-US"/>
        </w:rPr>
      </w:pPr>
      <w:r>
        <w:rPr>
          <w:b/>
          <w:bCs/>
          <w:vertAlign w:val="superscript"/>
          <w:lang w:val="en-US"/>
        </w:rPr>
        <w:t>3</w:t>
      </w:r>
      <w:r>
        <w:rPr>
          <w:lang w:val="en-US"/>
        </w:rPr>
        <w:tab/>
      </w:r>
      <w:r>
        <w:t>См</w:t>
      </w:r>
      <w:r>
        <w:rPr>
          <w:lang w:val="en-US"/>
        </w:rPr>
        <w:t xml:space="preserve">. </w:t>
      </w:r>
      <w:r>
        <w:t>научно</w:t>
      </w:r>
      <w:r>
        <w:rPr>
          <w:lang w:val="en-US"/>
        </w:rPr>
        <w:t>-</w:t>
      </w:r>
      <w:r>
        <w:t>исследовательский</w:t>
      </w:r>
      <w:r>
        <w:rPr>
          <w:lang w:val="en-US"/>
        </w:rPr>
        <w:t xml:space="preserve"> </w:t>
      </w:r>
      <w:r>
        <w:t>доклад</w:t>
      </w:r>
      <w:r>
        <w:rPr>
          <w:lang w:val="en-US"/>
        </w:rPr>
        <w:t xml:space="preserve"> "</w:t>
      </w:r>
      <w:proofErr w:type="spellStart"/>
      <w:r>
        <w:rPr>
          <w:i/>
          <w:iCs/>
          <w:lang w:val="en-US"/>
        </w:rPr>
        <w:t>Als</w:t>
      </w:r>
      <w:proofErr w:type="spellEnd"/>
      <w:r>
        <w:rPr>
          <w:i/>
          <w:iCs/>
          <w:lang w:val="en-US"/>
        </w:rPr>
        <w:t xml:space="preserve"> </w:t>
      </w:r>
      <w:proofErr w:type="spellStart"/>
      <w:r>
        <w:rPr>
          <w:i/>
          <w:iCs/>
          <w:lang w:val="en-US"/>
        </w:rPr>
        <w:t>het</w:t>
      </w:r>
      <w:proofErr w:type="spellEnd"/>
      <w:r>
        <w:rPr>
          <w:i/>
          <w:iCs/>
          <w:lang w:val="en-US"/>
        </w:rPr>
        <w:t xml:space="preserve"> </w:t>
      </w:r>
      <w:proofErr w:type="spellStart"/>
      <w:r>
        <w:rPr>
          <w:i/>
          <w:iCs/>
          <w:lang w:val="en-US"/>
        </w:rPr>
        <w:t>naar</w:t>
      </w:r>
      <w:proofErr w:type="spellEnd"/>
      <w:r>
        <w:rPr>
          <w:i/>
          <w:iCs/>
          <w:lang w:val="en-US"/>
        </w:rPr>
        <w:t xml:space="preserve"> </w:t>
      </w:r>
      <w:proofErr w:type="spellStart"/>
      <w:r>
        <w:rPr>
          <w:i/>
          <w:iCs/>
          <w:lang w:val="en-US"/>
        </w:rPr>
        <w:t>buiten</w:t>
      </w:r>
      <w:proofErr w:type="spellEnd"/>
      <w:r>
        <w:rPr>
          <w:i/>
          <w:iCs/>
          <w:lang w:val="en-US"/>
        </w:rPr>
        <w:t xml:space="preserve"> </w:t>
      </w:r>
      <w:proofErr w:type="spellStart"/>
      <w:r>
        <w:rPr>
          <w:i/>
          <w:iCs/>
          <w:lang w:val="en-US"/>
        </w:rPr>
        <w:t>kot</w:t>
      </w:r>
      <w:proofErr w:type="spellEnd"/>
      <w:r>
        <w:rPr>
          <w:i/>
          <w:iCs/>
          <w:lang w:val="en-US"/>
        </w:rPr>
        <w:t xml:space="preserve"> is </w:t>
      </w:r>
      <w:proofErr w:type="spellStart"/>
      <w:r>
        <w:rPr>
          <w:i/>
          <w:iCs/>
          <w:lang w:val="en-US"/>
        </w:rPr>
        <w:t>het</w:t>
      </w:r>
      <w:proofErr w:type="spellEnd"/>
      <w:r>
        <w:rPr>
          <w:i/>
          <w:iCs/>
          <w:lang w:val="en-US"/>
        </w:rPr>
        <w:t xml:space="preserve"> </w:t>
      </w:r>
      <w:proofErr w:type="spellStart"/>
      <w:r>
        <w:rPr>
          <w:i/>
          <w:iCs/>
          <w:lang w:val="en-US"/>
        </w:rPr>
        <w:t>vaak</w:t>
      </w:r>
      <w:proofErr w:type="spellEnd"/>
      <w:r>
        <w:rPr>
          <w:i/>
          <w:iCs/>
          <w:lang w:val="en-US"/>
        </w:rPr>
        <w:t xml:space="preserve"> </w:t>
      </w:r>
      <w:proofErr w:type="spellStart"/>
      <w:r>
        <w:rPr>
          <w:i/>
          <w:iCs/>
          <w:lang w:val="en-US"/>
        </w:rPr>
        <w:t>te</w:t>
      </w:r>
      <w:proofErr w:type="spellEnd"/>
      <w:r>
        <w:rPr>
          <w:i/>
          <w:iCs/>
          <w:lang w:val="en-US"/>
        </w:rPr>
        <w:t xml:space="preserve"> </w:t>
      </w:r>
      <w:proofErr w:type="spellStart"/>
      <w:r>
        <w:rPr>
          <w:i/>
          <w:iCs/>
          <w:lang w:val="en-US"/>
        </w:rPr>
        <w:t>laat</w:t>
      </w:r>
      <w:proofErr w:type="spellEnd"/>
      <w:r>
        <w:rPr>
          <w:i/>
          <w:iCs/>
          <w:lang w:val="en-US"/>
        </w:rPr>
        <w:t xml:space="preserve">", </w:t>
      </w:r>
      <w:r>
        <w:rPr>
          <w:lang w:val="en-US"/>
        </w:rPr>
        <w:t xml:space="preserve">by Equivalent, F. </w:t>
      </w:r>
      <w:proofErr w:type="spellStart"/>
      <w:r>
        <w:rPr>
          <w:lang w:val="en-US"/>
        </w:rPr>
        <w:t>Attema</w:t>
      </w:r>
      <w:proofErr w:type="spellEnd"/>
      <w:r>
        <w:rPr>
          <w:lang w:val="en-US"/>
        </w:rPr>
        <w:t xml:space="preserve">, commissioned by the </w:t>
      </w:r>
      <w:proofErr w:type="spellStart"/>
      <w:r>
        <w:rPr>
          <w:lang w:val="en-US"/>
        </w:rPr>
        <w:t>Provence</w:t>
      </w:r>
      <w:proofErr w:type="spellEnd"/>
      <w:r>
        <w:rPr>
          <w:lang w:val="en-US"/>
        </w:rPr>
        <w:t xml:space="preserve"> of </w:t>
      </w:r>
      <w:proofErr w:type="spellStart"/>
      <w:r>
        <w:rPr>
          <w:lang w:val="en-US"/>
        </w:rPr>
        <w:t>Overijssel</w:t>
      </w:r>
      <w:proofErr w:type="spellEnd"/>
      <w:r>
        <w:rPr>
          <w:lang w:val="en-US"/>
        </w:rPr>
        <w:t xml:space="preserve">, </w:t>
      </w:r>
      <w:proofErr w:type="spellStart"/>
      <w:r>
        <w:rPr>
          <w:lang w:val="en-US"/>
        </w:rPr>
        <w:t>Almelo</w:t>
      </w:r>
      <w:proofErr w:type="spellEnd"/>
      <w:r>
        <w:rPr>
          <w:lang w:val="en-US"/>
        </w:rPr>
        <w:t xml:space="preserve"> 2002.</w:t>
      </w:r>
    </w:p>
    <w:p w:rsidR="00000000" w:rsidRDefault="00000000">
      <w:pPr>
        <w:rPr>
          <w:lang w:val="en-US"/>
        </w:rPr>
      </w:pPr>
    </w:p>
    <w:p w:rsidR="00000000" w:rsidRDefault="00000000">
      <w:pPr>
        <w:rPr>
          <w:lang w:val="en-US"/>
        </w:rPr>
      </w:pPr>
      <w:r>
        <w:rPr>
          <w:b/>
          <w:bCs/>
          <w:vertAlign w:val="superscript"/>
          <w:lang w:val="en-US"/>
        </w:rPr>
        <w:t>4</w:t>
      </w:r>
      <w:r>
        <w:rPr>
          <w:lang w:val="en-US"/>
        </w:rPr>
        <w:tab/>
        <w:t>Private Violence - Public Issue.  A policy document on the joint approach to domestic violence, Ministry of Justice, The Hague, 2002.</w:t>
      </w:r>
    </w:p>
    <w:p w:rsidR="00000000" w:rsidRDefault="00000000">
      <w:pPr>
        <w:rPr>
          <w:lang w:val="en-US"/>
        </w:rPr>
      </w:pPr>
    </w:p>
    <w:p w:rsidR="00000000" w:rsidRDefault="00000000">
      <w:r>
        <w:rPr>
          <w:b/>
          <w:bCs/>
          <w:vertAlign w:val="superscript"/>
        </w:rPr>
        <w:t>5</w:t>
      </w:r>
      <w:r>
        <w:tab/>
        <w:t>В 1997, 1998, 1999 и 2001 годах.  По каждому случаю резолюция принималась без голосования;  в последний раз резолюцию представили совместно 126 стран.</w:t>
      </w:r>
    </w:p>
    <w:p w:rsidR="00000000" w:rsidRDefault="00000000"/>
    <w:p w:rsidR="00000000" w:rsidRDefault="00000000">
      <w:r>
        <w:rPr>
          <w:b/>
          <w:bCs/>
          <w:vertAlign w:val="superscript"/>
        </w:rPr>
        <w:t>6</w:t>
      </w:r>
      <w:r>
        <w:tab/>
        <w:t>Во время пятьдесят пятой сессии в 2000 году.</w:t>
      </w:r>
    </w:p>
    <w:p w:rsidR="00000000" w:rsidRDefault="00000000"/>
    <w:p w:rsidR="00000000" w:rsidRDefault="00000000">
      <w:r>
        <w:rPr>
          <w:b/>
          <w:bCs/>
          <w:vertAlign w:val="superscript"/>
        </w:rPr>
        <w:t>7</w:t>
      </w:r>
      <w:r>
        <w:tab/>
        <w:t>Резолюция была единогласно принята 24 октября 2002 года в Третьем комитете Генеральной Ассамблеи Организации Объединенных Наций.</w:t>
      </w:r>
    </w:p>
    <w:p w:rsidR="00000000" w:rsidRDefault="00000000"/>
    <w:p w:rsidR="00000000" w:rsidRDefault="00000000">
      <w:r>
        <w:rPr>
          <w:b/>
          <w:bCs/>
          <w:vertAlign w:val="superscript"/>
        </w:rPr>
        <w:t>8</w:t>
      </w:r>
      <w:r>
        <w:tab/>
        <w:t>В этом докладе бытовое насилие определяется как насилие, совершаемое лицом, находящимся в семейном окружении жертвы.  В отличие от других форм насилия жертва и насильник являются частью одной и той же жилой среды.</w:t>
      </w:r>
    </w:p>
    <w:p w:rsidR="00000000" w:rsidRDefault="00000000"/>
    <w:p w:rsidR="00000000" w:rsidRDefault="00000000">
      <w:pPr>
        <w:rPr>
          <w:lang w:val="en-US"/>
        </w:rPr>
      </w:pPr>
      <w:r>
        <w:rPr>
          <w:b/>
          <w:bCs/>
          <w:vertAlign w:val="superscript"/>
          <w:lang w:val="en-US"/>
        </w:rPr>
        <w:t>9</w:t>
      </w:r>
      <w:r>
        <w:rPr>
          <w:lang w:val="en-US"/>
        </w:rPr>
        <w:tab/>
      </w:r>
      <w:proofErr w:type="spellStart"/>
      <w:r>
        <w:rPr>
          <w:i/>
          <w:iCs/>
          <w:lang w:val="en-US"/>
        </w:rPr>
        <w:t>Huiselijk</w:t>
      </w:r>
      <w:proofErr w:type="spellEnd"/>
      <w:r>
        <w:rPr>
          <w:i/>
          <w:iCs/>
          <w:lang w:val="en-US"/>
        </w:rPr>
        <w:t xml:space="preserve"> </w:t>
      </w:r>
      <w:proofErr w:type="spellStart"/>
      <w:r>
        <w:rPr>
          <w:i/>
          <w:iCs/>
          <w:lang w:val="en-US"/>
        </w:rPr>
        <w:t>geweld</w:t>
      </w:r>
      <w:proofErr w:type="spellEnd"/>
      <w:r>
        <w:rPr>
          <w:i/>
          <w:iCs/>
          <w:lang w:val="en-US"/>
        </w:rPr>
        <w:t xml:space="preserve"> onder Surinamers, Antillianen en Arubanen, Marokkanen en Turken in Nederland,</w:t>
      </w:r>
      <w:r>
        <w:rPr>
          <w:lang w:val="en-US"/>
        </w:rPr>
        <w:t xml:space="preserve"> Intomart, 2002.</w:t>
      </w:r>
    </w:p>
    <w:p w:rsidR="00000000" w:rsidRDefault="00000000">
      <w:pPr>
        <w:rPr>
          <w:lang w:val="en-US"/>
        </w:rPr>
      </w:pPr>
    </w:p>
    <w:p w:rsidR="00000000" w:rsidRDefault="00000000">
      <w:pPr>
        <w:rPr>
          <w:lang w:val="en-US"/>
        </w:rPr>
      </w:pPr>
      <w:r>
        <w:rPr>
          <w:b/>
          <w:bCs/>
          <w:vertAlign w:val="superscript"/>
          <w:lang w:val="en-US"/>
        </w:rPr>
        <w:t>10</w:t>
      </w:r>
      <w:r>
        <w:rPr>
          <w:lang w:val="en-US"/>
        </w:rPr>
        <w:tab/>
      </w:r>
      <w:proofErr w:type="spellStart"/>
      <w:r>
        <w:rPr>
          <w:i/>
          <w:iCs/>
          <w:lang w:val="en-US"/>
        </w:rPr>
        <w:t>Kinderen</w:t>
      </w:r>
      <w:proofErr w:type="spellEnd"/>
      <w:r>
        <w:rPr>
          <w:i/>
          <w:iCs/>
          <w:lang w:val="en-US"/>
        </w:rPr>
        <w:t xml:space="preserve"> die getuige zijn van geweld tussen hun ouders, een basisverkenning van korte en lange termijn effecten </w:t>
      </w:r>
      <w:r>
        <w:rPr>
          <w:lang w:val="en-US"/>
        </w:rPr>
        <w:t>by Sierske Dijkstra, Bilthoven, 2001.</w:t>
      </w:r>
    </w:p>
    <w:p w:rsidR="00000000" w:rsidRDefault="00000000">
      <w:pPr>
        <w:rPr>
          <w:lang w:val="en-US"/>
        </w:rPr>
      </w:pPr>
    </w:p>
    <w:p w:rsidR="00000000" w:rsidRDefault="00000000">
      <w:pPr>
        <w:rPr>
          <w:lang w:val="en-US"/>
        </w:rPr>
      </w:pPr>
      <w:r>
        <w:rPr>
          <w:b/>
          <w:bCs/>
          <w:vertAlign w:val="superscript"/>
          <w:lang w:val="en-US"/>
        </w:rPr>
        <w:t>11</w:t>
      </w:r>
      <w:r>
        <w:rPr>
          <w:lang w:val="en-US"/>
        </w:rPr>
        <w:tab/>
        <w:t>Letters from the Minister of Justice and the House of Representatives, 2000-2001, 27 400 VI, no. 83.</w:t>
      </w:r>
    </w:p>
    <w:p w:rsidR="00000000" w:rsidRDefault="00000000">
      <w:pPr>
        <w:rPr>
          <w:lang w:val="en-US"/>
        </w:rPr>
      </w:pPr>
    </w:p>
    <w:p w:rsidR="00000000" w:rsidRDefault="00000000">
      <w:pPr>
        <w:rPr>
          <w:lang w:val="en-US"/>
        </w:rPr>
      </w:pPr>
      <w:r>
        <w:rPr>
          <w:b/>
          <w:bCs/>
          <w:vertAlign w:val="superscript"/>
          <w:lang w:val="en-US"/>
        </w:rPr>
        <w:t>12</w:t>
      </w:r>
      <w:r>
        <w:rPr>
          <w:lang w:val="en-US"/>
        </w:rPr>
        <w:tab/>
      </w:r>
      <w:proofErr w:type="spellStart"/>
      <w:r>
        <w:rPr>
          <w:lang w:val="en-US"/>
        </w:rPr>
        <w:t>Labour</w:t>
      </w:r>
      <w:proofErr w:type="spellEnd"/>
      <w:r>
        <w:rPr>
          <w:lang w:val="en-US"/>
        </w:rPr>
        <w:t xml:space="preserve"> Inspectorate (P.M. Venema), </w:t>
      </w:r>
      <w:r>
        <w:rPr>
          <w:i/>
          <w:iCs/>
          <w:lang w:val="en-US"/>
        </w:rPr>
        <w:t xml:space="preserve">Werknemers met een bruto-loon op en onder het wettelijk minimumloon in 2001, </w:t>
      </w:r>
      <w:r>
        <w:rPr>
          <w:lang w:val="en-US"/>
        </w:rPr>
        <w:t>The Hague, March 2003.</w:t>
      </w:r>
    </w:p>
    <w:p w:rsidR="00000000" w:rsidRDefault="00000000">
      <w:pPr>
        <w:rPr>
          <w:lang w:val="en-US"/>
        </w:rPr>
      </w:pPr>
    </w:p>
    <w:p w:rsidR="00000000" w:rsidRDefault="00000000">
      <w:r>
        <w:rPr>
          <w:b/>
          <w:bCs/>
          <w:vertAlign w:val="superscript"/>
        </w:rPr>
        <w:t>13</w:t>
      </w:r>
      <w:r>
        <w:tab/>
        <w:t>Пособия без учета взноса касаются части заработной платы, которая не учитывается при расчете пенсионных взносов.</w:t>
      </w:r>
    </w:p>
    <w:p w:rsidR="00000000" w:rsidRDefault="00000000"/>
    <w:p w:rsidR="00000000" w:rsidRDefault="00000000">
      <w:r>
        <w:rPr>
          <w:b/>
          <w:bCs/>
          <w:vertAlign w:val="superscript"/>
        </w:rPr>
        <w:t>14</w:t>
      </w:r>
      <w:r>
        <w:tab/>
        <w:t>Рабочая неделя:  продолжительность рабочей недели согласовывается с работодателем.  Сокращенное рабочее время в форме выходных при расчетах не учитывается, но при этом учитываются "укороченные" рабочие часы.</w:t>
      </w:r>
    </w:p>
    <w:p w:rsidR="00000000" w:rsidRDefault="00000000"/>
    <w:p w:rsidR="00000000" w:rsidRDefault="00000000">
      <w:pPr>
        <w:rPr>
          <w:lang w:val="en-US"/>
        </w:rPr>
      </w:pPr>
      <w:r>
        <w:rPr>
          <w:b/>
          <w:bCs/>
          <w:vertAlign w:val="superscript"/>
          <w:lang w:val="en-US"/>
        </w:rPr>
        <w:t>15</w:t>
      </w:r>
      <w:r>
        <w:rPr>
          <w:lang w:val="en-US"/>
        </w:rPr>
        <w:tab/>
      </w:r>
      <w:r>
        <w:t>Подробнее</w:t>
      </w:r>
      <w:r>
        <w:rPr>
          <w:lang w:val="en-US"/>
        </w:rPr>
        <w:t xml:space="preserve"> </w:t>
      </w:r>
      <w:r>
        <w:t>см</w:t>
      </w:r>
      <w:r>
        <w:rPr>
          <w:lang w:val="en-US"/>
        </w:rPr>
        <w:t>. "Sector Report CARE", Ministry of Health, Welfare and Sport.</w:t>
      </w:r>
    </w:p>
    <w:p w:rsidR="00000000" w:rsidRDefault="00000000">
      <w:pPr>
        <w:rPr>
          <w:lang w:val="en-US"/>
        </w:rPr>
      </w:pPr>
    </w:p>
    <w:p w:rsidR="00000000" w:rsidRDefault="00000000">
      <w:pPr>
        <w:rPr>
          <w:lang w:val="en-US"/>
        </w:rPr>
      </w:pPr>
      <w:r>
        <w:rPr>
          <w:b/>
          <w:bCs/>
          <w:vertAlign w:val="superscript"/>
          <w:lang w:val="en-US"/>
        </w:rPr>
        <w:t>16</w:t>
      </w:r>
      <w:r>
        <w:rPr>
          <w:lang w:val="en-US"/>
        </w:rPr>
        <w:tab/>
      </w:r>
      <w:proofErr w:type="spellStart"/>
      <w:r>
        <w:rPr>
          <w:lang w:val="en-US"/>
        </w:rPr>
        <w:t>Sociaal-Economische</w:t>
      </w:r>
      <w:proofErr w:type="spellEnd"/>
      <w:r>
        <w:rPr>
          <w:lang w:val="en-US"/>
        </w:rPr>
        <w:t xml:space="preserve"> Raad, Inburgeren met beleid.  Advies over duale trajecten taalverwerving en arbeid.  Uitgebracht aan de ministers van Sociale Zaken en Werkgelegenheid, en Vreemdelingenzaken en Intergratie, The Hague, 21 November 2003, publication number 10.  </w:t>
      </w:r>
      <w:r>
        <w:t xml:space="preserve">(Имеется в переводе на английский язык на </w:t>
      </w:r>
      <w:proofErr w:type="spellStart"/>
      <w:r>
        <w:t>вебсайте</w:t>
      </w:r>
      <w:proofErr w:type="spellEnd"/>
      <w:r>
        <w:t xml:space="preserve"> СЕ</w:t>
      </w:r>
      <w:r>
        <w:rPr>
          <w:lang w:val="en-US"/>
        </w:rPr>
        <w:t>R</w:t>
      </w:r>
      <w:r>
        <w:t xml:space="preserve"> в качестве документа "</w:t>
      </w:r>
      <w:r>
        <w:rPr>
          <w:lang w:val="en-US"/>
        </w:rPr>
        <w:t>A</w:t>
      </w:r>
      <w:r>
        <w:t xml:space="preserve"> </w:t>
      </w:r>
      <w:r>
        <w:rPr>
          <w:lang w:val="en-US"/>
        </w:rPr>
        <w:t>policy</w:t>
      </w:r>
      <w:r>
        <w:t xml:space="preserve"> </w:t>
      </w:r>
      <w:r>
        <w:rPr>
          <w:lang w:val="en-US"/>
        </w:rPr>
        <w:t>on</w:t>
      </w:r>
      <w:r>
        <w:t xml:space="preserve"> </w:t>
      </w:r>
      <w:r>
        <w:rPr>
          <w:lang w:val="en-US"/>
        </w:rPr>
        <w:t>integration</w:t>
      </w:r>
      <w:r>
        <w:t xml:space="preserve"> </w:t>
      </w:r>
      <w:r>
        <w:rPr>
          <w:lang w:val="en-US"/>
        </w:rPr>
        <w:t>for</w:t>
      </w:r>
      <w:r>
        <w:t xml:space="preserve"> </w:t>
      </w:r>
      <w:r>
        <w:rPr>
          <w:lang w:val="en-US"/>
        </w:rPr>
        <w:t>immigrants</w:t>
      </w:r>
      <w:r>
        <w:t xml:space="preserve">.  </w:t>
      </w:r>
      <w:r>
        <w:rPr>
          <w:lang w:val="en-US"/>
        </w:rPr>
        <w:t>Advisory report on integration programmes combining second-language acquisition and (training for) work".)</w:t>
      </w:r>
    </w:p>
    <w:p w:rsidR="00000000" w:rsidRDefault="00000000">
      <w:pPr>
        <w:rPr>
          <w:lang w:val="en-US"/>
        </w:rPr>
      </w:pPr>
    </w:p>
    <w:p w:rsidR="00000000" w:rsidRDefault="00000000">
      <w:pPr>
        <w:rPr>
          <w:lang w:val="en-US"/>
        </w:rPr>
      </w:pPr>
      <w:r>
        <w:rPr>
          <w:b/>
          <w:bCs/>
          <w:vertAlign w:val="superscript"/>
          <w:lang w:val="en-US"/>
        </w:rPr>
        <w:t>17</w:t>
      </w:r>
      <w:r>
        <w:rPr>
          <w:lang w:val="en-US"/>
        </w:rPr>
        <w:tab/>
      </w:r>
      <w:proofErr w:type="spellStart"/>
      <w:r>
        <w:rPr>
          <w:lang w:val="en-US"/>
        </w:rPr>
        <w:t>Raad</w:t>
      </w:r>
      <w:proofErr w:type="spellEnd"/>
      <w:r>
        <w:rPr>
          <w:lang w:val="en-US"/>
        </w:rPr>
        <w:t xml:space="preserve"> </w:t>
      </w:r>
      <w:proofErr w:type="spellStart"/>
      <w:r>
        <w:rPr>
          <w:lang w:val="en-US"/>
        </w:rPr>
        <w:t>voor</w:t>
      </w:r>
      <w:proofErr w:type="spellEnd"/>
      <w:r>
        <w:rPr>
          <w:lang w:val="en-US"/>
        </w:rPr>
        <w:t xml:space="preserve"> Werk en Inkomen, </w:t>
      </w:r>
      <w:r>
        <w:rPr>
          <w:i/>
          <w:iCs/>
          <w:lang w:val="en-US"/>
        </w:rPr>
        <w:t>Inburgering en arbeidstoeleiding anderstaligen,</w:t>
      </w:r>
      <w:r>
        <w:rPr>
          <w:lang w:val="en-US"/>
        </w:rPr>
        <w:t xml:space="preserve"> Advisory report, 25 November 2003, ref. no. 1602-03/200302482.</w:t>
      </w:r>
    </w:p>
    <w:p w:rsidR="00000000" w:rsidRDefault="00000000">
      <w:pPr>
        <w:rPr>
          <w:lang w:val="en-US"/>
        </w:rPr>
      </w:pPr>
    </w:p>
    <w:p w:rsidR="00000000" w:rsidRDefault="00000000">
      <w:r>
        <w:rPr>
          <w:b/>
          <w:bCs/>
          <w:vertAlign w:val="superscript"/>
        </w:rPr>
        <w:t>18</w:t>
      </w:r>
      <w:r>
        <w:tab/>
        <w:t xml:space="preserve">Вместе с тем ответственность за функционирование Университета Вагенингена и научно-исследовательских сельскохозяйственных институтов ДЛО (Центр научных исследований Университета </w:t>
      </w:r>
      <w:proofErr w:type="spellStart"/>
      <w:r>
        <w:t>Вагенингена</w:t>
      </w:r>
      <w:proofErr w:type="spellEnd"/>
      <w:r>
        <w:t>) лежит на министре сельского хозяйства, охраны природы и качества продуктов питания.</w:t>
      </w:r>
    </w:p>
    <w:p w:rsidR="00000000" w:rsidRDefault="00000000"/>
    <w:p w:rsidR="00000000" w:rsidRDefault="00000000">
      <w:r>
        <w:rPr>
          <w:b/>
          <w:bCs/>
          <w:vertAlign w:val="superscript"/>
        </w:rPr>
        <w:t>19</w:t>
      </w:r>
      <w:r>
        <w:tab/>
        <w:t xml:space="preserve">В случае Университета </w:t>
      </w:r>
      <w:proofErr w:type="spellStart"/>
      <w:r>
        <w:t>Вагенингена</w:t>
      </w:r>
      <w:proofErr w:type="spellEnd"/>
      <w:r>
        <w:t xml:space="preserve"> - Министерство сельского хозяйства, охраны природы и качества продуктов питания.</w:t>
      </w:r>
    </w:p>
    <w:p w:rsidR="00000000" w:rsidRDefault="00000000"/>
    <w:p w:rsidR="00000000" w:rsidRDefault="00000000"/>
    <w:p w:rsidR="00000000" w:rsidRDefault="00000000">
      <w:pPr>
        <w:jc w:val="center"/>
        <w:rPr>
          <w:b/>
          <w:bCs/>
        </w:rPr>
      </w:pPr>
      <w:r>
        <w:br w:type="page"/>
      </w:r>
      <w:r>
        <w:rPr>
          <w:b/>
          <w:bCs/>
        </w:rPr>
        <w:t>4.</w:t>
      </w:r>
      <w:r>
        <w:rPr>
          <w:b/>
          <w:bCs/>
        </w:rPr>
        <w:tab/>
        <w:t>СПИСОК ДОБАВЛЕНИЙ</w:t>
      </w:r>
    </w:p>
    <w:p w:rsidR="00000000" w:rsidRDefault="00000000">
      <w:pPr>
        <w:jc w:val="center"/>
        <w:rPr>
          <w:b/>
          <w:bCs/>
        </w:rPr>
      </w:pPr>
    </w:p>
    <w:p w:rsidR="00000000" w:rsidRDefault="00000000">
      <w:pPr>
        <w:tabs>
          <w:tab w:val="clear" w:pos="1701"/>
          <w:tab w:val="left" w:pos="1683"/>
        </w:tabs>
        <w:ind w:left="1683" w:hanging="1683"/>
      </w:pPr>
      <w:r>
        <w:t>Добавление 1.</w:t>
      </w:r>
      <w:r>
        <w:tab/>
      </w:r>
      <w:r>
        <w:rPr>
          <w:lang w:val="en-GB"/>
        </w:rPr>
        <w:t>Report</w:t>
      </w:r>
      <w:r>
        <w:t xml:space="preserve"> </w:t>
      </w:r>
      <w:r>
        <w:rPr>
          <w:lang w:val="en-GB"/>
        </w:rPr>
        <w:t>on</w:t>
      </w:r>
      <w:r>
        <w:t xml:space="preserve"> </w:t>
      </w:r>
      <w:r>
        <w:rPr>
          <w:lang w:val="en-GB"/>
        </w:rPr>
        <w:t>the</w:t>
      </w:r>
      <w:r>
        <w:t xml:space="preserve"> </w:t>
      </w:r>
      <w:r>
        <w:rPr>
          <w:lang w:val="en-GB"/>
        </w:rPr>
        <w:t>application</w:t>
      </w:r>
      <w:r>
        <w:t xml:space="preserve"> </w:t>
      </w:r>
      <w:r>
        <w:rPr>
          <w:lang w:val="en-GB"/>
        </w:rPr>
        <w:t>of</w:t>
      </w:r>
      <w:r>
        <w:t xml:space="preserve"> </w:t>
      </w:r>
      <w:r>
        <w:rPr>
          <w:lang w:val="en-GB"/>
        </w:rPr>
        <w:t>the</w:t>
      </w:r>
      <w:r>
        <w:t xml:space="preserve"> </w:t>
      </w:r>
      <w:r>
        <w:rPr>
          <w:lang w:val="en-GB"/>
        </w:rPr>
        <w:t>Minimum</w:t>
      </w:r>
      <w:r>
        <w:t xml:space="preserve"> </w:t>
      </w:r>
      <w:r>
        <w:rPr>
          <w:lang w:val="en-GB"/>
        </w:rPr>
        <w:t>Wage</w:t>
      </w:r>
      <w:r>
        <w:t xml:space="preserve"> </w:t>
      </w:r>
      <w:r>
        <w:rPr>
          <w:lang w:val="en-GB"/>
        </w:rPr>
        <w:t>Fixing</w:t>
      </w:r>
      <w:r>
        <w:t xml:space="preserve"> </w:t>
      </w:r>
      <w:r>
        <w:rPr>
          <w:lang w:val="en-GB"/>
        </w:rPr>
        <w:t>Convention</w:t>
      </w:r>
      <w:r>
        <w:t>, 1970 (Доклад о применении Конвенции 1970 года об установлении минимальной заработной платы) (Конвенция № 131 МОТ)</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pPr>
      <w:r>
        <w:t>Добавление</w:t>
      </w:r>
      <w:r>
        <w:rPr>
          <w:lang w:val="en-GB"/>
        </w:rPr>
        <w:t xml:space="preserve"> 2.</w:t>
      </w:r>
      <w:r>
        <w:rPr>
          <w:lang w:val="en-GB"/>
        </w:rPr>
        <w:tab/>
      </w:r>
      <w:r>
        <w:t>“</w:t>
      </w:r>
      <w:r>
        <w:rPr>
          <w:lang w:val="en-GB"/>
        </w:rPr>
        <w:t>National</w:t>
      </w:r>
      <w:r>
        <w:t xml:space="preserve"> </w:t>
      </w:r>
      <w:r>
        <w:rPr>
          <w:lang w:val="en-GB"/>
        </w:rPr>
        <w:t>Strategy</w:t>
      </w:r>
      <w:r>
        <w:t xml:space="preserve"> </w:t>
      </w:r>
      <w:r>
        <w:rPr>
          <w:lang w:val="en-GB"/>
        </w:rPr>
        <w:t>Report</w:t>
      </w:r>
      <w:r>
        <w:t xml:space="preserve"> </w:t>
      </w:r>
      <w:r>
        <w:rPr>
          <w:lang w:val="en-GB"/>
        </w:rPr>
        <w:t>on</w:t>
      </w:r>
      <w:r>
        <w:t xml:space="preserve"> </w:t>
      </w:r>
      <w:r>
        <w:rPr>
          <w:lang w:val="en-GB"/>
        </w:rPr>
        <w:t>Pensions</w:t>
      </w:r>
      <w:r>
        <w:t xml:space="preserve"> </w:t>
      </w:r>
      <w:r>
        <w:rPr>
          <w:lang w:val="en-GB"/>
        </w:rPr>
        <w:t>The</w:t>
      </w:r>
      <w:r>
        <w:t xml:space="preserve"> </w:t>
      </w:r>
      <w:r>
        <w:rPr>
          <w:lang w:val="en-GB"/>
        </w:rPr>
        <w:t>Netherlands</w:t>
      </w:r>
      <w:r>
        <w:t xml:space="preserve"> 2002” ("Доклад о национальной стратегии в области пенсий в Нидерландах за 2002 год")</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pPr>
      <w:r>
        <w:t>Добавление 3.</w:t>
      </w:r>
      <w:r>
        <w:tab/>
        <w:t>“</w:t>
      </w:r>
      <w:r>
        <w:rPr>
          <w:lang w:val="en-GB"/>
        </w:rPr>
        <w:t>De</w:t>
      </w:r>
      <w:r>
        <w:t xml:space="preserve"> </w:t>
      </w:r>
      <w:r>
        <w:rPr>
          <w:lang w:val="en-GB"/>
        </w:rPr>
        <w:t>positie</w:t>
      </w:r>
      <w:r>
        <w:t xml:space="preserve"> </w:t>
      </w:r>
      <w:r>
        <w:rPr>
          <w:lang w:val="en-GB"/>
        </w:rPr>
        <w:t>van</w:t>
      </w:r>
      <w:r>
        <w:t xml:space="preserve"> </w:t>
      </w:r>
      <w:r>
        <w:rPr>
          <w:lang w:val="en-GB"/>
        </w:rPr>
        <w:t>mannen</w:t>
      </w:r>
      <w:r>
        <w:t xml:space="preserve"> </w:t>
      </w:r>
      <w:r>
        <w:rPr>
          <w:lang w:val="en-GB"/>
        </w:rPr>
        <w:t>en</w:t>
      </w:r>
      <w:r>
        <w:t xml:space="preserve"> </w:t>
      </w:r>
      <w:r>
        <w:rPr>
          <w:lang w:val="en-GB"/>
        </w:rPr>
        <w:t>vrouwen</w:t>
      </w:r>
      <w:r>
        <w:t xml:space="preserve"> </w:t>
      </w:r>
      <w:r>
        <w:rPr>
          <w:lang w:val="en-GB"/>
        </w:rPr>
        <w:t>in</w:t>
      </w:r>
      <w:r>
        <w:t xml:space="preserve"> </w:t>
      </w:r>
      <w:r>
        <w:rPr>
          <w:lang w:val="en-GB"/>
        </w:rPr>
        <w:t>het</w:t>
      </w:r>
      <w:r>
        <w:t xml:space="preserve"> </w:t>
      </w:r>
      <w:r>
        <w:rPr>
          <w:lang w:val="en-GB"/>
        </w:rPr>
        <w:t>bedrijfsleven</w:t>
      </w:r>
      <w:r>
        <w:t xml:space="preserve"> </w:t>
      </w:r>
      <w:r>
        <w:rPr>
          <w:lang w:val="en-GB"/>
        </w:rPr>
        <w:t>en</w:t>
      </w:r>
      <w:r>
        <w:t xml:space="preserve"> </w:t>
      </w:r>
      <w:r>
        <w:rPr>
          <w:lang w:val="en-GB"/>
        </w:rPr>
        <w:t>bij</w:t>
      </w:r>
      <w:r>
        <w:t xml:space="preserve"> </w:t>
      </w:r>
      <w:r>
        <w:rPr>
          <w:lang w:val="en-GB"/>
        </w:rPr>
        <w:t>de</w:t>
      </w:r>
      <w:r>
        <w:t xml:space="preserve"> </w:t>
      </w:r>
      <w:r>
        <w:rPr>
          <w:lang w:val="en-GB"/>
        </w:rPr>
        <w:t>overheid</w:t>
      </w:r>
      <w:r>
        <w:t xml:space="preserve"> 1998” (</w:t>
      </w:r>
      <w:r>
        <w:rPr>
          <w:lang w:val="en-GB"/>
        </w:rPr>
        <w:t>The</w:t>
      </w:r>
      <w:r>
        <w:t xml:space="preserve"> </w:t>
      </w:r>
      <w:r>
        <w:rPr>
          <w:lang w:val="en-GB"/>
        </w:rPr>
        <w:t>position</w:t>
      </w:r>
      <w:r>
        <w:t xml:space="preserve"> </w:t>
      </w:r>
      <w:r>
        <w:rPr>
          <w:lang w:val="en-GB"/>
        </w:rPr>
        <w:t>of</w:t>
      </w:r>
      <w:r>
        <w:t xml:space="preserve"> </w:t>
      </w:r>
      <w:r>
        <w:rPr>
          <w:lang w:val="en-GB"/>
        </w:rPr>
        <w:t>men</w:t>
      </w:r>
      <w:r>
        <w:t xml:space="preserve"> </w:t>
      </w:r>
      <w:r>
        <w:rPr>
          <w:lang w:val="en-GB"/>
        </w:rPr>
        <w:t>and</w:t>
      </w:r>
      <w:r>
        <w:t xml:space="preserve"> </w:t>
      </w:r>
      <w:r>
        <w:rPr>
          <w:lang w:val="en-GB"/>
        </w:rPr>
        <w:t>women</w:t>
      </w:r>
      <w:r>
        <w:t xml:space="preserve"> </w:t>
      </w:r>
      <w:r>
        <w:rPr>
          <w:lang w:val="en-GB"/>
        </w:rPr>
        <w:t>in</w:t>
      </w:r>
      <w:r>
        <w:t xml:space="preserve"> </w:t>
      </w:r>
      <w:r>
        <w:rPr>
          <w:lang w:val="en-GB"/>
        </w:rPr>
        <w:t>the</w:t>
      </w:r>
      <w:r>
        <w:t xml:space="preserve"> </w:t>
      </w:r>
      <w:r>
        <w:rPr>
          <w:lang w:val="en-GB"/>
        </w:rPr>
        <w:t>private</w:t>
      </w:r>
      <w:r>
        <w:t xml:space="preserve"> </w:t>
      </w:r>
      <w:r>
        <w:rPr>
          <w:lang w:val="en-GB"/>
        </w:rPr>
        <w:t>and</w:t>
      </w:r>
      <w:r>
        <w:t xml:space="preserve"> </w:t>
      </w:r>
      <w:r>
        <w:rPr>
          <w:lang w:val="en-GB"/>
        </w:rPr>
        <w:t>public</w:t>
      </w:r>
      <w:r>
        <w:t xml:space="preserve"> </w:t>
      </w:r>
      <w:r>
        <w:rPr>
          <w:lang w:val="en-GB"/>
        </w:rPr>
        <w:t>sectors</w:t>
      </w:r>
      <w:r>
        <w:t>, 1998) ("Положение мужчин и женщин в частном и государственных секторах, 1998 год")</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rPr>
          <w:lang w:val="en-GB"/>
        </w:rPr>
      </w:pPr>
      <w:r>
        <w:t>Добавление</w:t>
      </w:r>
      <w:r>
        <w:rPr>
          <w:lang w:val="en-GB"/>
        </w:rPr>
        <w:t xml:space="preserve"> 4.</w:t>
      </w:r>
      <w:r>
        <w:rPr>
          <w:lang w:val="en-GB"/>
        </w:rPr>
        <w:tab/>
        <w:t>Report on the application of the Occupational Safety and Health Convention, 1981 (ILO Convention No. 155) (</w:t>
      </w:r>
      <w:r>
        <w:t>Доклад</w:t>
      </w:r>
      <w:r>
        <w:rPr>
          <w:lang w:val="en-GB"/>
        </w:rPr>
        <w:t xml:space="preserve"> </w:t>
      </w:r>
      <w:r>
        <w:t>о</w:t>
      </w:r>
      <w:r>
        <w:rPr>
          <w:lang w:val="en-GB"/>
        </w:rPr>
        <w:t xml:space="preserve"> </w:t>
      </w:r>
      <w:r>
        <w:t>применении</w:t>
      </w:r>
      <w:r>
        <w:rPr>
          <w:lang w:val="en-GB"/>
        </w:rPr>
        <w:t xml:space="preserve"> </w:t>
      </w:r>
      <w:r>
        <w:t>Конвенции</w:t>
      </w:r>
      <w:r>
        <w:rPr>
          <w:lang w:val="en-GB"/>
        </w:rPr>
        <w:t xml:space="preserve"> </w:t>
      </w:r>
      <w:r>
        <w:t>о</w:t>
      </w:r>
      <w:r>
        <w:rPr>
          <w:lang w:val="en-GB"/>
        </w:rPr>
        <w:t xml:space="preserve"> </w:t>
      </w:r>
      <w:r>
        <w:t>безопасности</w:t>
      </w:r>
      <w:r>
        <w:rPr>
          <w:lang w:val="en-GB"/>
        </w:rPr>
        <w:t xml:space="preserve"> </w:t>
      </w:r>
      <w:r>
        <w:t>и</w:t>
      </w:r>
      <w:r>
        <w:rPr>
          <w:lang w:val="en-GB"/>
        </w:rPr>
        <w:t xml:space="preserve"> </w:t>
      </w:r>
      <w:r>
        <w:t>гигиене</w:t>
      </w:r>
      <w:r>
        <w:rPr>
          <w:lang w:val="en-GB"/>
        </w:rPr>
        <w:t xml:space="preserve"> </w:t>
      </w:r>
      <w:r>
        <w:t>труда</w:t>
      </w:r>
      <w:r>
        <w:rPr>
          <w:lang w:val="en-GB"/>
        </w:rPr>
        <w:t xml:space="preserve"> </w:t>
      </w:r>
      <w:r>
        <w:t>и</w:t>
      </w:r>
      <w:r>
        <w:rPr>
          <w:lang w:val="en-GB"/>
        </w:rPr>
        <w:t xml:space="preserve"> </w:t>
      </w:r>
      <w:r>
        <w:t>производственной</w:t>
      </w:r>
      <w:r>
        <w:rPr>
          <w:lang w:val="en-GB"/>
        </w:rPr>
        <w:t xml:space="preserve"> </w:t>
      </w:r>
      <w:r>
        <w:t>среде</w:t>
      </w:r>
      <w:r>
        <w:rPr>
          <w:lang w:val="en-GB"/>
        </w:rPr>
        <w:t xml:space="preserve">, 1981 </w:t>
      </w:r>
      <w:r>
        <w:t>год</w:t>
      </w:r>
      <w:r>
        <w:rPr>
          <w:lang w:val="en-GB"/>
        </w:rPr>
        <w:t>) (</w:t>
      </w:r>
      <w:r>
        <w:t>Конвенция</w:t>
      </w:r>
      <w:r>
        <w:rPr>
          <w:lang w:val="en-GB"/>
        </w:rPr>
        <w:t xml:space="preserve"> № 155 </w:t>
      </w:r>
      <w:r>
        <w:t>МОТ</w:t>
      </w:r>
      <w:r>
        <w:rPr>
          <w:lang w:val="en-GB"/>
        </w:rPr>
        <w:t>)</w:t>
      </w:r>
    </w:p>
    <w:p w:rsidR="00000000" w:rsidRDefault="00000000">
      <w:pPr>
        <w:tabs>
          <w:tab w:val="clear" w:pos="1701"/>
          <w:tab w:val="left" w:pos="1683"/>
        </w:tabs>
        <w:ind w:left="1683" w:hanging="1683"/>
        <w:rPr>
          <w:lang w:val="en-GB"/>
        </w:rPr>
      </w:pPr>
    </w:p>
    <w:p w:rsidR="00000000" w:rsidRDefault="00000000">
      <w:pPr>
        <w:tabs>
          <w:tab w:val="clear" w:pos="1701"/>
          <w:tab w:val="left" w:pos="1683"/>
        </w:tabs>
        <w:ind w:left="1683" w:hanging="1683"/>
        <w:rPr>
          <w:lang w:val="en-GB"/>
        </w:rPr>
      </w:pPr>
      <w:r>
        <w:t>Добавление</w:t>
      </w:r>
      <w:r>
        <w:rPr>
          <w:lang w:val="en-GB"/>
        </w:rPr>
        <w:t xml:space="preserve"> 5.</w:t>
      </w:r>
      <w:r>
        <w:rPr>
          <w:lang w:val="en-GB"/>
        </w:rPr>
        <w:tab/>
        <w:t>Report on the application of the Labour Inspection Convention, 1947 (ILO Convention No. 81) (</w:t>
      </w:r>
      <w:r>
        <w:t>Доклад</w:t>
      </w:r>
      <w:r>
        <w:rPr>
          <w:lang w:val="en-GB"/>
        </w:rPr>
        <w:t xml:space="preserve"> </w:t>
      </w:r>
      <w:r>
        <w:t>о</w:t>
      </w:r>
      <w:r>
        <w:rPr>
          <w:lang w:val="en-GB"/>
        </w:rPr>
        <w:t xml:space="preserve"> </w:t>
      </w:r>
      <w:r>
        <w:t>применении</w:t>
      </w:r>
      <w:r>
        <w:rPr>
          <w:lang w:val="en-GB"/>
        </w:rPr>
        <w:t xml:space="preserve"> </w:t>
      </w:r>
      <w:r>
        <w:t>Конвенции</w:t>
      </w:r>
      <w:r>
        <w:rPr>
          <w:lang w:val="en-GB"/>
        </w:rPr>
        <w:t xml:space="preserve"> </w:t>
      </w:r>
      <w:r>
        <w:t>об</w:t>
      </w:r>
      <w:r>
        <w:rPr>
          <w:lang w:val="en-GB"/>
        </w:rPr>
        <w:t xml:space="preserve"> </w:t>
      </w:r>
      <w:r>
        <w:t>инспекции</w:t>
      </w:r>
      <w:r>
        <w:rPr>
          <w:lang w:val="en-GB"/>
        </w:rPr>
        <w:t xml:space="preserve"> </w:t>
      </w:r>
      <w:r>
        <w:t>труда</w:t>
      </w:r>
      <w:r>
        <w:rPr>
          <w:lang w:val="en-GB"/>
        </w:rPr>
        <w:t xml:space="preserve">, 1947 </w:t>
      </w:r>
      <w:r>
        <w:t>год</w:t>
      </w:r>
      <w:r>
        <w:rPr>
          <w:lang w:val="en-GB"/>
        </w:rPr>
        <w:t>) (</w:t>
      </w:r>
      <w:r>
        <w:t>Конвенция</w:t>
      </w:r>
      <w:r>
        <w:rPr>
          <w:lang w:val="en-GB"/>
        </w:rPr>
        <w:t xml:space="preserve"> № 81 </w:t>
      </w:r>
      <w:r>
        <w:t>МОТ</w:t>
      </w:r>
      <w:r>
        <w:rPr>
          <w:lang w:val="en-GB"/>
        </w:rPr>
        <w:t>)</w:t>
      </w:r>
    </w:p>
    <w:p w:rsidR="00000000" w:rsidRDefault="00000000">
      <w:pPr>
        <w:tabs>
          <w:tab w:val="clear" w:pos="1701"/>
          <w:tab w:val="left" w:pos="1683"/>
        </w:tabs>
        <w:ind w:left="1683" w:hanging="1683"/>
        <w:rPr>
          <w:lang w:val="en-GB"/>
        </w:rPr>
      </w:pPr>
    </w:p>
    <w:p w:rsidR="00000000" w:rsidRDefault="00000000">
      <w:pPr>
        <w:tabs>
          <w:tab w:val="clear" w:pos="1701"/>
          <w:tab w:val="left" w:pos="1683"/>
        </w:tabs>
        <w:ind w:left="1683" w:hanging="1683"/>
        <w:rPr>
          <w:lang w:val="en-GB"/>
        </w:rPr>
      </w:pPr>
      <w:r>
        <w:t>Добавление</w:t>
      </w:r>
      <w:r>
        <w:rPr>
          <w:lang w:val="en-GB"/>
        </w:rPr>
        <w:t xml:space="preserve"> 6.</w:t>
      </w:r>
      <w:r>
        <w:rPr>
          <w:lang w:val="en-GB"/>
        </w:rPr>
        <w:tab/>
        <w:t>“A short survey of social security in the Netherlands” ("</w:t>
      </w:r>
      <w:r>
        <w:t>Краткий</w:t>
      </w:r>
      <w:r>
        <w:rPr>
          <w:lang w:val="en-GB"/>
        </w:rPr>
        <w:t xml:space="preserve"> </w:t>
      </w:r>
      <w:r>
        <w:t>обзор</w:t>
      </w:r>
      <w:r>
        <w:rPr>
          <w:lang w:val="en-GB"/>
        </w:rPr>
        <w:t xml:space="preserve"> </w:t>
      </w:r>
      <w:r>
        <w:t>системы</w:t>
      </w:r>
      <w:r>
        <w:rPr>
          <w:lang w:val="en-GB"/>
        </w:rPr>
        <w:t xml:space="preserve"> </w:t>
      </w:r>
      <w:r>
        <w:t>социального</w:t>
      </w:r>
      <w:r>
        <w:rPr>
          <w:lang w:val="en-GB"/>
        </w:rPr>
        <w:t xml:space="preserve"> </w:t>
      </w:r>
      <w:r>
        <w:t>обеспечения</w:t>
      </w:r>
      <w:r>
        <w:rPr>
          <w:lang w:val="en-GB"/>
        </w:rPr>
        <w:t xml:space="preserve"> </w:t>
      </w:r>
      <w:r>
        <w:t>в</w:t>
      </w:r>
      <w:r>
        <w:rPr>
          <w:lang w:val="en-GB"/>
        </w:rPr>
        <w:t xml:space="preserve"> </w:t>
      </w:r>
      <w:r>
        <w:t>Нидерландах</w:t>
      </w:r>
      <w:r>
        <w:rPr>
          <w:lang w:val="en-GB"/>
        </w:rPr>
        <w:t>")</w:t>
      </w:r>
    </w:p>
    <w:p w:rsidR="00000000" w:rsidRDefault="00000000">
      <w:pPr>
        <w:tabs>
          <w:tab w:val="clear" w:pos="1701"/>
          <w:tab w:val="left" w:pos="1683"/>
        </w:tabs>
        <w:ind w:left="1683" w:hanging="1683"/>
        <w:rPr>
          <w:lang w:val="en-GB"/>
        </w:rPr>
      </w:pPr>
    </w:p>
    <w:p w:rsidR="00000000" w:rsidRDefault="00000000">
      <w:pPr>
        <w:tabs>
          <w:tab w:val="clear" w:pos="1701"/>
          <w:tab w:val="left" w:pos="1683"/>
        </w:tabs>
        <w:ind w:left="1683" w:hanging="1683"/>
      </w:pPr>
      <w:r>
        <w:t>Добавление 7.</w:t>
      </w:r>
      <w:r>
        <w:tab/>
        <w:t>“</w:t>
      </w:r>
      <w:r>
        <w:rPr>
          <w:lang w:val="en-GB"/>
        </w:rPr>
        <w:t>The</w:t>
      </w:r>
      <w:r>
        <w:t xml:space="preserve"> </w:t>
      </w:r>
      <w:r>
        <w:rPr>
          <w:lang w:val="en-GB"/>
        </w:rPr>
        <w:t>old</w:t>
      </w:r>
      <w:r>
        <w:t xml:space="preserve"> </w:t>
      </w:r>
      <w:r>
        <w:rPr>
          <w:lang w:val="en-GB"/>
        </w:rPr>
        <w:t>age</w:t>
      </w:r>
      <w:r>
        <w:t xml:space="preserve"> </w:t>
      </w:r>
      <w:r>
        <w:rPr>
          <w:lang w:val="en-GB"/>
        </w:rPr>
        <w:t>pension</w:t>
      </w:r>
      <w:r>
        <w:t xml:space="preserve"> </w:t>
      </w:r>
      <w:r>
        <w:rPr>
          <w:lang w:val="en-GB"/>
        </w:rPr>
        <w:t>system</w:t>
      </w:r>
      <w:r>
        <w:t xml:space="preserve"> </w:t>
      </w:r>
      <w:r>
        <w:rPr>
          <w:lang w:val="en-GB"/>
        </w:rPr>
        <w:t>in</w:t>
      </w:r>
      <w:r>
        <w:t xml:space="preserve"> </w:t>
      </w:r>
      <w:r>
        <w:rPr>
          <w:lang w:val="en-GB"/>
        </w:rPr>
        <w:t>the</w:t>
      </w:r>
      <w:r>
        <w:t xml:space="preserve"> </w:t>
      </w:r>
      <w:r>
        <w:rPr>
          <w:lang w:val="en-GB"/>
        </w:rPr>
        <w:t>Netherlands</w:t>
      </w:r>
      <w:r>
        <w:t>” ("Система пенсионного обеспечения по старости в Нидерландах")</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rPr>
          <w:lang w:val="en-GB"/>
        </w:rPr>
      </w:pPr>
      <w:r>
        <w:t>Добавление</w:t>
      </w:r>
      <w:r>
        <w:rPr>
          <w:lang w:val="en-GB"/>
        </w:rPr>
        <w:t xml:space="preserve"> 8.</w:t>
      </w:r>
      <w:r>
        <w:rPr>
          <w:lang w:val="en-GB"/>
        </w:rPr>
        <w:tab/>
        <w:t>“Regelingen rond reïntegratie” (Reintegration schemes) (</w:t>
      </w:r>
      <w:r>
        <w:t>Схемы</w:t>
      </w:r>
      <w:r>
        <w:rPr>
          <w:lang w:val="en-GB"/>
        </w:rPr>
        <w:t xml:space="preserve"> </w:t>
      </w:r>
      <w:r>
        <w:t>реинтеграции</w:t>
      </w:r>
      <w:r>
        <w:rPr>
          <w:lang w:val="en-GB"/>
        </w:rPr>
        <w:t>)</w:t>
      </w:r>
    </w:p>
    <w:p w:rsidR="00000000" w:rsidRDefault="00000000">
      <w:pPr>
        <w:tabs>
          <w:tab w:val="clear" w:pos="1701"/>
          <w:tab w:val="left" w:pos="1683"/>
        </w:tabs>
        <w:ind w:left="1683" w:hanging="1683"/>
        <w:rPr>
          <w:lang w:val="en-GB"/>
        </w:rPr>
      </w:pPr>
    </w:p>
    <w:p w:rsidR="00000000" w:rsidRDefault="00000000">
      <w:pPr>
        <w:tabs>
          <w:tab w:val="clear" w:pos="1701"/>
          <w:tab w:val="left" w:pos="1683"/>
        </w:tabs>
        <w:ind w:left="1683" w:hanging="1683"/>
        <w:rPr>
          <w:lang w:val="en-GB"/>
        </w:rPr>
      </w:pPr>
      <w:r>
        <w:t>Добавление</w:t>
      </w:r>
      <w:r>
        <w:rPr>
          <w:lang w:val="en-GB"/>
        </w:rPr>
        <w:t xml:space="preserve"> 9.</w:t>
      </w:r>
      <w:r>
        <w:rPr>
          <w:lang w:val="en-GB"/>
        </w:rPr>
        <w:tab/>
        <w:t>“Aliens and Verification of Residence Entitlement in the Allocation of Provisions” ("</w:t>
      </w:r>
      <w:r>
        <w:t>Иностранцы</w:t>
      </w:r>
      <w:r>
        <w:rPr>
          <w:lang w:val="en-GB"/>
        </w:rPr>
        <w:t xml:space="preserve"> </w:t>
      </w:r>
      <w:r>
        <w:t>и</w:t>
      </w:r>
      <w:r>
        <w:rPr>
          <w:lang w:val="en-GB"/>
        </w:rPr>
        <w:t xml:space="preserve"> </w:t>
      </w:r>
      <w:r>
        <w:t>удостоверение</w:t>
      </w:r>
      <w:r>
        <w:rPr>
          <w:lang w:val="en-GB"/>
        </w:rPr>
        <w:t xml:space="preserve"> </w:t>
      </w:r>
      <w:r>
        <w:t>права</w:t>
      </w:r>
      <w:r>
        <w:rPr>
          <w:lang w:val="en-GB"/>
        </w:rPr>
        <w:t xml:space="preserve"> </w:t>
      </w:r>
      <w:r>
        <w:t>на</w:t>
      </w:r>
      <w:r>
        <w:rPr>
          <w:lang w:val="en-GB"/>
        </w:rPr>
        <w:t xml:space="preserve"> </w:t>
      </w:r>
      <w:r>
        <w:t>проживание</w:t>
      </w:r>
      <w:r>
        <w:rPr>
          <w:lang w:val="en-GB"/>
        </w:rPr>
        <w:t xml:space="preserve"> </w:t>
      </w:r>
      <w:r>
        <w:t>при</w:t>
      </w:r>
      <w:r>
        <w:rPr>
          <w:lang w:val="en-GB"/>
        </w:rPr>
        <w:t xml:space="preserve"> </w:t>
      </w:r>
      <w:r>
        <w:t>выделении</w:t>
      </w:r>
      <w:r>
        <w:rPr>
          <w:lang w:val="en-GB"/>
        </w:rPr>
        <w:t xml:space="preserve"> </w:t>
      </w:r>
      <w:r>
        <w:t>субсидий</w:t>
      </w:r>
      <w:r>
        <w:rPr>
          <w:lang w:val="en-GB"/>
        </w:rPr>
        <w:t>")</w:t>
      </w:r>
    </w:p>
    <w:p w:rsidR="00000000" w:rsidRDefault="00000000">
      <w:pPr>
        <w:tabs>
          <w:tab w:val="clear" w:pos="1701"/>
          <w:tab w:val="left" w:pos="1683"/>
        </w:tabs>
        <w:ind w:left="1683" w:hanging="1683"/>
        <w:rPr>
          <w:lang w:val="en-GB"/>
        </w:rPr>
      </w:pPr>
    </w:p>
    <w:p w:rsidR="00000000" w:rsidRDefault="00000000">
      <w:pPr>
        <w:tabs>
          <w:tab w:val="clear" w:pos="1701"/>
          <w:tab w:val="left" w:pos="1683"/>
        </w:tabs>
      </w:pPr>
      <w:r>
        <w:t>Добавление 10.</w:t>
      </w:r>
      <w:r>
        <w:tab/>
        <w:t>“</w:t>
      </w:r>
      <w:r>
        <w:rPr>
          <w:lang w:val="en-GB"/>
        </w:rPr>
        <w:t>Young</w:t>
      </w:r>
      <w:r>
        <w:t xml:space="preserve"> </w:t>
      </w:r>
      <w:r>
        <w:rPr>
          <w:lang w:val="en-GB"/>
        </w:rPr>
        <w:t>people</w:t>
      </w:r>
      <w:r>
        <w:t xml:space="preserve"> </w:t>
      </w:r>
      <w:r>
        <w:rPr>
          <w:lang w:val="en-GB"/>
        </w:rPr>
        <w:t>in</w:t>
      </w:r>
      <w:r>
        <w:t xml:space="preserve"> </w:t>
      </w:r>
      <w:r>
        <w:rPr>
          <w:lang w:val="en-GB"/>
        </w:rPr>
        <w:t>the</w:t>
      </w:r>
      <w:r>
        <w:t xml:space="preserve"> </w:t>
      </w:r>
      <w:r>
        <w:rPr>
          <w:lang w:val="en-GB"/>
        </w:rPr>
        <w:t>labour</w:t>
      </w:r>
      <w:r>
        <w:t xml:space="preserve"> </w:t>
      </w:r>
      <w:r>
        <w:rPr>
          <w:lang w:val="en-GB"/>
        </w:rPr>
        <w:t>market</w:t>
      </w:r>
      <w:r>
        <w:t>” ("Молодые люди на рынке труда")</w:t>
      </w:r>
    </w:p>
    <w:p w:rsidR="00000000" w:rsidRDefault="00000000">
      <w:pPr>
        <w:tabs>
          <w:tab w:val="clear" w:pos="1701"/>
          <w:tab w:val="left" w:pos="1683"/>
        </w:tabs>
      </w:pPr>
    </w:p>
    <w:p w:rsidR="00000000" w:rsidRDefault="00000000">
      <w:pPr>
        <w:tabs>
          <w:tab w:val="clear" w:pos="1701"/>
          <w:tab w:val="left" w:pos="1683"/>
        </w:tabs>
        <w:autoSpaceDE w:val="0"/>
        <w:autoSpaceDN w:val="0"/>
        <w:adjustRightInd w:val="0"/>
        <w:ind w:left="1683" w:hanging="1683"/>
      </w:pPr>
      <w:r>
        <w:t>Добавление 11.</w:t>
      </w:r>
      <w:r>
        <w:tab/>
      </w:r>
      <w:r>
        <w:rPr>
          <w:lang w:val="en-GB"/>
        </w:rPr>
        <w:t>Council</w:t>
      </w:r>
      <w:r>
        <w:t xml:space="preserve"> </w:t>
      </w:r>
      <w:r>
        <w:rPr>
          <w:lang w:val="en-GB"/>
        </w:rPr>
        <w:t>Directive</w:t>
      </w:r>
      <w:r>
        <w:t xml:space="preserve"> 98/24/</w:t>
      </w:r>
      <w:r>
        <w:rPr>
          <w:lang w:val="en-GB"/>
        </w:rPr>
        <w:t>EC</w:t>
      </w:r>
      <w:r>
        <w:t xml:space="preserve">, </w:t>
      </w:r>
      <w:r>
        <w:rPr>
          <w:lang w:val="en-GB"/>
        </w:rPr>
        <w:t>on</w:t>
      </w:r>
      <w:r>
        <w:t xml:space="preserve"> </w:t>
      </w:r>
      <w:r>
        <w:rPr>
          <w:lang w:val="en-GB"/>
        </w:rPr>
        <w:t>the</w:t>
      </w:r>
      <w:r>
        <w:t xml:space="preserve"> </w:t>
      </w:r>
      <w:r>
        <w:rPr>
          <w:lang w:val="en-GB"/>
        </w:rPr>
        <w:t>protection</w:t>
      </w:r>
      <w:r>
        <w:t xml:space="preserve"> </w:t>
      </w:r>
      <w:r>
        <w:rPr>
          <w:lang w:val="en-GB"/>
        </w:rPr>
        <w:t>of</w:t>
      </w:r>
      <w:r>
        <w:t xml:space="preserve"> </w:t>
      </w:r>
      <w:r>
        <w:rPr>
          <w:lang w:val="en-GB"/>
        </w:rPr>
        <w:t>the</w:t>
      </w:r>
      <w:r>
        <w:t xml:space="preserve"> </w:t>
      </w:r>
      <w:r>
        <w:rPr>
          <w:lang w:val="en-GB"/>
        </w:rPr>
        <w:t>health</w:t>
      </w:r>
      <w:r>
        <w:t xml:space="preserve"> </w:t>
      </w:r>
      <w:r>
        <w:rPr>
          <w:lang w:val="en-GB"/>
        </w:rPr>
        <w:t>and</w:t>
      </w:r>
      <w:r>
        <w:t xml:space="preserve"> </w:t>
      </w:r>
      <w:r>
        <w:rPr>
          <w:lang w:val="en-GB"/>
        </w:rPr>
        <w:t>safety</w:t>
      </w:r>
      <w:r>
        <w:t xml:space="preserve"> </w:t>
      </w:r>
      <w:r>
        <w:rPr>
          <w:lang w:val="en-GB"/>
        </w:rPr>
        <w:t>of</w:t>
      </w:r>
      <w:r>
        <w:t xml:space="preserve"> </w:t>
      </w:r>
      <w:r>
        <w:rPr>
          <w:lang w:val="en-GB"/>
        </w:rPr>
        <w:t>workers</w:t>
      </w:r>
      <w:r>
        <w:t xml:space="preserve"> </w:t>
      </w:r>
      <w:r>
        <w:rPr>
          <w:lang w:val="en-GB"/>
        </w:rPr>
        <w:t>from</w:t>
      </w:r>
      <w:r>
        <w:t xml:space="preserve"> </w:t>
      </w:r>
      <w:r>
        <w:rPr>
          <w:lang w:val="en-GB"/>
        </w:rPr>
        <w:t>the</w:t>
      </w:r>
      <w:r>
        <w:t xml:space="preserve"> </w:t>
      </w:r>
      <w:r>
        <w:rPr>
          <w:lang w:val="en-GB"/>
        </w:rPr>
        <w:t>risks</w:t>
      </w:r>
      <w:r>
        <w:t xml:space="preserve"> </w:t>
      </w:r>
      <w:r>
        <w:rPr>
          <w:lang w:val="en-GB"/>
        </w:rPr>
        <w:t>related</w:t>
      </w:r>
      <w:r>
        <w:t xml:space="preserve"> </w:t>
      </w:r>
      <w:r>
        <w:rPr>
          <w:lang w:val="en-GB"/>
        </w:rPr>
        <w:t>to</w:t>
      </w:r>
      <w:r>
        <w:t xml:space="preserve"> </w:t>
      </w:r>
      <w:r>
        <w:rPr>
          <w:lang w:val="en-GB"/>
        </w:rPr>
        <w:t>chemical</w:t>
      </w:r>
      <w:r>
        <w:t xml:space="preserve"> </w:t>
      </w:r>
      <w:r>
        <w:rPr>
          <w:lang w:val="en-GB"/>
        </w:rPr>
        <w:t>agents</w:t>
      </w:r>
      <w:r>
        <w:t xml:space="preserve"> </w:t>
      </w:r>
      <w:r>
        <w:rPr>
          <w:lang w:val="en-GB"/>
        </w:rPr>
        <w:t>at</w:t>
      </w:r>
      <w:r>
        <w:t xml:space="preserve"> </w:t>
      </w:r>
      <w:r>
        <w:rPr>
          <w:lang w:val="en-GB"/>
        </w:rPr>
        <w:t>work</w:t>
      </w:r>
      <w:r>
        <w:t xml:space="preserve"> (Директива 98/24/ЕС Совета об охране здоровья и безопасности трудящихся от рисков, связанных с воздействием химических препаратов на рабочем месте)</w:t>
      </w:r>
    </w:p>
    <w:p w:rsidR="00000000" w:rsidRDefault="00000000">
      <w:pPr>
        <w:tabs>
          <w:tab w:val="clear" w:pos="1701"/>
          <w:tab w:val="left" w:pos="1683"/>
        </w:tabs>
        <w:autoSpaceDE w:val="0"/>
        <w:autoSpaceDN w:val="0"/>
        <w:adjustRightInd w:val="0"/>
        <w:ind w:left="1683" w:hanging="1683"/>
      </w:pPr>
    </w:p>
    <w:p w:rsidR="00000000" w:rsidRDefault="00000000">
      <w:pPr>
        <w:tabs>
          <w:tab w:val="clear" w:pos="1701"/>
          <w:tab w:val="left" w:pos="1683"/>
        </w:tabs>
        <w:ind w:left="1683" w:hanging="1683"/>
      </w:pPr>
      <w:r>
        <w:t>Добавление 12.</w:t>
      </w:r>
      <w:r>
        <w:tab/>
      </w:r>
      <w:r>
        <w:rPr>
          <w:lang w:val="en-GB"/>
        </w:rPr>
        <w:t>Euratom</w:t>
      </w:r>
      <w:r>
        <w:t xml:space="preserve"> </w:t>
      </w:r>
      <w:r>
        <w:rPr>
          <w:lang w:val="en-GB"/>
        </w:rPr>
        <w:t>Directive</w:t>
      </w:r>
      <w:r>
        <w:t xml:space="preserve"> 96/29/</w:t>
      </w:r>
      <w:r>
        <w:rPr>
          <w:lang w:val="en-GB"/>
        </w:rPr>
        <w:t>EC</w:t>
      </w:r>
      <w:r>
        <w:t xml:space="preserve"> </w:t>
      </w:r>
      <w:r>
        <w:rPr>
          <w:lang w:val="en-GB"/>
        </w:rPr>
        <w:t>on</w:t>
      </w:r>
      <w:r>
        <w:t xml:space="preserve"> </w:t>
      </w:r>
      <w:r>
        <w:rPr>
          <w:lang w:val="en-GB"/>
        </w:rPr>
        <w:t>measures</w:t>
      </w:r>
      <w:r>
        <w:t xml:space="preserve"> </w:t>
      </w:r>
      <w:r>
        <w:rPr>
          <w:lang w:val="en-GB"/>
        </w:rPr>
        <w:t>to</w:t>
      </w:r>
      <w:r>
        <w:t xml:space="preserve"> </w:t>
      </w:r>
      <w:r>
        <w:rPr>
          <w:lang w:val="en-GB"/>
        </w:rPr>
        <w:t>protect</w:t>
      </w:r>
      <w:r>
        <w:t xml:space="preserve"> </w:t>
      </w:r>
      <w:r>
        <w:rPr>
          <w:lang w:val="en-GB"/>
        </w:rPr>
        <w:t>workers</w:t>
      </w:r>
      <w:r>
        <w:t xml:space="preserve"> </w:t>
      </w:r>
      <w:r>
        <w:rPr>
          <w:lang w:val="en-GB"/>
        </w:rPr>
        <w:t>against</w:t>
      </w:r>
      <w:r>
        <w:t xml:space="preserve"> </w:t>
      </w:r>
      <w:r>
        <w:rPr>
          <w:lang w:val="en-GB"/>
        </w:rPr>
        <w:t>ionising</w:t>
      </w:r>
      <w:r>
        <w:t xml:space="preserve"> </w:t>
      </w:r>
      <w:r>
        <w:rPr>
          <w:lang w:val="en-GB"/>
        </w:rPr>
        <w:t>radiation</w:t>
      </w:r>
      <w:r>
        <w:t xml:space="preserve"> (Директива 96/29/ЕС Евроатома о мерах по защите трудящихся от ионизирующей радиации).</w:t>
      </w:r>
    </w:p>
    <w:p w:rsidR="00000000" w:rsidRDefault="00000000">
      <w:pPr>
        <w:tabs>
          <w:tab w:val="clear" w:pos="1701"/>
          <w:tab w:val="left" w:pos="1683"/>
        </w:tabs>
        <w:ind w:left="1683" w:hanging="1683"/>
      </w:pPr>
    </w:p>
    <w:p w:rsidR="00000000" w:rsidRDefault="00000000">
      <w:pPr>
        <w:tabs>
          <w:tab w:val="clear" w:pos="1701"/>
          <w:tab w:val="left" w:pos="1683"/>
        </w:tabs>
        <w:ind w:left="1683" w:hanging="1683"/>
        <w:jc w:val="center"/>
      </w:pPr>
      <w:r>
        <w:t>------</w:t>
      </w:r>
    </w:p>
    <w:p w:rsidR="00000000" w:rsidRDefault="00000000"/>
    <w:sectPr w:rsidR="00000000">
      <w:headerReference w:type="even" r:id="rId27"/>
      <w:headerReference w:type="default" r:id="rId28"/>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CW Swift">
    <w:altName w:val="Courier New"/>
    <w:charset w:val="00"/>
    <w:family w:val="auto"/>
    <w:pitch w:val="variable"/>
    <w:sig w:usb0="800000A7"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OCWTalent">
    <w:altName w:val="Arial"/>
    <w:charset w:val="00"/>
    <w:family w:val="swiss"/>
    <w:pitch w:val="variable"/>
    <w:sig w:usb0="80000027"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E/1994/104/Add.30</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E/1994/104/Add.30</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237</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882F02E"/>
    <w:lvl w:ilvl="0">
      <w:start w:val="1"/>
      <w:numFmt w:val="decimal"/>
      <w:lvlText w:val="%1."/>
      <w:lvlJc w:val="left"/>
      <w:pPr>
        <w:tabs>
          <w:tab w:val="num" w:pos="360"/>
        </w:tabs>
        <w:ind w:left="360" w:hanging="360"/>
      </w:pPr>
    </w:lvl>
  </w:abstractNum>
  <w:abstractNum w:abstractNumId="9">
    <w:nsid w:val="FFFFFF89"/>
    <w:multiLevelType w:val="singleLevel"/>
    <w:tmpl w:val="B518D86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2FFEAAB0"/>
    <w:lvl w:ilvl="0">
      <w:numFmt w:val="bullet"/>
      <w:lvlText w:val="*"/>
      <w:lvlJc w:val="left"/>
    </w:lvl>
  </w:abstractNum>
  <w:abstractNum w:abstractNumId="11">
    <w:nsid w:val="002D5EAB"/>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2">
    <w:nsid w:val="007256B8"/>
    <w:multiLevelType w:val="multilevel"/>
    <w:tmpl w:val="49EC3F0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
    <w:nsid w:val="01500B57"/>
    <w:multiLevelType w:val="hybridMultilevel"/>
    <w:tmpl w:val="36D021B2"/>
    <w:lvl w:ilvl="0" w:tplc="77F6B0BE">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18F66A4"/>
    <w:multiLevelType w:val="multilevel"/>
    <w:tmpl w:val="B9F44618"/>
    <w:lvl w:ilvl="0">
      <w:start w:val="1"/>
      <w:numFmt w:val="decimal"/>
      <w:lvlText w:val="%1"/>
      <w:lvlJc w:val="left"/>
      <w:pPr>
        <w:tabs>
          <w:tab w:val="num" w:pos="1410"/>
        </w:tabs>
        <w:ind w:left="1410" w:hanging="1410"/>
      </w:pPr>
      <w:rPr>
        <w:rFonts w:hint="default"/>
      </w:rPr>
    </w:lvl>
    <w:lvl w:ilvl="1">
      <w:start w:val="3"/>
      <w:numFmt w:val="decimal"/>
      <w:lvlText w:val="%1.%2"/>
      <w:lvlJc w:val="left"/>
      <w:pPr>
        <w:tabs>
          <w:tab w:val="num" w:pos="1410"/>
        </w:tabs>
        <w:ind w:left="1410" w:hanging="1410"/>
      </w:pPr>
      <w:rPr>
        <w:rFonts w:hint="default"/>
      </w:rPr>
    </w:lvl>
    <w:lvl w:ilvl="2">
      <w:start w:val="1"/>
      <w:numFmt w:val="lowerLetter"/>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7E5711"/>
    <w:multiLevelType w:val="multilevel"/>
    <w:tmpl w:val="09405E08"/>
    <w:lvl w:ilvl="0">
      <w:start w:val="2"/>
      <w:numFmt w:val="decimal"/>
      <w:lvlText w:val="%1."/>
      <w:lvlJc w:val="left"/>
      <w:pPr>
        <w:tabs>
          <w:tab w:val="num" w:pos="1410"/>
        </w:tabs>
        <w:ind w:left="1410" w:hanging="1410"/>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17">
    <w:nsid w:val="02856276"/>
    <w:multiLevelType w:val="hybridMultilevel"/>
    <w:tmpl w:val="36D021B2"/>
    <w:lvl w:ilvl="0" w:tplc="B5E20F1E">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028A1E6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19">
    <w:nsid w:val="04C53A39"/>
    <w:multiLevelType w:val="hybridMultilevel"/>
    <w:tmpl w:val="B1FC86C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52A436A"/>
    <w:multiLevelType w:val="singleLevel"/>
    <w:tmpl w:val="0809000F"/>
    <w:lvl w:ilvl="0">
      <w:start w:val="1"/>
      <w:numFmt w:val="decimal"/>
      <w:lvlText w:val="%1."/>
      <w:lvlJc w:val="left"/>
      <w:pPr>
        <w:tabs>
          <w:tab w:val="num" w:pos="360"/>
        </w:tabs>
        <w:ind w:left="360" w:hanging="360"/>
      </w:pPr>
    </w:lvl>
  </w:abstractNum>
  <w:abstractNum w:abstractNumId="21">
    <w:nsid w:val="05885C1F"/>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2">
    <w:nsid w:val="061165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06354E99"/>
    <w:multiLevelType w:val="hybridMultilevel"/>
    <w:tmpl w:val="F89AF08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63E2BD1"/>
    <w:multiLevelType w:val="hybridMultilevel"/>
    <w:tmpl w:val="568EF942"/>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064700C8"/>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066C0FEE"/>
    <w:multiLevelType w:val="hybridMultilevel"/>
    <w:tmpl w:val="A43638EA"/>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7">
    <w:nsid w:val="08B70267"/>
    <w:multiLevelType w:val="singleLevel"/>
    <w:tmpl w:val="BB38DBC8"/>
    <w:lvl w:ilvl="0">
      <w:start w:val="2"/>
      <w:numFmt w:val="lowerLetter"/>
      <w:lvlText w:val="(%1)"/>
      <w:lvlJc w:val="left"/>
      <w:pPr>
        <w:tabs>
          <w:tab w:val="num" w:pos="2835"/>
        </w:tabs>
        <w:ind w:left="2835" w:hanging="705"/>
      </w:pPr>
      <w:rPr>
        <w:rFonts w:hint="default"/>
      </w:rPr>
    </w:lvl>
  </w:abstractNum>
  <w:abstractNum w:abstractNumId="28">
    <w:nsid w:val="08CE72D2"/>
    <w:multiLevelType w:val="singleLevel"/>
    <w:tmpl w:val="0409000F"/>
    <w:lvl w:ilvl="0">
      <w:start w:val="1"/>
      <w:numFmt w:val="decimal"/>
      <w:lvlText w:val="%1."/>
      <w:lvlJc w:val="left"/>
      <w:pPr>
        <w:tabs>
          <w:tab w:val="num" w:pos="360"/>
        </w:tabs>
        <w:ind w:left="360" w:hanging="360"/>
      </w:pPr>
    </w:lvl>
  </w:abstractNum>
  <w:abstractNum w:abstractNumId="29">
    <w:nsid w:val="09650727"/>
    <w:multiLevelType w:val="multilevel"/>
    <w:tmpl w:val="17D47A66"/>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09FF3B70"/>
    <w:multiLevelType w:val="multilevel"/>
    <w:tmpl w:val="090437D2"/>
    <w:lvl w:ilvl="0">
      <w:start w:val="2"/>
      <w:numFmt w:val="decimal"/>
      <w:lvlText w:val="%1"/>
      <w:lvlJc w:val="left"/>
      <w:pPr>
        <w:tabs>
          <w:tab w:val="num" w:pos="1410"/>
        </w:tabs>
        <w:ind w:left="1410" w:hanging="1410"/>
      </w:pPr>
      <w:rPr>
        <w:rFonts w:hint="default"/>
      </w:rPr>
    </w:lvl>
    <w:lvl w:ilvl="1">
      <w:start w:val="7"/>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0A5763D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2">
    <w:nsid w:val="0A7D0F14"/>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0ABA43F6"/>
    <w:multiLevelType w:val="hybridMultilevel"/>
    <w:tmpl w:val="0ECADBF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AC26C62"/>
    <w:multiLevelType w:val="singleLevel"/>
    <w:tmpl w:val="561E0F3E"/>
    <w:lvl w:ilvl="0">
      <w:start w:val="1"/>
      <w:numFmt w:val="decimal"/>
      <w:lvlText w:val="%1."/>
      <w:lvlJc w:val="left"/>
      <w:pPr>
        <w:tabs>
          <w:tab w:val="num" w:pos="720"/>
        </w:tabs>
        <w:ind w:left="720" w:hanging="720"/>
      </w:p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704467"/>
    <w:multiLevelType w:val="multilevel"/>
    <w:tmpl w:val="E86279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0D2B5EEF"/>
    <w:multiLevelType w:val="hybridMultilevel"/>
    <w:tmpl w:val="908819A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D92446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39">
    <w:nsid w:val="0DF1006B"/>
    <w:multiLevelType w:val="multilevel"/>
    <w:tmpl w:val="60146B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0E7558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0F4B604E"/>
    <w:multiLevelType w:val="singleLevel"/>
    <w:tmpl w:val="B4801D1C"/>
    <w:lvl w:ilvl="0">
      <w:start w:val="1"/>
      <w:numFmt w:val="lowerLetter"/>
      <w:lvlText w:val="%1."/>
      <w:lvlJc w:val="left"/>
      <w:pPr>
        <w:tabs>
          <w:tab w:val="num" w:pos="360"/>
        </w:tabs>
        <w:ind w:left="360" w:hanging="360"/>
      </w:pPr>
      <w:rPr>
        <w:rFonts w:hint="default"/>
      </w:rPr>
    </w:lvl>
  </w:abstractNum>
  <w:abstractNum w:abstractNumId="42">
    <w:nsid w:val="10F244BA"/>
    <w:multiLevelType w:val="singleLevel"/>
    <w:tmpl w:val="ADD66644"/>
    <w:lvl w:ilvl="0">
      <w:start w:val="1"/>
      <w:numFmt w:val="decimal"/>
      <w:lvlText w:val="(%1)"/>
      <w:lvlJc w:val="left"/>
      <w:pPr>
        <w:tabs>
          <w:tab w:val="num" w:pos="360"/>
        </w:tabs>
        <w:ind w:left="360" w:hanging="360"/>
      </w:pPr>
      <w:rPr>
        <w:rFonts w:hint="default"/>
      </w:rPr>
    </w:lvl>
  </w:abstractNum>
  <w:abstractNum w:abstractNumId="43">
    <w:nsid w:val="11232697"/>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44">
    <w:nsid w:val="11C44797"/>
    <w:multiLevelType w:val="hybridMultilevel"/>
    <w:tmpl w:val="78E2D5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12376DC7"/>
    <w:multiLevelType w:val="hybridMultilevel"/>
    <w:tmpl w:val="5B7C1D7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3473C18"/>
    <w:multiLevelType w:val="singleLevel"/>
    <w:tmpl w:val="65444BFA"/>
    <w:lvl w:ilvl="0">
      <w:start w:val="5"/>
      <w:numFmt w:val="decimal"/>
      <w:lvlText w:val="%1."/>
      <w:lvlJc w:val="left"/>
      <w:pPr>
        <w:tabs>
          <w:tab w:val="num" w:pos="2136"/>
        </w:tabs>
        <w:ind w:left="2136" w:hanging="720"/>
      </w:pPr>
      <w:rPr>
        <w:rFonts w:hint="default"/>
      </w:rPr>
    </w:lvl>
  </w:abstractNum>
  <w:abstractNum w:abstractNumId="47">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48">
    <w:nsid w:val="141529C0"/>
    <w:multiLevelType w:val="hybridMultilevel"/>
    <w:tmpl w:val="A5844BD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142A4E27"/>
    <w:multiLevelType w:val="hybridMultilevel"/>
    <w:tmpl w:val="E1AC3DB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14C045ED"/>
    <w:multiLevelType w:val="hybridMultilevel"/>
    <w:tmpl w:val="3540642A"/>
    <w:lvl w:ilvl="0" w:tplc="60BC89AA">
      <w:start w:val="1"/>
      <w:numFmt w:val="decimal"/>
      <w:lvlText w:val="%1."/>
      <w:lvlJc w:val="left"/>
      <w:pPr>
        <w:tabs>
          <w:tab w:val="num" w:pos="1134"/>
        </w:tabs>
        <w:ind w:left="1134"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15730AD6"/>
    <w:multiLevelType w:val="multilevel"/>
    <w:tmpl w:val="AB880B58"/>
    <w:lvl w:ilvl="0">
      <w:start w:val="2"/>
      <w:numFmt w:val="decimal"/>
      <w:lvlText w:val="%1"/>
      <w:lvlJc w:val="left"/>
      <w:pPr>
        <w:tabs>
          <w:tab w:val="num" w:pos="2130"/>
        </w:tabs>
        <w:ind w:left="2130" w:hanging="2130"/>
      </w:pPr>
      <w:rPr>
        <w:rFonts w:hint="default"/>
      </w:rPr>
    </w:lvl>
    <w:lvl w:ilvl="1">
      <w:start w:val="5"/>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52">
    <w:nsid w:val="15BC0E04"/>
    <w:multiLevelType w:val="multilevel"/>
    <w:tmpl w:val="CE24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5DF45ED"/>
    <w:multiLevelType w:val="multilevel"/>
    <w:tmpl w:val="F340A0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15F928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16167794"/>
    <w:multiLevelType w:val="hybridMultilevel"/>
    <w:tmpl w:val="C02CD0A6"/>
    <w:lvl w:ilvl="0" w:tplc="884A074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162C4C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170C549E"/>
    <w:multiLevelType w:val="singleLevel"/>
    <w:tmpl w:val="01325DD6"/>
    <w:lvl w:ilvl="0">
      <w:start w:val="1"/>
      <w:numFmt w:val="lowerLetter"/>
      <w:lvlText w:val="(%1)"/>
      <w:lvlJc w:val="left"/>
      <w:pPr>
        <w:tabs>
          <w:tab w:val="num" w:pos="720"/>
        </w:tabs>
        <w:ind w:left="720" w:hanging="720"/>
      </w:pPr>
    </w:lvl>
  </w:abstractNum>
  <w:abstractNum w:abstractNumId="58">
    <w:nsid w:val="17DB5D6F"/>
    <w:multiLevelType w:val="hybridMultilevel"/>
    <w:tmpl w:val="8A1855BE"/>
    <w:lvl w:ilvl="0" w:tplc="A870483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17DE4519"/>
    <w:multiLevelType w:val="multilevel"/>
    <w:tmpl w:val="C638E6F4"/>
    <w:lvl w:ilvl="0">
      <w:start w:val="1"/>
      <w:numFmt w:val="decimal"/>
      <w:lvlText w:val="%1. "/>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0">
    <w:nsid w:val="181B04EF"/>
    <w:multiLevelType w:val="hybridMultilevel"/>
    <w:tmpl w:val="C5946E1A"/>
    <w:lvl w:ilvl="0" w:tplc="B5E20F1E">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184E0DC0"/>
    <w:multiLevelType w:val="multilevel"/>
    <w:tmpl w:val="696CD418"/>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nsid w:val="18EE22C5"/>
    <w:multiLevelType w:val="singleLevel"/>
    <w:tmpl w:val="C7BC1932"/>
    <w:lvl w:ilvl="0">
      <w:start w:val="3"/>
      <w:numFmt w:val="bullet"/>
      <w:lvlText w:val="-"/>
      <w:lvlJc w:val="left"/>
      <w:pPr>
        <w:tabs>
          <w:tab w:val="num" w:pos="360"/>
        </w:tabs>
        <w:ind w:left="360" w:hanging="360"/>
      </w:pPr>
      <w:rPr>
        <w:rFonts w:hint="default"/>
      </w:rPr>
    </w:lvl>
  </w:abstractNum>
  <w:abstractNum w:abstractNumId="63">
    <w:nsid w:val="19BB5C52"/>
    <w:multiLevelType w:val="hybridMultilevel"/>
    <w:tmpl w:val="FE1C1BD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9D23CE4"/>
    <w:multiLevelType w:val="singleLevel"/>
    <w:tmpl w:val="7CF43918"/>
    <w:lvl w:ilvl="0">
      <w:numFmt w:val="bullet"/>
      <w:lvlText w:val="-"/>
      <w:lvlJc w:val="left"/>
      <w:pPr>
        <w:tabs>
          <w:tab w:val="num" w:pos="420"/>
        </w:tabs>
        <w:ind w:left="420" w:hanging="420"/>
      </w:pPr>
      <w:rPr>
        <w:rFonts w:hint="default"/>
      </w:rPr>
    </w:lvl>
  </w:abstractNum>
  <w:abstractNum w:abstractNumId="65">
    <w:nsid w:val="19DA7863"/>
    <w:multiLevelType w:val="hybridMultilevel"/>
    <w:tmpl w:val="7184347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AB014A0"/>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67">
    <w:nsid w:val="1B6221ED"/>
    <w:multiLevelType w:val="multilevel"/>
    <w:tmpl w:val="D51ABFA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1BC638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1C1D3605"/>
    <w:multiLevelType w:val="multilevel"/>
    <w:tmpl w:val="696CD418"/>
    <w:lvl w:ilvl="0">
      <w:start w:val="3"/>
      <w:numFmt w:val="decimal"/>
      <w:lvlText w:val="%1"/>
      <w:lvlJc w:val="left"/>
      <w:pPr>
        <w:tabs>
          <w:tab w:val="num" w:pos="360"/>
        </w:tabs>
        <w:ind w:left="360" w:hanging="360"/>
      </w:pPr>
      <w:rPr>
        <w:rFonts w:hint="default"/>
        <w:b w:val="0"/>
      </w:rPr>
    </w:lvl>
    <w:lvl w:ilvl="1">
      <w:start w:val="6"/>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70">
    <w:nsid w:val="1C7A37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nsid w:val="1CDF3B84"/>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2">
    <w:nsid w:val="1D2838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
    <w:nsid w:val="1D8B0AC0"/>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74">
    <w:nsid w:val="1EE73901"/>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5">
    <w:nsid w:val="1F27558C"/>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6">
    <w:nsid w:val="1F4725BE"/>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7">
    <w:nsid w:val="1F635FA3"/>
    <w:multiLevelType w:val="hybridMultilevel"/>
    <w:tmpl w:val="8D8A4C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2062110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79">
    <w:nsid w:val="220E2800"/>
    <w:multiLevelType w:val="hybridMultilevel"/>
    <w:tmpl w:val="A36018D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2233493B"/>
    <w:multiLevelType w:val="singleLevel"/>
    <w:tmpl w:val="5F688206"/>
    <w:lvl w:ilvl="0">
      <w:start w:val="5"/>
      <w:numFmt w:val="decimal"/>
      <w:lvlText w:val="%1."/>
      <w:lvlJc w:val="left"/>
      <w:pPr>
        <w:tabs>
          <w:tab w:val="num" w:pos="1776"/>
        </w:tabs>
        <w:ind w:left="1776" w:hanging="360"/>
      </w:pPr>
      <w:rPr>
        <w:rFonts w:hint="default"/>
      </w:rPr>
    </w:lvl>
  </w:abstractNum>
  <w:abstractNum w:abstractNumId="81">
    <w:nsid w:val="23731F18"/>
    <w:multiLevelType w:val="singleLevel"/>
    <w:tmpl w:val="BF8A8938"/>
    <w:lvl w:ilvl="0">
      <w:start w:val="13"/>
      <w:numFmt w:val="bullet"/>
      <w:lvlText w:val="-"/>
      <w:lvlJc w:val="left"/>
      <w:pPr>
        <w:tabs>
          <w:tab w:val="num" w:pos="360"/>
        </w:tabs>
        <w:ind w:left="360" w:hanging="360"/>
      </w:pPr>
      <w:rPr>
        <w:rFonts w:ascii="Times New Roman" w:hAnsi="Times New Roman" w:hint="default"/>
      </w:rPr>
    </w:lvl>
  </w:abstractNum>
  <w:abstractNum w:abstractNumId="82">
    <w:nsid w:val="23D008C9"/>
    <w:multiLevelType w:val="multilevel"/>
    <w:tmpl w:val="80FA73E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3D85398"/>
    <w:multiLevelType w:val="hybridMultilevel"/>
    <w:tmpl w:val="64D22C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23DF487D"/>
    <w:multiLevelType w:val="multilevel"/>
    <w:tmpl w:val="602ABEDE"/>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nsid w:val="24725C6F"/>
    <w:multiLevelType w:val="hybridMultilevel"/>
    <w:tmpl w:val="A552AB3E"/>
    <w:lvl w:ilvl="0" w:tplc="B5064506">
      <w:start w:val="1"/>
      <w:numFmt w:val="bullet"/>
      <w:lvlText w:val="-"/>
      <w:lvlJc w:val="left"/>
      <w:pPr>
        <w:tabs>
          <w:tab w:val="num" w:pos="2268"/>
        </w:tabs>
        <w:ind w:left="2268"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25892C0F"/>
    <w:multiLevelType w:val="multilevel"/>
    <w:tmpl w:val="272AF450"/>
    <w:lvl w:ilvl="0">
      <w:start w:val="1"/>
      <w:numFmt w:val="decimal"/>
      <w:lvlText w:val="%1."/>
      <w:lvlJc w:val="left"/>
      <w:pPr>
        <w:tabs>
          <w:tab w:val="num" w:pos="360"/>
        </w:tabs>
        <w:ind w:left="360" w:hanging="360"/>
      </w:pPr>
    </w:lvl>
    <w:lvl w:ilvl="1">
      <w:start w:val="10"/>
      <w:numFmt w:val="decimal"/>
      <w:isLgl/>
      <w:lvlText w:val="%1.%2"/>
      <w:lvlJc w:val="left"/>
      <w:pPr>
        <w:tabs>
          <w:tab w:val="num" w:pos="660"/>
        </w:tabs>
        <w:ind w:left="660" w:hanging="6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7">
    <w:nsid w:val="25F27D00"/>
    <w:multiLevelType w:val="multilevel"/>
    <w:tmpl w:val="C400D32A"/>
    <w:lvl w:ilvl="0">
      <w:start w:val="1"/>
      <w:numFmt w:val="upperRoman"/>
      <w:lvlText w:val="%1."/>
      <w:lvlJc w:val="left"/>
      <w:pPr>
        <w:tabs>
          <w:tab w:val="num" w:pos="1080"/>
        </w:tabs>
        <w:ind w:left="1080" w:hanging="720"/>
      </w:pPr>
      <w:rPr>
        <w:rFonts w:hint="default"/>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3."/>
      <w:lvlJc w:val="left"/>
      <w:pPr>
        <w:tabs>
          <w:tab w:val="num" w:pos="900"/>
        </w:tabs>
        <w:ind w:left="900" w:hanging="360"/>
      </w:pPr>
      <w:rPr>
        <w:rFonts w:hint="default"/>
      </w:rPr>
    </w:lvl>
    <w:lvl w:ilvl="3">
      <w:start w:val="1"/>
      <w:numFmt w:val="decimal"/>
      <w:lvlText w:val="%4."/>
      <w:lvlJc w:val="left"/>
      <w:pPr>
        <w:tabs>
          <w:tab w:val="num" w:pos="1080"/>
        </w:tabs>
        <w:ind w:left="10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26153E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9">
    <w:nsid w:val="26D335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295F661B"/>
    <w:multiLevelType w:val="multilevel"/>
    <w:tmpl w:val="B8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9817002"/>
    <w:multiLevelType w:val="multilevel"/>
    <w:tmpl w:val="4582022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298919BB"/>
    <w:multiLevelType w:val="multilevel"/>
    <w:tmpl w:val="89AC185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nsid w:val="2A6D505A"/>
    <w:multiLevelType w:val="hybridMultilevel"/>
    <w:tmpl w:val="829C26A8"/>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4">
    <w:nsid w:val="2AF54427"/>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95">
    <w:nsid w:val="2B3F49C6"/>
    <w:multiLevelType w:val="singleLevel"/>
    <w:tmpl w:val="E94C9216"/>
    <w:lvl w:ilvl="0">
      <w:start w:val="1"/>
      <w:numFmt w:val="lowerRoman"/>
      <w:lvlText w:val="(%1)"/>
      <w:lvlJc w:val="right"/>
      <w:pPr>
        <w:tabs>
          <w:tab w:val="num" w:pos="2160"/>
        </w:tabs>
        <w:ind w:left="2160" w:hanging="516"/>
      </w:pPr>
    </w:lvl>
  </w:abstractNum>
  <w:abstractNum w:abstractNumId="96">
    <w:nsid w:val="2B495016"/>
    <w:multiLevelType w:val="hybridMultilevel"/>
    <w:tmpl w:val="25C67B64"/>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B5A4A4E"/>
    <w:multiLevelType w:val="multilevel"/>
    <w:tmpl w:val="1E388FF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2C0319D0"/>
    <w:multiLevelType w:val="multilevel"/>
    <w:tmpl w:val="F0C0A88E"/>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4"/>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nsid w:val="2C612DE0"/>
    <w:multiLevelType w:val="hybridMultilevel"/>
    <w:tmpl w:val="2962E0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2C836A51"/>
    <w:multiLevelType w:val="singleLevel"/>
    <w:tmpl w:val="D2F0BD2E"/>
    <w:lvl w:ilvl="0">
      <w:start w:val="1"/>
      <w:numFmt w:val="lowerLetter"/>
      <w:lvlText w:val="%1."/>
      <w:lvlJc w:val="left"/>
      <w:pPr>
        <w:tabs>
          <w:tab w:val="num" w:pos="360"/>
        </w:tabs>
        <w:ind w:left="360" w:hanging="360"/>
      </w:pPr>
      <w:rPr>
        <w:rFonts w:hint="default"/>
      </w:rPr>
    </w:lvl>
  </w:abstractNum>
  <w:abstractNum w:abstractNumId="101">
    <w:nsid w:val="2D3763DF"/>
    <w:multiLevelType w:val="multilevel"/>
    <w:tmpl w:val="380EC39A"/>
    <w:lvl w:ilvl="0">
      <w:start w:val="3"/>
      <w:numFmt w:val="decimal"/>
      <w:lvlText w:val="%1"/>
      <w:lvlJc w:val="left"/>
      <w:pPr>
        <w:tabs>
          <w:tab w:val="num" w:pos="555"/>
        </w:tabs>
        <w:ind w:left="555" w:hanging="555"/>
      </w:pPr>
      <w:rPr>
        <w:rFonts w:hint="default"/>
      </w:rPr>
    </w:lvl>
    <w:lvl w:ilvl="1">
      <w:start w:val="8"/>
      <w:numFmt w:val="decimal"/>
      <w:lvlText w:val="%1.%2"/>
      <w:lvlJc w:val="left"/>
      <w:pPr>
        <w:tabs>
          <w:tab w:val="num" w:pos="555"/>
        </w:tabs>
        <w:ind w:left="555" w:hanging="55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2D473AF7"/>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3">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04">
    <w:nsid w:val="2FDC50A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5">
    <w:nsid w:val="302A75A7"/>
    <w:multiLevelType w:val="singleLevel"/>
    <w:tmpl w:val="3496DD40"/>
    <w:lvl w:ilvl="0">
      <w:start w:val="1"/>
      <w:numFmt w:val="decimal"/>
      <w:lvlText w:val="(%1)"/>
      <w:lvlJc w:val="left"/>
      <w:pPr>
        <w:tabs>
          <w:tab w:val="num" w:pos="1440"/>
        </w:tabs>
        <w:ind w:left="1440" w:hanging="720"/>
      </w:pPr>
    </w:lvl>
  </w:abstractNum>
  <w:abstractNum w:abstractNumId="106">
    <w:nsid w:val="313572D8"/>
    <w:multiLevelType w:val="hybridMultilevel"/>
    <w:tmpl w:val="39B6478C"/>
    <w:lvl w:ilvl="0" w:tplc="665897F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7">
    <w:nsid w:val="31B82A3F"/>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108">
    <w:nsid w:val="31D31978"/>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9">
    <w:nsid w:val="31DE61EC"/>
    <w:multiLevelType w:val="hybridMultilevel"/>
    <w:tmpl w:val="CE6EF9E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0">
    <w:nsid w:val="321F0AC9"/>
    <w:multiLevelType w:val="singleLevel"/>
    <w:tmpl w:val="FF7A7C40"/>
    <w:lvl w:ilvl="0">
      <w:start w:val="5"/>
      <w:numFmt w:val="decimal"/>
      <w:lvlText w:val="%1."/>
      <w:lvlJc w:val="left"/>
      <w:pPr>
        <w:tabs>
          <w:tab w:val="num" w:pos="705"/>
        </w:tabs>
        <w:ind w:left="705" w:hanging="705"/>
      </w:pPr>
      <w:rPr>
        <w:rFonts w:hint="default"/>
        <w:u w:val="none"/>
      </w:rPr>
    </w:lvl>
  </w:abstractNum>
  <w:abstractNum w:abstractNumId="111">
    <w:nsid w:val="333B2D8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2">
    <w:nsid w:val="33C71649"/>
    <w:multiLevelType w:val="hybridMultilevel"/>
    <w:tmpl w:val="3B2ED6C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348F010A"/>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4">
    <w:nsid w:val="35A24D07"/>
    <w:multiLevelType w:val="multilevel"/>
    <w:tmpl w:val="FEACBDCA"/>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5B22D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6">
    <w:nsid w:val="36255761"/>
    <w:multiLevelType w:val="singleLevel"/>
    <w:tmpl w:val="0409000F"/>
    <w:lvl w:ilvl="0">
      <w:start w:val="1"/>
      <w:numFmt w:val="decimal"/>
      <w:lvlText w:val="%1."/>
      <w:lvlJc w:val="left"/>
      <w:pPr>
        <w:tabs>
          <w:tab w:val="num" w:pos="360"/>
        </w:tabs>
        <w:ind w:left="360" w:hanging="360"/>
      </w:pPr>
    </w:lvl>
  </w:abstractNum>
  <w:abstractNum w:abstractNumId="117">
    <w:nsid w:val="36286DD8"/>
    <w:multiLevelType w:val="singleLevel"/>
    <w:tmpl w:val="7CF43918"/>
    <w:lvl w:ilvl="0">
      <w:numFmt w:val="bullet"/>
      <w:lvlText w:val="-"/>
      <w:lvlJc w:val="left"/>
      <w:pPr>
        <w:tabs>
          <w:tab w:val="num" w:pos="420"/>
        </w:tabs>
        <w:ind w:left="420" w:hanging="420"/>
      </w:pPr>
      <w:rPr>
        <w:rFonts w:hint="default"/>
      </w:rPr>
    </w:lvl>
  </w:abstractNum>
  <w:abstractNum w:abstractNumId="118">
    <w:nsid w:val="36521440"/>
    <w:multiLevelType w:val="multilevel"/>
    <w:tmpl w:val="4210E6C8"/>
    <w:lvl w:ilvl="0">
      <w:start w:val="2"/>
      <w:numFmt w:val="decimal"/>
      <w:lvlText w:val="%1"/>
      <w:lvlJc w:val="left"/>
      <w:pPr>
        <w:tabs>
          <w:tab w:val="num" w:pos="1410"/>
        </w:tabs>
        <w:ind w:left="1410" w:hanging="1410"/>
      </w:pPr>
      <w:rPr>
        <w:rFonts w:hint="default"/>
        <w:i w:val="0"/>
      </w:rPr>
    </w:lvl>
    <w:lvl w:ilvl="1">
      <w:start w:val="2"/>
      <w:numFmt w:val="decimal"/>
      <w:lvlText w:val="%1.%2"/>
      <w:lvlJc w:val="left"/>
      <w:pPr>
        <w:tabs>
          <w:tab w:val="num" w:pos="1410"/>
        </w:tabs>
        <w:ind w:left="1410" w:hanging="1410"/>
      </w:pPr>
      <w:rPr>
        <w:rFonts w:hint="default"/>
        <w:i w:val="0"/>
      </w:rPr>
    </w:lvl>
    <w:lvl w:ilvl="2">
      <w:start w:val="2"/>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9">
    <w:nsid w:val="36AC2E71"/>
    <w:multiLevelType w:val="multilevel"/>
    <w:tmpl w:val="E5E4143C"/>
    <w:lvl w:ilvl="0">
      <w:start w:val="2"/>
      <w:numFmt w:val="decimal"/>
      <w:lvlText w:val="%1"/>
      <w:lvlJc w:val="left"/>
      <w:pPr>
        <w:tabs>
          <w:tab w:val="num" w:pos="705"/>
        </w:tabs>
        <w:ind w:left="705" w:hanging="705"/>
      </w:pPr>
      <w:rPr>
        <w:rFonts w:hint="default"/>
        <w:u w:val="single"/>
      </w:rPr>
    </w:lvl>
    <w:lvl w:ilvl="1">
      <w:start w:val="2"/>
      <w:numFmt w:val="decimal"/>
      <w:lvlText w:val="%1.%2"/>
      <w:lvlJc w:val="left"/>
      <w:pPr>
        <w:tabs>
          <w:tab w:val="num" w:pos="705"/>
        </w:tabs>
        <w:ind w:left="705" w:hanging="705"/>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20">
    <w:nsid w:val="370D2920"/>
    <w:multiLevelType w:val="multilevel"/>
    <w:tmpl w:val="C9BA73C4"/>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375457E1"/>
    <w:multiLevelType w:val="hybridMultilevel"/>
    <w:tmpl w:val="42341EE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378E736D"/>
    <w:multiLevelType w:val="hybridMultilevel"/>
    <w:tmpl w:val="0062289C"/>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23">
    <w:nsid w:val="382C3E6B"/>
    <w:multiLevelType w:val="singleLevel"/>
    <w:tmpl w:val="0809000F"/>
    <w:lvl w:ilvl="0">
      <w:start w:val="1"/>
      <w:numFmt w:val="decimal"/>
      <w:lvlText w:val="%1."/>
      <w:lvlJc w:val="left"/>
      <w:pPr>
        <w:tabs>
          <w:tab w:val="num" w:pos="360"/>
        </w:tabs>
        <w:ind w:left="360" w:hanging="360"/>
      </w:pPr>
    </w:lvl>
  </w:abstractNum>
  <w:abstractNum w:abstractNumId="124">
    <w:nsid w:val="38DA3F9E"/>
    <w:multiLevelType w:val="hybridMultilevel"/>
    <w:tmpl w:val="AEB2626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3943791D"/>
    <w:multiLevelType w:val="multilevel"/>
    <w:tmpl w:val="5400E6B0"/>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394A1D2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7">
    <w:nsid w:val="39953F82"/>
    <w:multiLevelType w:val="hybridMultilevel"/>
    <w:tmpl w:val="4A58A41A"/>
    <w:lvl w:ilvl="0" w:tplc="A2424B80">
      <w:start w:val="1"/>
      <w:numFmt w:val="bullet"/>
      <w:lvlText w:val=""/>
      <w:lvlJc w:val="left"/>
      <w:pPr>
        <w:tabs>
          <w:tab w:val="num" w:pos="2628"/>
        </w:tabs>
        <w:ind w:left="2628" w:hanging="360"/>
      </w:pPr>
      <w:rPr>
        <w:rFonts w:ascii="Symbol" w:hAnsi="Symbol"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8">
    <w:nsid w:val="39CD3B63"/>
    <w:multiLevelType w:val="singleLevel"/>
    <w:tmpl w:val="FFD05A6E"/>
    <w:lvl w:ilvl="0">
      <w:numFmt w:val="bullet"/>
      <w:lvlText w:val=""/>
      <w:lvlJc w:val="left"/>
      <w:pPr>
        <w:tabs>
          <w:tab w:val="num" w:pos="705"/>
        </w:tabs>
        <w:ind w:left="705" w:hanging="705"/>
      </w:pPr>
      <w:rPr>
        <w:rFonts w:ascii="Symbol" w:hAnsi="Symbol" w:hint="default"/>
      </w:rPr>
    </w:lvl>
  </w:abstractNum>
  <w:abstractNum w:abstractNumId="129">
    <w:nsid w:val="39E13D12"/>
    <w:multiLevelType w:val="singleLevel"/>
    <w:tmpl w:val="594E6036"/>
    <w:lvl w:ilvl="0">
      <w:start w:val="1"/>
      <w:numFmt w:val="bullet"/>
      <w:lvlText w:val="-"/>
      <w:lvlJc w:val="left"/>
      <w:pPr>
        <w:tabs>
          <w:tab w:val="num" w:pos="360"/>
        </w:tabs>
        <w:ind w:left="360" w:hanging="360"/>
      </w:pPr>
      <w:rPr>
        <w:rFonts w:ascii="Times New Roman" w:hAnsi="Times New Roman" w:hint="default"/>
      </w:rPr>
    </w:lvl>
  </w:abstractNum>
  <w:abstractNum w:abstractNumId="130">
    <w:nsid w:val="3A5D34F8"/>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1">
    <w:nsid w:val="3A8F4DEE"/>
    <w:multiLevelType w:val="hybridMultilevel"/>
    <w:tmpl w:val="E9EA567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3A963A78"/>
    <w:multiLevelType w:val="hybridMultilevel"/>
    <w:tmpl w:val="48A2CC2C"/>
    <w:lvl w:ilvl="0" w:tplc="AE0C7DC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3B090712"/>
    <w:multiLevelType w:val="multilevel"/>
    <w:tmpl w:val="C2666F66"/>
    <w:lvl w:ilvl="0">
      <w:start w:val="2"/>
      <w:numFmt w:val="decimal"/>
      <w:lvlText w:val="%1"/>
      <w:lvlJc w:val="left"/>
      <w:pPr>
        <w:tabs>
          <w:tab w:val="num" w:pos="2130"/>
        </w:tabs>
        <w:ind w:left="2130" w:hanging="2130"/>
      </w:pPr>
      <w:rPr>
        <w:rFonts w:hint="default"/>
      </w:rPr>
    </w:lvl>
    <w:lvl w:ilvl="1">
      <w:start w:val="8"/>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34">
    <w:nsid w:val="3B0F6C32"/>
    <w:multiLevelType w:val="multilevel"/>
    <w:tmpl w:val="F50E9E56"/>
    <w:lvl w:ilvl="0">
      <w:start w:val="2"/>
      <w:numFmt w:val="decimal"/>
      <w:lvlText w:val="%1"/>
      <w:lvlJc w:val="left"/>
      <w:pPr>
        <w:tabs>
          <w:tab w:val="num" w:pos="2130"/>
        </w:tabs>
        <w:ind w:left="2130" w:hanging="2130"/>
      </w:pPr>
      <w:rPr>
        <w:rFonts w:hint="default"/>
        <w:i w:val="0"/>
      </w:rPr>
    </w:lvl>
    <w:lvl w:ilvl="1">
      <w:start w:val="6"/>
      <w:numFmt w:val="decimal"/>
      <w:lvlText w:val="%1.%2"/>
      <w:lvlJc w:val="left"/>
      <w:pPr>
        <w:tabs>
          <w:tab w:val="num" w:pos="2130"/>
        </w:tabs>
        <w:ind w:left="2130" w:hanging="2130"/>
      </w:pPr>
      <w:rPr>
        <w:rFonts w:hint="default"/>
        <w:i w:val="0"/>
      </w:rPr>
    </w:lvl>
    <w:lvl w:ilvl="2">
      <w:start w:val="2"/>
      <w:numFmt w:val="decimal"/>
      <w:lvlText w:val="%1.%2.%3"/>
      <w:lvlJc w:val="left"/>
      <w:pPr>
        <w:tabs>
          <w:tab w:val="num" w:pos="2130"/>
        </w:tabs>
        <w:ind w:left="2130" w:hanging="2130"/>
      </w:pPr>
      <w:rPr>
        <w:rFonts w:hint="default"/>
        <w:i w:val="0"/>
      </w:rPr>
    </w:lvl>
    <w:lvl w:ilvl="3">
      <w:start w:val="2"/>
      <w:numFmt w:val="decimal"/>
      <w:lvlText w:val="%1.%2.%3.%4"/>
      <w:lvlJc w:val="left"/>
      <w:pPr>
        <w:tabs>
          <w:tab w:val="num" w:pos="2130"/>
        </w:tabs>
        <w:ind w:left="2130" w:hanging="2130"/>
      </w:pPr>
      <w:rPr>
        <w:rFonts w:hint="default"/>
        <w:i w:val="0"/>
      </w:rPr>
    </w:lvl>
    <w:lvl w:ilvl="4">
      <w:start w:val="1"/>
      <w:numFmt w:val="decimal"/>
      <w:lvlText w:val="%1.%2.%3.%4.%5"/>
      <w:lvlJc w:val="left"/>
      <w:pPr>
        <w:tabs>
          <w:tab w:val="num" w:pos="2130"/>
        </w:tabs>
        <w:ind w:left="2130" w:hanging="2130"/>
      </w:pPr>
      <w:rPr>
        <w:rFonts w:hint="default"/>
        <w:i w:val="0"/>
      </w:rPr>
    </w:lvl>
    <w:lvl w:ilvl="5">
      <w:start w:val="1"/>
      <w:numFmt w:val="decimal"/>
      <w:lvlText w:val="%1.%2.%3.%4.%5.%6"/>
      <w:lvlJc w:val="left"/>
      <w:pPr>
        <w:tabs>
          <w:tab w:val="num" w:pos="2130"/>
        </w:tabs>
        <w:ind w:left="2130" w:hanging="2130"/>
      </w:pPr>
      <w:rPr>
        <w:rFonts w:hint="default"/>
        <w:i w:val="0"/>
      </w:rPr>
    </w:lvl>
    <w:lvl w:ilvl="6">
      <w:start w:val="1"/>
      <w:numFmt w:val="decimal"/>
      <w:lvlText w:val="%1.%2.%3.%4.%5.%6.%7"/>
      <w:lvlJc w:val="left"/>
      <w:pPr>
        <w:tabs>
          <w:tab w:val="num" w:pos="2130"/>
        </w:tabs>
        <w:ind w:left="2130" w:hanging="2130"/>
      </w:pPr>
      <w:rPr>
        <w:rFonts w:hint="default"/>
        <w:i w:val="0"/>
      </w:rPr>
    </w:lvl>
    <w:lvl w:ilvl="7">
      <w:start w:val="1"/>
      <w:numFmt w:val="decimal"/>
      <w:lvlText w:val="%1.%2.%3.%4.%5.%6.%7.%8"/>
      <w:lvlJc w:val="left"/>
      <w:pPr>
        <w:tabs>
          <w:tab w:val="num" w:pos="2130"/>
        </w:tabs>
        <w:ind w:left="2130" w:hanging="2130"/>
      </w:pPr>
      <w:rPr>
        <w:rFonts w:hint="default"/>
        <w:i w:val="0"/>
      </w:rPr>
    </w:lvl>
    <w:lvl w:ilvl="8">
      <w:start w:val="1"/>
      <w:numFmt w:val="decimal"/>
      <w:lvlText w:val="%1.%2.%3.%4.%5.%6.%7.%8.%9"/>
      <w:lvlJc w:val="left"/>
      <w:pPr>
        <w:tabs>
          <w:tab w:val="num" w:pos="2130"/>
        </w:tabs>
        <w:ind w:left="2130" w:hanging="2130"/>
      </w:pPr>
      <w:rPr>
        <w:rFonts w:hint="default"/>
        <w:i w:val="0"/>
      </w:rPr>
    </w:lvl>
  </w:abstractNum>
  <w:abstractNum w:abstractNumId="135">
    <w:nsid w:val="3B363FB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36">
    <w:nsid w:val="3BA73EC1"/>
    <w:multiLevelType w:val="multilevel"/>
    <w:tmpl w:val="A4C4703C"/>
    <w:lvl w:ilvl="0">
      <w:start w:val="14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C3B64F0"/>
    <w:multiLevelType w:val="multilevel"/>
    <w:tmpl w:val="F8D47E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39">
    <w:nsid w:val="3CD45B01"/>
    <w:multiLevelType w:val="hybridMultilevel"/>
    <w:tmpl w:val="816812F0"/>
    <w:lvl w:ilvl="0" w:tplc="37EE2E2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3D215176"/>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41">
    <w:nsid w:val="3DE65D47"/>
    <w:multiLevelType w:val="multilevel"/>
    <w:tmpl w:val="6D2A44F8"/>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2">
    <w:nsid w:val="3E423B99"/>
    <w:multiLevelType w:val="hybridMultilevel"/>
    <w:tmpl w:val="56CE8CC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3">
    <w:nsid w:val="3EC550C2"/>
    <w:multiLevelType w:val="multilevel"/>
    <w:tmpl w:val="BD90EC8E"/>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44">
    <w:nsid w:val="40221049"/>
    <w:multiLevelType w:val="singleLevel"/>
    <w:tmpl w:val="04D4B0C4"/>
    <w:lvl w:ilvl="0">
      <w:start w:val="1"/>
      <w:numFmt w:val="decimal"/>
      <w:lvlText w:val="%1."/>
      <w:lvlJc w:val="left"/>
      <w:pPr>
        <w:tabs>
          <w:tab w:val="num" w:pos="360"/>
        </w:tabs>
        <w:ind w:left="360" w:hanging="360"/>
      </w:pPr>
    </w:lvl>
  </w:abstractNum>
  <w:abstractNum w:abstractNumId="145">
    <w:nsid w:val="4051365E"/>
    <w:multiLevelType w:val="singleLevel"/>
    <w:tmpl w:val="0809000F"/>
    <w:lvl w:ilvl="0">
      <w:start w:val="3"/>
      <w:numFmt w:val="decimal"/>
      <w:lvlText w:val="%1."/>
      <w:lvlJc w:val="left"/>
      <w:pPr>
        <w:tabs>
          <w:tab w:val="num" w:pos="360"/>
        </w:tabs>
        <w:ind w:left="360" w:hanging="360"/>
      </w:pPr>
      <w:rPr>
        <w:rFonts w:hint="default"/>
      </w:rPr>
    </w:lvl>
  </w:abstractNum>
  <w:abstractNum w:abstractNumId="146">
    <w:nsid w:val="405C4C4B"/>
    <w:multiLevelType w:val="multilevel"/>
    <w:tmpl w:val="2DC085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409857F0"/>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48">
    <w:nsid w:val="40BA61FC"/>
    <w:multiLevelType w:val="singleLevel"/>
    <w:tmpl w:val="A00A1ABE"/>
    <w:lvl w:ilvl="0">
      <w:start w:val="4"/>
      <w:numFmt w:val="decimal"/>
      <w:lvlText w:val="%1."/>
      <w:lvlJc w:val="left"/>
      <w:pPr>
        <w:tabs>
          <w:tab w:val="num" w:pos="1776"/>
        </w:tabs>
        <w:ind w:left="1776" w:hanging="360"/>
      </w:pPr>
      <w:rPr>
        <w:rFonts w:hint="default"/>
      </w:rPr>
    </w:lvl>
  </w:abstractNum>
  <w:abstractNum w:abstractNumId="149">
    <w:nsid w:val="41412CF9"/>
    <w:multiLevelType w:val="hybridMultilevel"/>
    <w:tmpl w:val="09FEAB7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0">
    <w:nsid w:val="41B04112"/>
    <w:multiLevelType w:val="multilevel"/>
    <w:tmpl w:val="3FC01C0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nsid w:val="42173F57"/>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52">
    <w:nsid w:val="427E29D4"/>
    <w:multiLevelType w:val="hybridMultilevel"/>
    <w:tmpl w:val="CF662D9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432B16D9"/>
    <w:multiLevelType w:val="hybridMultilevel"/>
    <w:tmpl w:val="8D8A4CE0"/>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4">
    <w:nsid w:val="43E903BF"/>
    <w:multiLevelType w:val="multilevel"/>
    <w:tmpl w:val="11F649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5">
    <w:nsid w:val="452D144C"/>
    <w:multiLevelType w:val="singleLevel"/>
    <w:tmpl w:val="7C4C0A7C"/>
    <w:lvl w:ilvl="0">
      <w:start w:val="1"/>
      <w:numFmt w:val="decimal"/>
      <w:lvlText w:val="(%1)"/>
      <w:lvlJc w:val="left"/>
      <w:pPr>
        <w:tabs>
          <w:tab w:val="num" w:pos="720"/>
        </w:tabs>
        <w:ind w:left="720" w:hanging="720"/>
      </w:pPr>
    </w:lvl>
  </w:abstractNum>
  <w:abstractNum w:abstractNumId="156">
    <w:nsid w:val="45354537"/>
    <w:multiLevelType w:val="multilevel"/>
    <w:tmpl w:val="058E58B0"/>
    <w:lvl w:ilvl="0">
      <w:start w:val="2"/>
      <w:numFmt w:val="decimal"/>
      <w:lvlText w:val="%1"/>
      <w:lvlJc w:val="left"/>
      <w:pPr>
        <w:tabs>
          <w:tab w:val="num" w:pos="2130"/>
        </w:tabs>
        <w:ind w:left="2130" w:hanging="2130"/>
      </w:pPr>
      <w:rPr>
        <w:rFonts w:hint="default"/>
      </w:rPr>
    </w:lvl>
    <w:lvl w:ilvl="1">
      <w:start w:val="1"/>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57">
    <w:nsid w:val="454B0148"/>
    <w:multiLevelType w:val="singleLevel"/>
    <w:tmpl w:val="2C9A695E"/>
    <w:lvl w:ilvl="0">
      <w:start w:val="1"/>
      <w:numFmt w:val="bullet"/>
      <w:lvlText w:val="-"/>
      <w:lvlJc w:val="left"/>
      <w:pPr>
        <w:tabs>
          <w:tab w:val="num" w:pos="360"/>
        </w:tabs>
        <w:ind w:left="360" w:hanging="360"/>
      </w:pPr>
      <w:rPr>
        <w:rFonts w:hint="default"/>
      </w:rPr>
    </w:lvl>
  </w:abstractNum>
  <w:abstractNum w:abstractNumId="158">
    <w:nsid w:val="46154F44"/>
    <w:multiLevelType w:val="multilevel"/>
    <w:tmpl w:val="F00EF55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9">
    <w:nsid w:val="472E0215"/>
    <w:multiLevelType w:val="hybridMultilevel"/>
    <w:tmpl w:val="2372519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0">
    <w:nsid w:val="47746B21"/>
    <w:multiLevelType w:val="hybridMultilevel"/>
    <w:tmpl w:val="C64AA670"/>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161">
    <w:nsid w:val="487E3BBC"/>
    <w:multiLevelType w:val="hybridMultilevel"/>
    <w:tmpl w:val="2BCA3FCC"/>
    <w:lvl w:ilvl="0" w:tplc="8C12259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3">
    <w:nsid w:val="498B1697"/>
    <w:multiLevelType w:val="multilevel"/>
    <w:tmpl w:val="53CE74F2"/>
    <w:lvl w:ilvl="0">
      <w:start w:val="3"/>
      <w:numFmt w:val="decimal"/>
      <w:lvlText w:val="%1"/>
      <w:lvlJc w:val="left"/>
      <w:pPr>
        <w:tabs>
          <w:tab w:val="num" w:pos="705"/>
        </w:tabs>
        <w:ind w:left="705" w:hanging="705"/>
      </w:pPr>
      <w:rPr>
        <w:rFonts w:hint="default"/>
        <w:i w:val="0"/>
      </w:rPr>
    </w:lvl>
    <w:lvl w:ilvl="1">
      <w:start w:val="6"/>
      <w:numFmt w:val="decimal"/>
      <w:lvlText w:val="%1.%2"/>
      <w:lvlJc w:val="left"/>
      <w:pPr>
        <w:tabs>
          <w:tab w:val="num" w:pos="705"/>
        </w:tabs>
        <w:ind w:left="705" w:hanging="705"/>
      </w:pPr>
      <w:rPr>
        <w:rFonts w:hint="default"/>
        <w:i w:val="0"/>
      </w:rPr>
    </w:lvl>
    <w:lvl w:ilvl="2">
      <w:start w:val="2"/>
      <w:numFmt w:val="decimal"/>
      <w:lvlText w:val="%1.%2.%3"/>
      <w:lvlJc w:val="left"/>
      <w:pPr>
        <w:tabs>
          <w:tab w:val="num" w:pos="720"/>
        </w:tabs>
        <w:ind w:left="720" w:hanging="720"/>
      </w:pPr>
      <w:rPr>
        <w:rFonts w:hint="default"/>
        <w:i w:val="0"/>
      </w:rPr>
    </w:lvl>
    <w:lvl w:ilvl="3">
      <w:start w:val="5"/>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164">
    <w:nsid w:val="49D64BBB"/>
    <w:multiLevelType w:val="multilevel"/>
    <w:tmpl w:val="211A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4A641E49"/>
    <w:multiLevelType w:val="multilevel"/>
    <w:tmpl w:val="2BD85226"/>
    <w:lvl w:ilvl="0">
      <w:start w:val="3"/>
      <w:numFmt w:val="decimal"/>
      <w:lvlText w:val="%1"/>
      <w:lvlJc w:val="left"/>
      <w:pPr>
        <w:tabs>
          <w:tab w:val="num" w:pos="705"/>
        </w:tabs>
        <w:ind w:left="705" w:hanging="705"/>
      </w:pPr>
      <w:rPr>
        <w:rFonts w:hint="default"/>
        <w:u w:val="single"/>
      </w:rPr>
    </w:lvl>
    <w:lvl w:ilvl="1">
      <w:start w:val="5"/>
      <w:numFmt w:val="decimal"/>
      <w:lvlText w:val="%1.%2"/>
      <w:lvlJc w:val="left"/>
      <w:pPr>
        <w:tabs>
          <w:tab w:val="num" w:pos="705"/>
        </w:tabs>
        <w:ind w:left="705" w:hanging="705"/>
      </w:pPr>
      <w:rPr>
        <w:rFonts w:hint="default"/>
        <w:u w:val="single"/>
      </w:rPr>
    </w:lvl>
    <w:lvl w:ilvl="2">
      <w:start w:val="2"/>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166">
    <w:nsid w:val="4AAE3F25"/>
    <w:multiLevelType w:val="hybridMultilevel"/>
    <w:tmpl w:val="1D4EB3B6"/>
    <w:lvl w:ilvl="0" w:tplc="FFFFFFFF">
      <w:start w:val="1"/>
      <w:numFmt w:val="bullet"/>
      <w:lvlText w:val=""/>
      <w:lvlJc w:val="left"/>
      <w:pPr>
        <w:tabs>
          <w:tab w:val="num" w:pos="607"/>
        </w:tabs>
        <w:ind w:left="607" w:hanging="607"/>
      </w:pPr>
      <w:rPr>
        <w:rFonts w:ascii="Wingdings" w:hAnsi="Wingdings" w:hint="default"/>
      </w:rPr>
    </w:lvl>
    <w:lvl w:ilvl="1" w:tplc="FFFFFFFF" w:tentative="1">
      <w:start w:val="1"/>
      <w:numFmt w:val="bullet"/>
      <w:lvlText w:val="o"/>
      <w:lvlJc w:val="left"/>
      <w:pPr>
        <w:tabs>
          <w:tab w:val="num" w:pos="1327"/>
        </w:tabs>
        <w:ind w:left="1327" w:hanging="360"/>
      </w:pPr>
      <w:rPr>
        <w:rFonts w:ascii="Courier New" w:hAnsi="Courier New" w:cs="OCW Swift" w:hint="default"/>
      </w:rPr>
    </w:lvl>
    <w:lvl w:ilvl="2" w:tplc="FFFFFFFF" w:tentative="1">
      <w:start w:val="1"/>
      <w:numFmt w:val="bullet"/>
      <w:lvlText w:val=""/>
      <w:lvlJc w:val="left"/>
      <w:pPr>
        <w:tabs>
          <w:tab w:val="num" w:pos="2047"/>
        </w:tabs>
        <w:ind w:left="2047" w:hanging="360"/>
      </w:pPr>
      <w:rPr>
        <w:rFonts w:ascii="Wingdings" w:hAnsi="Wingdings" w:hint="default"/>
      </w:rPr>
    </w:lvl>
    <w:lvl w:ilvl="3" w:tplc="FFFFFFFF" w:tentative="1">
      <w:start w:val="1"/>
      <w:numFmt w:val="bullet"/>
      <w:lvlText w:val=""/>
      <w:lvlJc w:val="left"/>
      <w:pPr>
        <w:tabs>
          <w:tab w:val="num" w:pos="2767"/>
        </w:tabs>
        <w:ind w:left="2767" w:hanging="360"/>
      </w:pPr>
      <w:rPr>
        <w:rFonts w:ascii="Symbol" w:hAnsi="Symbol" w:hint="default"/>
      </w:rPr>
    </w:lvl>
    <w:lvl w:ilvl="4" w:tplc="FFFFFFFF" w:tentative="1">
      <w:start w:val="1"/>
      <w:numFmt w:val="bullet"/>
      <w:lvlText w:val="o"/>
      <w:lvlJc w:val="left"/>
      <w:pPr>
        <w:tabs>
          <w:tab w:val="num" w:pos="3487"/>
        </w:tabs>
        <w:ind w:left="3487" w:hanging="360"/>
      </w:pPr>
      <w:rPr>
        <w:rFonts w:ascii="Courier New" w:hAnsi="Courier New" w:cs="OCW Swift" w:hint="default"/>
      </w:rPr>
    </w:lvl>
    <w:lvl w:ilvl="5" w:tplc="FFFFFFFF" w:tentative="1">
      <w:start w:val="1"/>
      <w:numFmt w:val="bullet"/>
      <w:lvlText w:val=""/>
      <w:lvlJc w:val="left"/>
      <w:pPr>
        <w:tabs>
          <w:tab w:val="num" w:pos="4207"/>
        </w:tabs>
        <w:ind w:left="4207" w:hanging="360"/>
      </w:pPr>
      <w:rPr>
        <w:rFonts w:ascii="Wingdings" w:hAnsi="Wingdings" w:hint="default"/>
      </w:rPr>
    </w:lvl>
    <w:lvl w:ilvl="6" w:tplc="FFFFFFFF" w:tentative="1">
      <w:start w:val="1"/>
      <w:numFmt w:val="bullet"/>
      <w:lvlText w:val=""/>
      <w:lvlJc w:val="left"/>
      <w:pPr>
        <w:tabs>
          <w:tab w:val="num" w:pos="4927"/>
        </w:tabs>
        <w:ind w:left="4927" w:hanging="360"/>
      </w:pPr>
      <w:rPr>
        <w:rFonts w:ascii="Symbol" w:hAnsi="Symbol" w:hint="default"/>
      </w:rPr>
    </w:lvl>
    <w:lvl w:ilvl="7" w:tplc="FFFFFFFF" w:tentative="1">
      <w:start w:val="1"/>
      <w:numFmt w:val="bullet"/>
      <w:lvlText w:val="o"/>
      <w:lvlJc w:val="left"/>
      <w:pPr>
        <w:tabs>
          <w:tab w:val="num" w:pos="5647"/>
        </w:tabs>
        <w:ind w:left="5647" w:hanging="360"/>
      </w:pPr>
      <w:rPr>
        <w:rFonts w:ascii="Courier New" w:hAnsi="Courier New" w:cs="OCW Swift" w:hint="default"/>
      </w:rPr>
    </w:lvl>
    <w:lvl w:ilvl="8" w:tplc="FFFFFFFF" w:tentative="1">
      <w:start w:val="1"/>
      <w:numFmt w:val="bullet"/>
      <w:lvlText w:val=""/>
      <w:lvlJc w:val="left"/>
      <w:pPr>
        <w:tabs>
          <w:tab w:val="num" w:pos="6367"/>
        </w:tabs>
        <w:ind w:left="6367" w:hanging="360"/>
      </w:pPr>
      <w:rPr>
        <w:rFonts w:ascii="Wingdings" w:hAnsi="Wingdings" w:hint="default"/>
      </w:rPr>
    </w:lvl>
  </w:abstractNum>
  <w:abstractNum w:abstractNumId="167">
    <w:nsid w:val="4B026104"/>
    <w:multiLevelType w:val="hybridMultilevel"/>
    <w:tmpl w:val="2BCA3FCC"/>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8">
    <w:nsid w:val="4B070EB2"/>
    <w:multiLevelType w:val="singleLevel"/>
    <w:tmpl w:val="0809000F"/>
    <w:lvl w:ilvl="0">
      <w:start w:val="1"/>
      <w:numFmt w:val="decimal"/>
      <w:lvlText w:val="%1."/>
      <w:lvlJc w:val="left"/>
      <w:pPr>
        <w:tabs>
          <w:tab w:val="num" w:pos="360"/>
        </w:tabs>
        <w:ind w:left="360" w:hanging="360"/>
      </w:pPr>
    </w:lvl>
  </w:abstractNum>
  <w:abstractNum w:abstractNumId="169">
    <w:nsid w:val="4B2934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0">
    <w:nsid w:val="4C825B5D"/>
    <w:multiLevelType w:val="multilevel"/>
    <w:tmpl w:val="9E6E60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4D156FFA"/>
    <w:multiLevelType w:val="hybridMultilevel"/>
    <w:tmpl w:val="39A865A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nsid w:val="4DB55382"/>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173">
    <w:nsid w:val="4EFA2598"/>
    <w:multiLevelType w:val="singleLevel"/>
    <w:tmpl w:val="0409000F"/>
    <w:lvl w:ilvl="0">
      <w:start w:val="1"/>
      <w:numFmt w:val="decimal"/>
      <w:lvlText w:val="%1."/>
      <w:lvlJc w:val="left"/>
      <w:pPr>
        <w:tabs>
          <w:tab w:val="num" w:pos="360"/>
        </w:tabs>
        <w:ind w:left="360" w:hanging="360"/>
      </w:pPr>
    </w:lvl>
  </w:abstractNum>
  <w:abstractNum w:abstractNumId="174">
    <w:nsid w:val="4FC62263"/>
    <w:multiLevelType w:val="hybridMultilevel"/>
    <w:tmpl w:val="C4C072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51057448"/>
    <w:multiLevelType w:val="singleLevel"/>
    <w:tmpl w:val="9370B3EE"/>
    <w:lvl w:ilvl="0">
      <w:start w:val="4"/>
      <w:numFmt w:val="decimal"/>
      <w:lvlText w:val="%1."/>
      <w:lvlJc w:val="left"/>
      <w:pPr>
        <w:tabs>
          <w:tab w:val="num" w:pos="2136"/>
        </w:tabs>
        <w:ind w:left="2136" w:hanging="720"/>
      </w:pPr>
      <w:rPr>
        <w:rFonts w:hint="default"/>
      </w:rPr>
    </w:lvl>
  </w:abstractNum>
  <w:abstractNum w:abstractNumId="176">
    <w:nsid w:val="510C7D00"/>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7">
    <w:nsid w:val="511F52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8">
    <w:nsid w:val="51462965"/>
    <w:multiLevelType w:val="hybridMultilevel"/>
    <w:tmpl w:val="997803E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9">
    <w:nsid w:val="52030075"/>
    <w:multiLevelType w:val="hybridMultilevel"/>
    <w:tmpl w:val="59880F1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520C6C6B"/>
    <w:multiLevelType w:val="hybridMultilevel"/>
    <w:tmpl w:val="39B6478C"/>
    <w:lvl w:ilvl="0" w:tplc="4906E3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1">
    <w:nsid w:val="525416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2">
    <w:nsid w:val="533F4D11"/>
    <w:multiLevelType w:val="multilevel"/>
    <w:tmpl w:val="4774A7E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3">
    <w:nsid w:val="53DD10F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4">
    <w:nsid w:val="54795C41"/>
    <w:multiLevelType w:val="multilevel"/>
    <w:tmpl w:val="CFFA1FB0"/>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5">
    <w:nsid w:val="54A91F50"/>
    <w:multiLevelType w:val="multilevel"/>
    <w:tmpl w:val="90847FF0"/>
    <w:lvl w:ilvl="0">
      <w:start w:val="1"/>
      <w:numFmt w:val="bullet"/>
      <w:lvlText w:val=""/>
      <w:lvlJc w:val="left"/>
      <w:pPr>
        <w:tabs>
          <w:tab w:val="num" w:pos="680"/>
        </w:tabs>
        <w:ind w:left="680" w:hanging="396"/>
      </w:pPr>
      <w:rPr>
        <w:rFonts w:ascii="Symbol" w:hAnsi="Symbol" w:hint="default"/>
        <w:b w:val="0"/>
        <w:i w:val="0"/>
        <w:caps w:val="0"/>
        <w:color w:val="auto"/>
        <w:sz w:val="16"/>
      </w:rPr>
    </w:lvl>
    <w:lvl w:ilvl="1">
      <w:numFmt w:val="bullet"/>
      <w:lvlText w:val="-"/>
      <w:lvlJc w:val="left"/>
      <w:pPr>
        <w:tabs>
          <w:tab w:val="num" w:pos="1440"/>
        </w:tabs>
        <w:ind w:left="1440" w:hanging="360"/>
      </w:pPr>
      <w:rPr>
        <w:rFonts w:ascii="Palatino Linotype" w:eastAsia="Times New Roman" w:hAnsi="Palatino Linotype"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6">
    <w:nsid w:val="54D12AFD"/>
    <w:multiLevelType w:val="singleLevel"/>
    <w:tmpl w:val="0413000F"/>
    <w:lvl w:ilvl="0">
      <w:start w:val="1"/>
      <w:numFmt w:val="decimal"/>
      <w:lvlText w:val="%1."/>
      <w:lvlJc w:val="left"/>
      <w:pPr>
        <w:tabs>
          <w:tab w:val="num" w:pos="360"/>
        </w:tabs>
        <w:ind w:left="360" w:hanging="360"/>
      </w:pPr>
    </w:lvl>
  </w:abstractNum>
  <w:abstractNum w:abstractNumId="187">
    <w:nsid w:val="55B5441B"/>
    <w:multiLevelType w:val="hybridMultilevel"/>
    <w:tmpl w:val="E0F0DD9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8">
    <w:nsid w:val="561F1858"/>
    <w:multiLevelType w:val="singleLevel"/>
    <w:tmpl w:val="08090013"/>
    <w:lvl w:ilvl="0">
      <w:start w:val="3"/>
      <w:numFmt w:val="upperRoman"/>
      <w:lvlText w:val="%1."/>
      <w:lvlJc w:val="left"/>
      <w:pPr>
        <w:tabs>
          <w:tab w:val="num" w:pos="720"/>
        </w:tabs>
        <w:ind w:left="720" w:hanging="720"/>
      </w:pPr>
      <w:rPr>
        <w:rFonts w:hint="default"/>
      </w:rPr>
    </w:lvl>
  </w:abstractNum>
  <w:abstractNum w:abstractNumId="189">
    <w:nsid w:val="565838B8"/>
    <w:multiLevelType w:val="multilevel"/>
    <w:tmpl w:val="DACEC630"/>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0">
    <w:nsid w:val="571164FD"/>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191">
    <w:nsid w:val="57F50E09"/>
    <w:multiLevelType w:val="multilevel"/>
    <w:tmpl w:val="1FC2C15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2">
    <w:nsid w:val="588535B0"/>
    <w:multiLevelType w:val="multilevel"/>
    <w:tmpl w:val="ADE016EE"/>
    <w:lvl w:ilvl="0">
      <w:start w:val="2"/>
      <w:numFmt w:val="decimal"/>
      <w:lvlText w:val="%1"/>
      <w:lvlJc w:val="left"/>
      <w:pPr>
        <w:tabs>
          <w:tab w:val="num" w:pos="2130"/>
        </w:tabs>
        <w:ind w:left="2130" w:hanging="2130"/>
      </w:pPr>
      <w:rPr>
        <w:rFonts w:hint="default"/>
      </w:rPr>
    </w:lvl>
    <w:lvl w:ilvl="1">
      <w:start w:val="10"/>
      <w:numFmt w:val="decimal"/>
      <w:lvlText w:val="%1.%2"/>
      <w:lvlJc w:val="left"/>
      <w:pPr>
        <w:tabs>
          <w:tab w:val="num" w:pos="2130"/>
        </w:tabs>
        <w:ind w:left="2130" w:hanging="2130"/>
      </w:pPr>
      <w:rPr>
        <w:rFonts w:hint="default"/>
      </w:rPr>
    </w:lvl>
    <w:lvl w:ilvl="2">
      <w:start w:val="3"/>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93">
    <w:nsid w:val="58BC6A58"/>
    <w:multiLevelType w:val="multilevel"/>
    <w:tmpl w:val="24C4D64E"/>
    <w:lvl w:ilvl="0">
      <w:start w:val="3"/>
      <w:numFmt w:val="decimal"/>
      <w:lvlText w:val="%1"/>
      <w:lvlJc w:val="left"/>
      <w:pPr>
        <w:tabs>
          <w:tab w:val="num" w:pos="735"/>
        </w:tabs>
        <w:ind w:left="735" w:hanging="735"/>
      </w:pPr>
      <w:rPr>
        <w:rFonts w:hint="default"/>
      </w:rPr>
    </w:lvl>
    <w:lvl w:ilvl="1">
      <w:start w:val="10"/>
      <w:numFmt w:val="decimal"/>
      <w:lvlText w:val="%1.%2"/>
      <w:lvlJc w:val="left"/>
      <w:pPr>
        <w:tabs>
          <w:tab w:val="num" w:pos="735"/>
        </w:tabs>
        <w:ind w:left="735" w:hanging="735"/>
      </w:pPr>
      <w:rPr>
        <w:rFonts w:hint="default"/>
      </w:rPr>
    </w:lvl>
    <w:lvl w:ilvl="2">
      <w:start w:val="2"/>
      <w:numFmt w:val="decimal"/>
      <w:lvlText w:val="%1.%2.%3"/>
      <w:lvlJc w:val="left"/>
      <w:pPr>
        <w:tabs>
          <w:tab w:val="num" w:pos="735"/>
        </w:tabs>
        <w:ind w:left="735" w:hanging="735"/>
      </w:pPr>
      <w:rPr>
        <w:rFonts w:hint="default"/>
      </w:rPr>
    </w:lvl>
    <w:lvl w:ilvl="3">
      <w:start w:val="2"/>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4">
    <w:nsid w:val="597A75B3"/>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195">
    <w:nsid w:val="59C822D2"/>
    <w:multiLevelType w:val="multilevel"/>
    <w:tmpl w:val="0F0216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5A583A96"/>
    <w:multiLevelType w:val="hybridMultilevel"/>
    <w:tmpl w:val="A90EFB4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5A7874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8">
    <w:nsid w:val="5AC61768"/>
    <w:multiLevelType w:val="multilevel"/>
    <w:tmpl w:val="262E0FD8"/>
    <w:lvl w:ilvl="0">
      <w:start w:val="2"/>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2"/>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99">
    <w:nsid w:val="5B11779F"/>
    <w:multiLevelType w:val="hybridMultilevel"/>
    <w:tmpl w:val="92821B08"/>
    <w:lvl w:ilvl="0" w:tplc="4438A3F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01">
    <w:nsid w:val="5CCC4F0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2">
    <w:nsid w:val="5CFF70F3"/>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03">
    <w:nsid w:val="5DCD5C0A"/>
    <w:multiLevelType w:val="hybridMultilevel"/>
    <w:tmpl w:val="E5EAFE6E"/>
    <w:lvl w:ilvl="0" w:tplc="B4F46706">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4">
    <w:nsid w:val="5E22001F"/>
    <w:multiLevelType w:val="hybridMultilevel"/>
    <w:tmpl w:val="C02CD0A6"/>
    <w:lvl w:ilvl="0" w:tplc="9210F08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5">
    <w:nsid w:val="5E605E7F"/>
    <w:multiLevelType w:val="hybridMultilevel"/>
    <w:tmpl w:val="D45EB45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5F4D5BB1"/>
    <w:multiLevelType w:val="singleLevel"/>
    <w:tmpl w:val="E37A7660"/>
    <w:lvl w:ilvl="0">
      <w:start w:val="1"/>
      <w:numFmt w:val="decimal"/>
      <w:lvlText w:val="%1."/>
      <w:lvlJc w:val="left"/>
      <w:pPr>
        <w:tabs>
          <w:tab w:val="num" w:pos="1410"/>
        </w:tabs>
        <w:ind w:left="1410" w:hanging="1410"/>
      </w:pPr>
      <w:rPr>
        <w:rFonts w:hint="default"/>
      </w:rPr>
    </w:lvl>
  </w:abstractNum>
  <w:abstractNum w:abstractNumId="207">
    <w:nsid w:val="5FBE50C6"/>
    <w:multiLevelType w:val="multilevel"/>
    <w:tmpl w:val="E690C4C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8">
    <w:nsid w:val="5FFF0628"/>
    <w:multiLevelType w:val="hybridMultilevel"/>
    <w:tmpl w:val="C64AA670"/>
    <w:lvl w:ilvl="0" w:tplc="8A4E3E2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209">
    <w:nsid w:val="604172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0">
    <w:nsid w:val="609A4954"/>
    <w:multiLevelType w:val="singleLevel"/>
    <w:tmpl w:val="0809000F"/>
    <w:lvl w:ilvl="0">
      <w:start w:val="1"/>
      <w:numFmt w:val="decimal"/>
      <w:lvlText w:val="%1."/>
      <w:lvlJc w:val="left"/>
      <w:pPr>
        <w:tabs>
          <w:tab w:val="num" w:pos="360"/>
        </w:tabs>
        <w:ind w:left="360" w:hanging="360"/>
      </w:pPr>
    </w:lvl>
  </w:abstractNum>
  <w:abstractNum w:abstractNumId="211">
    <w:nsid w:val="60E1679C"/>
    <w:multiLevelType w:val="hybridMultilevel"/>
    <w:tmpl w:val="34B6B6F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60FB547E"/>
    <w:multiLevelType w:val="multilevel"/>
    <w:tmpl w:val="34502B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61024840"/>
    <w:multiLevelType w:val="hybridMultilevel"/>
    <w:tmpl w:val="1A9E800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4">
    <w:nsid w:val="6142657A"/>
    <w:multiLevelType w:val="multilevel"/>
    <w:tmpl w:val="5FB4F536"/>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61606A53"/>
    <w:multiLevelType w:val="hybridMultilevel"/>
    <w:tmpl w:val="A552AB3E"/>
    <w:lvl w:ilvl="0" w:tplc="F8C2DEB0">
      <w:start w:val="1"/>
      <w:numFmt w:val="bullet"/>
      <w:lvlText w:val="–"/>
      <w:lvlJc w:val="left"/>
      <w:pPr>
        <w:tabs>
          <w:tab w:val="num" w:pos="2268"/>
        </w:tabs>
        <w:ind w:left="2268"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6">
    <w:nsid w:val="6193210B"/>
    <w:multiLevelType w:val="singleLevel"/>
    <w:tmpl w:val="813C69E2"/>
    <w:lvl w:ilvl="0">
      <w:start w:val="1"/>
      <w:numFmt w:val="bullet"/>
      <w:lvlText w:val=""/>
      <w:lvlJc w:val="left"/>
      <w:pPr>
        <w:tabs>
          <w:tab w:val="num" w:pos="360"/>
        </w:tabs>
        <w:ind w:left="360" w:hanging="360"/>
      </w:pPr>
      <w:rPr>
        <w:rFonts w:ascii="Symbol" w:hAnsi="Symbol" w:hint="default"/>
      </w:rPr>
    </w:lvl>
  </w:abstractNum>
  <w:abstractNum w:abstractNumId="217">
    <w:nsid w:val="61B115A3"/>
    <w:multiLevelType w:val="multilevel"/>
    <w:tmpl w:val="7938BDEA"/>
    <w:lvl w:ilvl="0">
      <w:start w:val="3"/>
      <w:numFmt w:val="decimal"/>
      <w:lvlText w:val="%1"/>
      <w:lvlJc w:val="left"/>
      <w:pPr>
        <w:tabs>
          <w:tab w:val="num" w:pos="705"/>
        </w:tabs>
        <w:ind w:left="705" w:hanging="705"/>
      </w:pPr>
      <w:rPr>
        <w:rFonts w:hint="default"/>
        <w:i w:val="0"/>
      </w:rPr>
    </w:lvl>
    <w:lvl w:ilvl="1">
      <w:start w:val="8"/>
      <w:numFmt w:val="decimal"/>
      <w:lvlText w:val="%1.%2"/>
      <w:lvlJc w:val="left"/>
      <w:pPr>
        <w:tabs>
          <w:tab w:val="num" w:pos="705"/>
        </w:tabs>
        <w:ind w:left="705" w:hanging="70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18">
    <w:nsid w:val="629A763A"/>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19">
    <w:nsid w:val="62A655C6"/>
    <w:multiLevelType w:val="singleLevel"/>
    <w:tmpl w:val="0809000F"/>
    <w:lvl w:ilvl="0">
      <w:start w:val="1"/>
      <w:numFmt w:val="decimal"/>
      <w:lvlText w:val="%1."/>
      <w:lvlJc w:val="left"/>
      <w:pPr>
        <w:tabs>
          <w:tab w:val="num" w:pos="360"/>
        </w:tabs>
        <w:ind w:left="360" w:hanging="360"/>
      </w:pPr>
    </w:lvl>
  </w:abstractNum>
  <w:abstractNum w:abstractNumId="220">
    <w:nsid w:val="632B4735"/>
    <w:multiLevelType w:val="singleLevel"/>
    <w:tmpl w:val="04130001"/>
    <w:lvl w:ilvl="0">
      <w:start w:val="2"/>
      <w:numFmt w:val="bullet"/>
      <w:lvlText w:val=""/>
      <w:lvlJc w:val="left"/>
      <w:pPr>
        <w:tabs>
          <w:tab w:val="num" w:pos="360"/>
        </w:tabs>
        <w:ind w:left="360" w:hanging="360"/>
      </w:pPr>
      <w:rPr>
        <w:rFonts w:ascii="Symbol" w:hAnsi="Symbol" w:hint="default"/>
      </w:rPr>
    </w:lvl>
  </w:abstractNum>
  <w:abstractNum w:abstractNumId="221">
    <w:nsid w:val="64A4433E"/>
    <w:multiLevelType w:val="hybridMultilevel"/>
    <w:tmpl w:val="BA4C6BA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64FC69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3">
    <w:nsid w:val="650D7283"/>
    <w:multiLevelType w:val="hybridMultilevel"/>
    <w:tmpl w:val="92821B08"/>
    <w:lvl w:ilvl="0" w:tplc="A1EC8A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4">
    <w:nsid w:val="652E6F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5">
    <w:nsid w:val="658C0557"/>
    <w:multiLevelType w:val="multilevel"/>
    <w:tmpl w:val="1D86DD74"/>
    <w:lvl w:ilvl="0">
      <w:start w:val="3"/>
      <w:numFmt w:val="decimal"/>
      <w:lvlText w:val="%1"/>
      <w:lvlJc w:val="left"/>
      <w:pPr>
        <w:tabs>
          <w:tab w:val="num" w:pos="765"/>
        </w:tabs>
        <w:ind w:left="765" w:hanging="765"/>
      </w:pPr>
      <w:rPr>
        <w:rFonts w:hint="default"/>
      </w:rPr>
    </w:lvl>
    <w:lvl w:ilvl="1">
      <w:start w:val="3"/>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6">
    <w:nsid w:val="65D15DFE"/>
    <w:multiLevelType w:val="singleLevel"/>
    <w:tmpl w:val="475E6D3C"/>
    <w:lvl w:ilvl="0">
      <w:start w:val="1"/>
      <w:numFmt w:val="decimal"/>
      <w:lvlText w:val="%1."/>
      <w:lvlJc w:val="left"/>
      <w:pPr>
        <w:tabs>
          <w:tab w:val="num" w:pos="360"/>
        </w:tabs>
        <w:ind w:left="360" w:hanging="360"/>
      </w:pPr>
    </w:lvl>
  </w:abstractNum>
  <w:abstractNum w:abstractNumId="227">
    <w:nsid w:val="65D575E6"/>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8">
    <w:nsid w:val="667A27F1"/>
    <w:multiLevelType w:val="multilevel"/>
    <w:tmpl w:val="0A96914C"/>
    <w:lvl w:ilvl="0">
      <w:start w:val="3"/>
      <w:numFmt w:val="decimal"/>
      <w:lvlText w:val="%1"/>
      <w:lvlJc w:val="left"/>
      <w:pPr>
        <w:tabs>
          <w:tab w:val="num" w:pos="615"/>
        </w:tabs>
        <w:ind w:left="615" w:hanging="615"/>
      </w:pPr>
      <w:rPr>
        <w:rFonts w:hint="default"/>
      </w:rPr>
    </w:lvl>
    <w:lvl w:ilvl="1">
      <w:start w:val="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9">
    <w:nsid w:val="668D6B1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30">
    <w:nsid w:val="66BA4AC2"/>
    <w:multiLevelType w:val="singleLevel"/>
    <w:tmpl w:val="0809000F"/>
    <w:lvl w:ilvl="0">
      <w:start w:val="1"/>
      <w:numFmt w:val="decimal"/>
      <w:lvlText w:val="%1."/>
      <w:lvlJc w:val="left"/>
      <w:pPr>
        <w:tabs>
          <w:tab w:val="num" w:pos="360"/>
        </w:tabs>
        <w:ind w:left="360" w:hanging="360"/>
      </w:pPr>
    </w:lvl>
  </w:abstractNum>
  <w:abstractNum w:abstractNumId="231">
    <w:nsid w:val="673E0C79"/>
    <w:multiLevelType w:val="singleLevel"/>
    <w:tmpl w:val="6450BC6A"/>
    <w:lvl w:ilvl="0">
      <w:start w:val="1"/>
      <w:numFmt w:val="decimal"/>
      <w:lvlText w:val="%1)"/>
      <w:lvlJc w:val="left"/>
      <w:pPr>
        <w:tabs>
          <w:tab w:val="num" w:pos="851"/>
        </w:tabs>
        <w:ind w:left="851" w:hanging="360"/>
      </w:pPr>
      <w:rPr>
        <w:rFonts w:hint="default"/>
      </w:rPr>
    </w:lvl>
  </w:abstractNum>
  <w:abstractNum w:abstractNumId="232">
    <w:nsid w:val="67A86BDE"/>
    <w:multiLevelType w:val="singleLevel"/>
    <w:tmpl w:val="C7BC1932"/>
    <w:lvl w:ilvl="0">
      <w:numFmt w:val="bullet"/>
      <w:lvlText w:val="-"/>
      <w:lvlJc w:val="left"/>
      <w:pPr>
        <w:tabs>
          <w:tab w:val="num" w:pos="360"/>
        </w:tabs>
        <w:ind w:left="360" w:hanging="360"/>
      </w:pPr>
      <w:rPr>
        <w:rFonts w:hint="default"/>
      </w:rPr>
    </w:lvl>
  </w:abstractNum>
  <w:abstractNum w:abstractNumId="233">
    <w:nsid w:val="67AB4BA3"/>
    <w:multiLevelType w:val="hybridMultilevel"/>
    <w:tmpl w:val="E5EAFE6E"/>
    <w:lvl w:ilvl="0" w:tplc="56D0E348">
      <w:start w:val="1"/>
      <w:numFmt w:val="bullet"/>
      <w:lvlText w:val="─"/>
      <w:lvlJc w:val="left"/>
      <w:pPr>
        <w:tabs>
          <w:tab w:val="num" w:pos="720"/>
        </w:tabs>
        <w:ind w:left="720" w:hanging="360"/>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4">
    <w:nsid w:val="68252419"/>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35">
    <w:nsid w:val="68D21987"/>
    <w:multiLevelType w:val="multilevel"/>
    <w:tmpl w:val="E536FD26"/>
    <w:lvl w:ilvl="0">
      <w:start w:val="3"/>
      <w:numFmt w:val="bullet"/>
      <w:lvlText w:val="-"/>
      <w:lvlJc w:val="left"/>
      <w:pPr>
        <w:tabs>
          <w:tab w:val="num" w:pos="720"/>
        </w:tabs>
        <w:ind w:left="720" w:hanging="360"/>
      </w:pPr>
      <w:rPr>
        <w:rFonts w:ascii="OCWTalent" w:eastAsia="Times New Roman" w:hAnsi="OCWTalent" w:cs="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68E6115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7">
    <w:nsid w:val="691102A4"/>
    <w:multiLevelType w:val="multilevel"/>
    <w:tmpl w:val="0A56DEF0"/>
    <w:lvl w:ilvl="0">
      <w:start w:val="2"/>
      <w:numFmt w:val="decimal"/>
      <w:lvlText w:val="%1"/>
      <w:lvlJc w:val="left"/>
      <w:pPr>
        <w:tabs>
          <w:tab w:val="num" w:pos="360"/>
        </w:tabs>
        <w:ind w:left="360" w:hanging="360"/>
      </w:pPr>
      <w:rPr>
        <w:rFonts w:hint="default"/>
        <w:sz w:val="22"/>
      </w:rPr>
    </w:lvl>
    <w:lvl w:ilvl="1">
      <w:start w:val="2"/>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38">
    <w:nsid w:val="69D322EC"/>
    <w:multiLevelType w:val="hybridMultilevel"/>
    <w:tmpl w:val="E84EA798"/>
    <w:lvl w:ilvl="0" w:tplc="2ED4C9CA">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9">
    <w:nsid w:val="6A517941"/>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40">
    <w:nsid w:val="6AB43BB1"/>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1">
    <w:nsid w:val="6B1837D5"/>
    <w:multiLevelType w:val="hybridMultilevel"/>
    <w:tmpl w:val="C64AA670"/>
    <w:lvl w:ilvl="0" w:tplc="9424986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abstractNum w:abstractNumId="242">
    <w:nsid w:val="6B4B59B7"/>
    <w:multiLevelType w:val="hybridMultilevel"/>
    <w:tmpl w:val="1732527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3">
    <w:nsid w:val="6C3B70E0"/>
    <w:multiLevelType w:val="multilevel"/>
    <w:tmpl w:val="3DDCABC2"/>
    <w:lvl w:ilvl="0">
      <w:start w:val="3"/>
      <w:numFmt w:val="decimal"/>
      <w:lvlText w:val="%1"/>
      <w:lvlJc w:val="left"/>
      <w:pPr>
        <w:tabs>
          <w:tab w:val="num" w:pos="1410"/>
        </w:tabs>
        <w:ind w:left="1410" w:hanging="1410"/>
      </w:pPr>
      <w:rPr>
        <w:rFonts w:hint="default"/>
        <w:i w:val="0"/>
      </w:rPr>
    </w:lvl>
    <w:lvl w:ilvl="1">
      <w:start w:val="7"/>
      <w:numFmt w:val="decimal"/>
      <w:lvlText w:val="%1.%2"/>
      <w:lvlJc w:val="left"/>
      <w:pPr>
        <w:tabs>
          <w:tab w:val="num" w:pos="1410"/>
        </w:tabs>
        <w:ind w:left="1410" w:hanging="1410"/>
      </w:pPr>
      <w:rPr>
        <w:rFonts w:hint="default"/>
        <w:i w:val="0"/>
      </w:rPr>
    </w:lvl>
    <w:lvl w:ilvl="2">
      <w:start w:val="1"/>
      <w:numFmt w:val="decimal"/>
      <w:lvlText w:val="%1.%2.%3"/>
      <w:lvlJc w:val="left"/>
      <w:pPr>
        <w:tabs>
          <w:tab w:val="num" w:pos="1410"/>
        </w:tabs>
        <w:ind w:left="1410" w:hanging="1410"/>
      </w:pPr>
      <w:rPr>
        <w:rFonts w:hint="default"/>
        <w:i w:val="0"/>
      </w:rPr>
    </w:lvl>
    <w:lvl w:ilvl="3">
      <w:start w:val="1"/>
      <w:numFmt w:val="decimal"/>
      <w:lvlText w:val="%1.%2.%3.%4"/>
      <w:lvlJc w:val="left"/>
      <w:pPr>
        <w:tabs>
          <w:tab w:val="num" w:pos="1410"/>
        </w:tabs>
        <w:ind w:left="1410" w:hanging="1410"/>
      </w:pPr>
      <w:rPr>
        <w:rFonts w:hint="default"/>
        <w:i w:val="0"/>
      </w:rPr>
    </w:lvl>
    <w:lvl w:ilvl="4">
      <w:start w:val="1"/>
      <w:numFmt w:val="decimal"/>
      <w:lvlText w:val="%1.%2.%3.%4.%5"/>
      <w:lvlJc w:val="left"/>
      <w:pPr>
        <w:tabs>
          <w:tab w:val="num" w:pos="1410"/>
        </w:tabs>
        <w:ind w:left="1410" w:hanging="1410"/>
      </w:pPr>
      <w:rPr>
        <w:rFonts w:hint="default"/>
        <w:i w:val="0"/>
      </w:rPr>
    </w:lvl>
    <w:lvl w:ilvl="5">
      <w:start w:val="1"/>
      <w:numFmt w:val="decimal"/>
      <w:lvlText w:val="%1.%2.%3.%4.%5.%6"/>
      <w:lvlJc w:val="left"/>
      <w:pPr>
        <w:tabs>
          <w:tab w:val="num" w:pos="1410"/>
        </w:tabs>
        <w:ind w:left="1410" w:hanging="141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44">
    <w:nsid w:val="6C3C1451"/>
    <w:multiLevelType w:val="hybridMultilevel"/>
    <w:tmpl w:val="329ACE5A"/>
    <w:lvl w:ilvl="0" w:tplc="6AB656AE">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5">
    <w:nsid w:val="6E2F5C9F"/>
    <w:multiLevelType w:val="hybridMultilevel"/>
    <w:tmpl w:val="280CB136"/>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6E546CA5"/>
    <w:multiLevelType w:val="multilevel"/>
    <w:tmpl w:val="0E28803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7">
    <w:nsid w:val="6E7E2B91"/>
    <w:multiLevelType w:val="singleLevel"/>
    <w:tmpl w:val="0809000F"/>
    <w:lvl w:ilvl="0">
      <w:start w:val="1"/>
      <w:numFmt w:val="decimal"/>
      <w:lvlText w:val="%1."/>
      <w:lvlJc w:val="left"/>
      <w:pPr>
        <w:tabs>
          <w:tab w:val="num" w:pos="360"/>
        </w:tabs>
        <w:ind w:left="360" w:hanging="360"/>
      </w:pPr>
    </w:lvl>
  </w:abstractNum>
  <w:abstractNum w:abstractNumId="248">
    <w:nsid w:val="6E870489"/>
    <w:multiLevelType w:val="multilevel"/>
    <w:tmpl w:val="72C8FAB2"/>
    <w:lvl w:ilvl="0">
      <w:start w:val="3"/>
      <w:numFmt w:val="decimal"/>
      <w:lvlText w:val="%1"/>
      <w:lvlJc w:val="left"/>
      <w:pPr>
        <w:tabs>
          <w:tab w:val="num" w:pos="705"/>
        </w:tabs>
        <w:ind w:left="705" w:hanging="705"/>
      </w:pPr>
      <w:rPr>
        <w:rFonts w:hint="default"/>
        <w:u w:val="single"/>
      </w:rPr>
    </w:lvl>
    <w:lvl w:ilvl="1">
      <w:start w:val="7"/>
      <w:numFmt w:val="decimal"/>
      <w:lvlText w:val="%1.%2"/>
      <w:lvlJc w:val="left"/>
      <w:pPr>
        <w:tabs>
          <w:tab w:val="num" w:pos="705"/>
        </w:tabs>
        <w:ind w:left="705" w:hanging="705"/>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49">
    <w:nsid w:val="6E9D3E10"/>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50">
    <w:nsid w:val="6F24105D"/>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1">
    <w:nsid w:val="6FC23133"/>
    <w:multiLevelType w:val="multilevel"/>
    <w:tmpl w:val="655ABD56"/>
    <w:lvl w:ilvl="0">
      <w:start w:val="3"/>
      <w:numFmt w:val="decimal"/>
      <w:lvlText w:val="%1"/>
      <w:lvlJc w:val="left"/>
      <w:pPr>
        <w:tabs>
          <w:tab w:val="num" w:pos="705"/>
        </w:tabs>
        <w:ind w:left="705" w:hanging="705"/>
      </w:pPr>
      <w:rPr>
        <w:rFonts w:hint="default"/>
        <w:u w:val="single"/>
      </w:rPr>
    </w:lvl>
    <w:lvl w:ilvl="1">
      <w:start w:val="8"/>
      <w:numFmt w:val="decimal"/>
      <w:lvlText w:val="%1.%2"/>
      <w:lvlJc w:val="left"/>
      <w:pPr>
        <w:tabs>
          <w:tab w:val="num" w:pos="705"/>
        </w:tabs>
        <w:ind w:left="705" w:hanging="705"/>
      </w:pPr>
      <w:rPr>
        <w:rFonts w:hint="default"/>
        <w:u w:val="single"/>
      </w:rPr>
    </w:lvl>
    <w:lvl w:ilvl="2">
      <w:start w:val="4"/>
      <w:numFmt w:val="decimal"/>
      <w:lvlText w:val="%1.%2.%3"/>
      <w:lvlJc w:val="left"/>
      <w:pPr>
        <w:tabs>
          <w:tab w:val="num" w:pos="720"/>
        </w:tabs>
        <w:ind w:left="720" w:hanging="720"/>
      </w:pPr>
      <w:rPr>
        <w:rFonts w:hint="default"/>
        <w:u w:val="single"/>
      </w:rPr>
    </w:lvl>
    <w:lvl w:ilvl="3">
      <w:start w:val="2"/>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52">
    <w:nsid w:val="6FD939A9"/>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53">
    <w:nsid w:val="703C7D31"/>
    <w:multiLevelType w:val="hybridMultilevel"/>
    <w:tmpl w:val="C5946E1A"/>
    <w:lvl w:ilvl="0" w:tplc="42BEE78E">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4">
    <w:nsid w:val="711B7196"/>
    <w:multiLevelType w:val="multilevel"/>
    <w:tmpl w:val="CCC8BE6E"/>
    <w:lvl w:ilvl="0">
      <w:start w:val="2"/>
      <w:numFmt w:val="decimal"/>
      <w:lvlText w:val="%1"/>
      <w:lvlJc w:val="left"/>
      <w:pPr>
        <w:tabs>
          <w:tab w:val="num" w:pos="1410"/>
        </w:tabs>
        <w:ind w:left="1410" w:hanging="1410"/>
      </w:pPr>
      <w:rPr>
        <w:rFonts w:hint="default"/>
      </w:rPr>
    </w:lvl>
    <w:lvl w:ilvl="1">
      <w:start w:val="4"/>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5">
    <w:nsid w:val="72ED33B8"/>
    <w:multiLevelType w:val="multilevel"/>
    <w:tmpl w:val="AA980CAC"/>
    <w:lvl w:ilvl="0">
      <w:start w:val="2"/>
      <w:numFmt w:val="decimal"/>
      <w:lvlText w:val="%1"/>
      <w:lvlJc w:val="left"/>
      <w:pPr>
        <w:tabs>
          <w:tab w:val="num" w:pos="1410"/>
        </w:tabs>
        <w:ind w:left="1410" w:hanging="1410"/>
      </w:pPr>
      <w:rPr>
        <w:rFonts w:hint="default"/>
      </w:rPr>
    </w:lvl>
    <w:lvl w:ilvl="1">
      <w:start w:val="10"/>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3"/>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6">
    <w:nsid w:val="734567FE"/>
    <w:multiLevelType w:val="multilevel"/>
    <w:tmpl w:val="8E0C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738A3F7E"/>
    <w:multiLevelType w:val="hybridMultilevel"/>
    <w:tmpl w:val="8A1855BE"/>
    <w:lvl w:ilvl="0" w:tplc="0ED0C80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8">
    <w:nsid w:val="73F2597B"/>
    <w:multiLevelType w:val="hybridMultilevel"/>
    <w:tmpl w:val="329ACE5A"/>
    <w:lvl w:ilvl="0" w:tplc="A1EC8A9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9">
    <w:nsid w:val="74635615"/>
    <w:multiLevelType w:val="singleLevel"/>
    <w:tmpl w:val="0809000F"/>
    <w:lvl w:ilvl="0">
      <w:start w:val="1"/>
      <w:numFmt w:val="decimal"/>
      <w:lvlText w:val="%1."/>
      <w:lvlJc w:val="left"/>
      <w:pPr>
        <w:tabs>
          <w:tab w:val="num" w:pos="360"/>
        </w:tabs>
        <w:ind w:left="360" w:hanging="360"/>
      </w:pPr>
    </w:lvl>
  </w:abstractNum>
  <w:abstractNum w:abstractNumId="260">
    <w:nsid w:val="74AB0F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1">
    <w:nsid w:val="751B600A"/>
    <w:multiLevelType w:val="hybridMultilevel"/>
    <w:tmpl w:val="66CE434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778034B5"/>
    <w:multiLevelType w:val="multilevel"/>
    <w:tmpl w:val="C722044E"/>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77FF3823"/>
    <w:multiLevelType w:val="multilevel"/>
    <w:tmpl w:val="9732EBB4"/>
    <w:lvl w:ilvl="0">
      <w:start w:val="3"/>
      <w:numFmt w:val="decimal"/>
      <w:lvlText w:val="%1"/>
      <w:lvlJc w:val="left"/>
      <w:pPr>
        <w:tabs>
          <w:tab w:val="num" w:pos="705"/>
        </w:tabs>
        <w:ind w:left="705" w:hanging="705"/>
      </w:pPr>
      <w:rPr>
        <w:rFonts w:hint="default"/>
        <w:u w:val="single"/>
      </w:rPr>
    </w:lvl>
    <w:lvl w:ilvl="1">
      <w:start w:val="10"/>
      <w:numFmt w:val="decimal"/>
      <w:lvlText w:val="%1.%2"/>
      <w:lvlJc w:val="left"/>
      <w:pPr>
        <w:tabs>
          <w:tab w:val="num" w:pos="705"/>
        </w:tabs>
        <w:ind w:left="705" w:hanging="705"/>
      </w:pPr>
      <w:rPr>
        <w:rFonts w:hint="default"/>
        <w:u w:val="single"/>
      </w:rPr>
    </w:lvl>
    <w:lvl w:ilvl="2">
      <w:start w:val="3"/>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720"/>
        </w:tabs>
        <w:ind w:left="720" w:hanging="72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080"/>
        </w:tabs>
        <w:ind w:left="1080" w:hanging="108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440"/>
        </w:tabs>
        <w:ind w:left="1440" w:hanging="1440"/>
      </w:pPr>
      <w:rPr>
        <w:rFonts w:hint="default"/>
        <w:u w:val="single"/>
      </w:rPr>
    </w:lvl>
  </w:abstractNum>
  <w:abstractNum w:abstractNumId="264">
    <w:nsid w:val="789653D9"/>
    <w:multiLevelType w:val="multilevel"/>
    <w:tmpl w:val="F4F03596"/>
    <w:lvl w:ilvl="0">
      <w:start w:val="3"/>
      <w:numFmt w:val="decimal"/>
      <w:lvlText w:val="%1"/>
      <w:lvlJc w:val="left"/>
      <w:pPr>
        <w:tabs>
          <w:tab w:val="num" w:pos="390"/>
        </w:tabs>
        <w:ind w:left="390" w:hanging="390"/>
      </w:pPr>
      <w:rPr>
        <w:rFonts w:hint="default"/>
      </w:rPr>
    </w:lvl>
    <w:lvl w:ilvl="1">
      <w:start w:val="9"/>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5">
    <w:nsid w:val="78B03B44"/>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66">
    <w:nsid w:val="79371714"/>
    <w:multiLevelType w:val="singleLevel"/>
    <w:tmpl w:val="A7C01ABA"/>
    <w:lvl w:ilvl="0">
      <w:start w:val="2"/>
      <w:numFmt w:val="bullet"/>
      <w:lvlText w:val=""/>
      <w:lvlJc w:val="left"/>
      <w:pPr>
        <w:tabs>
          <w:tab w:val="num" w:pos="360"/>
        </w:tabs>
        <w:ind w:left="360" w:hanging="360"/>
      </w:pPr>
      <w:rPr>
        <w:rFonts w:ascii="Symbol" w:hAnsi="Symbol" w:hint="default"/>
      </w:rPr>
    </w:lvl>
  </w:abstractNum>
  <w:abstractNum w:abstractNumId="267">
    <w:nsid w:val="79A44AEF"/>
    <w:multiLevelType w:val="multilevel"/>
    <w:tmpl w:val="93EC51EA"/>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2130"/>
        </w:tabs>
        <w:ind w:left="2130" w:hanging="2130"/>
      </w:pPr>
      <w:rPr>
        <w:rFonts w:hint="default"/>
        <w:i w:val="0"/>
      </w:rPr>
    </w:lvl>
    <w:lvl w:ilvl="2">
      <w:start w:val="1"/>
      <w:numFmt w:val="decimal"/>
      <w:isLgl/>
      <w:lvlText w:val="%1.%2.%3"/>
      <w:lvlJc w:val="left"/>
      <w:pPr>
        <w:tabs>
          <w:tab w:val="num" w:pos="2130"/>
        </w:tabs>
        <w:ind w:left="2130" w:hanging="2130"/>
      </w:pPr>
      <w:rPr>
        <w:rFonts w:hint="default"/>
        <w:i w:val="0"/>
      </w:rPr>
    </w:lvl>
    <w:lvl w:ilvl="3">
      <w:start w:val="1"/>
      <w:numFmt w:val="decimal"/>
      <w:isLgl/>
      <w:lvlText w:val="%1.%2.%3.%4"/>
      <w:lvlJc w:val="left"/>
      <w:pPr>
        <w:tabs>
          <w:tab w:val="num" w:pos="2130"/>
        </w:tabs>
        <w:ind w:left="2130" w:hanging="2130"/>
      </w:pPr>
      <w:rPr>
        <w:rFonts w:hint="default"/>
        <w:i w:val="0"/>
      </w:rPr>
    </w:lvl>
    <w:lvl w:ilvl="4">
      <w:start w:val="1"/>
      <w:numFmt w:val="decimal"/>
      <w:isLgl/>
      <w:lvlText w:val="%1.%2.%3.%4.%5"/>
      <w:lvlJc w:val="left"/>
      <w:pPr>
        <w:tabs>
          <w:tab w:val="num" w:pos="2130"/>
        </w:tabs>
        <w:ind w:left="2130" w:hanging="2130"/>
      </w:pPr>
      <w:rPr>
        <w:rFonts w:hint="default"/>
        <w:i w:val="0"/>
      </w:rPr>
    </w:lvl>
    <w:lvl w:ilvl="5">
      <w:start w:val="1"/>
      <w:numFmt w:val="decimal"/>
      <w:isLgl/>
      <w:lvlText w:val="%1.%2.%3.%4.%5.%6"/>
      <w:lvlJc w:val="left"/>
      <w:pPr>
        <w:tabs>
          <w:tab w:val="num" w:pos="2130"/>
        </w:tabs>
        <w:ind w:left="2130" w:hanging="2130"/>
      </w:pPr>
      <w:rPr>
        <w:rFonts w:hint="default"/>
        <w:i w:val="0"/>
      </w:rPr>
    </w:lvl>
    <w:lvl w:ilvl="6">
      <w:start w:val="1"/>
      <w:numFmt w:val="decimal"/>
      <w:isLgl/>
      <w:lvlText w:val="%1.%2.%3.%4.%5.%6.%7"/>
      <w:lvlJc w:val="left"/>
      <w:pPr>
        <w:tabs>
          <w:tab w:val="num" w:pos="2130"/>
        </w:tabs>
        <w:ind w:left="2130" w:hanging="2130"/>
      </w:pPr>
      <w:rPr>
        <w:rFonts w:hint="default"/>
        <w:i w:val="0"/>
      </w:rPr>
    </w:lvl>
    <w:lvl w:ilvl="7">
      <w:start w:val="1"/>
      <w:numFmt w:val="decimal"/>
      <w:isLgl/>
      <w:lvlText w:val="%1.%2.%3.%4.%5.%6.%7.%8"/>
      <w:lvlJc w:val="left"/>
      <w:pPr>
        <w:tabs>
          <w:tab w:val="num" w:pos="2130"/>
        </w:tabs>
        <w:ind w:left="2130" w:hanging="2130"/>
      </w:pPr>
      <w:rPr>
        <w:rFonts w:hint="default"/>
        <w:i w:val="0"/>
      </w:rPr>
    </w:lvl>
    <w:lvl w:ilvl="8">
      <w:start w:val="1"/>
      <w:numFmt w:val="decimal"/>
      <w:isLgl/>
      <w:lvlText w:val="%1.%2.%3.%4.%5.%6.%7.%8.%9"/>
      <w:lvlJc w:val="left"/>
      <w:pPr>
        <w:tabs>
          <w:tab w:val="num" w:pos="2130"/>
        </w:tabs>
        <w:ind w:left="2130" w:hanging="2130"/>
      </w:pPr>
      <w:rPr>
        <w:rFonts w:hint="default"/>
        <w:i w:val="0"/>
      </w:rPr>
    </w:lvl>
  </w:abstractNum>
  <w:abstractNum w:abstractNumId="268">
    <w:nsid w:val="7ACA643D"/>
    <w:multiLevelType w:val="singleLevel"/>
    <w:tmpl w:val="0409000F"/>
    <w:lvl w:ilvl="0">
      <w:start w:val="1"/>
      <w:numFmt w:val="decimal"/>
      <w:lvlText w:val="%1."/>
      <w:lvlJc w:val="left"/>
      <w:pPr>
        <w:tabs>
          <w:tab w:val="num" w:pos="360"/>
        </w:tabs>
        <w:ind w:left="360" w:hanging="360"/>
      </w:pPr>
    </w:lvl>
  </w:abstractNum>
  <w:abstractNum w:abstractNumId="269">
    <w:nsid w:val="7B3A235B"/>
    <w:multiLevelType w:val="multilevel"/>
    <w:tmpl w:val="0E9E471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360"/>
        </w:tabs>
        <w:ind w:left="360" w:hanging="36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4."/>
      <w:lvlJc w:val="left"/>
      <w:pPr>
        <w:tabs>
          <w:tab w:val="num" w:pos="1080"/>
        </w:tabs>
        <w:ind w:left="1080" w:hanging="360"/>
      </w:pPr>
      <w:rPr>
        <w:rFonts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0">
    <w:nsid w:val="7BDB52CF"/>
    <w:multiLevelType w:val="multilevel"/>
    <w:tmpl w:val="29FE5D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272">
    <w:nsid w:val="7DBF6B58"/>
    <w:multiLevelType w:val="singleLevel"/>
    <w:tmpl w:val="0409000F"/>
    <w:lvl w:ilvl="0">
      <w:start w:val="1"/>
      <w:numFmt w:val="decimal"/>
      <w:lvlText w:val="%1."/>
      <w:lvlJc w:val="left"/>
      <w:pPr>
        <w:tabs>
          <w:tab w:val="num" w:pos="360"/>
        </w:tabs>
        <w:ind w:left="360" w:hanging="360"/>
      </w:pPr>
    </w:lvl>
  </w:abstractNum>
  <w:abstractNum w:abstractNumId="273">
    <w:nsid w:val="7DC42671"/>
    <w:multiLevelType w:val="singleLevel"/>
    <w:tmpl w:val="EEB2D61A"/>
    <w:lvl w:ilvl="0">
      <w:start w:val="1"/>
      <w:numFmt w:val="bullet"/>
      <w:lvlText w:val=""/>
      <w:lvlJc w:val="left"/>
      <w:pPr>
        <w:tabs>
          <w:tab w:val="num" w:pos="360"/>
        </w:tabs>
        <w:ind w:left="360" w:hanging="360"/>
      </w:pPr>
      <w:rPr>
        <w:rFonts w:ascii="Symbol" w:hAnsi="Symbol" w:hint="default"/>
      </w:rPr>
    </w:lvl>
  </w:abstractNum>
  <w:abstractNum w:abstractNumId="274">
    <w:nsid w:val="7E8A3DD9"/>
    <w:multiLevelType w:val="singleLevel"/>
    <w:tmpl w:val="C9DA452A"/>
    <w:lvl w:ilvl="0">
      <w:start w:val="1"/>
      <w:numFmt w:val="decimal"/>
      <w:lvlText w:val="%1."/>
      <w:lvlJc w:val="left"/>
      <w:pPr>
        <w:tabs>
          <w:tab w:val="num" w:pos="720"/>
        </w:tabs>
        <w:ind w:left="720" w:hanging="360"/>
      </w:pPr>
      <w:rPr>
        <w:rFonts w:hint="default"/>
      </w:rPr>
    </w:lvl>
  </w:abstractNum>
  <w:abstractNum w:abstractNumId="275">
    <w:nsid w:val="7E8C0A62"/>
    <w:multiLevelType w:val="multilevel"/>
    <w:tmpl w:val="FB3CC7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6">
    <w:nsid w:val="7EAC4ED2"/>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7">
    <w:nsid w:val="7EAE213D"/>
    <w:multiLevelType w:val="hybridMultilevel"/>
    <w:tmpl w:val="BA1A2C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8">
    <w:nsid w:val="7EE91703"/>
    <w:multiLevelType w:val="multilevel"/>
    <w:tmpl w:val="14A08D90"/>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9">
    <w:nsid w:val="7F0666CD"/>
    <w:multiLevelType w:val="singleLevel"/>
    <w:tmpl w:val="C7BC1932"/>
    <w:lvl w:ilvl="0">
      <w:start w:val="7"/>
      <w:numFmt w:val="bullet"/>
      <w:lvlText w:val="-"/>
      <w:lvlJc w:val="left"/>
      <w:pPr>
        <w:tabs>
          <w:tab w:val="num" w:pos="360"/>
        </w:tabs>
        <w:ind w:left="360" w:hanging="360"/>
      </w:pPr>
      <w:rPr>
        <w:rFonts w:ascii="Times New Roman" w:hAnsi="Times New Roman" w:hint="default"/>
      </w:rPr>
    </w:lvl>
  </w:abstractNum>
  <w:abstractNum w:abstractNumId="280">
    <w:nsid w:val="7F314660"/>
    <w:multiLevelType w:val="multilevel"/>
    <w:tmpl w:val="153AA8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7F425D37"/>
    <w:multiLevelType w:val="singleLevel"/>
    <w:tmpl w:val="04130005"/>
    <w:lvl w:ilvl="0">
      <w:start w:val="1"/>
      <w:numFmt w:val="bullet"/>
      <w:lvlText w:val=""/>
      <w:lvlJc w:val="left"/>
      <w:pPr>
        <w:tabs>
          <w:tab w:val="num" w:pos="360"/>
        </w:tabs>
        <w:ind w:left="360" w:hanging="360"/>
      </w:pPr>
      <w:rPr>
        <w:rFonts w:ascii="Wingdings" w:hAnsi="Wingdings" w:hint="default"/>
      </w:rPr>
    </w:lvl>
  </w:abstractNum>
  <w:abstractNum w:abstractNumId="282">
    <w:nsid w:val="7F7D346E"/>
    <w:multiLevelType w:val="hybridMultilevel"/>
    <w:tmpl w:val="60E82D80"/>
    <w:lvl w:ilvl="0" w:tplc="4394D01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7FD67E5A"/>
    <w:multiLevelType w:val="singleLevel"/>
    <w:tmpl w:val="17462E02"/>
    <w:lvl w:ilvl="0">
      <w:numFmt w:val="bullet"/>
      <w:lvlText w:val="-"/>
      <w:lvlJc w:val="left"/>
      <w:pPr>
        <w:tabs>
          <w:tab w:val="num" w:pos="861"/>
        </w:tabs>
        <w:ind w:left="861" w:hanging="435"/>
      </w:pPr>
      <w:rPr>
        <w:rFonts w:hint="default"/>
      </w:rPr>
    </w:lvl>
  </w:abstractNum>
  <w:num w:numId="1">
    <w:abstractNumId w:val="103"/>
  </w:num>
  <w:num w:numId="2">
    <w:abstractNumId w:val="103"/>
  </w:num>
  <w:num w:numId="3">
    <w:abstractNumId w:val="9"/>
  </w:num>
  <w:num w:numId="4">
    <w:abstractNumId w:val="8"/>
  </w:num>
  <w:num w:numId="5">
    <w:abstractNumId w:val="47"/>
  </w:num>
  <w:num w:numId="6">
    <w:abstractNumId w:val="222"/>
  </w:num>
  <w:num w:numId="7">
    <w:abstractNumId w:val="177"/>
  </w:num>
  <w:num w:numId="8">
    <w:abstractNumId w:val="54"/>
  </w:num>
  <w:num w:numId="9">
    <w:abstractNumId w:val="89"/>
  </w:num>
  <w:num w:numId="10">
    <w:abstractNumId w:val="260"/>
  </w:num>
  <w:num w:numId="11">
    <w:abstractNumId w:val="197"/>
  </w:num>
  <w:num w:numId="12">
    <w:abstractNumId w:val="206"/>
  </w:num>
  <w:num w:numId="13">
    <w:abstractNumId w:val="184"/>
  </w:num>
  <w:num w:numId="14">
    <w:abstractNumId w:val="29"/>
  </w:num>
  <w:num w:numId="15">
    <w:abstractNumId w:val="156"/>
  </w:num>
  <w:num w:numId="16">
    <w:abstractNumId w:val="133"/>
  </w:num>
  <w:num w:numId="17">
    <w:abstractNumId w:val="12"/>
  </w:num>
  <w:num w:numId="18">
    <w:abstractNumId w:val="143"/>
  </w:num>
  <w:num w:numId="19">
    <w:abstractNumId w:val="198"/>
  </w:num>
  <w:num w:numId="20">
    <w:abstractNumId w:val="51"/>
  </w:num>
  <w:num w:numId="21">
    <w:abstractNumId w:val="188"/>
  </w:num>
  <w:num w:numId="22">
    <w:abstractNumId w:val="56"/>
  </w:num>
  <w:num w:numId="23">
    <w:abstractNumId w:val="236"/>
  </w:num>
  <w:num w:numId="24">
    <w:abstractNumId w:val="16"/>
  </w:num>
  <w:num w:numId="25">
    <w:abstractNumId w:val="207"/>
  </w:num>
  <w:num w:numId="26">
    <w:abstractNumId w:val="92"/>
  </w:num>
  <w:num w:numId="27">
    <w:abstractNumId w:val="150"/>
  </w:num>
  <w:num w:numId="28">
    <w:abstractNumId w:val="134"/>
  </w:num>
  <w:num w:numId="29">
    <w:abstractNumId w:val="192"/>
  </w:num>
  <w:num w:numId="30">
    <w:abstractNumId w:val="254"/>
  </w:num>
  <w:num w:numId="31">
    <w:abstractNumId w:val="30"/>
  </w:num>
  <w:num w:numId="32">
    <w:abstractNumId w:val="255"/>
  </w:num>
  <w:num w:numId="33">
    <w:abstractNumId w:val="181"/>
  </w:num>
  <w:num w:numId="34">
    <w:abstractNumId w:val="110"/>
  </w:num>
  <w:num w:numId="35">
    <w:abstractNumId w:val="46"/>
  </w:num>
  <w:num w:numId="36">
    <w:abstractNumId w:val="70"/>
  </w:num>
  <w:num w:numId="37">
    <w:abstractNumId w:val="267"/>
  </w:num>
  <w:num w:numId="38">
    <w:abstractNumId w:val="14"/>
  </w:num>
  <w:num w:numId="39">
    <w:abstractNumId w:val="243"/>
  </w:num>
  <w:num w:numId="40">
    <w:abstractNumId w:val="169"/>
  </w:num>
  <w:num w:numId="41">
    <w:abstractNumId w:val="175"/>
  </w:num>
  <w:num w:numId="42">
    <w:abstractNumId w:val="68"/>
  </w:num>
  <w:num w:numId="43">
    <w:abstractNumId w:val="80"/>
  </w:num>
  <w:num w:numId="44">
    <w:abstractNumId w:val="148"/>
  </w:num>
  <w:num w:numId="45">
    <w:abstractNumId w:val="72"/>
  </w:num>
  <w:num w:numId="46">
    <w:abstractNumId w:val="145"/>
  </w:num>
  <w:num w:numId="47">
    <w:abstractNumId w:val="27"/>
  </w:num>
  <w:num w:numId="48">
    <w:abstractNumId w:val="87"/>
  </w:num>
  <w:num w:numId="49">
    <w:abstractNumId w:val="154"/>
  </w:num>
  <w:num w:numId="50">
    <w:abstractNumId w:val="157"/>
  </w:num>
  <w:num w:numId="5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52">
    <w:abstractNumId w:val="275"/>
  </w:num>
  <w:num w:numId="53">
    <w:abstractNumId w:val="170"/>
  </w:num>
  <w:num w:numId="54">
    <w:abstractNumId w:val="146"/>
  </w:num>
  <w:num w:numId="55">
    <w:abstractNumId w:val="269"/>
  </w:num>
  <w:num w:numId="56">
    <w:abstractNumId w:val="191"/>
  </w:num>
  <w:num w:numId="57">
    <w:abstractNumId w:val="280"/>
  </w:num>
  <w:num w:numId="58">
    <w:abstractNumId w:val="195"/>
  </w:num>
  <w:num w:numId="59">
    <w:abstractNumId w:val="189"/>
  </w:num>
  <w:num w:numId="60">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rPr>
      </w:lvl>
    </w:lvlOverride>
  </w:num>
  <w:num w:numId="61">
    <w:abstractNumId w:val="220"/>
  </w:num>
  <w:num w:numId="62">
    <w:abstractNumId w:val="125"/>
  </w:num>
  <w:num w:numId="63">
    <w:abstractNumId w:val="120"/>
  </w:num>
  <w:num w:numId="64">
    <w:abstractNumId w:val="53"/>
  </w:num>
  <w:num w:numId="65">
    <w:abstractNumId w:val="82"/>
  </w:num>
  <w:num w:numId="66">
    <w:abstractNumId w:val="36"/>
  </w:num>
  <w:num w:numId="67">
    <w:abstractNumId w:val="128"/>
  </w:num>
  <w:num w:numId="68">
    <w:abstractNumId w:val="214"/>
  </w:num>
  <w:num w:numId="69">
    <w:abstractNumId w:val="137"/>
  </w:num>
  <w:num w:numId="70">
    <w:abstractNumId w:val="212"/>
  </w:num>
  <w:num w:numId="71">
    <w:abstractNumId w:val="39"/>
  </w:num>
  <w:num w:numId="75">
    <w:abstractNumId w:val="126"/>
  </w:num>
  <w:num w:numId="76">
    <w:abstractNumId w:val="182"/>
  </w:num>
  <w:num w:numId="77">
    <w:abstractNumId w:val="130"/>
  </w:num>
  <w:num w:numId="78">
    <w:abstractNumId w:val="41"/>
  </w:num>
  <w:num w:numId="79">
    <w:abstractNumId w:val="129"/>
  </w:num>
  <w:num w:numId="80">
    <w:abstractNumId w:val="263"/>
  </w:num>
  <w:num w:numId="81">
    <w:abstractNumId w:val="249"/>
  </w:num>
  <w:num w:numId="82">
    <w:abstractNumId w:val="71"/>
  </w:num>
  <w:num w:numId="83">
    <w:abstractNumId w:val="281"/>
  </w:num>
  <w:num w:numId="84">
    <w:abstractNumId w:val="76"/>
  </w:num>
  <w:num w:numId="85">
    <w:abstractNumId w:val="74"/>
  </w:num>
  <w:num w:numId="86">
    <w:abstractNumId w:val="100"/>
  </w:num>
  <w:num w:numId="87">
    <w:abstractNumId w:val="78"/>
  </w:num>
  <w:num w:numId="88">
    <w:abstractNumId w:val="194"/>
  </w:num>
  <w:num w:numId="89">
    <w:abstractNumId w:val="75"/>
  </w:num>
  <w:num w:numId="90">
    <w:abstractNumId w:val="107"/>
  </w:num>
  <w:num w:numId="91">
    <w:abstractNumId w:val="119"/>
  </w:num>
  <w:num w:numId="92">
    <w:abstractNumId w:val="165"/>
  </w:num>
  <w:num w:numId="93">
    <w:abstractNumId w:val="248"/>
  </w:num>
  <w:num w:numId="94">
    <w:abstractNumId w:val="251"/>
  </w:num>
  <w:num w:numId="95">
    <w:abstractNumId w:val="237"/>
  </w:num>
  <w:num w:numId="96">
    <w:abstractNumId w:val="118"/>
  </w:num>
  <w:num w:numId="97">
    <w:abstractNumId w:val="217"/>
  </w:num>
  <w:num w:numId="98">
    <w:abstractNumId w:val="97"/>
  </w:num>
  <w:num w:numId="99">
    <w:abstractNumId w:val="252"/>
  </w:num>
  <w:num w:numId="100">
    <w:abstractNumId w:val="273"/>
  </w:num>
  <w:num w:numId="101">
    <w:abstractNumId w:val="18"/>
  </w:num>
  <w:num w:numId="102">
    <w:abstractNumId w:val="73"/>
  </w:num>
  <w:num w:numId="103">
    <w:abstractNumId w:val="43"/>
  </w:num>
  <w:num w:numId="104">
    <w:abstractNumId w:val="91"/>
  </w:num>
  <w:num w:numId="105">
    <w:abstractNumId w:val="86"/>
  </w:num>
  <w:num w:numId="106">
    <w:abstractNumId w:val="81"/>
  </w:num>
  <w:num w:numId="107">
    <w:abstractNumId w:val="216"/>
  </w:num>
  <w:num w:numId="108">
    <w:abstractNumId w:val="186"/>
  </w:num>
  <w:num w:numId="109">
    <w:abstractNumId w:val="264"/>
  </w:num>
  <w:num w:numId="110">
    <w:abstractNumId w:val="101"/>
  </w:num>
  <w:num w:numId="111">
    <w:abstractNumId w:val="25"/>
  </w:num>
  <w:num w:numId="112">
    <w:abstractNumId w:val="278"/>
  </w:num>
  <w:num w:numId="113">
    <w:abstractNumId w:val="84"/>
  </w:num>
  <w:num w:numId="114">
    <w:abstractNumId w:val="59"/>
  </w:num>
  <w:num w:numId="115">
    <w:abstractNumId w:val="201"/>
  </w:num>
  <w:num w:numId="116">
    <w:abstractNumId w:val="239"/>
  </w:num>
  <w:num w:numId="117">
    <w:abstractNumId w:val="21"/>
  </w:num>
  <w:num w:numId="118">
    <w:abstractNumId w:val="229"/>
  </w:num>
  <w:num w:numId="119">
    <w:abstractNumId w:val="176"/>
  </w:num>
  <w:num w:numId="120">
    <w:abstractNumId w:val="108"/>
  </w:num>
  <w:num w:numId="121">
    <w:abstractNumId w:val="94"/>
  </w:num>
  <w:num w:numId="122">
    <w:abstractNumId w:val="230"/>
  </w:num>
  <w:num w:numId="123">
    <w:abstractNumId w:val="140"/>
  </w:num>
  <w:num w:numId="124">
    <w:abstractNumId w:val="218"/>
  </w:num>
  <w:num w:numId="125">
    <w:abstractNumId w:val="234"/>
  </w:num>
  <w:num w:numId="126">
    <w:abstractNumId w:val="31"/>
  </w:num>
  <w:num w:numId="127">
    <w:abstractNumId w:val="202"/>
  </w:num>
  <w:num w:numId="128">
    <w:abstractNumId w:val="231"/>
  </w:num>
  <w:num w:numId="129">
    <w:abstractNumId w:val="210"/>
  </w:num>
  <w:num w:numId="130">
    <w:abstractNumId w:val="123"/>
  </w:num>
  <w:num w:numId="131">
    <w:abstractNumId w:val="40"/>
  </w:num>
  <w:num w:numId="132">
    <w:abstractNumId w:val="172"/>
  </w:num>
  <w:num w:numId="133">
    <w:abstractNumId w:val="183"/>
  </w:num>
  <w:num w:numId="134">
    <w:abstractNumId w:val="38"/>
  </w:num>
  <w:num w:numId="135">
    <w:abstractNumId w:val="246"/>
  </w:num>
  <w:num w:numId="136">
    <w:abstractNumId w:val="265"/>
  </w:num>
  <w:num w:numId="137">
    <w:abstractNumId w:val="232"/>
  </w:num>
  <w:num w:numId="138">
    <w:abstractNumId w:val="279"/>
  </w:num>
  <w:num w:numId="139">
    <w:abstractNumId w:val="42"/>
  </w:num>
  <w:num w:numId="140">
    <w:abstractNumId w:val="168"/>
  </w:num>
  <w:num w:numId="141">
    <w:abstractNumId w:val="66"/>
  </w:num>
  <w:num w:numId="142">
    <w:abstractNumId w:val="247"/>
  </w:num>
  <w:num w:numId="143">
    <w:abstractNumId w:val="20"/>
  </w:num>
  <w:num w:numId="144">
    <w:abstractNumId w:val="259"/>
  </w:num>
  <w:num w:numId="145">
    <w:abstractNumId w:val="219"/>
  </w:num>
  <w:num w:numId="146">
    <w:abstractNumId w:val="274"/>
  </w:num>
  <w:num w:numId="147">
    <w:abstractNumId w:val="224"/>
  </w:num>
  <w:num w:numId="148">
    <w:abstractNumId w:val="117"/>
  </w:num>
  <w:num w:numId="149">
    <w:abstractNumId w:val="225"/>
  </w:num>
  <w:num w:numId="150">
    <w:abstractNumId w:val="98"/>
  </w:num>
  <w:num w:numId="151">
    <w:abstractNumId w:val="228"/>
  </w:num>
  <w:num w:numId="152">
    <w:abstractNumId w:val="64"/>
  </w:num>
  <w:num w:numId="153">
    <w:abstractNumId w:val="141"/>
  </w:num>
  <w:num w:numId="154">
    <w:abstractNumId w:val="61"/>
  </w:num>
  <w:num w:numId="155">
    <w:abstractNumId w:val="69"/>
  </w:num>
  <w:num w:numId="156">
    <w:abstractNumId w:val="163"/>
  </w:num>
  <w:num w:numId="157">
    <w:abstractNumId w:val="209"/>
  </w:num>
  <w:num w:numId="158">
    <w:abstractNumId w:val="115"/>
  </w:num>
  <w:num w:numId="159">
    <w:abstractNumId w:val="185"/>
  </w:num>
  <w:num w:numId="160">
    <w:abstractNumId w:val="270"/>
  </w:num>
  <w:num w:numId="161">
    <w:abstractNumId w:val="235"/>
  </w:num>
  <w:num w:numId="162">
    <w:abstractNumId w:val="158"/>
  </w:num>
  <w:num w:numId="163">
    <w:abstractNumId w:val="88"/>
  </w:num>
  <w:num w:numId="164">
    <w:abstractNumId w:val="193"/>
  </w:num>
  <w:num w:numId="165">
    <w:abstractNumId w:val="22"/>
  </w:num>
  <w:num w:numId="166">
    <w:abstractNumId w:val="62"/>
  </w:num>
  <w:num w:numId="167">
    <w:abstractNumId w:val="262"/>
  </w:num>
  <w:num w:numId="168">
    <w:abstractNumId w:val="67"/>
  </w:num>
  <w:num w:numId="169">
    <w:abstractNumId w:val="114"/>
  </w:num>
  <w:num w:numId="170">
    <w:abstractNumId w:val="136"/>
  </w:num>
  <w:num w:numId="171">
    <w:abstractNumId w:val="283"/>
  </w:num>
  <w:num w:numId="172">
    <w:abstractNumId w:val="151"/>
  </w:num>
  <w:num w:numId="173">
    <w:abstractNumId w:val="147"/>
  </w:num>
  <w:num w:numId="174">
    <w:abstractNumId w:val="190"/>
  </w:num>
  <w:num w:numId="175">
    <w:abstractNumId w:val="266"/>
  </w:num>
  <w:num w:numId="176">
    <w:abstractNumId w:val="11"/>
  </w:num>
  <w:num w:numId="177">
    <w:abstractNumId w:val="135"/>
  </w:num>
  <w:num w:numId="181">
    <w:abstractNumId w:val="166"/>
  </w:num>
  <w:num w:numId="182">
    <w:abstractNumId w:val="256"/>
  </w:num>
  <w:num w:numId="183">
    <w:abstractNumId w:val="52"/>
  </w:num>
  <w:num w:numId="184">
    <w:abstractNumId w:val="90"/>
  </w:num>
  <w:num w:numId="185">
    <w:abstractNumId w:val="164"/>
  </w:num>
  <w:num w:numId="186">
    <w:abstractNumId w:val="180"/>
  </w:num>
  <w:num w:numId="187">
    <w:abstractNumId w:val="106"/>
  </w:num>
  <w:num w:numId="188">
    <w:abstractNumId w:val="93"/>
  </w:num>
  <w:num w:numId="189">
    <w:abstractNumId w:val="223"/>
  </w:num>
  <w:num w:numId="190">
    <w:abstractNumId w:val="199"/>
  </w:num>
  <w:num w:numId="191">
    <w:abstractNumId w:val="233"/>
  </w:num>
  <w:num w:numId="192">
    <w:abstractNumId w:val="203"/>
  </w:num>
  <w:num w:numId="193">
    <w:abstractNumId w:val="258"/>
  </w:num>
  <w:num w:numId="194">
    <w:abstractNumId w:val="17"/>
  </w:num>
  <w:num w:numId="195">
    <w:abstractNumId w:val="60"/>
  </w:num>
  <w:num w:numId="196">
    <w:abstractNumId w:val="13"/>
  </w:num>
  <w:num w:numId="197">
    <w:abstractNumId w:val="244"/>
  </w:num>
  <w:num w:numId="198">
    <w:abstractNumId w:val="253"/>
  </w:num>
  <w:num w:numId="199">
    <w:abstractNumId w:val="167"/>
  </w:num>
  <w:num w:numId="200">
    <w:abstractNumId w:val="161"/>
  </w:num>
  <w:num w:numId="201">
    <w:abstractNumId w:val="127"/>
  </w:num>
  <w:num w:numId="202">
    <w:abstractNumId w:val="215"/>
  </w:num>
  <w:num w:numId="203">
    <w:abstractNumId w:val="85"/>
  </w:num>
  <w:num w:numId="204">
    <w:abstractNumId w:val="271"/>
  </w:num>
  <w:num w:numId="205">
    <w:abstractNumId w:val="95"/>
  </w:num>
  <w:num w:numId="206">
    <w:abstractNumId w:val="28"/>
  </w:num>
  <w:num w:numId="207">
    <w:abstractNumId w:val="116"/>
  </w:num>
  <w:num w:numId="208">
    <w:abstractNumId w:val="144"/>
  </w:num>
  <w:num w:numId="209">
    <w:abstractNumId w:val="268"/>
  </w:num>
  <w:num w:numId="210">
    <w:abstractNumId w:val="173"/>
  </w:num>
  <w:num w:numId="211">
    <w:abstractNumId w:val="272"/>
  </w:num>
  <w:num w:numId="212">
    <w:abstractNumId w:val="162"/>
  </w:num>
  <w:num w:numId="213">
    <w:abstractNumId w:val="226"/>
  </w:num>
  <w:num w:numId="214">
    <w:abstractNumId w:val="138"/>
  </w:num>
  <w:num w:numId="215">
    <w:abstractNumId w:val="0"/>
  </w:num>
  <w:num w:numId="216">
    <w:abstractNumId w:val="1"/>
  </w:num>
  <w:num w:numId="217">
    <w:abstractNumId w:val="105"/>
  </w:num>
  <w:num w:numId="218">
    <w:abstractNumId w:val="15"/>
  </w:num>
  <w:num w:numId="219">
    <w:abstractNumId w:val="57"/>
  </w:num>
  <w:num w:numId="220">
    <w:abstractNumId w:val="34"/>
  </w:num>
  <w:num w:numId="221">
    <w:abstractNumId w:val="155"/>
  </w:num>
  <w:num w:numId="222">
    <w:abstractNumId w:val="200"/>
  </w:num>
  <w:num w:numId="223">
    <w:abstractNumId w:val="2"/>
  </w:num>
  <w:num w:numId="224">
    <w:abstractNumId w:val="3"/>
  </w:num>
  <w:num w:numId="225">
    <w:abstractNumId w:val="7"/>
  </w:num>
  <w:num w:numId="226">
    <w:abstractNumId w:val="6"/>
  </w:num>
  <w:num w:numId="227">
    <w:abstractNumId w:val="5"/>
  </w:num>
  <w:num w:numId="228">
    <w:abstractNumId w:val="4"/>
  </w:num>
  <w:num w:numId="229">
    <w:abstractNumId w:val="35"/>
  </w:num>
  <w:num w:numId="239">
    <w:abstractNumId w:val="149"/>
  </w:num>
  <w:num w:numId="240">
    <w:abstractNumId w:val="213"/>
  </w:num>
  <w:num w:numId="241">
    <w:abstractNumId w:val="83"/>
  </w:num>
  <w:num w:numId="242">
    <w:abstractNumId w:val="159"/>
  </w:num>
  <w:num w:numId="243">
    <w:abstractNumId w:val="48"/>
  </w:num>
  <w:num w:numId="244">
    <w:abstractNumId w:val="99"/>
  </w:num>
  <w:num w:numId="245">
    <w:abstractNumId w:val="49"/>
  </w:num>
  <w:num w:numId="246">
    <w:abstractNumId w:val="24"/>
  </w:num>
  <w:num w:numId="247">
    <w:abstractNumId w:val="187"/>
  </w:num>
  <w:num w:numId="254">
    <w:abstractNumId w:val="277"/>
  </w:num>
  <w:num w:numId="255">
    <w:abstractNumId w:val="178"/>
  </w:num>
  <w:num w:numId="256">
    <w:abstractNumId w:val="112"/>
  </w:num>
  <w:num w:numId="257">
    <w:abstractNumId w:val="44"/>
  </w:num>
  <w:num w:numId="264">
    <w:abstractNumId w:val="171"/>
  </w:num>
  <w:num w:numId="265">
    <w:abstractNumId w:val="205"/>
  </w:num>
  <w:num w:numId="266">
    <w:abstractNumId w:val="79"/>
  </w:num>
  <w:num w:numId="267">
    <w:abstractNumId w:val="211"/>
  </w:num>
  <w:num w:numId="268">
    <w:abstractNumId w:val="179"/>
  </w:num>
  <w:num w:numId="269">
    <w:abstractNumId w:val="63"/>
  </w:num>
  <w:num w:numId="270">
    <w:abstractNumId w:val="131"/>
  </w:num>
  <w:num w:numId="271">
    <w:abstractNumId w:val="96"/>
  </w:num>
  <w:num w:numId="272">
    <w:abstractNumId w:val="23"/>
  </w:num>
  <w:num w:numId="273">
    <w:abstractNumId w:val="282"/>
  </w:num>
  <w:num w:numId="274">
    <w:abstractNumId w:val="245"/>
  </w:num>
  <w:num w:numId="275">
    <w:abstractNumId w:val="142"/>
  </w:num>
  <w:num w:numId="276">
    <w:abstractNumId w:val="139"/>
  </w:num>
  <w:num w:numId="277">
    <w:abstractNumId w:val="242"/>
  </w:num>
  <w:num w:numId="278">
    <w:abstractNumId w:val="132"/>
  </w:num>
  <w:num w:numId="279">
    <w:abstractNumId w:val="261"/>
  </w:num>
  <w:num w:numId="280">
    <w:abstractNumId w:val="152"/>
  </w:num>
  <w:num w:numId="281">
    <w:abstractNumId w:val="221"/>
  </w:num>
  <w:num w:numId="282">
    <w:abstractNumId w:val="19"/>
  </w:num>
  <w:num w:numId="283">
    <w:abstractNumId w:val="33"/>
  </w:num>
  <w:num w:numId="284">
    <w:abstractNumId w:val="124"/>
  </w:num>
  <w:num w:numId="285">
    <w:abstractNumId w:val="65"/>
  </w:num>
  <w:num w:numId="286">
    <w:abstractNumId w:val="45"/>
  </w:num>
  <w:num w:numId="287">
    <w:abstractNumId w:val="196"/>
  </w:num>
  <w:num w:numId="288">
    <w:abstractNumId w:val="121"/>
  </w:num>
  <w:num w:numId="289">
    <w:abstractNumId w:val="37"/>
  </w:num>
  <w:num w:numId="290">
    <w:abstractNumId w:val="174"/>
  </w:num>
  <w:num w:numId="291">
    <w:abstractNumId w:val="77"/>
  </w:num>
  <w:num w:numId="292">
    <w:abstractNumId w:val="153"/>
  </w:num>
  <w:num w:numId="293">
    <w:abstractNumId w:val="122"/>
  </w:num>
  <w:num w:numId="294">
    <w:abstractNumId w:val="109"/>
  </w:num>
  <w:num w:numId="295">
    <w:abstractNumId w:val="238"/>
  </w:num>
  <w:num w:numId="296">
    <w:abstractNumId w:val="26"/>
  </w:num>
  <w:num w:numId="297">
    <w:abstractNumId w:val="50"/>
  </w:num>
  <w:num w:numId="298">
    <w:abstractNumId w:val="257"/>
  </w:num>
  <w:num w:numId="299">
    <w:abstractNumId w:val="58"/>
  </w:num>
  <w:num w:numId="300">
    <w:abstractNumId w:val="204"/>
  </w:num>
  <w:num w:numId="301">
    <w:abstractNumId w:val="55"/>
  </w:num>
  <w:num w:numId="302">
    <w:abstractNumId w:val="160"/>
  </w:num>
  <w:num w:numId="303">
    <w:abstractNumId w:val="208"/>
  </w:num>
  <w:num w:numId="304">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aliases w:val="Kop 1 Char"/>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s>
      <w:spacing w:line="240" w:lineRule="auto"/>
      <w:outlineLvl w:val="6"/>
    </w:pPr>
    <w:rPr>
      <w:b/>
      <w:bCs/>
      <w:snapToGrid w:val="0"/>
      <w:color w:val="000000"/>
      <w:sz w:val="22"/>
      <w:szCs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tabs>
        <w:tab w:val="left" w:pos="1134"/>
        <w:tab w:val="left" w:pos="1701"/>
        <w:tab w:val="left" w:pos="2268"/>
        <w:tab w:val="left" w:pos="6237"/>
      </w:tabs>
    </w:pPr>
  </w:style>
  <w:style w:type="paragraph" w:styleId="ListNumber">
    <w:name w:val="List Number"/>
    <w:basedOn w:val="Normal"/>
    <w:semiHidden/>
    <w:pPr>
      <w:numPr>
        <w:numId w:val="4"/>
      </w:numPr>
      <w:tabs>
        <w:tab w:val="clear" w:pos="567"/>
        <w:tab w:val="clear" w:pos="1134"/>
        <w:tab w:val="clear" w:pos="1701"/>
        <w:tab w:val="clear" w:pos="2268"/>
        <w:tab w:val="clear" w:pos="6237"/>
      </w:tabs>
      <w:spacing w:line="240" w:lineRule="auto"/>
    </w:pPr>
    <w:rPr>
      <w:rFonts w:ascii="Univers" w:hAnsi="Univers"/>
      <w:sz w:val="20"/>
      <w:lang w:val="nl-NL" w:eastAsia="fr-FR"/>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Paginanummering">
    <w:name w:val="Paginanummering"/>
    <w:basedOn w:val="Footer"/>
    <w:pPr>
      <w:spacing w:line="240" w:lineRule="auto"/>
      <w:jc w:val="right"/>
    </w:pPr>
    <w:rPr>
      <w:sz w:val="22"/>
      <w:szCs w:val="22"/>
      <w:lang w:val="nl-NL" w:eastAsia="fr-FR"/>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
    <w:name w:val="текст 1"/>
    <w:basedOn w:val="Normal"/>
  </w:style>
  <w:style w:type="paragraph" w:customStyle="1" w:styleId="2">
    <w:name w:val="текст 2"/>
    <w:basedOn w:val="Normal"/>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 w:type="paragraph" w:styleId="BodyText3">
    <w:name w:val="Body Text 3"/>
    <w:basedOn w:val="Normal"/>
    <w:semiHidden/>
    <w:pPr>
      <w:widowControl w:val="0"/>
      <w:tabs>
        <w:tab w:val="clear" w:pos="567"/>
        <w:tab w:val="clear" w:pos="1134"/>
        <w:tab w:val="clear" w:pos="1701"/>
        <w:tab w:val="clear" w:pos="2268"/>
        <w:tab w:val="clear" w:pos="6237"/>
      </w:tabs>
      <w:overflowPunct w:val="0"/>
      <w:autoSpaceDE w:val="0"/>
      <w:autoSpaceDN w:val="0"/>
      <w:adjustRightInd w:val="0"/>
      <w:spacing w:line="240" w:lineRule="auto"/>
      <w:textAlignment w:val="baseline"/>
    </w:pPr>
    <w:rPr>
      <w:i/>
      <w:iCs/>
      <w:szCs w:val="24"/>
      <w:lang w:val="en-US" w:eastAsia="fr-FR"/>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inszw.nl" TargetMode="External"/><Relationship Id="rId18" Type="http://schemas.openxmlformats.org/officeDocument/2006/relationships/hyperlink" Target="http://www.stivoro.nl" TargetMode="External"/><Relationship Id="rId26" Type="http://schemas.openxmlformats.org/officeDocument/2006/relationships/hyperlink" Target="http://www.minocw.nl" TargetMode="Externa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image" Target="media/image1.wmf"/><Relationship Id="rId12" Type="http://schemas.openxmlformats.org/officeDocument/2006/relationships/hyperlink" Target="http://www.iali-aiit.org" TargetMode="External"/><Relationship Id="rId17" Type="http://schemas.openxmlformats.org/officeDocument/2006/relationships/hyperlink" Target="http://www.rivm.nl" TargetMode="Externa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hyperlink" Target="http://www.rivm.nl"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hpolicy.nl" TargetMode="Externa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hyperlink" Target="http://www.rivm.nl" TargetMode="External"/><Relationship Id="rId23" Type="http://schemas.openxmlformats.org/officeDocument/2006/relationships/oleObject" Target="embeddings/oleObject3.bin"/><Relationship Id="rId28" Type="http://schemas.openxmlformats.org/officeDocument/2006/relationships/header" Target="header2.xml"/><Relationship Id="rId10" Type="http://schemas.openxmlformats.org/officeDocument/2006/relationships/hyperlink" Target="http://www.mixed-equal.nl" TargetMode="External"/><Relationship Id="rId19" Type="http://schemas.openxmlformats.org/officeDocument/2006/relationships/hyperlink" Target="http://www.europa.eu.int" TargetMode="External"/><Relationship Id="rId4" Type="http://schemas.openxmlformats.org/officeDocument/2006/relationships/webSettings" Target="webSettings.xml"/><Relationship Id="rId9" Type="http://schemas.openxmlformats.org/officeDocument/2006/relationships/hyperlink" Target="http://www.wetsamen.nl" TargetMode="External"/><Relationship Id="rId14" Type="http://schemas.openxmlformats.org/officeDocument/2006/relationships/hyperlink" Target="http://www.costofilness.nl" TargetMode="External"/><Relationship Id="rId22" Type="http://schemas.openxmlformats.org/officeDocument/2006/relationships/image" Target="media/image3.wmf"/><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75708</Words>
  <Characters>431538</Characters>
  <Application>Microsoft Office Word</Application>
  <DocSecurity>4</DocSecurity>
  <Lines>3596</Lines>
  <Paragraphs>863</Paragraphs>
  <ScaleCrop>false</ScaleCrop>
  <HeadingPairs>
    <vt:vector size="2" baseType="variant">
      <vt:variant>
        <vt:lpstr>Название</vt:lpstr>
      </vt:variant>
      <vt:variant>
        <vt:i4>1</vt:i4>
      </vt:variant>
    </vt:vector>
  </HeadingPairs>
  <TitlesOfParts>
    <vt:vector size="1" baseType="lpstr">
      <vt:lpstr>0543662.doc</vt:lpstr>
    </vt:vector>
  </TitlesOfParts>
  <Company> </Company>
  <LinksUpToDate>false</LinksUpToDate>
  <CharactersWithSpaces>529958</CharactersWithSpaces>
  <SharedDoc>false</SharedDoc>
  <HLinks>
    <vt:vector size="84" baseType="variant">
      <vt:variant>
        <vt:i4>589903</vt:i4>
      </vt:variant>
      <vt:variant>
        <vt:i4>58</vt:i4>
      </vt:variant>
      <vt:variant>
        <vt:i4>0</vt:i4>
      </vt:variant>
      <vt:variant>
        <vt:i4>5</vt:i4>
      </vt:variant>
      <vt:variant>
        <vt:lpwstr>http://www.minocw.nl/</vt:lpwstr>
      </vt:variant>
      <vt:variant>
        <vt:lpwstr/>
      </vt:variant>
      <vt:variant>
        <vt:i4>589903</vt:i4>
      </vt:variant>
      <vt:variant>
        <vt:i4>55</vt:i4>
      </vt:variant>
      <vt:variant>
        <vt:i4>0</vt:i4>
      </vt:variant>
      <vt:variant>
        <vt:i4>5</vt:i4>
      </vt:variant>
      <vt:variant>
        <vt:lpwstr>http://www.minocw.nl/</vt:lpwstr>
      </vt:variant>
      <vt:variant>
        <vt:lpwstr/>
      </vt:variant>
      <vt:variant>
        <vt:i4>589903</vt:i4>
      </vt:variant>
      <vt:variant>
        <vt:i4>52</vt:i4>
      </vt:variant>
      <vt:variant>
        <vt:i4>0</vt:i4>
      </vt:variant>
      <vt:variant>
        <vt:i4>5</vt:i4>
      </vt:variant>
      <vt:variant>
        <vt:lpwstr>http://www.minocw.nl/</vt:lpwstr>
      </vt:variant>
      <vt:variant>
        <vt:lpwstr/>
      </vt:variant>
      <vt:variant>
        <vt:i4>655374</vt:i4>
      </vt:variant>
      <vt:variant>
        <vt:i4>46</vt:i4>
      </vt:variant>
      <vt:variant>
        <vt:i4>0</vt:i4>
      </vt:variant>
      <vt:variant>
        <vt:i4>5</vt:i4>
      </vt:variant>
      <vt:variant>
        <vt:lpwstr>http://www.europa.eu.int/</vt:lpwstr>
      </vt:variant>
      <vt:variant>
        <vt:lpwstr/>
      </vt:variant>
      <vt:variant>
        <vt:i4>7340130</vt:i4>
      </vt:variant>
      <vt:variant>
        <vt:i4>43</vt:i4>
      </vt:variant>
      <vt:variant>
        <vt:i4>0</vt:i4>
      </vt:variant>
      <vt:variant>
        <vt:i4>5</vt:i4>
      </vt:variant>
      <vt:variant>
        <vt:lpwstr>http://www.stivoro.nl/</vt:lpwstr>
      </vt:variant>
      <vt:variant>
        <vt:lpwstr/>
      </vt:variant>
      <vt:variant>
        <vt:i4>7143482</vt:i4>
      </vt:variant>
      <vt:variant>
        <vt:i4>40</vt:i4>
      </vt:variant>
      <vt:variant>
        <vt:i4>0</vt:i4>
      </vt:variant>
      <vt:variant>
        <vt:i4>5</vt:i4>
      </vt:variant>
      <vt:variant>
        <vt:lpwstr>http://www.rivm.nl/</vt:lpwstr>
      </vt:variant>
      <vt:variant>
        <vt:lpwstr/>
      </vt:variant>
      <vt:variant>
        <vt:i4>7143482</vt:i4>
      </vt:variant>
      <vt:variant>
        <vt:i4>37</vt:i4>
      </vt:variant>
      <vt:variant>
        <vt:i4>0</vt:i4>
      </vt:variant>
      <vt:variant>
        <vt:i4>5</vt:i4>
      </vt:variant>
      <vt:variant>
        <vt:lpwstr>http://www.rivm.nl/</vt:lpwstr>
      </vt:variant>
      <vt:variant>
        <vt:lpwstr/>
      </vt:variant>
      <vt:variant>
        <vt:i4>7143482</vt:i4>
      </vt:variant>
      <vt:variant>
        <vt:i4>34</vt:i4>
      </vt:variant>
      <vt:variant>
        <vt:i4>0</vt:i4>
      </vt:variant>
      <vt:variant>
        <vt:i4>5</vt:i4>
      </vt:variant>
      <vt:variant>
        <vt:lpwstr>http://www.rivm.nl/</vt:lpwstr>
      </vt:variant>
      <vt:variant>
        <vt:lpwstr/>
      </vt:variant>
      <vt:variant>
        <vt:i4>6422585</vt:i4>
      </vt:variant>
      <vt:variant>
        <vt:i4>31</vt:i4>
      </vt:variant>
      <vt:variant>
        <vt:i4>0</vt:i4>
      </vt:variant>
      <vt:variant>
        <vt:i4>5</vt:i4>
      </vt:variant>
      <vt:variant>
        <vt:lpwstr>http://www.costofilness.nl/</vt:lpwstr>
      </vt:variant>
      <vt:variant>
        <vt:lpwstr/>
      </vt:variant>
      <vt:variant>
        <vt:i4>1048659</vt:i4>
      </vt:variant>
      <vt:variant>
        <vt:i4>28</vt:i4>
      </vt:variant>
      <vt:variant>
        <vt:i4>0</vt:i4>
      </vt:variant>
      <vt:variant>
        <vt:i4>5</vt:i4>
      </vt:variant>
      <vt:variant>
        <vt:lpwstr>http://www.minszw.nl/</vt:lpwstr>
      </vt:variant>
      <vt:variant>
        <vt:lpwstr/>
      </vt:variant>
      <vt:variant>
        <vt:i4>1441804</vt:i4>
      </vt:variant>
      <vt:variant>
        <vt:i4>25</vt:i4>
      </vt:variant>
      <vt:variant>
        <vt:i4>0</vt:i4>
      </vt:variant>
      <vt:variant>
        <vt:i4>5</vt:i4>
      </vt:variant>
      <vt:variant>
        <vt:lpwstr>http://www.iali-aiit.org/</vt:lpwstr>
      </vt:variant>
      <vt:variant>
        <vt:lpwstr/>
      </vt:variant>
      <vt:variant>
        <vt:i4>7405686</vt:i4>
      </vt:variant>
      <vt:variant>
        <vt:i4>22</vt:i4>
      </vt:variant>
      <vt:variant>
        <vt:i4>0</vt:i4>
      </vt:variant>
      <vt:variant>
        <vt:i4>5</vt:i4>
      </vt:variant>
      <vt:variant>
        <vt:lpwstr>http://www.youthpolicy.nl/</vt:lpwstr>
      </vt:variant>
      <vt:variant>
        <vt:lpwstr/>
      </vt:variant>
      <vt:variant>
        <vt:i4>6750243</vt:i4>
      </vt:variant>
      <vt:variant>
        <vt:i4>19</vt:i4>
      </vt:variant>
      <vt:variant>
        <vt:i4>0</vt:i4>
      </vt:variant>
      <vt:variant>
        <vt:i4>5</vt:i4>
      </vt:variant>
      <vt:variant>
        <vt:lpwstr>http://www.mixed-equal.nl/</vt:lpwstr>
      </vt:variant>
      <vt:variant>
        <vt:lpwstr/>
      </vt:variant>
      <vt:variant>
        <vt:i4>7209003</vt:i4>
      </vt:variant>
      <vt:variant>
        <vt:i4>16</vt:i4>
      </vt:variant>
      <vt:variant>
        <vt:i4>0</vt:i4>
      </vt:variant>
      <vt:variant>
        <vt:i4>5</vt:i4>
      </vt:variant>
      <vt:variant>
        <vt:lpwstr>http://www.wetsamen.nl/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0543662.doc</dc:title>
  <dc:subject>Muraviev</dc:subject>
  <dc:creator>TDudnikova</dc:creator>
  <cp:keywords/>
  <dc:description/>
  <cp:lastModifiedBy>CSD</cp:lastModifiedBy>
  <cp:revision>3</cp:revision>
  <cp:lastPrinted>2006-03-06T12:52:00Z</cp:lastPrinted>
  <dcterms:created xsi:type="dcterms:W3CDTF">2006-03-06T12:52:00Z</dcterms:created>
  <dcterms:modified xsi:type="dcterms:W3CDTF">2006-03-06T12:53:00Z</dcterms:modified>
</cp:coreProperties>
</file>