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200E6" w:rsidP="001200E6">
            <w:pPr>
              <w:bidi w:val="0"/>
              <w:spacing w:after="20"/>
              <w:jc w:val="left"/>
              <w:rPr>
                <w:szCs w:val="20"/>
              </w:rPr>
            </w:pPr>
            <w:r w:rsidRPr="001200E6">
              <w:rPr>
                <w:sz w:val="40"/>
                <w:szCs w:val="20"/>
              </w:rPr>
              <w:t>CED</w:t>
            </w:r>
            <w:r w:rsidRPr="00317796">
              <w:rPr>
                <w:szCs w:val="2"/>
              </w:rPr>
              <w:t>/</w:t>
            </w:r>
            <w:r>
              <w:rPr>
                <w:szCs w:val="20"/>
              </w:rPr>
              <w:t>C/7/2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200E6" w:rsidRDefault="001200E6" w:rsidP="001200E6">
            <w:pPr>
              <w:bidi w:val="0"/>
              <w:spacing w:before="240"/>
              <w:jc w:val="left"/>
            </w:pPr>
            <w:r>
              <w:t>Distr.: General</w:t>
            </w:r>
          </w:p>
          <w:p w:rsidR="001200E6" w:rsidRDefault="006C2D9E" w:rsidP="001200E6">
            <w:pPr>
              <w:bidi w:val="0"/>
              <w:jc w:val="left"/>
            </w:pPr>
            <w:r>
              <w:t>28 October 2014</w:t>
            </w:r>
          </w:p>
          <w:p w:rsidR="001200E6" w:rsidRDefault="001200E6" w:rsidP="001200E6">
            <w:pPr>
              <w:bidi w:val="0"/>
              <w:jc w:val="left"/>
            </w:pPr>
            <w:r>
              <w:t>Arabic</w:t>
            </w:r>
          </w:p>
          <w:p w:rsidR="00257225" w:rsidRPr="008B4BC6" w:rsidRDefault="001200E6" w:rsidP="001200E6">
            <w:pPr>
              <w:bidi w:val="0"/>
              <w:jc w:val="left"/>
            </w:pPr>
            <w:r>
              <w:t>Original: English</w:t>
            </w:r>
          </w:p>
        </w:tc>
      </w:tr>
    </w:tbl>
    <w:p w:rsidR="001200E6" w:rsidRPr="00C142DE" w:rsidRDefault="001200E6" w:rsidP="001200E6">
      <w:pPr>
        <w:pStyle w:val="SingleTxtGA"/>
        <w:spacing w:before="120" w:after="0"/>
        <w:ind w:left="0" w:right="0"/>
        <w:rPr>
          <w:rFonts w:hint="cs"/>
          <w:b/>
          <w:bCs/>
          <w:spacing w:val="6"/>
          <w:kern w:val="16"/>
          <w:sz w:val="26"/>
          <w:szCs w:val="36"/>
          <w:rtl/>
        </w:rPr>
      </w:pPr>
      <w:r w:rsidRPr="00C142DE">
        <w:rPr>
          <w:rFonts w:hint="cs"/>
          <w:b/>
          <w:bCs/>
          <w:sz w:val="26"/>
          <w:szCs w:val="36"/>
          <w:rtl/>
        </w:rPr>
        <w:t>اللجنة المعنية بحالات الاختفاء القسري</w:t>
      </w:r>
    </w:p>
    <w:p w:rsidR="001200E6" w:rsidRPr="00C142DE" w:rsidRDefault="001200E6" w:rsidP="006C2D9E">
      <w:pPr>
        <w:pStyle w:val="HChGA"/>
        <w:rPr>
          <w:rFonts w:hint="cs"/>
          <w:kern w:val="16"/>
          <w:rtl/>
        </w:rPr>
      </w:pPr>
      <w:r w:rsidRPr="00C142DE">
        <w:rPr>
          <w:rFonts w:hint="cs"/>
          <w:kern w:val="16"/>
          <w:rtl/>
        </w:rPr>
        <w:tab/>
      </w:r>
      <w:r w:rsidRPr="00C142DE">
        <w:rPr>
          <w:rFonts w:hint="cs"/>
          <w:kern w:val="16"/>
          <w:rtl/>
        </w:rPr>
        <w:tab/>
        <w:t>تقرير متابعة الملاحظات الختامية للجنة المعنية</w:t>
      </w:r>
      <w:r w:rsidR="006C2D9E">
        <w:rPr>
          <w:rFonts w:hint="cs"/>
          <w:kern w:val="16"/>
          <w:rtl/>
        </w:rPr>
        <w:t xml:space="preserve"> </w:t>
      </w:r>
      <w:r w:rsidRPr="00C142DE">
        <w:rPr>
          <w:rFonts w:hint="cs"/>
          <w:kern w:val="16"/>
          <w:rtl/>
        </w:rPr>
        <w:t xml:space="preserve"> بحالات الاختفاء القسري (الدورة السابعة، 15-26 أيلول/س</w:t>
      </w:r>
      <w:r w:rsidR="00B634BA">
        <w:rPr>
          <w:rFonts w:hint="cs"/>
          <w:kern w:val="16"/>
          <w:rtl/>
        </w:rPr>
        <w:t>ب</w:t>
      </w:r>
      <w:r w:rsidRPr="00C142DE">
        <w:rPr>
          <w:rFonts w:hint="cs"/>
          <w:kern w:val="16"/>
          <w:rtl/>
        </w:rPr>
        <w:t>تمبر 2014)</w:t>
      </w:r>
    </w:p>
    <w:p w:rsidR="001200E6" w:rsidRPr="00E46E77" w:rsidRDefault="006C2D9E" w:rsidP="006C2D9E">
      <w:pPr>
        <w:pStyle w:val="H1GA"/>
        <w:rPr>
          <w:rFonts w:hint="cs"/>
          <w:kern w:val="16"/>
          <w:rtl/>
        </w:rPr>
      </w:pPr>
      <w:r>
        <w:rPr>
          <w:kern w:val="16"/>
          <w:rtl/>
        </w:rPr>
        <w:tab/>
      </w:r>
      <w:r>
        <w:rPr>
          <w:rFonts w:hint="cs"/>
          <w:kern w:val="16"/>
          <w:rtl/>
        </w:rPr>
        <w:tab/>
      </w:r>
      <w:r w:rsidR="001200E6" w:rsidRPr="00E46E77">
        <w:rPr>
          <w:rFonts w:hint="cs"/>
          <w:kern w:val="16"/>
          <w:rtl/>
        </w:rPr>
        <w:t>تقرير ال</w:t>
      </w:r>
      <w:r w:rsidR="001200E6">
        <w:rPr>
          <w:rFonts w:hint="cs"/>
          <w:kern w:val="16"/>
          <w:rtl/>
        </w:rPr>
        <w:t>مقرِّر</w:t>
      </w:r>
      <w:r w:rsidR="001200E6" w:rsidRPr="00E46E77">
        <w:rPr>
          <w:rFonts w:hint="cs"/>
          <w:kern w:val="16"/>
          <w:rtl/>
        </w:rPr>
        <w:t>ين المقدَّم لغرض متابعة الملاحظات الختامية</w:t>
      </w:r>
    </w:p>
    <w:p w:rsidR="001200E6" w:rsidRPr="00E46E77" w:rsidRDefault="001200E6" w:rsidP="006C2D9E">
      <w:pPr>
        <w:pStyle w:val="HChGA"/>
        <w:rPr>
          <w:rFonts w:hint="cs"/>
          <w:kern w:val="16"/>
          <w:rtl/>
        </w:rPr>
      </w:pPr>
      <w:r w:rsidRPr="00C142DE">
        <w:rPr>
          <w:rFonts w:hint="cs"/>
          <w:kern w:val="16"/>
          <w:rtl/>
        </w:rPr>
        <w:tab/>
      </w:r>
      <w:r w:rsidR="006C2D9E">
        <w:rPr>
          <w:rFonts w:hint="cs"/>
          <w:kern w:val="16"/>
          <w:rtl/>
        </w:rPr>
        <w:t>أولاً</w:t>
      </w:r>
      <w:r w:rsidRPr="00E46E77">
        <w:rPr>
          <w:rFonts w:hint="cs"/>
          <w:kern w:val="16"/>
          <w:rtl/>
        </w:rPr>
        <w:t>-</w:t>
      </w:r>
      <w:r w:rsidRPr="00E46E77">
        <w:rPr>
          <w:rFonts w:hint="cs"/>
          <w:kern w:val="16"/>
          <w:rtl/>
        </w:rPr>
        <w:tab/>
        <w:t>مقدمة</w:t>
      </w:r>
    </w:p>
    <w:p w:rsidR="001200E6" w:rsidRPr="00C142DE" w:rsidRDefault="001200E6" w:rsidP="006C2D9E">
      <w:pPr>
        <w:pStyle w:val="SingleTxtGA"/>
        <w:rPr>
          <w:rFonts w:hint="cs"/>
          <w:kern w:val="16"/>
          <w:rtl/>
        </w:rPr>
      </w:pPr>
      <w:r w:rsidRPr="00C142DE">
        <w:rPr>
          <w:rFonts w:hint="cs"/>
          <w:kern w:val="16"/>
          <w:rtl/>
        </w:rPr>
        <w:t>1-</w:t>
      </w:r>
      <w:r w:rsidRPr="00C142DE">
        <w:rPr>
          <w:rFonts w:hint="cs"/>
          <w:kern w:val="16"/>
          <w:rtl/>
        </w:rPr>
        <w:tab/>
        <w:t xml:space="preserve">ناقشت اللجنة في دورتها السابعة طرائق معالجة المعلومات الواردة </w:t>
      </w:r>
      <w:r>
        <w:rPr>
          <w:rFonts w:hint="cs"/>
          <w:kern w:val="16"/>
          <w:rtl/>
        </w:rPr>
        <w:t>في إطار</w:t>
      </w:r>
      <w:r w:rsidRPr="00C142DE">
        <w:rPr>
          <w:rFonts w:hint="cs"/>
          <w:kern w:val="16"/>
          <w:rtl/>
        </w:rPr>
        <w:t xml:space="preserve"> إجراء المتابعة عملاً بالمادة 54 من </w:t>
      </w:r>
      <w:r>
        <w:rPr>
          <w:rFonts w:hint="cs"/>
          <w:kern w:val="16"/>
          <w:rtl/>
        </w:rPr>
        <w:t>نظامها</w:t>
      </w:r>
      <w:r w:rsidRPr="00C142DE">
        <w:rPr>
          <w:rFonts w:hint="cs"/>
          <w:kern w:val="16"/>
          <w:rtl/>
        </w:rPr>
        <w:t xml:space="preserve"> الداخلي. وقد قررت اللجنة، وفقاً للفقرة 3 من المادة 54 من نظامها الداخلي، أن يقوم المقر</w:t>
      </w:r>
      <w:r>
        <w:rPr>
          <w:rFonts w:hint="cs"/>
          <w:kern w:val="16"/>
          <w:rtl/>
        </w:rPr>
        <w:t>ّ</w:t>
      </w:r>
      <w:r w:rsidRPr="00C142DE">
        <w:rPr>
          <w:rFonts w:hint="cs"/>
          <w:kern w:val="16"/>
          <w:rtl/>
        </w:rPr>
        <w:t xml:space="preserve">رون </w:t>
      </w:r>
      <w:r>
        <w:rPr>
          <w:rFonts w:hint="cs"/>
          <w:kern w:val="16"/>
          <w:rtl/>
        </w:rPr>
        <w:t>المعنيون</w:t>
      </w:r>
      <w:r w:rsidRPr="00C142DE">
        <w:rPr>
          <w:rFonts w:hint="cs"/>
          <w:kern w:val="16"/>
          <w:rtl/>
        </w:rPr>
        <w:t xml:space="preserve"> بمتابعة الملاحظات الختامية بإعداد تقرير يتضمن تقييماً للمعلومات </w:t>
      </w:r>
      <w:r>
        <w:rPr>
          <w:rFonts w:hint="cs"/>
          <w:kern w:val="16"/>
          <w:rtl/>
        </w:rPr>
        <w:t>المقدَّم</w:t>
      </w:r>
      <w:r w:rsidRPr="00C142DE">
        <w:rPr>
          <w:rFonts w:hint="cs"/>
          <w:kern w:val="16"/>
          <w:rtl/>
        </w:rPr>
        <w:t>ة من الدول الأطراف فيما يتصل بالتوصيات التي اختيرت لغرض إجراء المتابعة والواردة في الملاحظات الختامية. وسيُقدَّم تقرير المقر</w:t>
      </w:r>
      <w:r>
        <w:rPr>
          <w:rFonts w:hint="cs"/>
          <w:kern w:val="16"/>
          <w:rtl/>
        </w:rPr>
        <w:t>ّ</w:t>
      </w:r>
      <w:r w:rsidRPr="00C142DE">
        <w:rPr>
          <w:rFonts w:hint="cs"/>
          <w:kern w:val="16"/>
          <w:rtl/>
        </w:rPr>
        <w:t>رين لكي تنظر فيه اللجنة مرة في العام وستقوم اللجنة، بناء على التقرير، بتقييم المعلومات الواردة بشأن كل توصية من التوصيات المختارة. وس</w:t>
      </w:r>
      <w:r w:rsidR="00B634BA">
        <w:rPr>
          <w:rFonts w:hint="cs"/>
          <w:kern w:val="16"/>
          <w:rtl/>
        </w:rPr>
        <w:t>ي</w:t>
      </w:r>
      <w:r w:rsidRPr="00C142DE">
        <w:rPr>
          <w:rFonts w:hint="cs"/>
          <w:kern w:val="16"/>
          <w:rtl/>
        </w:rPr>
        <w:t>جري إبلاغ كل دولة طرف بتقييم اللجنة عن طريق رسالة يوجهها ال</w:t>
      </w:r>
      <w:r>
        <w:rPr>
          <w:rFonts w:hint="cs"/>
          <w:kern w:val="16"/>
          <w:rtl/>
        </w:rPr>
        <w:t>مقرّر</w:t>
      </w:r>
      <w:r w:rsidRPr="00C142DE">
        <w:rPr>
          <w:rFonts w:hint="cs"/>
          <w:kern w:val="16"/>
          <w:rtl/>
        </w:rPr>
        <w:t>ون. وستطلب اللجنة إلى الدولة الطرف المعنية، حسب الحالة، تقديم معلومات إضافية خلال مهلة زمنية محددة، وفقاً للفقرة 4 من المادة 29 من الاتفاقية.</w:t>
      </w:r>
    </w:p>
    <w:p w:rsidR="001200E6" w:rsidRPr="00C142DE" w:rsidRDefault="001200E6" w:rsidP="006C2D9E">
      <w:pPr>
        <w:pStyle w:val="SingleTxtGA"/>
        <w:rPr>
          <w:rFonts w:hint="cs"/>
          <w:kern w:val="16"/>
          <w:rtl/>
        </w:rPr>
      </w:pPr>
      <w:r w:rsidRPr="00C142DE">
        <w:rPr>
          <w:rFonts w:hint="cs"/>
          <w:kern w:val="16"/>
          <w:rtl/>
        </w:rPr>
        <w:t>2-</w:t>
      </w:r>
      <w:r w:rsidRPr="00C142DE">
        <w:rPr>
          <w:rFonts w:hint="cs"/>
          <w:kern w:val="16"/>
          <w:rtl/>
        </w:rPr>
        <w:tab/>
        <w:t>ويُقدَّم هذا التقرير وفقاً للفقرة 3 من المادة 54 من النظام الداخلي للجنة التي تنص على</w:t>
      </w:r>
      <w:r>
        <w:rPr>
          <w:rFonts w:hint="cs"/>
          <w:kern w:val="16"/>
          <w:rtl/>
        </w:rPr>
        <w:t xml:space="preserve"> أن</w:t>
      </w:r>
      <w:r w:rsidRPr="00C142DE">
        <w:rPr>
          <w:rFonts w:hint="cs"/>
          <w:kern w:val="16"/>
          <w:rtl/>
        </w:rPr>
        <w:t xml:space="preserve"> :"</w:t>
      </w:r>
      <w:r w:rsidRPr="00C142DE">
        <w:rPr>
          <w:rFonts w:hint="cs"/>
          <w:rtl/>
        </w:rPr>
        <w:t>يُقيّم ال</w:t>
      </w:r>
      <w:r>
        <w:rPr>
          <w:rFonts w:hint="cs"/>
          <w:rtl/>
        </w:rPr>
        <w:t>مقرّر</w:t>
      </w:r>
      <w:r w:rsidRPr="00C142DE">
        <w:rPr>
          <w:rFonts w:hint="cs"/>
          <w:rtl/>
        </w:rPr>
        <w:t xml:space="preserve"> المعني (ال</w:t>
      </w:r>
      <w:r>
        <w:rPr>
          <w:rFonts w:hint="cs"/>
          <w:rtl/>
        </w:rPr>
        <w:t>مقرّر</w:t>
      </w:r>
      <w:r w:rsidRPr="00C142DE">
        <w:rPr>
          <w:rFonts w:hint="cs"/>
          <w:rtl/>
        </w:rPr>
        <w:t xml:space="preserve">ون المعنيون) بالمتابعة المعلومات </w:t>
      </w:r>
      <w:r>
        <w:rPr>
          <w:rFonts w:hint="cs"/>
          <w:rtl/>
        </w:rPr>
        <w:t>المقدَّم</w:t>
      </w:r>
      <w:r w:rsidRPr="00C142DE">
        <w:rPr>
          <w:rFonts w:hint="cs"/>
          <w:rtl/>
        </w:rPr>
        <w:t>ة من الدولة الطرف، بالتشاور مع ال</w:t>
      </w:r>
      <w:r>
        <w:rPr>
          <w:rFonts w:hint="cs"/>
          <w:rtl/>
        </w:rPr>
        <w:t>مقرّر</w:t>
      </w:r>
      <w:r w:rsidRPr="00C142DE">
        <w:rPr>
          <w:rFonts w:hint="cs"/>
          <w:rtl/>
        </w:rPr>
        <w:t>ين القطريين، إن وجدوا، و</w:t>
      </w:r>
      <w:r>
        <w:rPr>
          <w:rFonts w:hint="cs"/>
          <w:rtl/>
        </w:rPr>
        <w:t>يقدّم</w:t>
      </w:r>
      <w:r w:rsidRPr="00C142DE">
        <w:rPr>
          <w:rFonts w:hint="cs"/>
          <w:rtl/>
        </w:rPr>
        <w:t xml:space="preserve"> (</w:t>
      </w:r>
      <w:r>
        <w:rPr>
          <w:rFonts w:hint="cs"/>
          <w:rtl/>
        </w:rPr>
        <w:t>يقدّم</w:t>
      </w:r>
      <w:r w:rsidRPr="00C142DE">
        <w:rPr>
          <w:rFonts w:hint="cs"/>
          <w:rtl/>
        </w:rPr>
        <w:t>ون) تقريراً إلى اللجنة في كل دورة من دوراتها بشأن نشاطه (أنشطتهم)</w:t>
      </w:r>
      <w:r w:rsidRPr="00C142DE">
        <w:rPr>
          <w:rFonts w:hint="cs"/>
          <w:kern w:val="16"/>
          <w:rtl/>
        </w:rPr>
        <w:t>".</w:t>
      </w:r>
    </w:p>
    <w:p w:rsidR="001200E6" w:rsidRPr="00C142DE" w:rsidRDefault="001200E6" w:rsidP="006C2D9E">
      <w:pPr>
        <w:pStyle w:val="SingleTxtGA"/>
        <w:rPr>
          <w:rFonts w:hint="cs"/>
          <w:kern w:val="16"/>
          <w:rtl/>
        </w:rPr>
      </w:pPr>
      <w:r w:rsidRPr="00C142DE">
        <w:rPr>
          <w:rFonts w:hint="cs"/>
          <w:kern w:val="16"/>
          <w:rtl/>
        </w:rPr>
        <w:t>3-</w:t>
      </w:r>
      <w:r w:rsidRPr="00C142DE">
        <w:rPr>
          <w:rFonts w:hint="cs"/>
          <w:kern w:val="16"/>
          <w:rtl/>
        </w:rPr>
        <w:tab/>
        <w:t>ويعكس هذا التقرير المعلومات التي تلقتها اللجنة فيما بين دورتيها السادسة والسابعة، بشأن ملاحظاتها الختامية المتعلقة بكل من فرنسا (</w:t>
      </w:r>
      <w:r w:rsidRPr="00C142DE">
        <w:t>CED/C/FRA/CO/1/Add.1</w:t>
      </w:r>
      <w:r w:rsidRPr="00C142DE">
        <w:rPr>
          <w:rFonts w:hint="cs"/>
          <w:kern w:val="16"/>
          <w:rtl/>
        </w:rPr>
        <w:t>) وأوروغواي (</w:t>
      </w:r>
      <w:r w:rsidRPr="00C142DE">
        <w:t>CED/C/URY/CO/1/Add.1</w:t>
      </w:r>
      <w:r w:rsidRPr="00C142DE">
        <w:rPr>
          <w:rFonts w:hint="cs"/>
          <w:kern w:val="16"/>
          <w:rtl/>
        </w:rPr>
        <w:t>)، كما يعكس التقييمات والقرارات التي اعتمدتها</w:t>
      </w:r>
      <w:r>
        <w:rPr>
          <w:rFonts w:hint="cs"/>
          <w:kern w:val="16"/>
          <w:rtl/>
        </w:rPr>
        <w:t xml:space="preserve"> اللجنة</w:t>
      </w:r>
      <w:r w:rsidRPr="00C142DE">
        <w:rPr>
          <w:rFonts w:hint="cs"/>
          <w:kern w:val="16"/>
          <w:rtl/>
        </w:rPr>
        <w:t xml:space="preserve"> أثناء دورتها السابعة.</w:t>
      </w:r>
    </w:p>
    <w:p w:rsidR="001200E6" w:rsidRPr="00C142DE" w:rsidRDefault="001200E6" w:rsidP="006C2D9E">
      <w:pPr>
        <w:pStyle w:val="SingleTxtGA"/>
        <w:rPr>
          <w:rFonts w:hint="cs"/>
          <w:kern w:val="16"/>
          <w:rtl/>
        </w:rPr>
      </w:pPr>
      <w:r w:rsidRPr="00C142DE">
        <w:rPr>
          <w:rFonts w:hint="cs"/>
          <w:kern w:val="16"/>
          <w:rtl/>
        </w:rPr>
        <w:t>4-</w:t>
      </w:r>
      <w:r w:rsidRPr="00C142DE">
        <w:rPr>
          <w:rFonts w:hint="cs"/>
          <w:kern w:val="16"/>
          <w:rtl/>
        </w:rPr>
        <w:tab/>
        <w:t xml:space="preserve">ولغرض تقييم المعلومات </w:t>
      </w:r>
      <w:r>
        <w:rPr>
          <w:rFonts w:hint="cs"/>
          <w:kern w:val="16"/>
          <w:rtl/>
        </w:rPr>
        <w:t>المقدَّم</w:t>
      </w:r>
      <w:r w:rsidRPr="00C142DE">
        <w:rPr>
          <w:rFonts w:hint="cs"/>
          <w:kern w:val="16"/>
          <w:rtl/>
        </w:rPr>
        <w:t>ة من الدول الأطراف المعنية، تستخدم اللجنة المعايير المبينة أدناه:</w:t>
      </w:r>
    </w:p>
    <w:tbl>
      <w:tblPr>
        <w:bidiVisual/>
        <w:tblW w:w="7251" w:type="dxa"/>
        <w:tblInd w:w="1183" w:type="dxa"/>
        <w:tblBorders>
          <w:top w:val="single" w:sz="4" w:space="0" w:color="auto"/>
        </w:tblBorders>
        <w:tblLayout w:type="fixed"/>
        <w:tblCellMar>
          <w:left w:w="0" w:type="dxa"/>
          <w:right w:w="0" w:type="dxa"/>
        </w:tblCellMar>
        <w:tblLook w:val="00A0"/>
      </w:tblPr>
      <w:tblGrid>
        <w:gridCol w:w="715"/>
        <w:gridCol w:w="6536"/>
      </w:tblGrid>
      <w:tr w:rsidR="001200E6" w:rsidRPr="009A04FD" w:rsidTr="00ED1A4D">
        <w:trPr>
          <w:trHeight w:val="240"/>
          <w:tblHeader/>
        </w:trPr>
        <w:tc>
          <w:tcPr>
            <w:tcW w:w="7251" w:type="dxa"/>
            <w:gridSpan w:val="2"/>
            <w:tcBorders>
              <w:top w:val="single" w:sz="4" w:space="0" w:color="auto"/>
              <w:bottom w:val="single" w:sz="12" w:space="0" w:color="auto"/>
            </w:tcBorders>
            <w:vAlign w:val="bottom"/>
          </w:tcPr>
          <w:p w:rsidR="001200E6" w:rsidRPr="009A04FD" w:rsidRDefault="001200E6" w:rsidP="006C2D9E">
            <w:pPr>
              <w:spacing w:before="40" w:after="60" w:line="300" w:lineRule="exact"/>
              <w:ind w:left="57" w:right="57"/>
              <w:rPr>
                <w:szCs w:val="28"/>
              </w:rPr>
            </w:pPr>
            <w:r w:rsidRPr="00C142DE">
              <w:rPr>
                <w:szCs w:val="28"/>
                <w:lang w:val="fr-FR"/>
              </w:rPr>
              <w:br w:type="column"/>
            </w:r>
            <w:r w:rsidRPr="00C142DE">
              <w:rPr>
                <w:szCs w:val="28"/>
                <w:rtl/>
                <w:lang w:val="fr-FR"/>
              </w:rPr>
              <w:br w:type="page"/>
            </w:r>
            <w:r w:rsidRPr="00C142DE">
              <w:rPr>
                <w:i/>
                <w:szCs w:val="28"/>
                <w:rtl/>
                <w:lang w:val="fr-FR"/>
              </w:rPr>
              <w:br w:type="page"/>
            </w:r>
            <w:r w:rsidRPr="00C142DE">
              <w:rPr>
                <w:rFonts w:hint="cs"/>
                <w:iCs/>
                <w:szCs w:val="28"/>
                <w:rtl/>
              </w:rPr>
              <w:t>تقييم الردود</w:t>
            </w:r>
          </w:p>
        </w:tc>
      </w:tr>
      <w:tr w:rsidR="001200E6" w:rsidRPr="009A04FD" w:rsidTr="006C2D9E">
        <w:trPr>
          <w:trHeight w:val="240"/>
        </w:trPr>
        <w:tc>
          <w:tcPr>
            <w:tcW w:w="715" w:type="dxa"/>
          </w:tcPr>
          <w:p w:rsidR="001200E6" w:rsidRPr="007D2377" w:rsidRDefault="001200E6" w:rsidP="006C2D9E">
            <w:pPr>
              <w:spacing w:before="40" w:after="60" w:line="300" w:lineRule="exact"/>
              <w:ind w:left="57" w:right="57"/>
              <w:rPr>
                <w:rFonts w:hint="cs"/>
                <w:b/>
                <w:bCs/>
                <w:szCs w:val="28"/>
                <w:rtl/>
              </w:rPr>
            </w:pPr>
            <w:r w:rsidRPr="00C142DE">
              <w:rPr>
                <w:rFonts w:hint="cs"/>
                <w:b/>
                <w:bCs/>
                <w:szCs w:val="28"/>
                <w:rtl/>
              </w:rPr>
              <w:t>ألف</w:t>
            </w:r>
            <w:r w:rsidR="006C2D9E">
              <w:rPr>
                <w:rFonts w:hint="cs"/>
                <w:b/>
                <w:bCs/>
                <w:szCs w:val="28"/>
                <w:rtl/>
              </w:rPr>
              <w:t>-</w:t>
            </w:r>
          </w:p>
        </w:tc>
        <w:tc>
          <w:tcPr>
            <w:tcW w:w="6536" w:type="dxa"/>
          </w:tcPr>
          <w:p w:rsidR="001200E6" w:rsidRPr="009A04FD" w:rsidRDefault="001200E6" w:rsidP="006C2D9E">
            <w:pPr>
              <w:spacing w:before="40" w:after="60" w:line="300" w:lineRule="exact"/>
              <w:ind w:left="57" w:right="57"/>
              <w:rPr>
                <w:szCs w:val="28"/>
                <w:rtl/>
              </w:rPr>
            </w:pPr>
            <w:r w:rsidRPr="00C142DE">
              <w:rPr>
                <w:b/>
                <w:bCs/>
                <w:szCs w:val="28"/>
                <w:rtl/>
              </w:rPr>
              <w:t>رد/إجراء مرضٍ</w:t>
            </w:r>
          </w:p>
        </w:tc>
      </w:tr>
      <w:tr w:rsidR="001200E6" w:rsidRPr="009A04FD" w:rsidTr="006C2D9E">
        <w:trPr>
          <w:trHeight w:val="240"/>
        </w:trPr>
        <w:tc>
          <w:tcPr>
            <w:tcW w:w="715" w:type="dxa"/>
          </w:tcPr>
          <w:p w:rsidR="001200E6" w:rsidRPr="009A04FD" w:rsidRDefault="001200E6" w:rsidP="006C2D9E">
            <w:pPr>
              <w:spacing w:before="40" w:after="60" w:line="300" w:lineRule="exact"/>
              <w:ind w:left="57" w:right="57"/>
              <w:rPr>
                <w:rFonts w:hint="cs"/>
                <w:szCs w:val="28"/>
              </w:rPr>
            </w:pPr>
          </w:p>
        </w:tc>
        <w:tc>
          <w:tcPr>
            <w:tcW w:w="6536" w:type="dxa"/>
          </w:tcPr>
          <w:p w:rsidR="001200E6" w:rsidRPr="00871150" w:rsidRDefault="001200E6" w:rsidP="006C2D9E">
            <w:pPr>
              <w:numPr>
                <w:ilvl w:val="0"/>
                <w:numId w:val="40"/>
              </w:numPr>
              <w:tabs>
                <w:tab w:val="left" w:pos="335"/>
              </w:tabs>
              <w:spacing w:before="40" w:after="60" w:line="300" w:lineRule="exact"/>
              <w:ind w:left="57" w:right="57" w:firstLine="0"/>
              <w:rPr>
                <w:szCs w:val="28"/>
              </w:rPr>
            </w:pPr>
            <w:r w:rsidRPr="00C142DE">
              <w:rPr>
                <w:szCs w:val="28"/>
                <w:rtl/>
              </w:rPr>
              <w:t>رد مرضٍ إلى حد كبير</w:t>
            </w:r>
          </w:p>
        </w:tc>
      </w:tr>
      <w:tr w:rsidR="001200E6" w:rsidRPr="009A04FD" w:rsidTr="006C2D9E">
        <w:trPr>
          <w:trHeight w:val="240"/>
        </w:trPr>
        <w:tc>
          <w:tcPr>
            <w:tcW w:w="715" w:type="dxa"/>
          </w:tcPr>
          <w:p w:rsidR="001200E6" w:rsidRPr="007D2377" w:rsidRDefault="001200E6" w:rsidP="006C2D9E">
            <w:pPr>
              <w:spacing w:before="40" w:after="60" w:line="300" w:lineRule="exact"/>
              <w:ind w:left="57" w:right="57"/>
              <w:rPr>
                <w:rFonts w:hint="cs"/>
                <w:b/>
                <w:bCs/>
                <w:szCs w:val="28"/>
              </w:rPr>
            </w:pPr>
            <w:r w:rsidRPr="00C142DE">
              <w:rPr>
                <w:rFonts w:hint="cs"/>
                <w:b/>
                <w:bCs/>
                <w:szCs w:val="28"/>
                <w:rtl/>
              </w:rPr>
              <w:t>باء</w:t>
            </w:r>
            <w:r w:rsidR="006C2D9E">
              <w:rPr>
                <w:rFonts w:hint="cs"/>
                <w:b/>
                <w:bCs/>
                <w:szCs w:val="28"/>
                <w:rtl/>
              </w:rPr>
              <w:t>-</w:t>
            </w:r>
          </w:p>
        </w:tc>
        <w:tc>
          <w:tcPr>
            <w:tcW w:w="6536" w:type="dxa"/>
          </w:tcPr>
          <w:p w:rsidR="001200E6" w:rsidRPr="009A04FD" w:rsidRDefault="001200E6" w:rsidP="006C2D9E">
            <w:pPr>
              <w:spacing w:before="40" w:after="60" w:line="300" w:lineRule="exact"/>
              <w:ind w:left="57" w:right="57"/>
              <w:rPr>
                <w:szCs w:val="28"/>
                <w:rtl/>
              </w:rPr>
            </w:pPr>
            <w:r w:rsidRPr="00C142DE">
              <w:rPr>
                <w:b/>
                <w:bCs/>
                <w:szCs w:val="28"/>
                <w:rtl/>
              </w:rPr>
              <w:t>رد/إجراء مرضٍ جزئيا</w:t>
            </w:r>
            <w:r w:rsidRPr="00C142DE">
              <w:rPr>
                <w:rFonts w:hint="cs"/>
                <w:b/>
                <w:bCs/>
                <w:szCs w:val="28"/>
                <w:rtl/>
              </w:rPr>
              <w:t>ً</w:t>
            </w:r>
          </w:p>
        </w:tc>
      </w:tr>
      <w:tr w:rsidR="001200E6" w:rsidRPr="009A04FD" w:rsidTr="006C2D9E">
        <w:trPr>
          <w:trHeight w:val="240"/>
        </w:trPr>
        <w:tc>
          <w:tcPr>
            <w:tcW w:w="715" w:type="dxa"/>
          </w:tcPr>
          <w:p w:rsidR="001200E6" w:rsidRPr="009A04FD" w:rsidRDefault="001200E6" w:rsidP="006C2D9E">
            <w:pPr>
              <w:spacing w:before="40" w:after="60" w:line="300" w:lineRule="exact"/>
              <w:ind w:left="57" w:right="57"/>
              <w:rPr>
                <w:szCs w:val="28"/>
              </w:rPr>
            </w:pPr>
          </w:p>
        </w:tc>
        <w:tc>
          <w:tcPr>
            <w:tcW w:w="6536" w:type="dxa"/>
          </w:tcPr>
          <w:p w:rsidR="001200E6" w:rsidRPr="00C142DE" w:rsidRDefault="001200E6" w:rsidP="006C2D9E">
            <w:pPr>
              <w:numPr>
                <w:ilvl w:val="0"/>
                <w:numId w:val="40"/>
              </w:numPr>
              <w:tabs>
                <w:tab w:val="left" w:pos="335"/>
              </w:tabs>
              <w:spacing w:before="40" w:after="60" w:line="300" w:lineRule="exact"/>
              <w:ind w:left="57" w:right="57" w:firstLine="0"/>
              <w:rPr>
                <w:rFonts w:hint="cs"/>
                <w:szCs w:val="28"/>
              </w:rPr>
            </w:pPr>
            <w:r w:rsidRPr="00C142DE">
              <w:rPr>
                <w:szCs w:val="28"/>
                <w:rtl/>
              </w:rPr>
              <w:t>اتُخذ</w:t>
            </w:r>
            <w:r w:rsidRPr="00C142DE">
              <w:rPr>
                <w:rFonts w:hint="cs"/>
                <w:szCs w:val="28"/>
                <w:rtl/>
              </w:rPr>
              <w:t>ت</w:t>
            </w:r>
            <w:r w:rsidRPr="00C142DE">
              <w:rPr>
                <w:szCs w:val="28"/>
                <w:rtl/>
              </w:rPr>
              <w:t xml:space="preserve"> إجراء</w:t>
            </w:r>
            <w:r w:rsidRPr="00C142DE">
              <w:rPr>
                <w:rFonts w:hint="cs"/>
                <w:szCs w:val="28"/>
                <w:rtl/>
              </w:rPr>
              <w:t>ات</w:t>
            </w:r>
            <w:r w:rsidRPr="00C142DE">
              <w:rPr>
                <w:szCs w:val="28"/>
                <w:rtl/>
              </w:rPr>
              <w:t xml:space="preserve"> </w:t>
            </w:r>
            <w:r w:rsidRPr="00C142DE">
              <w:rPr>
                <w:rFonts w:hint="cs"/>
                <w:szCs w:val="28"/>
                <w:rtl/>
              </w:rPr>
              <w:t>ملموسة</w:t>
            </w:r>
            <w:r w:rsidRPr="00C142DE">
              <w:rPr>
                <w:szCs w:val="28"/>
                <w:rtl/>
              </w:rPr>
              <w:t xml:space="preserve">، </w:t>
            </w:r>
            <w:r w:rsidRPr="00C142DE">
              <w:rPr>
                <w:rFonts w:hint="cs"/>
                <w:szCs w:val="28"/>
                <w:rtl/>
              </w:rPr>
              <w:t>و</w:t>
            </w:r>
            <w:r w:rsidRPr="00C142DE">
              <w:rPr>
                <w:szCs w:val="28"/>
                <w:rtl/>
              </w:rPr>
              <w:t xml:space="preserve">لكن </w:t>
            </w:r>
            <w:r w:rsidRPr="00C142DE">
              <w:rPr>
                <w:rFonts w:hint="cs"/>
                <w:szCs w:val="28"/>
                <w:rtl/>
              </w:rPr>
              <w:t>يلزم</w:t>
            </w:r>
            <w:r w:rsidRPr="00C142DE">
              <w:rPr>
                <w:szCs w:val="28"/>
                <w:rtl/>
              </w:rPr>
              <w:t xml:space="preserve"> تقديم معلومات إضافية</w:t>
            </w:r>
          </w:p>
          <w:p w:rsidR="001200E6" w:rsidRPr="009A04FD" w:rsidRDefault="001200E6" w:rsidP="006C2D9E">
            <w:pPr>
              <w:numPr>
                <w:ilvl w:val="0"/>
                <w:numId w:val="40"/>
              </w:numPr>
              <w:tabs>
                <w:tab w:val="left" w:pos="335"/>
              </w:tabs>
              <w:spacing w:before="40" w:after="60" w:line="300" w:lineRule="exact"/>
              <w:ind w:left="57" w:right="57" w:firstLine="0"/>
              <w:rPr>
                <w:szCs w:val="28"/>
              </w:rPr>
            </w:pPr>
            <w:r w:rsidRPr="00C142DE">
              <w:rPr>
                <w:szCs w:val="28"/>
                <w:rtl/>
              </w:rPr>
              <w:t>اتُخذ</w:t>
            </w:r>
            <w:r w:rsidRPr="00C142DE">
              <w:rPr>
                <w:rFonts w:hint="cs"/>
                <w:szCs w:val="28"/>
                <w:rtl/>
              </w:rPr>
              <w:t>ت</w:t>
            </w:r>
            <w:r w:rsidRPr="00C142DE">
              <w:rPr>
                <w:szCs w:val="28"/>
                <w:rtl/>
              </w:rPr>
              <w:t xml:space="preserve"> إجراء</w:t>
            </w:r>
            <w:r w:rsidRPr="00C142DE">
              <w:rPr>
                <w:rFonts w:hint="cs"/>
                <w:szCs w:val="28"/>
                <w:rtl/>
              </w:rPr>
              <w:t>ات</w:t>
            </w:r>
            <w:r w:rsidRPr="00C142DE">
              <w:rPr>
                <w:szCs w:val="28"/>
                <w:rtl/>
              </w:rPr>
              <w:t xml:space="preserve"> أولي</w:t>
            </w:r>
            <w:r w:rsidRPr="00C142DE">
              <w:rPr>
                <w:rFonts w:hint="cs"/>
                <w:szCs w:val="28"/>
                <w:rtl/>
              </w:rPr>
              <w:t>ة</w:t>
            </w:r>
            <w:r w:rsidRPr="00C142DE">
              <w:rPr>
                <w:szCs w:val="28"/>
                <w:rtl/>
              </w:rPr>
              <w:t xml:space="preserve">، </w:t>
            </w:r>
            <w:r w:rsidRPr="00C142DE">
              <w:rPr>
                <w:rFonts w:hint="cs"/>
                <w:szCs w:val="28"/>
                <w:rtl/>
              </w:rPr>
              <w:t>و</w:t>
            </w:r>
            <w:r w:rsidRPr="00C142DE">
              <w:rPr>
                <w:szCs w:val="28"/>
                <w:rtl/>
              </w:rPr>
              <w:t xml:space="preserve">لكن </w:t>
            </w:r>
            <w:r w:rsidRPr="00C142DE">
              <w:rPr>
                <w:rFonts w:hint="cs"/>
                <w:szCs w:val="28"/>
                <w:rtl/>
              </w:rPr>
              <w:t>يلزم</w:t>
            </w:r>
            <w:r w:rsidRPr="00C142DE">
              <w:rPr>
                <w:szCs w:val="28"/>
                <w:rtl/>
              </w:rPr>
              <w:t xml:space="preserve"> تقديم معلومات </w:t>
            </w:r>
            <w:r w:rsidRPr="00C142DE">
              <w:rPr>
                <w:rFonts w:hint="cs"/>
                <w:szCs w:val="28"/>
                <w:rtl/>
              </w:rPr>
              <w:t xml:space="preserve">واتخاذ تدابير </w:t>
            </w:r>
            <w:r w:rsidRPr="00C142DE">
              <w:rPr>
                <w:szCs w:val="28"/>
                <w:rtl/>
              </w:rPr>
              <w:t>إضافية</w:t>
            </w:r>
          </w:p>
        </w:tc>
      </w:tr>
      <w:tr w:rsidR="001200E6" w:rsidRPr="009A04FD" w:rsidTr="006C2D9E">
        <w:trPr>
          <w:trHeight w:val="240"/>
        </w:trPr>
        <w:tc>
          <w:tcPr>
            <w:tcW w:w="715" w:type="dxa"/>
          </w:tcPr>
          <w:p w:rsidR="001200E6" w:rsidRPr="007D2377" w:rsidRDefault="001200E6" w:rsidP="006C2D9E">
            <w:pPr>
              <w:spacing w:before="40" w:after="60" w:line="300" w:lineRule="exact"/>
              <w:ind w:left="57" w:right="57"/>
              <w:rPr>
                <w:rFonts w:hint="cs"/>
                <w:b/>
                <w:bCs/>
                <w:szCs w:val="28"/>
                <w:rtl/>
              </w:rPr>
            </w:pPr>
            <w:r w:rsidRPr="00C142DE">
              <w:rPr>
                <w:rFonts w:hint="cs"/>
                <w:b/>
                <w:bCs/>
                <w:szCs w:val="28"/>
                <w:rtl/>
              </w:rPr>
              <w:t>جيم</w:t>
            </w:r>
            <w:r w:rsidR="006C2D9E">
              <w:rPr>
                <w:rFonts w:hint="cs"/>
                <w:b/>
                <w:bCs/>
                <w:szCs w:val="28"/>
                <w:rtl/>
              </w:rPr>
              <w:t>-</w:t>
            </w:r>
          </w:p>
        </w:tc>
        <w:tc>
          <w:tcPr>
            <w:tcW w:w="6536" w:type="dxa"/>
          </w:tcPr>
          <w:p w:rsidR="001200E6" w:rsidRPr="009A04FD" w:rsidRDefault="001200E6" w:rsidP="006C2D9E">
            <w:pPr>
              <w:spacing w:before="40" w:after="60" w:line="300" w:lineRule="exact"/>
              <w:ind w:left="57" w:right="57"/>
              <w:rPr>
                <w:szCs w:val="28"/>
                <w:rtl/>
              </w:rPr>
            </w:pPr>
            <w:r w:rsidRPr="00C142DE">
              <w:rPr>
                <w:b/>
                <w:bCs/>
                <w:szCs w:val="28"/>
                <w:rtl/>
              </w:rPr>
              <w:t>رد/إجراء غير مرضٍ</w:t>
            </w:r>
          </w:p>
        </w:tc>
      </w:tr>
      <w:tr w:rsidR="001200E6" w:rsidRPr="009A04FD" w:rsidTr="006C2D9E">
        <w:trPr>
          <w:trHeight w:val="240"/>
        </w:trPr>
        <w:tc>
          <w:tcPr>
            <w:tcW w:w="715" w:type="dxa"/>
          </w:tcPr>
          <w:p w:rsidR="001200E6" w:rsidRPr="009A04FD" w:rsidRDefault="001200E6" w:rsidP="006C2D9E">
            <w:pPr>
              <w:spacing w:before="40" w:after="60" w:line="300" w:lineRule="exact"/>
              <w:ind w:left="57" w:right="57"/>
              <w:rPr>
                <w:szCs w:val="28"/>
              </w:rPr>
            </w:pPr>
          </w:p>
        </w:tc>
        <w:tc>
          <w:tcPr>
            <w:tcW w:w="6536" w:type="dxa"/>
          </w:tcPr>
          <w:p w:rsidR="001200E6" w:rsidRPr="00C142DE" w:rsidRDefault="001200E6" w:rsidP="006C2D9E">
            <w:pPr>
              <w:numPr>
                <w:ilvl w:val="0"/>
                <w:numId w:val="40"/>
              </w:numPr>
              <w:tabs>
                <w:tab w:val="left" w:pos="335"/>
              </w:tabs>
              <w:spacing w:before="40" w:after="60" w:line="300" w:lineRule="exact"/>
              <w:ind w:left="57" w:right="57" w:firstLine="0"/>
              <w:rPr>
                <w:rFonts w:hint="cs"/>
                <w:szCs w:val="28"/>
              </w:rPr>
            </w:pPr>
            <w:r w:rsidRPr="00C142DE">
              <w:rPr>
                <w:szCs w:val="28"/>
                <w:rtl/>
              </w:rPr>
              <w:t xml:space="preserve">ورد الرد ولكن الإجراءات التي </w:t>
            </w:r>
            <w:r>
              <w:rPr>
                <w:szCs w:val="28"/>
                <w:rtl/>
              </w:rPr>
              <w:t xml:space="preserve">اتُخذت </w:t>
            </w:r>
            <w:r w:rsidRPr="00C142DE">
              <w:rPr>
                <w:szCs w:val="28"/>
                <w:rtl/>
              </w:rPr>
              <w:t>لم تؤد إلى تنفيذ التوصية</w:t>
            </w:r>
          </w:p>
          <w:p w:rsidR="001200E6" w:rsidRPr="00C142DE" w:rsidRDefault="001200E6" w:rsidP="006C2D9E">
            <w:pPr>
              <w:numPr>
                <w:ilvl w:val="0"/>
                <w:numId w:val="40"/>
              </w:numPr>
              <w:tabs>
                <w:tab w:val="left" w:pos="335"/>
              </w:tabs>
              <w:spacing w:before="40" w:after="60" w:line="300" w:lineRule="exact"/>
              <w:ind w:left="57" w:right="57" w:firstLine="0"/>
              <w:rPr>
                <w:rFonts w:hint="cs"/>
                <w:szCs w:val="28"/>
              </w:rPr>
            </w:pPr>
            <w:r w:rsidRPr="00C142DE">
              <w:rPr>
                <w:szCs w:val="28"/>
                <w:rtl/>
              </w:rPr>
              <w:t xml:space="preserve">ورد الرد ولكنه </w:t>
            </w:r>
            <w:r w:rsidRPr="00C142DE">
              <w:rPr>
                <w:rFonts w:hint="cs"/>
                <w:szCs w:val="28"/>
                <w:rtl/>
              </w:rPr>
              <w:t>لا</w:t>
            </w:r>
            <w:r w:rsidRPr="00C142DE">
              <w:rPr>
                <w:szCs w:val="28"/>
                <w:rtl/>
              </w:rPr>
              <w:t xml:space="preserve"> يتعلق بالتوصي</w:t>
            </w:r>
            <w:r w:rsidRPr="00C142DE">
              <w:rPr>
                <w:rFonts w:hint="cs"/>
                <w:szCs w:val="28"/>
                <w:rtl/>
              </w:rPr>
              <w:t>ات</w:t>
            </w:r>
          </w:p>
          <w:p w:rsidR="001200E6" w:rsidRPr="00085CEE" w:rsidRDefault="001200E6" w:rsidP="006C2D9E">
            <w:pPr>
              <w:numPr>
                <w:ilvl w:val="0"/>
                <w:numId w:val="40"/>
              </w:numPr>
              <w:tabs>
                <w:tab w:val="left" w:pos="335"/>
              </w:tabs>
              <w:spacing w:before="40" w:after="60" w:line="300" w:lineRule="exact"/>
              <w:ind w:left="57" w:right="57" w:firstLine="0"/>
              <w:rPr>
                <w:szCs w:val="28"/>
              </w:rPr>
            </w:pPr>
            <w:r w:rsidRPr="00C142DE">
              <w:rPr>
                <w:rFonts w:hint="cs"/>
                <w:szCs w:val="28"/>
                <w:rtl/>
              </w:rPr>
              <w:t>لم يرد رد بشأن مسألة محددة واردة في التوصية</w:t>
            </w:r>
          </w:p>
        </w:tc>
      </w:tr>
      <w:tr w:rsidR="001200E6" w:rsidRPr="009A04FD" w:rsidTr="006C2D9E">
        <w:trPr>
          <w:trHeight w:val="240"/>
        </w:trPr>
        <w:tc>
          <w:tcPr>
            <w:tcW w:w="715" w:type="dxa"/>
          </w:tcPr>
          <w:p w:rsidR="001200E6" w:rsidRPr="007D2377" w:rsidRDefault="001200E6" w:rsidP="006C2D9E">
            <w:pPr>
              <w:spacing w:before="40" w:after="60" w:line="300" w:lineRule="exact"/>
              <w:ind w:left="57" w:right="57"/>
              <w:rPr>
                <w:rFonts w:hint="cs"/>
                <w:b/>
                <w:bCs/>
                <w:szCs w:val="28"/>
              </w:rPr>
            </w:pPr>
            <w:r w:rsidRPr="00C142DE">
              <w:rPr>
                <w:rFonts w:hint="cs"/>
                <w:b/>
                <w:bCs/>
                <w:szCs w:val="28"/>
                <w:rtl/>
              </w:rPr>
              <w:t>دال</w:t>
            </w:r>
            <w:r w:rsidR="006C2D9E">
              <w:rPr>
                <w:rFonts w:hint="cs"/>
                <w:b/>
                <w:bCs/>
                <w:szCs w:val="28"/>
                <w:rtl/>
              </w:rPr>
              <w:t>-</w:t>
            </w:r>
          </w:p>
        </w:tc>
        <w:tc>
          <w:tcPr>
            <w:tcW w:w="6536" w:type="dxa"/>
          </w:tcPr>
          <w:p w:rsidR="001200E6" w:rsidRPr="009A04FD" w:rsidRDefault="001200E6" w:rsidP="006C2D9E">
            <w:pPr>
              <w:spacing w:before="40" w:after="60" w:line="300" w:lineRule="exact"/>
              <w:ind w:left="57" w:right="57"/>
              <w:rPr>
                <w:szCs w:val="28"/>
                <w:rtl/>
              </w:rPr>
            </w:pPr>
            <w:r w:rsidRPr="00C142DE">
              <w:rPr>
                <w:b/>
                <w:bCs/>
                <w:szCs w:val="28"/>
                <w:rtl/>
              </w:rPr>
              <w:t xml:space="preserve">لم </w:t>
            </w:r>
            <w:r w:rsidRPr="00C142DE">
              <w:rPr>
                <w:rFonts w:hint="cs"/>
                <w:b/>
                <w:bCs/>
                <w:szCs w:val="28"/>
                <w:rtl/>
              </w:rPr>
              <w:t xml:space="preserve">يجر </w:t>
            </w:r>
            <w:r w:rsidRPr="00C142DE">
              <w:rPr>
                <w:b/>
                <w:bCs/>
                <w:szCs w:val="28"/>
                <w:rtl/>
              </w:rPr>
              <w:t>أي تعاون مع اللجنة</w:t>
            </w:r>
          </w:p>
        </w:tc>
      </w:tr>
      <w:tr w:rsidR="001200E6" w:rsidRPr="009A04FD" w:rsidTr="006C2D9E">
        <w:trPr>
          <w:trHeight w:val="240"/>
        </w:trPr>
        <w:tc>
          <w:tcPr>
            <w:tcW w:w="715" w:type="dxa"/>
          </w:tcPr>
          <w:p w:rsidR="001200E6" w:rsidRPr="009A04FD" w:rsidRDefault="001200E6" w:rsidP="006C2D9E">
            <w:pPr>
              <w:spacing w:before="40" w:after="60" w:line="300" w:lineRule="exact"/>
              <w:ind w:left="57" w:right="57"/>
              <w:rPr>
                <w:szCs w:val="28"/>
              </w:rPr>
            </w:pPr>
          </w:p>
        </w:tc>
        <w:tc>
          <w:tcPr>
            <w:tcW w:w="6536" w:type="dxa"/>
          </w:tcPr>
          <w:p w:rsidR="001200E6" w:rsidRPr="009A04FD" w:rsidRDefault="001200E6" w:rsidP="006C2D9E">
            <w:pPr>
              <w:numPr>
                <w:ilvl w:val="0"/>
                <w:numId w:val="40"/>
              </w:numPr>
              <w:tabs>
                <w:tab w:val="left" w:pos="335"/>
              </w:tabs>
              <w:spacing w:before="40" w:after="60" w:line="300" w:lineRule="exact"/>
              <w:ind w:left="57" w:right="57" w:firstLine="0"/>
              <w:rPr>
                <w:szCs w:val="28"/>
              </w:rPr>
            </w:pPr>
            <w:r w:rsidRPr="00C142DE">
              <w:rPr>
                <w:szCs w:val="28"/>
                <w:rtl/>
              </w:rPr>
              <w:t>لم يرد</w:t>
            </w:r>
            <w:r w:rsidRPr="00C142DE">
              <w:rPr>
                <w:rFonts w:hint="cs"/>
                <w:szCs w:val="28"/>
                <w:rtl/>
              </w:rPr>
              <w:t xml:space="preserve"> أي رد</w:t>
            </w:r>
            <w:r w:rsidRPr="00C142DE">
              <w:rPr>
                <w:szCs w:val="28"/>
                <w:rtl/>
              </w:rPr>
              <w:t xml:space="preserve"> </w:t>
            </w:r>
            <w:r w:rsidRPr="00C142DE">
              <w:rPr>
                <w:rFonts w:hint="cs"/>
                <w:szCs w:val="28"/>
                <w:rtl/>
              </w:rPr>
              <w:t>بعد توجيه</w:t>
            </w:r>
            <w:r w:rsidRPr="00C142DE">
              <w:rPr>
                <w:szCs w:val="28"/>
                <w:rtl/>
              </w:rPr>
              <w:t xml:space="preserve"> رسالة (رسائل) التذكير</w:t>
            </w:r>
          </w:p>
        </w:tc>
      </w:tr>
      <w:tr w:rsidR="001200E6" w:rsidRPr="00D16BE7" w:rsidTr="006C2D9E">
        <w:trPr>
          <w:trHeight w:val="240"/>
        </w:trPr>
        <w:tc>
          <w:tcPr>
            <w:tcW w:w="715" w:type="dxa"/>
          </w:tcPr>
          <w:p w:rsidR="001200E6" w:rsidRPr="00146214" w:rsidRDefault="001200E6" w:rsidP="006C2D9E">
            <w:pPr>
              <w:spacing w:before="40" w:after="60" w:line="300" w:lineRule="exact"/>
              <w:ind w:left="57" w:right="57"/>
              <w:rPr>
                <w:rFonts w:hint="cs"/>
                <w:b/>
                <w:bCs/>
                <w:szCs w:val="28"/>
              </w:rPr>
            </w:pPr>
            <w:r w:rsidRPr="00C142DE">
              <w:rPr>
                <w:rFonts w:hint="cs"/>
                <w:b/>
                <w:bCs/>
                <w:szCs w:val="28"/>
                <w:rtl/>
              </w:rPr>
              <w:t>هاء</w:t>
            </w:r>
            <w:r w:rsidR="006C2D9E">
              <w:rPr>
                <w:rFonts w:hint="cs"/>
                <w:b/>
                <w:bCs/>
                <w:szCs w:val="28"/>
                <w:rtl/>
              </w:rPr>
              <w:t>-</w:t>
            </w:r>
          </w:p>
        </w:tc>
        <w:tc>
          <w:tcPr>
            <w:tcW w:w="6536" w:type="dxa"/>
          </w:tcPr>
          <w:p w:rsidR="001200E6" w:rsidRPr="00146214" w:rsidRDefault="001200E6" w:rsidP="006C2D9E">
            <w:pPr>
              <w:spacing w:before="40" w:after="60" w:line="300" w:lineRule="exact"/>
              <w:ind w:left="57" w:right="57"/>
              <w:rPr>
                <w:b/>
                <w:bCs/>
                <w:szCs w:val="28"/>
                <w:rtl/>
              </w:rPr>
            </w:pPr>
            <w:r w:rsidRPr="00C142DE">
              <w:rPr>
                <w:rFonts w:hint="cs"/>
                <w:b/>
                <w:bCs/>
                <w:szCs w:val="28"/>
                <w:rtl/>
              </w:rPr>
              <w:t>تتعارض التدابير المتخذة مع توصيات اللجنة</w:t>
            </w:r>
          </w:p>
        </w:tc>
      </w:tr>
      <w:tr w:rsidR="001200E6" w:rsidRPr="00C142DE" w:rsidTr="006C2D9E">
        <w:trPr>
          <w:trHeight w:val="240"/>
        </w:trPr>
        <w:tc>
          <w:tcPr>
            <w:tcW w:w="715" w:type="dxa"/>
            <w:tcBorders>
              <w:bottom w:val="single" w:sz="12" w:space="0" w:color="auto"/>
            </w:tcBorders>
          </w:tcPr>
          <w:p w:rsidR="001200E6" w:rsidRPr="007D2377" w:rsidRDefault="001200E6" w:rsidP="006C2D9E">
            <w:pPr>
              <w:spacing w:before="40" w:after="60" w:line="300" w:lineRule="exact"/>
              <w:ind w:left="57" w:right="57"/>
              <w:rPr>
                <w:rFonts w:hint="cs"/>
                <w:b/>
                <w:bCs/>
                <w:szCs w:val="28"/>
                <w:rtl/>
              </w:rPr>
            </w:pPr>
          </w:p>
        </w:tc>
        <w:tc>
          <w:tcPr>
            <w:tcW w:w="6536" w:type="dxa"/>
            <w:tcBorders>
              <w:bottom w:val="single" w:sz="12" w:space="0" w:color="auto"/>
            </w:tcBorders>
          </w:tcPr>
          <w:p w:rsidR="001200E6" w:rsidRPr="00C142DE" w:rsidRDefault="001200E6" w:rsidP="006C2D9E">
            <w:pPr>
              <w:numPr>
                <w:ilvl w:val="0"/>
                <w:numId w:val="40"/>
              </w:numPr>
              <w:tabs>
                <w:tab w:val="left" w:pos="335"/>
              </w:tabs>
              <w:spacing w:before="40" w:after="60" w:line="300" w:lineRule="exact"/>
              <w:ind w:left="57" w:right="57" w:firstLine="0"/>
              <w:rPr>
                <w:szCs w:val="28"/>
                <w:rtl/>
              </w:rPr>
            </w:pPr>
            <w:r w:rsidRPr="00C142DE">
              <w:rPr>
                <w:rFonts w:hint="cs"/>
                <w:szCs w:val="28"/>
                <w:rtl/>
              </w:rPr>
              <w:t>يكشف الرد الوارد عن أن التدابير المتخذة تتعارض مع توصيات اللجنة</w:t>
            </w:r>
          </w:p>
        </w:tc>
      </w:tr>
    </w:tbl>
    <w:p w:rsidR="001200E6" w:rsidRPr="00C142DE" w:rsidRDefault="001200E6" w:rsidP="001200E6">
      <w:pPr>
        <w:pStyle w:val="SingleTxtGA"/>
        <w:rPr>
          <w:rFonts w:hint="cs"/>
          <w:kern w:val="16"/>
          <w:rtl/>
        </w:rPr>
      </w:pPr>
    </w:p>
    <w:p w:rsidR="001200E6" w:rsidRPr="00C142DE" w:rsidRDefault="001200E6" w:rsidP="001200E6">
      <w:pPr>
        <w:pStyle w:val="SingleTxtGA"/>
        <w:rPr>
          <w:rFonts w:hint="cs"/>
          <w:kern w:val="16"/>
          <w:rtl/>
        </w:rPr>
      </w:pPr>
    </w:p>
    <w:p w:rsidR="001200E6" w:rsidRPr="00C142DE" w:rsidRDefault="001200E6" w:rsidP="00166239">
      <w:pPr>
        <w:pStyle w:val="HChGA"/>
        <w:spacing w:before="120" w:after="120"/>
        <w:rPr>
          <w:rFonts w:hint="cs"/>
          <w:kern w:val="16"/>
          <w:rtl/>
        </w:rPr>
      </w:pPr>
      <w:r w:rsidRPr="00C142DE">
        <w:rPr>
          <w:kern w:val="16"/>
          <w:rtl/>
        </w:rPr>
        <w:br w:type="page"/>
      </w:r>
      <w:r w:rsidR="006C2D9E">
        <w:rPr>
          <w:rFonts w:hint="cs"/>
          <w:kern w:val="16"/>
          <w:rtl/>
        </w:rPr>
        <w:tab/>
      </w:r>
      <w:r w:rsidR="006C2D9E">
        <w:rPr>
          <w:kern w:val="16"/>
          <w:rtl/>
        </w:rPr>
        <w:tab/>
      </w:r>
      <w:r w:rsidRPr="00C142DE">
        <w:rPr>
          <w:rFonts w:hint="cs"/>
          <w:kern w:val="16"/>
          <w:rtl/>
        </w:rPr>
        <w:t>الدورة الرابعة (نيسان/أبريل 2013)</w:t>
      </w:r>
    </w:p>
    <w:p w:rsidR="001200E6" w:rsidRPr="00C142DE" w:rsidRDefault="006C2D9E" w:rsidP="006C2D9E">
      <w:pPr>
        <w:pStyle w:val="HChGA"/>
        <w:rPr>
          <w:rFonts w:hint="cs"/>
          <w:kern w:val="16"/>
          <w:rtl/>
        </w:rPr>
      </w:pPr>
      <w:r>
        <w:rPr>
          <w:kern w:val="16"/>
          <w:rtl/>
        </w:rPr>
        <w:tab/>
      </w:r>
      <w:r w:rsidR="001200E6" w:rsidRPr="00C142DE">
        <w:rPr>
          <w:rFonts w:hint="cs"/>
          <w:kern w:val="16"/>
          <w:rtl/>
        </w:rPr>
        <w:t>ثانياً-</w:t>
      </w:r>
      <w:r w:rsidR="001200E6" w:rsidRPr="00C142DE">
        <w:rPr>
          <w:rFonts w:hint="cs"/>
          <w:kern w:val="16"/>
          <w:rtl/>
        </w:rPr>
        <w:tab/>
        <w:t>فرنسا</w:t>
      </w:r>
    </w:p>
    <w:tbl>
      <w:tblPr>
        <w:bidiVisual/>
        <w:tblW w:w="0" w:type="auto"/>
        <w:tblInd w:w="1239" w:type="dxa"/>
        <w:tblBorders>
          <w:top w:val="single" w:sz="4" w:space="0" w:color="auto"/>
          <w:bottom w:val="single" w:sz="12" w:space="0" w:color="auto"/>
        </w:tblBorders>
        <w:tblLayout w:type="fixed"/>
        <w:tblCellMar>
          <w:left w:w="0" w:type="dxa"/>
          <w:right w:w="0" w:type="dxa"/>
        </w:tblCellMar>
        <w:tblLook w:val="04A0"/>
      </w:tblPr>
      <w:tblGrid>
        <w:gridCol w:w="1988"/>
        <w:gridCol w:w="5151"/>
      </w:tblGrid>
      <w:tr w:rsidR="006F1B4E" w:rsidRPr="006F1B4E" w:rsidTr="008059DC">
        <w:trPr>
          <w:tblHeader/>
        </w:trPr>
        <w:tc>
          <w:tcPr>
            <w:tcW w:w="1988" w:type="dxa"/>
            <w:tcBorders>
              <w:top w:val="single" w:sz="4" w:space="0" w:color="auto"/>
              <w:bottom w:val="single" w:sz="12" w:space="0" w:color="auto"/>
            </w:tcBorders>
            <w:shd w:val="clear" w:color="auto" w:fill="auto"/>
            <w:vAlign w:val="bottom"/>
          </w:tcPr>
          <w:p w:rsidR="001200E6" w:rsidRPr="006F1B4E" w:rsidRDefault="001200E6" w:rsidP="00166239">
            <w:pPr>
              <w:spacing w:after="120" w:line="340" w:lineRule="exact"/>
              <w:ind w:left="57" w:right="57"/>
              <w:rPr>
                <w:iCs/>
                <w:lang w:val="en-GB"/>
              </w:rPr>
            </w:pPr>
            <w:r w:rsidRPr="006F1B4E">
              <w:rPr>
                <w:rFonts w:hint="cs"/>
                <w:iCs/>
                <w:rtl/>
                <w:lang w:val="en-GB"/>
              </w:rPr>
              <w:t>فرنسا</w:t>
            </w:r>
          </w:p>
        </w:tc>
        <w:tc>
          <w:tcPr>
            <w:tcW w:w="5151" w:type="dxa"/>
            <w:tcBorders>
              <w:top w:val="single" w:sz="4" w:space="0" w:color="auto"/>
              <w:bottom w:val="single" w:sz="12" w:space="0" w:color="auto"/>
            </w:tcBorders>
            <w:shd w:val="clear" w:color="auto" w:fill="auto"/>
            <w:vAlign w:val="bottom"/>
          </w:tcPr>
          <w:p w:rsidR="001200E6" w:rsidRPr="006F1B4E" w:rsidRDefault="001200E6" w:rsidP="00166239">
            <w:pPr>
              <w:spacing w:after="120" w:line="340" w:lineRule="exact"/>
              <w:ind w:left="57" w:right="57"/>
              <w:rPr>
                <w:i/>
                <w:lang w:val="en-GB"/>
              </w:rPr>
            </w:pPr>
          </w:p>
        </w:tc>
      </w:tr>
      <w:tr w:rsidR="006F1B4E" w:rsidRPr="006F1B4E" w:rsidTr="008059DC">
        <w:tc>
          <w:tcPr>
            <w:tcW w:w="1988" w:type="dxa"/>
            <w:shd w:val="clear" w:color="auto" w:fill="auto"/>
          </w:tcPr>
          <w:p w:rsidR="001200E6" w:rsidRPr="006F1B4E" w:rsidRDefault="001200E6" w:rsidP="00166239">
            <w:pPr>
              <w:spacing w:after="120" w:line="340" w:lineRule="exact"/>
              <w:ind w:left="57" w:right="57"/>
              <w:rPr>
                <w:rFonts w:hint="cs"/>
                <w:bCs/>
                <w:rtl/>
              </w:rPr>
            </w:pPr>
            <w:r w:rsidRPr="006F1B4E">
              <w:rPr>
                <w:rFonts w:hint="cs"/>
                <w:bCs/>
                <w:rtl/>
              </w:rPr>
              <w:t>الملاحظات الختامية:</w:t>
            </w:r>
          </w:p>
        </w:tc>
        <w:tc>
          <w:tcPr>
            <w:tcW w:w="5151" w:type="dxa"/>
            <w:shd w:val="clear" w:color="auto" w:fill="auto"/>
          </w:tcPr>
          <w:p w:rsidR="001200E6" w:rsidRPr="006F1B4E" w:rsidRDefault="001200E6" w:rsidP="00166239">
            <w:pPr>
              <w:spacing w:after="120" w:line="340" w:lineRule="exact"/>
              <w:ind w:left="57" w:right="57"/>
              <w:rPr>
                <w:rFonts w:hint="cs"/>
                <w:rtl/>
                <w:lang w:val="en-GB"/>
              </w:rPr>
            </w:pPr>
            <w:r w:rsidRPr="006F1B4E">
              <w:t>CED/C/FRA/CO/1</w:t>
            </w:r>
            <w:r w:rsidRPr="006F1B4E">
              <w:rPr>
                <w:rFonts w:hint="cs"/>
                <w:rtl/>
                <w:lang w:val="en-GB"/>
              </w:rPr>
              <w:t>، 19 نيسان/أبريل 2013</w:t>
            </w:r>
          </w:p>
        </w:tc>
      </w:tr>
      <w:tr w:rsidR="006F1B4E" w:rsidRPr="006F1B4E" w:rsidTr="008059DC">
        <w:tc>
          <w:tcPr>
            <w:tcW w:w="1988" w:type="dxa"/>
            <w:shd w:val="clear" w:color="auto" w:fill="auto"/>
          </w:tcPr>
          <w:p w:rsidR="001200E6" w:rsidRPr="006F1B4E" w:rsidRDefault="001200E6" w:rsidP="00166239">
            <w:pPr>
              <w:spacing w:after="120" w:line="340" w:lineRule="exact"/>
              <w:ind w:left="57" w:right="57"/>
              <w:rPr>
                <w:bCs/>
                <w:lang w:val="en-GB"/>
              </w:rPr>
            </w:pPr>
            <w:r w:rsidRPr="006F1B4E">
              <w:rPr>
                <w:rFonts w:hint="cs"/>
                <w:bCs/>
                <w:rtl/>
                <w:lang w:val="en-GB"/>
              </w:rPr>
              <w:t>فقرات المتابعة:</w:t>
            </w:r>
          </w:p>
        </w:tc>
        <w:tc>
          <w:tcPr>
            <w:tcW w:w="5151" w:type="dxa"/>
            <w:shd w:val="clear" w:color="auto" w:fill="auto"/>
          </w:tcPr>
          <w:p w:rsidR="001200E6" w:rsidRPr="006F1B4E" w:rsidRDefault="001200E6" w:rsidP="00166239">
            <w:pPr>
              <w:spacing w:after="120" w:line="340" w:lineRule="exact"/>
              <w:ind w:left="57" w:right="57"/>
              <w:rPr>
                <w:lang w:val="en-GB"/>
              </w:rPr>
            </w:pPr>
            <w:r w:rsidRPr="006F1B4E">
              <w:rPr>
                <w:rFonts w:hint="cs"/>
                <w:rtl/>
                <w:lang w:val="en-GB"/>
              </w:rPr>
              <w:t>23 و31 و35</w:t>
            </w:r>
          </w:p>
        </w:tc>
      </w:tr>
      <w:tr w:rsidR="006F1B4E" w:rsidRPr="006F1B4E" w:rsidTr="008059DC">
        <w:tc>
          <w:tcPr>
            <w:tcW w:w="1988" w:type="dxa"/>
            <w:tcBorders>
              <w:bottom w:val="nil"/>
            </w:tcBorders>
            <w:shd w:val="clear" w:color="auto" w:fill="auto"/>
          </w:tcPr>
          <w:p w:rsidR="001200E6" w:rsidRPr="006F1B4E" w:rsidRDefault="001200E6" w:rsidP="00166239">
            <w:pPr>
              <w:spacing w:after="120" w:line="340" w:lineRule="exact"/>
              <w:ind w:left="57" w:right="57"/>
              <w:rPr>
                <w:bCs/>
              </w:rPr>
            </w:pPr>
            <w:r w:rsidRPr="006F1B4E">
              <w:rPr>
                <w:rFonts w:hint="cs"/>
                <w:bCs/>
                <w:rtl/>
              </w:rPr>
              <w:t>الرد:</w:t>
            </w:r>
          </w:p>
        </w:tc>
        <w:tc>
          <w:tcPr>
            <w:tcW w:w="5151" w:type="dxa"/>
            <w:tcBorders>
              <w:bottom w:val="nil"/>
            </w:tcBorders>
            <w:shd w:val="clear" w:color="auto" w:fill="auto"/>
          </w:tcPr>
          <w:p w:rsidR="001200E6" w:rsidRPr="006F1B4E" w:rsidRDefault="001200E6" w:rsidP="00166239">
            <w:pPr>
              <w:spacing w:after="120" w:line="340" w:lineRule="exact"/>
              <w:ind w:left="57" w:right="57"/>
              <w:rPr>
                <w:lang w:val="en-GB"/>
              </w:rPr>
            </w:pPr>
            <w:r w:rsidRPr="006F1B4E">
              <w:rPr>
                <w:rFonts w:hint="cs"/>
                <w:rtl/>
                <w:lang w:val="en-GB"/>
              </w:rPr>
              <w:t>الموعد المقرر لتقديم الرد هو 19 نيسان/أبريل 2014؛ وقد ورد الرد في 18 نيسان/أبريل 2014 (</w:t>
            </w:r>
            <w:r w:rsidRPr="006F1B4E">
              <w:t>CED/C/FRA/CO/1/Add.1</w:t>
            </w:r>
            <w:r w:rsidRPr="006F1B4E">
              <w:rPr>
                <w:rFonts w:hint="cs"/>
                <w:rtl/>
                <w:lang w:val="en-GB"/>
              </w:rPr>
              <w:t>)</w:t>
            </w:r>
          </w:p>
        </w:tc>
      </w:tr>
      <w:tr w:rsidR="006F1B4E" w:rsidRPr="006F1B4E" w:rsidTr="008059DC">
        <w:tc>
          <w:tcPr>
            <w:tcW w:w="1988" w:type="dxa"/>
            <w:tcBorders>
              <w:top w:val="nil"/>
              <w:bottom w:val="nil"/>
            </w:tcBorders>
            <w:shd w:val="clear" w:color="auto" w:fill="auto"/>
          </w:tcPr>
          <w:p w:rsidR="001200E6" w:rsidRPr="006F1B4E" w:rsidRDefault="001200E6" w:rsidP="008059DC">
            <w:pPr>
              <w:spacing w:after="120" w:line="340" w:lineRule="exact"/>
              <w:ind w:left="57" w:right="57"/>
              <w:rPr>
                <w:rFonts w:hint="cs"/>
                <w:bCs/>
                <w:rtl/>
              </w:rPr>
            </w:pPr>
            <w:r w:rsidRPr="006F1B4E">
              <w:rPr>
                <w:rFonts w:hint="cs"/>
                <w:bCs/>
                <w:rtl/>
              </w:rPr>
              <w:t>المعلومات المقدَّمة من منظمات غير حكومية</w:t>
            </w:r>
            <w:r w:rsidR="006C2D9E" w:rsidRPr="006F1B4E">
              <w:rPr>
                <w:rFonts w:hint="cs"/>
                <w:bCs/>
                <w:rtl/>
              </w:rPr>
              <w:t>:</w:t>
            </w:r>
          </w:p>
        </w:tc>
        <w:tc>
          <w:tcPr>
            <w:tcW w:w="5151" w:type="dxa"/>
            <w:tcBorders>
              <w:top w:val="nil"/>
              <w:bottom w:val="nil"/>
            </w:tcBorders>
            <w:shd w:val="clear" w:color="auto" w:fill="auto"/>
            <w:vAlign w:val="bottom"/>
          </w:tcPr>
          <w:p w:rsidR="001200E6" w:rsidRPr="006F1B4E" w:rsidRDefault="001200E6" w:rsidP="00166239">
            <w:pPr>
              <w:spacing w:after="120" w:line="340" w:lineRule="exact"/>
              <w:ind w:left="57" w:right="57"/>
              <w:rPr>
                <w:rFonts w:hint="cs"/>
                <w:lang w:val="en-GB"/>
              </w:rPr>
            </w:pPr>
            <w:r w:rsidRPr="006F1B4E">
              <w:rPr>
                <w:rFonts w:hint="cs"/>
                <w:rtl/>
                <w:lang w:val="en-GB"/>
              </w:rPr>
              <w:t>الرابطة السويسرية لمكافحة الإفلات من العقاب (</w:t>
            </w:r>
            <w:r w:rsidRPr="006F1B4E">
              <w:t>TRIAL</w:t>
            </w:r>
            <w:r w:rsidRPr="006F1B4E">
              <w:rPr>
                <w:rFonts w:hint="cs"/>
                <w:rtl/>
              </w:rPr>
              <w:t>)</w:t>
            </w:r>
          </w:p>
        </w:tc>
      </w:tr>
      <w:tr w:rsidR="006F1B4E" w:rsidRPr="006F1B4E" w:rsidTr="00ED1A4D">
        <w:tc>
          <w:tcPr>
            <w:tcW w:w="7139" w:type="dxa"/>
            <w:gridSpan w:val="2"/>
            <w:tcBorders>
              <w:top w:val="nil"/>
              <w:bottom w:val="nil"/>
            </w:tcBorders>
            <w:shd w:val="clear" w:color="auto" w:fill="auto"/>
          </w:tcPr>
          <w:p w:rsidR="006F1B4E" w:rsidRPr="006F1B4E" w:rsidRDefault="006F1B4E" w:rsidP="00166239">
            <w:pPr>
              <w:pStyle w:val="SingleTxtGA"/>
              <w:spacing w:before="120" w:line="360" w:lineRule="exact"/>
              <w:ind w:left="57" w:right="57"/>
              <w:rPr>
                <w:rFonts w:hint="cs"/>
                <w:b/>
                <w:bCs/>
                <w:kern w:val="16"/>
                <w:rtl/>
              </w:rPr>
            </w:pPr>
            <w:r w:rsidRPr="006F1B4E">
              <w:rPr>
                <w:rFonts w:hint="cs"/>
                <w:b/>
                <w:bCs/>
                <w:kern w:val="16"/>
                <w:rtl/>
              </w:rPr>
              <w:t xml:space="preserve">الفقرة 23: </w:t>
            </w:r>
            <w:r w:rsidRPr="006F1B4E">
              <w:rPr>
                <w:rFonts w:hint="cs"/>
                <w:b/>
                <w:bCs/>
                <w:rtl/>
              </w:rPr>
              <w:t xml:space="preserve"> توصي اللجنة بأن تحيل الدولة الطرف أي حالات اختفاء قسري إلى السلطات المختصة بغية مقاضاة الجناة، وفقاً للمادة 11 من الاتفاقية، بغض النظر عما إذا كان قد سبق تقديم طلب لتسليم الشخص المشتبه فيه.</w:t>
            </w:r>
            <w:r w:rsidRPr="006F1B4E">
              <w:rPr>
                <w:b/>
                <w:bCs/>
                <w:rtl/>
              </w:rPr>
              <w:t xml:space="preserve"> </w:t>
            </w:r>
          </w:p>
          <w:p w:rsidR="006F1B4E" w:rsidRPr="006F1B4E" w:rsidRDefault="006F1B4E" w:rsidP="00166239">
            <w:pPr>
              <w:pStyle w:val="H23GA"/>
              <w:ind w:left="57" w:right="57" w:firstLine="0"/>
              <w:rPr>
                <w:rFonts w:hint="cs"/>
                <w:kern w:val="16"/>
                <w:rtl/>
              </w:rPr>
            </w:pPr>
            <w:r w:rsidRPr="006F1B4E">
              <w:rPr>
                <w:rFonts w:hint="cs"/>
                <w:kern w:val="16"/>
                <w:rtl/>
              </w:rPr>
              <w:t>ملخص الرد المقدَّم من الدولة الطرف</w:t>
            </w:r>
          </w:p>
          <w:p w:rsidR="006F1B4E" w:rsidRPr="006F1B4E" w:rsidRDefault="006F1B4E" w:rsidP="00166239">
            <w:pPr>
              <w:pStyle w:val="SingleTxtGA"/>
              <w:tabs>
                <w:tab w:val="left" w:pos="659"/>
              </w:tabs>
              <w:spacing w:line="360" w:lineRule="exact"/>
              <w:ind w:left="57" w:right="0"/>
              <w:rPr>
                <w:rFonts w:hint="cs"/>
                <w:kern w:val="16"/>
                <w:rtl/>
              </w:rPr>
            </w:pPr>
            <w:r>
              <w:rPr>
                <w:kern w:val="16"/>
                <w:rtl/>
              </w:rPr>
              <w:tab/>
            </w:r>
            <w:r w:rsidRPr="006F1B4E">
              <w:rPr>
                <w:rFonts w:hint="cs"/>
                <w:kern w:val="16"/>
                <w:rtl/>
              </w:rPr>
              <w:t xml:space="preserve">جرى بموجب القانون رقم 2013-711، المعتمد في 5 آب/أغسطس 2013، إضافة المادة 689-13 إلى قانون الإجراءات الجنائية. وتنشئ هذه المادة اختصاصاً قضائياً شبه عالمي للمحاكم الفرنسية بشأن أفعال الاختفاء القسري. وتسمح هذه الأحكام المتعلقة بالاختصاص القضائي شبه العالمي برفع دعاوى جنائية بشأن أفعال الاختفاء القسري، بغض النظر عما </w:t>
            </w:r>
            <w:r w:rsidRPr="006F1B4E">
              <w:rPr>
                <w:rFonts w:hint="cs"/>
                <w:rtl/>
              </w:rPr>
              <w:t>إذا كان قد سبق تقديم طلب لتسليم الشخص المشتبه فيه، بما يشكل امتثالاً كاملاً للمادة 11 من الاتفاقية.</w:t>
            </w:r>
            <w:r w:rsidRPr="006F1B4E">
              <w:rPr>
                <w:rtl/>
              </w:rPr>
              <w:t xml:space="preserve"> </w:t>
            </w:r>
          </w:p>
          <w:p w:rsidR="006F1B4E" w:rsidRPr="006F1B4E" w:rsidRDefault="006F1B4E" w:rsidP="00166239">
            <w:pPr>
              <w:pStyle w:val="SingleTxtGA"/>
              <w:tabs>
                <w:tab w:val="left" w:pos="659"/>
              </w:tabs>
              <w:spacing w:line="360" w:lineRule="exact"/>
              <w:ind w:left="57" w:right="0"/>
              <w:rPr>
                <w:rFonts w:hint="cs"/>
                <w:kern w:val="16"/>
                <w:rtl/>
              </w:rPr>
            </w:pPr>
            <w:r w:rsidRPr="006F1B4E">
              <w:rPr>
                <w:rFonts w:hint="cs"/>
                <w:kern w:val="16"/>
                <w:rtl/>
              </w:rPr>
              <w:tab/>
              <w:t>كذلك فإن القانون رقم 2013-711، قد عدّل أيضاً المادة 113-8-1 من القانون الجنائي عن طريق إيراد أسباب جديدة لرفض طلب التسليم وحذف الشرط الوارد في النص السابق للمادة 113-8-1 (الفقرة الثانية) الذي كان يشترط، لكي تمارس المحاكم الفرنسية اختصاصها، تقديم إخطار رسمي مسبق من السلطات في البلد الذي ارتُكبِت فيه الجريمة والذي قدم طلب التسليم.</w:t>
            </w:r>
          </w:p>
          <w:p w:rsidR="006F1B4E" w:rsidRPr="006F1B4E" w:rsidRDefault="006F1B4E" w:rsidP="00166239">
            <w:pPr>
              <w:pStyle w:val="SingleTxtGA"/>
              <w:tabs>
                <w:tab w:val="left" w:pos="659"/>
              </w:tabs>
              <w:spacing w:line="360" w:lineRule="exact"/>
              <w:ind w:left="57" w:right="0"/>
              <w:rPr>
                <w:rFonts w:hint="cs"/>
                <w:kern w:val="16"/>
                <w:rtl/>
              </w:rPr>
            </w:pPr>
            <w:r w:rsidRPr="006F1B4E">
              <w:rPr>
                <w:rFonts w:hint="cs"/>
                <w:kern w:val="16"/>
                <w:rtl/>
              </w:rPr>
              <w:tab/>
              <w:t>وليس لتعديل المادة 113-8-1 تأثير على تنفيذ الاتفاقية نظراً إلى أن الاختصاص القضائي شبه العالمي الذي جاءت به المادة 689-13 من قانون الإجراءات الجنائية، التي تنطبق أيضاً على أفعال الاختفاء القسري المرتكبة إما كـجرائم "عادية" أو كجرائم ضد الإنسانية. وينبغي النظر إلى تعديل المادة 113-8-1 على أنه منفصل تماماً عن التعديلات التي أُدخِلت على القانون الجنائي وقانون الإجراءات الجنائية لأغراض تنفيذ الاتفاقية.</w:t>
            </w:r>
          </w:p>
          <w:p w:rsidR="006F1B4E" w:rsidRPr="006F1B4E" w:rsidRDefault="006F1B4E" w:rsidP="00166239">
            <w:pPr>
              <w:pStyle w:val="SingleTxtGA"/>
              <w:tabs>
                <w:tab w:val="left" w:pos="659"/>
              </w:tabs>
              <w:ind w:left="57" w:right="0"/>
              <w:rPr>
                <w:rFonts w:hint="cs"/>
                <w:kern w:val="16"/>
                <w:rtl/>
              </w:rPr>
            </w:pPr>
            <w:r w:rsidRPr="006F1B4E">
              <w:rPr>
                <w:rFonts w:hint="cs"/>
                <w:kern w:val="16"/>
                <w:rtl/>
              </w:rPr>
              <w:tab/>
              <w:t>ولم يجر الأخذ بالمادة 689-11 من قانون الإجراءات الجنائية لغرض تنفيذ الالتزامات الناشئة عن الاتفاقية. بل هو يهدف إلى تقرير الاختصاص القضائي الفرنسي بشأن الجرائم المشمولة باختصاص المحكمة الجنائية الدولية، ولكن لا توجد بشأنها اتفاقية محددة تنص على الاختصاص القضائي شبه العالمي.</w:t>
            </w:r>
          </w:p>
          <w:p w:rsidR="006F1B4E" w:rsidRPr="006F1B4E" w:rsidRDefault="006F1B4E" w:rsidP="00166239">
            <w:pPr>
              <w:pStyle w:val="H23GA"/>
              <w:ind w:left="57" w:right="57" w:firstLine="0"/>
              <w:rPr>
                <w:rFonts w:hint="cs"/>
                <w:kern w:val="16"/>
                <w:rtl/>
              </w:rPr>
            </w:pPr>
            <w:r w:rsidRPr="006F1B4E">
              <w:rPr>
                <w:rFonts w:hint="cs"/>
                <w:kern w:val="16"/>
                <w:rtl/>
              </w:rPr>
              <w:t>المعلومات المقدَّمة من منظمات غير حكومية</w:t>
            </w:r>
          </w:p>
          <w:p w:rsidR="006F1B4E" w:rsidRPr="006F1B4E" w:rsidRDefault="006F1B4E" w:rsidP="00166239">
            <w:pPr>
              <w:pStyle w:val="SingleTxtGA"/>
              <w:tabs>
                <w:tab w:val="left" w:pos="659"/>
              </w:tabs>
              <w:ind w:left="57" w:right="0"/>
              <w:rPr>
                <w:rFonts w:hint="cs"/>
                <w:kern w:val="16"/>
                <w:rtl/>
              </w:rPr>
            </w:pPr>
            <w:r w:rsidRPr="006F1B4E">
              <w:rPr>
                <w:rFonts w:hint="cs"/>
                <w:kern w:val="16"/>
                <w:rtl/>
              </w:rPr>
              <w:tab/>
              <w:t>على الرغم من بدء نفاذ القانون رقم 2013-733، فإن التشريع والممارسة في فرنسا غير ممتثلين للالتزامات الدولية المتعلقة بالمقاضاة أو التسليم. ففي المادة 113-8-1، ما</w:t>
            </w:r>
            <w:r w:rsidR="00094ECB">
              <w:rPr>
                <w:rFonts w:hint="cs"/>
                <w:kern w:val="16"/>
                <w:rtl/>
              </w:rPr>
              <w:t xml:space="preserve"> </w:t>
            </w:r>
            <w:r w:rsidRPr="006F1B4E">
              <w:rPr>
                <w:rFonts w:hint="cs"/>
                <w:kern w:val="16"/>
                <w:rtl/>
              </w:rPr>
              <w:t>زال الالتزام بالمقاضاة مشروطاً بأن يرد مُسبقاً طلب تسليم ورفض مُسبَّب سابق من السلطات الفرنسية لهذا الطلب.</w:t>
            </w:r>
          </w:p>
          <w:p w:rsidR="006F1B4E" w:rsidRPr="00166239" w:rsidRDefault="006F1B4E" w:rsidP="00166239">
            <w:pPr>
              <w:pStyle w:val="SingleTxtGA"/>
              <w:tabs>
                <w:tab w:val="left" w:pos="659"/>
              </w:tabs>
              <w:spacing w:before="120"/>
              <w:ind w:left="57" w:right="0"/>
              <w:rPr>
                <w:rFonts w:hint="cs"/>
                <w:b/>
                <w:bCs/>
                <w:kern w:val="16"/>
                <w:rtl/>
              </w:rPr>
            </w:pPr>
            <w:r w:rsidRPr="00166239">
              <w:rPr>
                <w:rFonts w:hint="cs"/>
                <w:b/>
                <w:bCs/>
                <w:kern w:val="16"/>
                <w:rtl/>
              </w:rPr>
              <w:t>تقييم اللجنة</w:t>
            </w:r>
          </w:p>
          <w:p w:rsidR="006F1B4E" w:rsidRPr="006F1B4E" w:rsidRDefault="006F1B4E" w:rsidP="00166239">
            <w:pPr>
              <w:pStyle w:val="SingleTxtGA"/>
              <w:tabs>
                <w:tab w:val="left" w:pos="659"/>
              </w:tabs>
              <w:ind w:left="57" w:right="0"/>
              <w:rPr>
                <w:rFonts w:hint="cs"/>
                <w:kern w:val="16"/>
                <w:rtl/>
              </w:rPr>
            </w:pPr>
            <w:r w:rsidRPr="006F1B4E">
              <w:rPr>
                <w:rFonts w:hint="cs"/>
                <w:b/>
                <w:bCs/>
                <w:kern w:val="16"/>
                <w:rtl/>
              </w:rPr>
              <w:t>[ألف]:</w:t>
            </w:r>
            <w:r w:rsidRPr="006F1B4E">
              <w:rPr>
                <w:rFonts w:hint="cs"/>
                <w:kern w:val="16"/>
                <w:rtl/>
              </w:rPr>
              <w:t xml:space="preserve"> ترحّب اللجنة باستحداث المادة 689-13 من قانون الإجراءات الجنائية وبتأكيد الدولة الطرف أن المحاكم الفرنسية، بالاستناد إلى هذا النص الجديد، تستطيع أن تمارس اختصاصها القضائي بصرف النظر عما إذا كان قد سبق تقديم طلب تسليم أم لا. وتود اللجنة أن تتلقَّى معلومات من الدولة الطرف، عندما تقدّم المعلومات وفقاً للفقرة 43 من الملاحظات الختامية السابقة للجنة (</w:t>
            </w:r>
            <w:r w:rsidRPr="006F1B4E">
              <w:rPr>
                <w:lang/>
              </w:rPr>
              <w:t>CED/C/FRA/CO/1</w:t>
            </w:r>
            <w:r w:rsidRPr="006F1B4E">
              <w:rPr>
                <w:rFonts w:hint="cs"/>
                <w:kern w:val="16"/>
                <w:rtl/>
              </w:rPr>
              <w:t>)، عن مسألة تنفيذ هذا النص الجديد في الواقع العملي.</w:t>
            </w:r>
          </w:p>
          <w:p w:rsidR="006F1B4E" w:rsidRPr="006F1B4E" w:rsidRDefault="006F1B4E" w:rsidP="00166239">
            <w:pPr>
              <w:pStyle w:val="SingleTxtGA"/>
              <w:ind w:left="57" w:right="57"/>
              <w:rPr>
                <w:rFonts w:hint="cs"/>
                <w:b/>
                <w:bCs/>
                <w:kern w:val="16"/>
                <w:rtl/>
              </w:rPr>
            </w:pPr>
            <w:r w:rsidRPr="006F1B4E">
              <w:rPr>
                <w:rFonts w:hint="cs"/>
                <w:b/>
                <w:bCs/>
                <w:kern w:val="16"/>
                <w:rtl/>
              </w:rPr>
              <w:t>الفقرة 31</w:t>
            </w:r>
            <w:r>
              <w:rPr>
                <w:rFonts w:hint="cs"/>
                <w:b/>
                <w:bCs/>
                <w:kern w:val="16"/>
                <w:rtl/>
              </w:rPr>
              <w:t>:</w:t>
            </w:r>
            <w:r w:rsidRPr="006F1B4E">
              <w:rPr>
                <w:rFonts w:hint="cs"/>
                <w:b/>
                <w:bCs/>
                <w:kern w:val="16"/>
                <w:rtl/>
              </w:rPr>
              <w:t xml:space="preserve"> </w:t>
            </w:r>
            <w:r w:rsidRPr="006F1B4E">
              <w:rPr>
                <w:rFonts w:hint="cs"/>
                <w:b/>
                <w:bCs/>
                <w:rtl/>
              </w:rPr>
              <w:t xml:space="preserve">توصي اللجنة الدولة الطرف </w:t>
            </w:r>
            <w:r w:rsidRPr="006F1B4E">
              <w:rPr>
                <w:b/>
                <w:bCs/>
                <w:rtl/>
              </w:rPr>
              <w:t>بتقرير حق</w:t>
            </w:r>
            <w:r w:rsidRPr="006F1B4E">
              <w:rPr>
                <w:rFonts w:hint="cs"/>
                <w:b/>
                <w:bCs/>
                <w:rtl/>
              </w:rPr>
              <w:t xml:space="preserve"> اللجوء إلى أحد قضاة المحكمة لضمان أن تكون الإجراءات التقييدية قانونية ولتمكين الشخص المحتجز من المثول في المحكمة</w:t>
            </w:r>
            <w:r w:rsidRPr="006F1B4E">
              <w:rPr>
                <w:rFonts w:hint="cs"/>
                <w:b/>
                <w:bCs/>
                <w:kern w:val="16"/>
                <w:rtl/>
              </w:rPr>
              <w:t xml:space="preserve">. </w:t>
            </w:r>
            <w:r w:rsidRPr="006F1B4E">
              <w:rPr>
                <w:rFonts w:hint="cs"/>
                <w:b/>
                <w:bCs/>
                <w:rtl/>
              </w:rPr>
              <w:t>وتوصي اللجنة أيضاً بأن يبت أحد قضاة المحكمة في أمر تمديد الحبس الاحتياطي لمدة تزيد عن 24 ساعة وأن يحدّ القاضي من هذه الإمكانية. وتوصي اللجنة بمنح أي شخص مودَع في الاحتجاز السابق للمحاكمة أو في الاحتجاز الإداري حق الاتصال بالعالم الخارجي وبعدم تقييد هذا الحق لأكثر من 48 ساعة</w:t>
            </w:r>
            <w:r w:rsidRPr="006F1B4E">
              <w:rPr>
                <w:rFonts w:hint="cs"/>
                <w:b/>
                <w:bCs/>
                <w:kern w:val="16"/>
                <w:rtl/>
              </w:rPr>
              <w:t xml:space="preserve">. </w:t>
            </w:r>
            <w:r w:rsidRPr="006F1B4E">
              <w:rPr>
                <w:rFonts w:hint="cs"/>
                <w:b/>
                <w:bCs/>
                <w:rtl/>
              </w:rPr>
              <w:t>وتوصي اللج</w:t>
            </w:r>
            <w:r w:rsidR="00094ECB">
              <w:rPr>
                <w:rFonts w:hint="cs"/>
                <w:b/>
                <w:bCs/>
                <w:rtl/>
              </w:rPr>
              <w:t>نة الدولة الطرف بإلغاء المادة ل</w:t>
            </w:r>
            <w:r w:rsidRPr="006F1B4E">
              <w:rPr>
                <w:rFonts w:hint="cs"/>
                <w:b/>
                <w:bCs/>
                <w:rtl/>
              </w:rPr>
              <w:t>221-2 (</w:t>
            </w:r>
            <w:r w:rsidRPr="006F1B4E">
              <w:rPr>
                <w:b/>
                <w:bCs/>
              </w:rPr>
              <w:t>L221-2</w:t>
            </w:r>
            <w:r w:rsidRPr="006F1B4E">
              <w:rPr>
                <w:rFonts w:hint="cs"/>
                <w:b/>
                <w:bCs/>
                <w:rtl/>
              </w:rPr>
              <w:t>) من قانون دخول وإقامة الأجانب وحق اللجوء، في النص الذي جاء به قانون 16 حزيران/يونيه 2011، فيما يتصل بإجراءات الاحتجاز في مناطق الانتظار المخصصة.</w:t>
            </w:r>
          </w:p>
          <w:p w:rsidR="006F1B4E" w:rsidRPr="006F1B4E" w:rsidRDefault="006F1B4E" w:rsidP="00166239">
            <w:pPr>
              <w:pStyle w:val="SingleTxtGA"/>
              <w:tabs>
                <w:tab w:val="left" w:pos="659"/>
              </w:tabs>
              <w:spacing w:before="120"/>
              <w:ind w:left="57" w:right="0"/>
              <w:rPr>
                <w:rFonts w:hint="cs"/>
                <w:kern w:val="16"/>
                <w:rtl/>
              </w:rPr>
            </w:pPr>
            <w:r w:rsidRPr="006F1B4E">
              <w:rPr>
                <w:rFonts w:hint="cs"/>
                <w:b/>
                <w:bCs/>
                <w:kern w:val="16"/>
                <w:rtl/>
              </w:rPr>
              <w:t>ملخص الرد المقدَّم من الدولة الطرف</w:t>
            </w:r>
          </w:p>
          <w:p w:rsidR="00166239" w:rsidRDefault="006F1B4E" w:rsidP="00166239">
            <w:pPr>
              <w:pStyle w:val="SingleTxtGA"/>
              <w:tabs>
                <w:tab w:val="left" w:pos="659"/>
              </w:tabs>
              <w:ind w:left="57" w:right="0"/>
              <w:rPr>
                <w:rFonts w:hint="cs"/>
                <w:rtl/>
                <w:lang w:val="en-GB"/>
              </w:rPr>
            </w:pPr>
            <w:r w:rsidRPr="006F1B4E">
              <w:rPr>
                <w:rFonts w:hint="cs"/>
                <w:kern w:val="16"/>
                <w:rtl/>
              </w:rPr>
              <w:t>ألف-</w:t>
            </w:r>
            <w:r w:rsidRPr="006F1B4E">
              <w:rPr>
                <w:rFonts w:hint="cs"/>
                <w:kern w:val="16"/>
                <w:rtl/>
              </w:rPr>
              <w:tab/>
              <w:t xml:space="preserve">فيما يتعلق </w:t>
            </w:r>
            <w:r w:rsidRPr="006F1B4E">
              <w:rPr>
                <w:rFonts w:hint="cs"/>
                <w:rtl/>
              </w:rPr>
              <w:t xml:space="preserve">بتقرير حق اللجوء إلى أحد قضاة المحكمة لضمان أن تكون الإجراءات التقييدية قانونية ولتمكين </w:t>
            </w:r>
            <w:r w:rsidRPr="006F1B4E">
              <w:rPr>
                <w:rFonts w:hint="cs"/>
                <w:kern w:val="16"/>
                <w:rtl/>
              </w:rPr>
              <w:t>الشخص</w:t>
            </w:r>
            <w:r w:rsidRPr="006F1B4E">
              <w:rPr>
                <w:rFonts w:hint="cs"/>
                <w:rtl/>
              </w:rPr>
              <w:t xml:space="preserve"> المحتجز من المثول في المحكمة</w:t>
            </w:r>
            <w:r w:rsidRPr="006F1B4E">
              <w:rPr>
                <w:rFonts w:hint="cs"/>
                <w:kern w:val="16"/>
                <w:rtl/>
              </w:rPr>
              <w:t>.</w:t>
            </w:r>
          </w:p>
          <w:p w:rsidR="00166239" w:rsidRPr="006F1B4E" w:rsidRDefault="00166239" w:rsidP="00166239">
            <w:pPr>
              <w:pStyle w:val="SingleTxtGA"/>
              <w:tabs>
                <w:tab w:val="left" w:pos="659"/>
              </w:tabs>
              <w:spacing w:line="160" w:lineRule="exact"/>
              <w:ind w:left="57" w:right="0"/>
              <w:rPr>
                <w:rFonts w:hint="cs"/>
                <w:rtl/>
                <w:lang w:val="en-GB"/>
              </w:rPr>
            </w:pPr>
          </w:p>
        </w:tc>
      </w:tr>
      <w:tr w:rsidR="006F1B4E" w:rsidRPr="006F1B4E" w:rsidTr="00ED1A4D">
        <w:tc>
          <w:tcPr>
            <w:tcW w:w="7139" w:type="dxa"/>
            <w:gridSpan w:val="2"/>
            <w:tcBorders>
              <w:top w:val="nil"/>
              <w:bottom w:val="nil"/>
            </w:tcBorders>
            <w:shd w:val="clear" w:color="auto" w:fill="auto"/>
          </w:tcPr>
          <w:p w:rsidR="006F1B4E" w:rsidRPr="00166239" w:rsidRDefault="006F1B4E" w:rsidP="00166239">
            <w:pPr>
              <w:pStyle w:val="SingleTxtGA"/>
              <w:tabs>
                <w:tab w:val="left" w:pos="659"/>
              </w:tabs>
              <w:ind w:left="57" w:right="0"/>
              <w:rPr>
                <w:rFonts w:hint="cs"/>
                <w:kern w:val="16"/>
                <w:rtl/>
              </w:rPr>
            </w:pPr>
            <w:r w:rsidRPr="00C142DE">
              <w:rPr>
                <w:rFonts w:hint="cs"/>
                <w:kern w:val="16"/>
                <w:rtl/>
              </w:rPr>
              <w:tab/>
              <w:t>تحيط الحكومة الفرنسية علما</w:t>
            </w:r>
            <w:r>
              <w:rPr>
                <w:rFonts w:hint="cs"/>
                <w:kern w:val="16"/>
                <w:rtl/>
              </w:rPr>
              <w:t>ً</w:t>
            </w:r>
            <w:r w:rsidRPr="00C142DE">
              <w:rPr>
                <w:rFonts w:hint="cs"/>
                <w:kern w:val="16"/>
                <w:rtl/>
              </w:rPr>
              <w:t xml:space="preserve"> بتوصية اللجنة بينما تلاحظ أن هذه التوصية، دون الحكم المسبق على مدى ملاءمتها، تتجاوز مسألة الالتزامات الواردة في الصكوك الدولية التي انضمت إليها فرنسا كطرف والتي ي</w:t>
            </w:r>
            <w:r>
              <w:rPr>
                <w:rFonts w:hint="cs"/>
                <w:kern w:val="16"/>
                <w:rtl/>
              </w:rPr>
              <w:t>ُ</w:t>
            </w:r>
            <w:r w:rsidRPr="00C142DE">
              <w:rPr>
                <w:rFonts w:hint="cs"/>
                <w:kern w:val="16"/>
                <w:rtl/>
              </w:rPr>
              <w:t>شار إليها في الفقرة 2 من المادة 17 من الاتفاقية.</w:t>
            </w:r>
          </w:p>
        </w:tc>
      </w:tr>
      <w:tr w:rsidR="00B31FD6" w:rsidRPr="006F1B4E" w:rsidTr="00ED1A4D">
        <w:tc>
          <w:tcPr>
            <w:tcW w:w="7139" w:type="dxa"/>
            <w:gridSpan w:val="2"/>
            <w:tcBorders>
              <w:top w:val="nil"/>
              <w:bottom w:val="nil"/>
            </w:tcBorders>
            <w:shd w:val="clear" w:color="auto" w:fill="auto"/>
          </w:tcPr>
          <w:p w:rsidR="00B31FD6" w:rsidRPr="00C142DE" w:rsidRDefault="00166239" w:rsidP="00556B32">
            <w:pPr>
              <w:pStyle w:val="SingleTxtGA"/>
              <w:tabs>
                <w:tab w:val="left" w:pos="659"/>
              </w:tabs>
              <w:spacing w:line="360" w:lineRule="exact"/>
              <w:ind w:left="57" w:right="0"/>
              <w:rPr>
                <w:rFonts w:hint="cs"/>
                <w:kern w:val="16"/>
                <w:rtl/>
              </w:rPr>
            </w:pPr>
            <w:r w:rsidRPr="00C142DE">
              <w:rPr>
                <w:rFonts w:hint="cs"/>
                <w:kern w:val="16"/>
                <w:rtl/>
              </w:rPr>
              <w:tab/>
              <w:t>وبصورة خاصة، فإن المادة 5-3 من الاتفاقية الأوروبية لحقوق الإنسان، كما فسرتها المحكمة الأوروبية لحقوق الإنسان، تقرر الإشراف المنهجي على تدابير الحبس من جانب قاضٍ يتمتع بضمانات الاستقلالية على أن يحدث ذلك فقط بعد فترة معينة، ينبغي وفقاً لسوابقها القضائية ألا تتجاوز أربعة أيام وأربع ساعات. وت</w:t>
            </w:r>
            <w:r>
              <w:rPr>
                <w:rFonts w:hint="cs"/>
                <w:kern w:val="16"/>
                <w:rtl/>
              </w:rPr>
              <w:t>ؤ</w:t>
            </w:r>
            <w:r w:rsidRPr="00C142DE">
              <w:rPr>
                <w:rFonts w:hint="cs"/>
                <w:kern w:val="16"/>
                <w:rtl/>
              </w:rPr>
              <w:t>كد اللجنة المعنية بحقوق ال</w:t>
            </w:r>
            <w:r w:rsidR="00094ECB">
              <w:rPr>
                <w:rFonts w:hint="cs"/>
                <w:kern w:val="16"/>
                <w:rtl/>
              </w:rPr>
              <w:t>إنسان في مشروع تعليقها العام 35</w:t>
            </w:r>
            <w:r w:rsidRPr="00C142DE">
              <w:rPr>
                <w:rFonts w:hint="cs"/>
                <w:kern w:val="16"/>
                <w:rtl/>
              </w:rPr>
              <w:t xml:space="preserve">(2014)، بشأن المادة 9 </w:t>
            </w:r>
            <w:r w:rsidRPr="00C142DE">
              <w:rPr>
                <w:rFonts w:hint="cs"/>
                <w:rtl/>
              </w:rPr>
              <w:t>المعنونة "حرية الشخص وأمنه".</w:t>
            </w:r>
            <w:r w:rsidRPr="00C142DE">
              <w:rPr>
                <w:rtl/>
              </w:rPr>
              <w:t xml:space="preserve"> </w:t>
            </w:r>
            <w:r w:rsidRPr="00C142DE">
              <w:rPr>
                <w:rFonts w:hint="cs"/>
                <w:kern w:val="16"/>
                <w:rtl/>
              </w:rPr>
              <w:t xml:space="preserve"> أنه ينبغي مثول الشخص أمام قاضٍ مستقل خلال بضعة أيام وأن أي تأخير يزيد عن 48 ساعة يجب بصورة مطلقة أن يظل أمراً استثنائياً له مبرراته في ظل ظروف الحالة.</w:t>
            </w:r>
          </w:p>
        </w:tc>
      </w:tr>
      <w:tr w:rsidR="00B31FD6" w:rsidRPr="006F1B4E" w:rsidTr="00ED1A4D">
        <w:tc>
          <w:tcPr>
            <w:tcW w:w="7139" w:type="dxa"/>
            <w:gridSpan w:val="2"/>
            <w:tcBorders>
              <w:top w:val="nil"/>
              <w:bottom w:val="nil"/>
            </w:tcBorders>
            <w:shd w:val="clear" w:color="auto" w:fill="auto"/>
          </w:tcPr>
          <w:p w:rsidR="00B31FD6" w:rsidRPr="00C142DE" w:rsidRDefault="00166239" w:rsidP="00556B32">
            <w:pPr>
              <w:pStyle w:val="SingleTxtGA"/>
              <w:tabs>
                <w:tab w:val="left" w:pos="659"/>
              </w:tabs>
              <w:spacing w:line="360" w:lineRule="exact"/>
              <w:ind w:left="57" w:right="0"/>
              <w:rPr>
                <w:rFonts w:hint="cs"/>
                <w:kern w:val="16"/>
                <w:rtl/>
              </w:rPr>
            </w:pPr>
            <w:r w:rsidRPr="00C142DE">
              <w:rPr>
                <w:rFonts w:hint="cs"/>
                <w:kern w:val="16"/>
                <w:rtl/>
              </w:rPr>
              <w:tab/>
              <w:t>ولا يجوز في فرنسا، بموجب القانون العادي، أن يزيد الاحتجاز السابق للمحاكمة عن 48 ساعة. ولا يمكن تمديد الاحتجاز لمدة أكبر من 48 ساعة بدون تدخل أحد القضاة الحاليين المستقلين. وبالإضافة إلى ذلك، يجوز</w:t>
            </w:r>
            <w:r>
              <w:rPr>
                <w:rFonts w:hint="cs"/>
                <w:kern w:val="16"/>
                <w:rtl/>
              </w:rPr>
              <w:t>،</w:t>
            </w:r>
            <w:r w:rsidRPr="00C142DE">
              <w:rPr>
                <w:rFonts w:hint="cs"/>
                <w:kern w:val="16"/>
                <w:rtl/>
              </w:rPr>
              <w:t xml:space="preserve"> بموجب المادة 385 من قانون الإجراءات الجنائية</w:t>
            </w:r>
            <w:r>
              <w:rPr>
                <w:rFonts w:hint="cs"/>
                <w:kern w:val="16"/>
                <w:rtl/>
              </w:rPr>
              <w:t>،</w:t>
            </w:r>
            <w:r w:rsidRPr="00C142DE">
              <w:rPr>
                <w:rFonts w:hint="cs"/>
                <w:kern w:val="16"/>
                <w:rtl/>
              </w:rPr>
              <w:t xml:space="preserve"> الطعن في قانونية الاحتجاز. ولا يجوز، إلا في ظروف استثنائية، الخروج عن المبدأ القاضي بوجوب مثول الشخص المحتجز احتجازاً سابقاً للمحكمة أمام النائب العام من أجل تمديد فترة الاحتجاز.</w:t>
            </w:r>
          </w:p>
        </w:tc>
      </w:tr>
      <w:tr w:rsidR="00B31FD6" w:rsidRPr="006F1B4E" w:rsidTr="00ED1A4D">
        <w:tc>
          <w:tcPr>
            <w:tcW w:w="7139" w:type="dxa"/>
            <w:gridSpan w:val="2"/>
            <w:tcBorders>
              <w:top w:val="nil"/>
              <w:bottom w:val="nil"/>
            </w:tcBorders>
            <w:shd w:val="clear" w:color="auto" w:fill="auto"/>
          </w:tcPr>
          <w:p w:rsidR="00B31FD6" w:rsidRPr="00C142DE" w:rsidRDefault="00166239" w:rsidP="00166239">
            <w:pPr>
              <w:pStyle w:val="SingleTxtGA"/>
              <w:tabs>
                <w:tab w:val="left" w:pos="659"/>
              </w:tabs>
              <w:ind w:left="57" w:right="0"/>
              <w:rPr>
                <w:rFonts w:hint="cs"/>
                <w:kern w:val="16"/>
                <w:rtl/>
              </w:rPr>
            </w:pPr>
            <w:r w:rsidRPr="00C142DE">
              <w:rPr>
                <w:rFonts w:hint="cs"/>
                <w:kern w:val="16"/>
                <w:rtl/>
              </w:rPr>
              <w:tab/>
              <w:t>وتتفق القواعد المنظمة للاحتجاز السابق للمحاكمة مع الصكوك الدولية ذات الصلة</w:t>
            </w:r>
            <w:r w:rsidR="00094ECB">
              <w:rPr>
                <w:rFonts w:hint="cs"/>
                <w:kern w:val="16"/>
                <w:rtl/>
              </w:rPr>
              <w:t>، بما في ذلك الفقرة 2</w:t>
            </w:r>
            <w:r w:rsidRPr="00C142DE">
              <w:rPr>
                <w:rFonts w:hint="cs"/>
                <w:kern w:val="16"/>
                <w:rtl/>
              </w:rPr>
              <w:t>(و) من المادة 17 من الاتفاقية.</w:t>
            </w:r>
          </w:p>
        </w:tc>
      </w:tr>
      <w:tr w:rsidR="00B31FD6" w:rsidRPr="006F1B4E" w:rsidTr="00ED1A4D">
        <w:tc>
          <w:tcPr>
            <w:tcW w:w="7139" w:type="dxa"/>
            <w:gridSpan w:val="2"/>
            <w:tcBorders>
              <w:top w:val="nil"/>
              <w:bottom w:val="nil"/>
            </w:tcBorders>
            <w:shd w:val="clear" w:color="auto" w:fill="auto"/>
          </w:tcPr>
          <w:p w:rsidR="00B31FD6" w:rsidRPr="00C142DE" w:rsidRDefault="00166239" w:rsidP="00166239">
            <w:pPr>
              <w:pStyle w:val="SingleTxtGA"/>
              <w:tabs>
                <w:tab w:val="left" w:pos="659"/>
              </w:tabs>
              <w:ind w:left="57" w:right="0"/>
              <w:rPr>
                <w:rFonts w:hint="cs"/>
                <w:kern w:val="16"/>
                <w:rtl/>
              </w:rPr>
            </w:pPr>
            <w:r w:rsidRPr="00C142DE">
              <w:rPr>
                <w:rFonts w:hint="cs"/>
                <w:kern w:val="16"/>
                <w:rtl/>
              </w:rPr>
              <w:tab/>
              <w:t>وتلاحظ فرنسا حدوث انخفاض في عدد حالات الحبس الاحتياطي خلال السنوات الأخيرة، من 39.4 في المائة في عام 2008 إلى 31.2 في المائة في عام 2013.</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باء-</w:t>
            </w:r>
            <w:r w:rsidRPr="00C142DE">
              <w:rPr>
                <w:rFonts w:hint="cs"/>
                <w:kern w:val="16"/>
                <w:rtl/>
              </w:rPr>
              <w:tab/>
              <w:t>فيما يتعلق بالحق في الاتصال بالعالم الخارجي.</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جميع الأجانب المودعين في الاحتجاز الإداري لهم الحق في الاتصال بالعالم الخارجي ريثما تتم ترتيبات ترحيلهم. فبعد وصول الشخص إلى مركز الاحتجاز مباشرة</w:t>
            </w:r>
            <w:r>
              <w:rPr>
                <w:rFonts w:hint="cs"/>
                <w:kern w:val="16"/>
                <w:rtl/>
              </w:rPr>
              <w:t>ً</w:t>
            </w:r>
            <w:r w:rsidRPr="00C142DE">
              <w:rPr>
                <w:rFonts w:hint="cs"/>
                <w:kern w:val="16"/>
                <w:rtl/>
              </w:rPr>
              <w:t xml:space="preserve"> قدر الإمكان، يجري إبلاغه بجملة أمور من بينها حقه في الاتصال بالقنصلية التابع لها وبأي شخص يختاره هو. ويجوز ممارسة هذا الحق منذ بدء الاحتجاز وطوال الفترة التي يقضيها في الاحتجاز.</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وهذا الحق في الاتصال أثناء فترة الاحتجاز السابقة للمحاكمة يتألف من ثلاثة عناصر هي كما يلي:</w:t>
            </w:r>
          </w:p>
        </w:tc>
      </w:tr>
      <w:tr w:rsidR="00166239" w:rsidRPr="006F1B4E" w:rsidTr="00ED1A4D">
        <w:tc>
          <w:tcPr>
            <w:tcW w:w="7139" w:type="dxa"/>
            <w:gridSpan w:val="2"/>
            <w:tcBorders>
              <w:top w:val="nil"/>
              <w:bottom w:val="nil"/>
            </w:tcBorders>
            <w:shd w:val="clear" w:color="auto" w:fill="auto"/>
          </w:tcPr>
          <w:p w:rsidR="00166239" w:rsidRPr="00C142DE" w:rsidRDefault="00094ECB" w:rsidP="00166239">
            <w:pPr>
              <w:pStyle w:val="SingleTxtGA"/>
              <w:tabs>
                <w:tab w:val="left" w:pos="659"/>
              </w:tabs>
              <w:ind w:left="57" w:right="0"/>
              <w:rPr>
                <w:rFonts w:hint="cs"/>
                <w:kern w:val="16"/>
                <w:rtl/>
              </w:rPr>
            </w:pPr>
            <w:r>
              <w:rPr>
                <w:kern w:val="16"/>
                <w:rtl/>
              </w:rPr>
              <w:tab/>
            </w:r>
            <w:r w:rsidR="00166239" w:rsidRPr="00C142DE">
              <w:rPr>
                <w:rFonts w:hint="cs"/>
                <w:kern w:val="16"/>
                <w:rtl/>
              </w:rPr>
              <w:t>الاتصال: يجوز للشخص الذي أُودِع في الاحتجاز أن يتصل بمحاميه بحرية، إما شفوياً أو كتابةً. ولا ينطبق حظر الاتصال على ممارسة الحق في الدفاع.</w:t>
            </w:r>
          </w:p>
        </w:tc>
      </w:tr>
      <w:tr w:rsidR="00166239" w:rsidRPr="006F1B4E" w:rsidTr="00ED1A4D">
        <w:tc>
          <w:tcPr>
            <w:tcW w:w="7139" w:type="dxa"/>
            <w:gridSpan w:val="2"/>
            <w:tcBorders>
              <w:top w:val="nil"/>
              <w:bottom w:val="nil"/>
            </w:tcBorders>
            <w:shd w:val="clear" w:color="auto" w:fill="auto"/>
          </w:tcPr>
          <w:p w:rsidR="00166239" w:rsidRPr="00C142DE" w:rsidRDefault="00B83F84" w:rsidP="00166239">
            <w:pPr>
              <w:pStyle w:val="SingleTxtGA"/>
              <w:tabs>
                <w:tab w:val="left" w:pos="659"/>
              </w:tabs>
              <w:ind w:left="57" w:right="0"/>
              <w:rPr>
                <w:rFonts w:hint="cs"/>
                <w:kern w:val="16"/>
                <w:rtl/>
              </w:rPr>
            </w:pPr>
            <w:r>
              <w:rPr>
                <w:kern w:val="16"/>
                <w:rtl/>
              </w:rPr>
              <w:tab/>
            </w:r>
            <w:r w:rsidR="00166239" w:rsidRPr="00C142DE">
              <w:rPr>
                <w:rFonts w:hint="cs"/>
                <w:kern w:val="16"/>
                <w:rtl/>
              </w:rPr>
              <w:t xml:space="preserve">الزيارات: تقع على </w:t>
            </w:r>
            <w:r w:rsidR="00166239">
              <w:rPr>
                <w:rFonts w:hint="cs"/>
                <w:kern w:val="16"/>
                <w:rtl/>
              </w:rPr>
              <w:t xml:space="preserve">عاتق </w:t>
            </w:r>
            <w:r w:rsidR="00166239" w:rsidRPr="00C142DE">
              <w:rPr>
                <w:rFonts w:hint="cs"/>
                <w:kern w:val="16"/>
                <w:rtl/>
              </w:rPr>
              <w:t xml:space="preserve">القاضي المكلف بملف القضية مسؤولية إصدار تراخيص زيارة. وبعد فترة شهر من بدء الاحتجاز، يجوز للقاضي أن يرفض إصدار ترخيص زيارة لأقارب شخص محتجز بغير الاضطرار إلى إصدار قرار خطي مُسبَّب </w:t>
            </w:r>
            <w:r w:rsidR="00166239">
              <w:rPr>
                <w:rFonts w:hint="cs"/>
                <w:kern w:val="16"/>
                <w:rtl/>
              </w:rPr>
              <w:t xml:space="preserve">وذلك </w:t>
            </w:r>
            <w:r w:rsidR="00166239" w:rsidRPr="00C142DE">
              <w:rPr>
                <w:rFonts w:hint="cs"/>
                <w:kern w:val="16"/>
                <w:rtl/>
              </w:rPr>
              <w:t>بالإشارة إلى مقتضيات التحقيق. ومن الممكن الطعن في هذا القرار.</w:t>
            </w:r>
          </w:p>
        </w:tc>
      </w:tr>
      <w:tr w:rsidR="00166239" w:rsidRPr="006F1B4E" w:rsidTr="00ED1A4D">
        <w:tc>
          <w:tcPr>
            <w:tcW w:w="7139" w:type="dxa"/>
            <w:gridSpan w:val="2"/>
            <w:tcBorders>
              <w:top w:val="nil"/>
              <w:bottom w:val="nil"/>
            </w:tcBorders>
            <w:shd w:val="clear" w:color="auto" w:fill="auto"/>
          </w:tcPr>
          <w:p w:rsidR="00166239" w:rsidRPr="00C142DE" w:rsidRDefault="00B83F84" w:rsidP="00166239">
            <w:pPr>
              <w:pStyle w:val="SingleTxtGA"/>
              <w:tabs>
                <w:tab w:val="left" w:pos="659"/>
              </w:tabs>
              <w:ind w:left="57" w:right="0"/>
              <w:rPr>
                <w:rFonts w:hint="cs"/>
                <w:kern w:val="16"/>
                <w:rtl/>
              </w:rPr>
            </w:pPr>
            <w:r>
              <w:rPr>
                <w:kern w:val="16"/>
                <w:rtl/>
              </w:rPr>
              <w:tab/>
            </w:r>
            <w:r w:rsidR="00166239" w:rsidRPr="00C142DE">
              <w:rPr>
                <w:rFonts w:hint="cs"/>
                <w:kern w:val="16"/>
                <w:rtl/>
              </w:rPr>
              <w:t xml:space="preserve">إمكانية استخدام الهاتف: للمحتجزين الحق في مكالمة أُسرهم وأشخاص آخرين هاتفياً بغية الإعداد لحياتهم بعد الاحتجاز. ويجب عليهم في جميع الحالات الحصول على إذن من السلطة القضائية المعنية. ويجوز رفض السماح باستخدام الهاتف كما يجوز تعليق هذا السماح أو سحبه لأسباب تتصل بالحفاظ على النظام العام والأمن العام، ومنع </w:t>
            </w:r>
            <w:r w:rsidR="00166239">
              <w:rPr>
                <w:rFonts w:hint="cs"/>
                <w:kern w:val="16"/>
                <w:rtl/>
              </w:rPr>
              <w:t>الجريمة</w:t>
            </w:r>
            <w:r w:rsidR="00166239" w:rsidRPr="00C142DE">
              <w:rPr>
                <w:rFonts w:hint="cs"/>
                <w:kern w:val="16"/>
                <w:rtl/>
              </w:rPr>
              <w:t>، ومتطلبات التحقيق، تطبيقاً للمادة 39 من القانون 2009-1436. ويجوز للشخص المحتجز الاتصال بمحاميه بحرية.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جيم-</w:t>
            </w:r>
            <w:r w:rsidRPr="00C142DE">
              <w:rPr>
                <w:rFonts w:hint="cs"/>
                <w:kern w:val="16"/>
                <w:rtl/>
              </w:rPr>
              <w:tab/>
              <w:t>فيما يتعلق بمناطق الانتظار المخصصة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r>
            <w:r>
              <w:rPr>
                <w:rFonts w:hint="cs"/>
                <w:kern w:val="16"/>
                <w:rtl/>
              </w:rPr>
              <w:t xml:space="preserve">فإن </w:t>
            </w:r>
            <w:r w:rsidRPr="00C142DE">
              <w:rPr>
                <w:rFonts w:hint="cs"/>
                <w:kern w:val="16"/>
                <w:rtl/>
              </w:rPr>
              <w:t xml:space="preserve">قانون 16 حزيران/يونيه 2011 يكمّل المادة 221-2 من قانون دخول وإقامة الأجانب </w:t>
            </w:r>
            <w:r>
              <w:rPr>
                <w:rFonts w:hint="cs"/>
                <w:kern w:val="16"/>
                <w:rtl/>
              </w:rPr>
              <w:t>وحق</w:t>
            </w:r>
            <w:r w:rsidRPr="00C142DE">
              <w:rPr>
                <w:rFonts w:hint="cs"/>
                <w:kern w:val="16"/>
                <w:rtl/>
              </w:rPr>
              <w:t xml:space="preserve"> اللجوء. ويهدف هذا </w:t>
            </w:r>
            <w:r>
              <w:rPr>
                <w:rFonts w:hint="cs"/>
                <w:kern w:val="16"/>
                <w:rtl/>
              </w:rPr>
              <w:t>النص</w:t>
            </w:r>
            <w:r w:rsidRPr="00C142DE">
              <w:rPr>
                <w:rFonts w:hint="cs"/>
                <w:kern w:val="16"/>
                <w:rtl/>
              </w:rPr>
              <w:t xml:space="preserve"> إلى تكييف التشريع تبعاً للأحوال الاستثنائية وهو لم يُطبَّق قط.</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 xml:space="preserve">ويجري التحكّم بشكل صارم في متطلبات تنفيذ هذا </w:t>
            </w:r>
            <w:r>
              <w:rPr>
                <w:rFonts w:hint="cs"/>
                <w:kern w:val="16"/>
                <w:rtl/>
              </w:rPr>
              <w:t>النص</w:t>
            </w:r>
            <w:r w:rsidRPr="00C142DE">
              <w:rPr>
                <w:rFonts w:hint="cs"/>
                <w:kern w:val="16"/>
                <w:rtl/>
              </w:rPr>
              <w:t>، ويتمتع جميع الأجانب المودَعين في مناطق انتظار بجميع الحقوق والضمانات التي يتيحها القانون. كما يجري الوفاء بجميع المتطلبات القانونية لقانون اللجوء، و</w:t>
            </w:r>
            <w:r>
              <w:rPr>
                <w:rFonts w:hint="cs"/>
                <w:kern w:val="16"/>
                <w:rtl/>
              </w:rPr>
              <w:t xml:space="preserve">كذلك </w:t>
            </w:r>
            <w:r w:rsidRPr="00C142DE">
              <w:rPr>
                <w:rFonts w:hint="cs"/>
                <w:kern w:val="16"/>
                <w:rtl/>
              </w:rPr>
              <w:t>فحص طلبات اللجوء</w:t>
            </w:r>
            <w:r>
              <w:rPr>
                <w:rFonts w:hint="cs"/>
                <w:kern w:val="16"/>
                <w:rtl/>
              </w:rPr>
              <w:t>،</w:t>
            </w:r>
            <w:r w:rsidRPr="00C142DE">
              <w:rPr>
                <w:rFonts w:hint="cs"/>
                <w:kern w:val="16"/>
                <w:rtl/>
              </w:rPr>
              <w:t xml:space="preserve"> في ظل الاحترام الواجب للضمانات المنصوص عليها في القانون. ومن بين الضمانات المكفولة للأشخاص المودَعين في مناطق انتظار مخصصة، تؤكّد فرنسا على أن بإمكان هؤلاء الأشخاص إبلاغ </w:t>
            </w:r>
            <w:r w:rsidR="00556B32">
              <w:rPr>
                <w:rFonts w:hint="cs"/>
                <w:kern w:val="16"/>
                <w:rtl/>
              </w:rPr>
              <w:t>‘</w:t>
            </w:r>
            <w:r w:rsidRPr="00C142DE">
              <w:rPr>
                <w:rFonts w:hint="cs"/>
                <w:kern w:val="16"/>
                <w:rtl/>
              </w:rPr>
              <w:t xml:space="preserve">المدافع عن الحقوق‘ أو </w:t>
            </w:r>
            <w:r w:rsidR="00556B32">
              <w:rPr>
                <w:rFonts w:hint="cs"/>
                <w:kern w:val="16"/>
                <w:rtl/>
              </w:rPr>
              <w:t>‘</w:t>
            </w:r>
            <w:r w:rsidRPr="00C142DE">
              <w:rPr>
                <w:rFonts w:hint="cs"/>
                <w:kern w:val="16"/>
                <w:rtl/>
              </w:rPr>
              <w:t>المفتش العام لأماكن الحرمان من الحرية‘ بحالتهم.</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spacing w:before="120"/>
              <w:ind w:left="57" w:right="0"/>
              <w:rPr>
                <w:rFonts w:hint="cs"/>
                <w:kern w:val="16"/>
                <w:rtl/>
              </w:rPr>
            </w:pPr>
            <w:r w:rsidRPr="00C142DE">
              <w:rPr>
                <w:rFonts w:hint="cs"/>
                <w:b/>
                <w:bCs/>
                <w:kern w:val="16"/>
                <w:rtl/>
              </w:rPr>
              <w:t xml:space="preserve">المعلومات </w:t>
            </w:r>
            <w:r>
              <w:rPr>
                <w:rFonts w:hint="cs"/>
                <w:b/>
                <w:bCs/>
                <w:kern w:val="16"/>
                <w:rtl/>
              </w:rPr>
              <w:t>المقدَّم</w:t>
            </w:r>
            <w:r w:rsidRPr="00C142DE">
              <w:rPr>
                <w:rFonts w:hint="cs"/>
                <w:b/>
                <w:bCs/>
                <w:kern w:val="16"/>
                <w:rtl/>
              </w:rPr>
              <w:t>ة من منظمات غير حكومية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منذ نيسان/أبريل 2013، لم يجر تعديل الأنظمة المتعلقة بالاحتجاز السابق للمحاكمة.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ودور النائب العام هو البت في مدى قانونية الحرمان من الحرية والإذن بتمديد الحبس لأكثر من 24 ساعة في حالة الجرائم الخطيرة مثل الإرهاب.</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ومن الممكن، ولكن من غير الإلزامي، إحضار شخص مودَع في الاحتجاز السابق للمحاكمة ليمثل حالاً أمام وكيل للنائب العام مخوّل له البت في قانونية الاحتجاز وفي تمديد الحبس.</w:t>
            </w:r>
          </w:p>
        </w:tc>
      </w:tr>
      <w:tr w:rsidR="00166239" w:rsidRPr="006F1B4E" w:rsidTr="00ED1A4D">
        <w:tc>
          <w:tcPr>
            <w:tcW w:w="7139" w:type="dxa"/>
            <w:gridSpan w:val="2"/>
            <w:tcBorders>
              <w:top w:val="nil"/>
              <w:bottom w:val="nil"/>
            </w:tcBorders>
            <w:shd w:val="clear" w:color="auto" w:fill="auto"/>
          </w:tcPr>
          <w:p w:rsidR="00166239" w:rsidRPr="00C142DE" w:rsidRDefault="00166239" w:rsidP="00556B32">
            <w:pPr>
              <w:pStyle w:val="SingleTxtGA"/>
              <w:keepNext/>
              <w:tabs>
                <w:tab w:val="left" w:pos="659"/>
              </w:tabs>
              <w:ind w:left="57" w:right="0"/>
              <w:rPr>
                <w:rFonts w:hint="cs"/>
                <w:kern w:val="16"/>
                <w:rtl/>
              </w:rPr>
            </w:pPr>
            <w:r w:rsidRPr="00C142DE">
              <w:rPr>
                <w:rFonts w:hint="cs"/>
                <w:kern w:val="16"/>
                <w:rtl/>
              </w:rPr>
              <w:tab/>
              <w:t xml:space="preserve">ومع ذلك تسمح المادة 145-4 من قانون الإجراءات الجنائية بالحد من حق أي شخص مودع في </w:t>
            </w:r>
            <w:r>
              <w:rPr>
                <w:rFonts w:hint="cs"/>
                <w:kern w:val="16"/>
                <w:rtl/>
              </w:rPr>
              <w:t xml:space="preserve">الاحتجاز السابق للمحاكمة أو </w:t>
            </w:r>
            <w:r w:rsidRPr="00C142DE">
              <w:rPr>
                <w:rFonts w:hint="cs"/>
                <w:kern w:val="16"/>
                <w:rtl/>
              </w:rPr>
              <w:t xml:space="preserve">الاحتجاز الإداري في الاتصال بالعالم الخارجي </w:t>
            </w:r>
            <w:r>
              <w:rPr>
                <w:rFonts w:hint="cs"/>
                <w:kern w:val="16"/>
                <w:rtl/>
              </w:rPr>
              <w:t xml:space="preserve">وذلك </w:t>
            </w:r>
            <w:r w:rsidRPr="00C142DE">
              <w:rPr>
                <w:rFonts w:hint="cs"/>
                <w:kern w:val="16"/>
                <w:rtl/>
              </w:rPr>
              <w:t>لفترة تصل إلى 20 يوماً، بما يشكل تجاوزاً للحد الأقصى البالغ 48 ساعة الذي أوصت به اللجنة.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kern w:val="16"/>
                <w:rtl/>
              </w:rPr>
              <w:tab/>
              <w:t>ولم يجر إلغاء أو تعديل النظام المتعلق بمناطق الانتظار، كما هو منصوص عليه في المادة</w:t>
            </w:r>
            <w:r>
              <w:rPr>
                <w:rFonts w:hint="cs"/>
                <w:kern w:val="16"/>
                <w:rtl/>
              </w:rPr>
              <w:t xml:space="preserve"> ل221-2</w:t>
            </w:r>
            <w:r w:rsidRPr="00C142DE">
              <w:rPr>
                <w:rFonts w:hint="cs"/>
                <w:kern w:val="16"/>
                <w:rtl/>
              </w:rPr>
              <w:t xml:space="preserve"> </w:t>
            </w:r>
            <w:r>
              <w:rPr>
                <w:rFonts w:hint="cs"/>
                <w:kern w:val="16"/>
                <w:rtl/>
              </w:rPr>
              <w:t>(</w:t>
            </w:r>
            <w:r w:rsidRPr="00C142DE">
              <w:rPr>
                <w:lang/>
              </w:rPr>
              <w:t>L221-2</w:t>
            </w:r>
            <w:r>
              <w:rPr>
                <w:rFonts w:hint="cs"/>
                <w:rtl/>
                <w:lang/>
              </w:rPr>
              <w:t>)</w:t>
            </w:r>
            <w:r w:rsidRPr="00C142DE">
              <w:rPr>
                <w:rFonts w:hint="cs"/>
                <w:kern w:val="16"/>
                <w:rtl/>
              </w:rPr>
              <w:t xml:space="preserve"> من قانون دخول وإقامة الأجانب وملتمسي اللجوء.</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spacing w:before="120"/>
              <w:ind w:left="57" w:right="0"/>
              <w:rPr>
                <w:rFonts w:hint="cs"/>
                <w:kern w:val="16"/>
                <w:rtl/>
              </w:rPr>
            </w:pPr>
            <w:r w:rsidRPr="00C142DE">
              <w:rPr>
                <w:rFonts w:hint="cs"/>
                <w:b/>
                <w:bCs/>
                <w:kern w:val="16"/>
                <w:rtl/>
              </w:rPr>
              <w:t>تقييم اللجنة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b/>
                <w:bCs/>
                <w:kern w:val="16"/>
                <w:rtl/>
              </w:rPr>
              <w:t>[باء]:</w:t>
            </w:r>
            <w:r w:rsidRPr="00C142DE">
              <w:rPr>
                <w:rFonts w:hint="cs"/>
                <w:kern w:val="16"/>
                <w:rtl/>
              </w:rPr>
              <w:t xml:space="preserve"> فيما يتعلق بالاحتجاز السابق للمحاكمة فإن اللجنة، بينما تذكّر بالتوصية الصادرة عنها، تطلب إلى الدولة الطرف، عندما تقدّم المعلومات وفقاً للفقرة 43 </w:t>
            </w:r>
            <w:r>
              <w:rPr>
                <w:rFonts w:hint="cs"/>
                <w:kern w:val="16"/>
                <w:rtl/>
              </w:rPr>
              <w:t>من الملاحظات الختامية السابقة للجنة</w:t>
            </w:r>
            <w:r w:rsidRPr="00C142DE">
              <w:rPr>
                <w:rFonts w:hint="cs"/>
                <w:kern w:val="16"/>
                <w:rtl/>
              </w:rPr>
              <w:t xml:space="preserve"> (</w:t>
            </w:r>
            <w:r w:rsidRPr="00C142DE">
              <w:rPr>
                <w:lang/>
              </w:rPr>
              <w:t>CED/C/FRA/CO/1</w:t>
            </w:r>
            <w:r w:rsidRPr="00C142DE">
              <w:rPr>
                <w:rFonts w:hint="cs"/>
                <w:kern w:val="16"/>
                <w:rtl/>
              </w:rPr>
              <w:t xml:space="preserve">)، أن تقدّم معلومات إضافية عن </w:t>
            </w:r>
            <w:r>
              <w:rPr>
                <w:rFonts w:hint="cs"/>
                <w:kern w:val="16"/>
                <w:rtl/>
              </w:rPr>
              <w:t>حق اللجوء</w:t>
            </w:r>
            <w:r w:rsidRPr="00C142DE">
              <w:rPr>
                <w:rFonts w:hint="cs"/>
                <w:kern w:val="16"/>
                <w:rtl/>
              </w:rPr>
              <w:t xml:space="preserve"> أمام أحد القضاة لضمان أن تكون التدابير القسرية قانونية ولتمكين الأشخاص المحتجَزين من المثول في المحكمة.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b/>
                <w:bCs/>
                <w:kern w:val="16"/>
                <w:rtl/>
              </w:rPr>
              <w:t>[جيم]:</w:t>
            </w:r>
            <w:r w:rsidRPr="00C142DE">
              <w:rPr>
                <w:rFonts w:hint="cs"/>
                <w:kern w:val="16"/>
                <w:rtl/>
              </w:rPr>
              <w:t xml:space="preserve"> وفيما يتعلق بالحق في الاتصال، فبينما تحيط اللجنة علماً بالمعلومات المقدَّمة، وخاصة فيما يتصل بالأجانب المودَعين في الاحتجاز الإداري، فإنها ترى أن توصيتها الداعية إلى أن يكون لكل شخص مودع في الاحتجاز السابق للمحاكمة أو في الاحتجاز الإداري الحق في الاتصال بالعالم الخارجي وأنه لا يجوز تقييد هذا الحق لأكثر من فترة 48 ساعة هي توصية لم تُنفَّذ بالنظر إلى أن المادة 145-4 من قانون الإجراءات الجنائية ما</w:t>
            </w:r>
            <w:r w:rsidR="00B83F84">
              <w:rPr>
                <w:rFonts w:hint="cs"/>
                <w:kern w:val="16"/>
                <w:rtl/>
              </w:rPr>
              <w:t xml:space="preserve"> </w:t>
            </w:r>
            <w:r w:rsidRPr="00C142DE">
              <w:rPr>
                <w:rFonts w:hint="cs"/>
                <w:kern w:val="16"/>
                <w:rtl/>
              </w:rPr>
              <w:t xml:space="preserve">زالت، وفقاً للمعلومات الواردة، تنص على تقييد حق أي شخص مودَع في الاحتجاز السابق للمحاكمة أو الاحتجاز الإداري في الاتصال بالعالم الخارجي وذلك لمدة تصل إلى 20 يوماً كحد أقصى. وتكرر اللجنة توجيه توصيتها وتطلب إلى الدولة الطرف، عندما تقدّم المعلومات وفقاً للفقرة 43 </w:t>
            </w:r>
            <w:r>
              <w:rPr>
                <w:rFonts w:hint="cs"/>
                <w:kern w:val="16"/>
                <w:rtl/>
              </w:rPr>
              <w:t>من الملاحظات الختامية السابقة للجنة</w:t>
            </w:r>
            <w:r w:rsidRPr="00C142DE">
              <w:rPr>
                <w:rFonts w:hint="cs"/>
                <w:kern w:val="16"/>
                <w:rtl/>
              </w:rPr>
              <w:t xml:space="preserve"> (</w:t>
            </w:r>
            <w:r w:rsidRPr="00C142DE">
              <w:rPr>
                <w:lang/>
              </w:rPr>
              <w:t>CED/C/FRA/CO/1</w:t>
            </w:r>
            <w:r w:rsidRPr="00C142DE">
              <w:rPr>
                <w:rFonts w:hint="cs"/>
                <w:kern w:val="16"/>
                <w:rtl/>
              </w:rPr>
              <w:t>)، أن تقدّم معلومات عن التدابير التي اتخذتها لتنفيذ هذه التوصية.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kern w:val="16"/>
                <w:rtl/>
              </w:rPr>
            </w:pPr>
            <w:r w:rsidRPr="00C142DE">
              <w:rPr>
                <w:rFonts w:hint="cs"/>
                <w:b/>
                <w:bCs/>
                <w:kern w:val="16"/>
                <w:rtl/>
              </w:rPr>
              <w:t>[جيم]:</w:t>
            </w:r>
            <w:r w:rsidRPr="00C142DE">
              <w:rPr>
                <w:rFonts w:hint="cs"/>
                <w:kern w:val="16"/>
                <w:rtl/>
              </w:rPr>
              <w:t xml:space="preserve"> وفيما يتعلق بمناطق الانتظار المخصصة، فبينما تحيط اللجنة علماً بالمعلومات المقدَّمة من الدولة الطرف فإنها ترى أن توصيتها الداعية إلى إلغاء المادة </w:t>
            </w:r>
            <w:r w:rsidRPr="00C142DE">
              <w:rPr>
                <w:lang/>
              </w:rPr>
              <w:t>L221-2</w:t>
            </w:r>
            <w:r w:rsidRPr="00C142DE">
              <w:rPr>
                <w:rFonts w:hint="cs"/>
                <w:kern w:val="16"/>
                <w:rtl/>
              </w:rPr>
              <w:t xml:space="preserve"> من قانون دخول وإقامة الأجانب وحق اللجوء، </w:t>
            </w:r>
            <w:r w:rsidRPr="00C142DE">
              <w:rPr>
                <w:kern w:val="16"/>
                <w:rtl/>
              </w:rPr>
              <w:t>في النص الذي جاء به قانون 16 حزيران/يونيه 2011</w:t>
            </w:r>
            <w:r w:rsidRPr="00C142DE">
              <w:rPr>
                <w:rFonts w:hint="cs"/>
                <w:kern w:val="16"/>
                <w:rtl/>
              </w:rPr>
              <w:t>، هي توصية</w:t>
            </w:r>
            <w:r w:rsidRPr="00C142DE">
              <w:rPr>
                <w:kern w:val="16"/>
                <w:rtl/>
              </w:rPr>
              <w:t xml:space="preserve"> </w:t>
            </w:r>
            <w:r w:rsidRPr="00C142DE">
              <w:rPr>
                <w:rFonts w:hint="cs"/>
                <w:kern w:val="16"/>
                <w:rtl/>
              </w:rPr>
              <w:t xml:space="preserve">لم تُنفَّذ. وتكرر اللجنة توجيه توصيتها وتطلب إلى الدولة الطرف، عندما تقدّم المعلومات وفقاً للفقرة 43 </w:t>
            </w:r>
            <w:r>
              <w:rPr>
                <w:rFonts w:hint="cs"/>
                <w:kern w:val="16"/>
                <w:rtl/>
              </w:rPr>
              <w:t>من الملاحظات الختامية السابقة للجنة</w:t>
            </w:r>
            <w:r w:rsidRPr="00C142DE">
              <w:rPr>
                <w:rFonts w:hint="cs"/>
                <w:kern w:val="16"/>
                <w:rtl/>
              </w:rPr>
              <w:t xml:space="preserve"> (</w:t>
            </w:r>
            <w:r w:rsidRPr="00C142DE">
              <w:rPr>
                <w:lang/>
              </w:rPr>
              <w:t>CED/C/FRA/CO/1</w:t>
            </w:r>
            <w:r w:rsidRPr="00C142DE">
              <w:rPr>
                <w:rFonts w:hint="cs"/>
                <w:kern w:val="16"/>
                <w:rtl/>
              </w:rPr>
              <w:t>)، أن تقدّم معلومات عن التدابير التي اتخذتها لتنفيذ هذه التوصية.</w:t>
            </w:r>
          </w:p>
        </w:tc>
      </w:tr>
      <w:tr w:rsidR="00166239" w:rsidRPr="006F1B4E" w:rsidTr="00ED1A4D">
        <w:tc>
          <w:tcPr>
            <w:tcW w:w="7139" w:type="dxa"/>
            <w:gridSpan w:val="2"/>
            <w:tcBorders>
              <w:top w:val="nil"/>
              <w:bottom w:val="nil"/>
            </w:tcBorders>
            <w:shd w:val="clear" w:color="auto" w:fill="auto"/>
          </w:tcPr>
          <w:p w:rsidR="00166239" w:rsidRPr="00C142DE" w:rsidRDefault="00166239" w:rsidP="00556B32">
            <w:pPr>
              <w:pStyle w:val="SingleTxtGA"/>
              <w:keepNext/>
              <w:tabs>
                <w:tab w:val="left" w:pos="659"/>
              </w:tabs>
              <w:ind w:left="57" w:right="0"/>
              <w:rPr>
                <w:rFonts w:hint="cs"/>
                <w:kern w:val="16"/>
                <w:rtl/>
              </w:rPr>
            </w:pPr>
            <w:r w:rsidRPr="00C142DE">
              <w:rPr>
                <w:rFonts w:hint="cs"/>
                <w:b/>
                <w:bCs/>
                <w:kern w:val="16"/>
                <w:rtl/>
              </w:rPr>
              <w:t xml:space="preserve">الفقرة 35: </w:t>
            </w:r>
            <w:r w:rsidRPr="00C142DE">
              <w:rPr>
                <w:b/>
                <w:bCs/>
                <w:kern w:val="16"/>
                <w:rtl/>
              </w:rPr>
              <w:t> توصي اللجنة الدولة الطرف باتخاذ تدابير تشريعية ملائمة لاعتماد تعريف للضحية يكون منسجماً مع التعريف الوارد في الفقرة 1 من المادة 24 من الاتفاقية مع الاعتراف بصفة الضحية لكل شخص ي</w:t>
            </w:r>
            <w:r>
              <w:rPr>
                <w:rFonts w:hint="cs"/>
                <w:b/>
                <w:bCs/>
                <w:kern w:val="16"/>
                <w:rtl/>
              </w:rPr>
              <w:t>َ</w:t>
            </w:r>
            <w:r w:rsidRPr="00C142DE">
              <w:rPr>
                <w:b/>
                <w:bCs/>
                <w:kern w:val="16"/>
                <w:rtl/>
              </w:rPr>
              <w:t>لح</w:t>
            </w:r>
            <w:r>
              <w:rPr>
                <w:rFonts w:hint="cs"/>
                <w:b/>
                <w:bCs/>
                <w:kern w:val="16"/>
                <w:rtl/>
              </w:rPr>
              <w:t>َ</w:t>
            </w:r>
            <w:r w:rsidRPr="00C142DE">
              <w:rPr>
                <w:b/>
                <w:bCs/>
                <w:kern w:val="16"/>
                <w:rtl/>
              </w:rPr>
              <w:t xml:space="preserve">ق به ضرر مباشر من جراء </w:t>
            </w:r>
            <w:r w:rsidRPr="00C142DE">
              <w:rPr>
                <w:rFonts w:hint="cs"/>
                <w:b/>
                <w:bCs/>
                <w:kern w:val="16"/>
                <w:rtl/>
              </w:rPr>
              <w:t xml:space="preserve">حدوث </w:t>
            </w:r>
            <w:r w:rsidRPr="00C142DE">
              <w:rPr>
                <w:b/>
                <w:bCs/>
                <w:kern w:val="16"/>
                <w:rtl/>
              </w:rPr>
              <w:t xml:space="preserve">اختفاء قسري، دون اشتراط أن يكون </w:t>
            </w:r>
            <w:r w:rsidRPr="00C142DE">
              <w:rPr>
                <w:rFonts w:hint="cs"/>
                <w:b/>
                <w:bCs/>
                <w:kern w:val="16"/>
                <w:rtl/>
              </w:rPr>
              <w:t xml:space="preserve">هذا </w:t>
            </w:r>
            <w:r w:rsidRPr="00C142DE">
              <w:rPr>
                <w:b/>
                <w:bCs/>
                <w:kern w:val="16"/>
                <w:rtl/>
              </w:rPr>
              <w:t>الضرر شخصياً أيضاً.</w:t>
            </w:r>
            <w:r w:rsidRPr="00C142DE">
              <w:rPr>
                <w:rFonts w:hint="cs"/>
                <w:b/>
                <w:bCs/>
                <w:kern w:val="16"/>
                <w:rtl/>
              </w:rPr>
              <w:t xml:space="preserve"> </w:t>
            </w:r>
            <w:r w:rsidRPr="00C142DE">
              <w:rPr>
                <w:b/>
                <w:bCs/>
                <w:kern w:val="16"/>
                <w:rtl/>
              </w:rPr>
              <w:t xml:space="preserve">وتوصي اللجنة الدولة الطرف بأن تضمِّن تشريعاتها نصاً صريحاً يكفل حق الضحايا في معرفة الحقيقة </w:t>
            </w:r>
            <w:r w:rsidRPr="00C142DE">
              <w:rPr>
                <w:rFonts w:hint="cs"/>
                <w:b/>
                <w:bCs/>
                <w:kern w:val="16"/>
                <w:rtl/>
              </w:rPr>
              <w:t>بشأن</w:t>
            </w:r>
            <w:r w:rsidRPr="00C142DE">
              <w:rPr>
                <w:b/>
                <w:bCs/>
                <w:kern w:val="16"/>
                <w:rtl/>
              </w:rPr>
              <w:t xml:space="preserve"> ظروف الاختفاء القسري وفقاً للفقرة 2 من المادة 24 من الاتفاقية، دون حاجة إلى محامٍ يمثلهم.</w:t>
            </w:r>
            <w:r w:rsidRPr="00C142DE">
              <w:rPr>
                <w:rFonts w:hint="cs"/>
                <w:b/>
                <w:bCs/>
                <w:kern w:val="16"/>
                <w:rtl/>
              </w:rPr>
              <w:t xml:space="preserve"> </w:t>
            </w:r>
            <w:r w:rsidRPr="00C142DE">
              <w:rPr>
                <w:b/>
                <w:bCs/>
                <w:kern w:val="16"/>
                <w:rtl/>
              </w:rPr>
              <w:t xml:space="preserve">وتوصي اللجنة الدولة الطرف أيضاً باتخاذ تدابير لتوسيع </w:t>
            </w:r>
            <w:r>
              <w:rPr>
                <w:rFonts w:hint="cs"/>
                <w:b/>
                <w:bCs/>
                <w:kern w:val="16"/>
                <w:rtl/>
              </w:rPr>
              <w:t xml:space="preserve">نطاق </w:t>
            </w:r>
            <w:r w:rsidRPr="00C142DE">
              <w:rPr>
                <w:b/>
                <w:bCs/>
                <w:kern w:val="16"/>
                <w:rtl/>
              </w:rPr>
              <w:t xml:space="preserve">أشكال الجبر، </w:t>
            </w:r>
            <w:r w:rsidRPr="00C142DE">
              <w:rPr>
                <w:rFonts w:hint="cs"/>
                <w:b/>
                <w:bCs/>
                <w:kern w:val="16"/>
                <w:rtl/>
              </w:rPr>
              <w:t>و</w:t>
            </w:r>
            <w:r w:rsidRPr="00C142DE">
              <w:rPr>
                <w:b/>
                <w:bCs/>
                <w:kern w:val="16"/>
                <w:rtl/>
              </w:rPr>
              <w:t>لا سيما رد الحقوق، وإعادة التأهيل، والوفاء، وضمانات عدم التكرار، وذلك وفقاً للفقرة 5 من المادة 24 من الاتفاقية.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spacing w:before="120"/>
              <w:ind w:left="57" w:right="0"/>
              <w:rPr>
                <w:rFonts w:hint="cs"/>
                <w:kern w:val="16"/>
                <w:rtl/>
              </w:rPr>
            </w:pPr>
            <w:r w:rsidRPr="00C142DE">
              <w:rPr>
                <w:rFonts w:hint="cs"/>
                <w:b/>
                <w:bCs/>
                <w:kern w:val="16"/>
                <w:rtl/>
              </w:rPr>
              <w:t>ملخص الرد المقدَّم من الدولة الطرف</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b/>
                <w:bCs/>
                <w:kern w:val="16"/>
                <w:rtl/>
                <w:lang/>
              </w:rPr>
            </w:pPr>
            <w:r w:rsidRPr="00C142DE">
              <w:rPr>
                <w:rFonts w:hint="cs"/>
                <w:rtl/>
                <w:lang/>
              </w:rPr>
              <w:tab/>
              <w:t>وفقاً للاجتهادات القضائية للمحاكم الجنائية الفرنسية، يُطبَّق مفهوم الضحية تطبيقاً واسعاً جداً يشمل جميع أقارب الضحية المباشر، بغض النظر عما إذا كان هذا الأخير قد تُوفّي. وبالإضافة إلى ذلك، تُقبل الدعوى المرفوعة من هؤلاء الأشخاص حتى في الحالات التي لم يَثبت فيها - بل يُدَّعَى فقط</w:t>
            </w:r>
            <w:r w:rsidR="0033086E">
              <w:rPr>
                <w:rFonts w:hint="cs"/>
                <w:rtl/>
                <w:lang/>
              </w:rPr>
              <w:t xml:space="preserve"> </w:t>
            </w:r>
            <w:r w:rsidRPr="00C142DE">
              <w:rPr>
                <w:rFonts w:hint="cs"/>
                <w:rtl/>
                <w:lang/>
              </w:rPr>
              <w:t>- وقوعُ الضرر</w:t>
            </w:r>
            <w:r w:rsidRPr="00C142DE">
              <w:rPr>
                <w:rFonts w:hint="cs"/>
                <w:kern w:val="16"/>
                <w:rtl/>
                <w:lang/>
              </w:rPr>
              <w:t xml:space="preserve">. </w:t>
            </w:r>
            <w:r w:rsidRPr="00C142DE">
              <w:rPr>
                <w:rFonts w:hint="cs"/>
                <w:rtl/>
                <w:lang/>
              </w:rPr>
              <w:t xml:space="preserve">وهكذا يُعد ضمن الضحايا: الأجداد، وشركاء </w:t>
            </w:r>
            <w:r>
              <w:rPr>
                <w:rFonts w:hint="cs"/>
                <w:rtl/>
                <w:lang/>
              </w:rPr>
              <w:t xml:space="preserve">الحياة </w:t>
            </w:r>
            <w:r w:rsidRPr="00C142DE">
              <w:rPr>
                <w:rFonts w:hint="cs"/>
                <w:rtl/>
                <w:lang/>
              </w:rPr>
              <w:t>غير المتزوجين، والخالات والعمات، وخالات وعمات الوالدين. ويُستوفى بسهولة شرط وقوع الضرر الشخصي ما دامت توجد روابط أسرية أو مجرد روابط عاطفية بين الضحية المباشر والقريب الذي يدِّعي أن له أيضاً صفة الضحية.</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b/>
                <w:bCs/>
                <w:kern w:val="16"/>
                <w:rtl/>
                <w:lang/>
              </w:rPr>
            </w:pPr>
            <w:r w:rsidRPr="00C142DE">
              <w:rPr>
                <w:rFonts w:hint="cs"/>
                <w:rtl/>
                <w:lang/>
              </w:rPr>
              <w:tab/>
              <w:t xml:space="preserve">وتعرب الحكومة الفرنسية عن دهشتها إزاء الإشارة إلى أن واضعي الاتفاقية قد قصدوا تعريف "الضحية" بأنه أي شخص يكون الضرر الذي لحِق به، وإن كان مباشراً، "غير شخصي". </w:t>
            </w:r>
            <w:r w:rsidRPr="00C142DE">
              <w:rPr>
                <w:rFonts w:hint="cs"/>
                <w:kern w:val="16"/>
                <w:rtl/>
                <w:lang/>
              </w:rPr>
              <w:t xml:space="preserve"> </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b/>
                <w:bCs/>
                <w:kern w:val="16"/>
                <w:rtl/>
              </w:rPr>
            </w:pPr>
            <w:r w:rsidRPr="00C142DE">
              <w:rPr>
                <w:rFonts w:hint="cs"/>
                <w:rtl/>
              </w:rPr>
              <w:tab/>
              <w:t xml:space="preserve">وفيما يتعلق بحق الضحايا في معرفة الحقيقة بخصوص ظروف الاختفاء القسري، تُلزِم أحكام الفقرة 2 من المادة 24 من الاتفاقية الدول بأن "تتخذ التدابير المناسبة في هذا الصدد" ولكنها تترك لها الحرية لاتخاذ ما تراه من ترتيبات بخصوص ممارسة هذا الحق. وفي القانون الفرنسي، يحق للضحايا </w:t>
            </w:r>
            <w:r>
              <w:rPr>
                <w:rFonts w:hint="cs"/>
                <w:rtl/>
              </w:rPr>
              <w:t>رفع دعاوى</w:t>
            </w:r>
            <w:r w:rsidRPr="00C142DE">
              <w:rPr>
                <w:rFonts w:hint="cs"/>
                <w:rtl/>
              </w:rPr>
              <w:t xml:space="preserve"> كأطراف مدنية. وبموجب مواد معينة من قانون الإجراءات الجنائية، </w:t>
            </w:r>
            <w:r>
              <w:rPr>
                <w:rFonts w:hint="cs"/>
                <w:rtl/>
              </w:rPr>
              <w:t xml:space="preserve">فإنهم </w:t>
            </w:r>
            <w:r w:rsidRPr="00C142DE">
              <w:rPr>
                <w:rFonts w:hint="cs"/>
                <w:rtl/>
              </w:rPr>
              <w:t>يحصلون على معلومات بشأن القضية ولهم الحق في الحصول على نسخ من جميع مستندات الملف وطلب إجراء تحقيقات والطعن في قرارات معينة</w:t>
            </w:r>
            <w:r>
              <w:rPr>
                <w:rFonts w:hint="cs"/>
                <w:rtl/>
              </w:rPr>
              <w:t>،</w:t>
            </w:r>
            <w:r w:rsidRPr="00C142DE">
              <w:rPr>
                <w:rFonts w:hint="cs"/>
                <w:rtl/>
              </w:rPr>
              <w:t xml:space="preserve"> </w:t>
            </w:r>
            <w:r>
              <w:rPr>
                <w:rFonts w:hint="cs"/>
                <w:rtl/>
              </w:rPr>
              <w:t>مما يسمح لهم</w:t>
            </w:r>
            <w:r w:rsidRPr="00C142DE">
              <w:rPr>
                <w:rFonts w:hint="cs"/>
                <w:rtl/>
              </w:rPr>
              <w:t xml:space="preserve"> بممارسة حقهم في معرفة الحقيقة. وعلاوة على ذلك، ينص مشروع القانون الذي </w:t>
            </w:r>
            <w:r>
              <w:rPr>
                <w:rFonts w:hint="cs"/>
                <w:rtl/>
              </w:rPr>
              <w:t>يضم</w:t>
            </w:r>
            <w:r w:rsidRPr="00C142DE">
              <w:rPr>
                <w:rFonts w:hint="cs"/>
                <w:rtl/>
              </w:rPr>
              <w:t xml:space="preserve"> </w:t>
            </w:r>
            <w:r>
              <w:rPr>
                <w:rFonts w:hint="cs"/>
                <w:rtl/>
              </w:rPr>
              <w:t>التوجيه</w:t>
            </w:r>
            <w:r w:rsidRPr="00C142DE">
              <w:rPr>
                <w:rFonts w:hint="cs"/>
                <w:rtl/>
              </w:rPr>
              <w:t xml:space="preserve"> </w:t>
            </w:r>
            <w:r w:rsidRPr="00962EBA">
              <w:rPr>
                <w:lang/>
              </w:rPr>
              <w:t>2</w:t>
            </w:r>
            <w:r w:rsidR="0033086E">
              <w:rPr>
                <w:lang/>
              </w:rPr>
              <w:t>012/13/EU</w:t>
            </w:r>
            <w:r w:rsidR="0033086E">
              <w:rPr>
                <w:rFonts w:hint="cs"/>
                <w:rtl/>
              </w:rPr>
              <w:t xml:space="preserve"> </w:t>
            </w:r>
            <w:r w:rsidRPr="00C142DE">
              <w:rPr>
                <w:rFonts w:hint="cs"/>
                <w:rtl/>
              </w:rPr>
              <w:t xml:space="preserve">الصادر عن البرلمان الأوروبي والمجلس بشأن الحق في الحصول على المعلومات في </w:t>
            </w:r>
            <w:r>
              <w:rPr>
                <w:rFonts w:hint="cs"/>
                <w:rtl/>
              </w:rPr>
              <w:t>الإجراءات</w:t>
            </w:r>
            <w:r w:rsidRPr="00C142DE">
              <w:rPr>
                <w:rFonts w:hint="cs"/>
                <w:rtl/>
              </w:rPr>
              <w:t xml:space="preserve"> الجنائية، والذي يجري النظر فيه في البرلمان الفرنسي، على أنه يجوز للأطراف المدنية الاطلاع على الملفات مباشرةً، دون حاجة إلى </w:t>
            </w:r>
            <w:r>
              <w:rPr>
                <w:rFonts w:hint="cs"/>
                <w:rtl/>
              </w:rPr>
              <w:t>أن يمثلها</w:t>
            </w:r>
            <w:r w:rsidRPr="00C142DE">
              <w:rPr>
                <w:rFonts w:hint="cs"/>
                <w:rtl/>
              </w:rPr>
              <w:t xml:space="preserve"> محامٍ.</w:t>
            </w:r>
          </w:p>
        </w:tc>
      </w:tr>
      <w:tr w:rsidR="00166239" w:rsidRPr="006F1B4E" w:rsidTr="00ED1A4D">
        <w:tc>
          <w:tcPr>
            <w:tcW w:w="7139" w:type="dxa"/>
            <w:gridSpan w:val="2"/>
            <w:tcBorders>
              <w:top w:val="nil"/>
              <w:bottom w:val="nil"/>
            </w:tcBorders>
            <w:shd w:val="clear" w:color="auto" w:fill="auto"/>
          </w:tcPr>
          <w:p w:rsidR="00166239" w:rsidRPr="00C142DE" w:rsidRDefault="00166239" w:rsidP="00166239">
            <w:pPr>
              <w:pStyle w:val="SingleTxtGA"/>
              <w:tabs>
                <w:tab w:val="left" w:pos="659"/>
              </w:tabs>
              <w:ind w:left="57" w:right="0"/>
              <w:rPr>
                <w:rFonts w:hint="cs"/>
                <w:b/>
                <w:bCs/>
                <w:kern w:val="16"/>
                <w:rtl/>
                <w:lang/>
              </w:rPr>
            </w:pPr>
            <w:r>
              <w:rPr>
                <w:rFonts w:hint="cs"/>
                <w:rtl/>
                <w:lang/>
              </w:rPr>
              <w:tab/>
              <w:t>وبخصوص مسألة توسيع نطاق أشكال الجبر، يبدو من الصعب تصور رد الممتلكات فيما يتعلق بحالات الاختفاء القسري</w:t>
            </w:r>
            <w:r>
              <w:rPr>
                <w:rFonts w:hint="cs"/>
                <w:rtl/>
              </w:rPr>
              <w:t xml:space="preserve">، </w:t>
            </w:r>
            <w:r>
              <w:rPr>
                <w:rFonts w:hint="cs"/>
                <w:rtl/>
                <w:lang/>
              </w:rPr>
              <w:t>ويمكن دائماً للضحايا استرداد الأشياء المحجوزة في سياق إجراءات جنائية.</w:t>
            </w:r>
          </w:p>
        </w:tc>
      </w:tr>
      <w:tr w:rsidR="00166239" w:rsidRPr="006F1B4E" w:rsidTr="00ED1A4D">
        <w:tc>
          <w:tcPr>
            <w:tcW w:w="7139" w:type="dxa"/>
            <w:gridSpan w:val="2"/>
            <w:tcBorders>
              <w:top w:val="nil"/>
              <w:bottom w:val="nil"/>
            </w:tcBorders>
            <w:shd w:val="clear" w:color="auto" w:fill="auto"/>
          </w:tcPr>
          <w:p w:rsidR="00166239" w:rsidRDefault="00166239" w:rsidP="00166239">
            <w:pPr>
              <w:pStyle w:val="SingleTxtGA"/>
              <w:tabs>
                <w:tab w:val="left" w:pos="659"/>
              </w:tabs>
              <w:ind w:left="57" w:right="0"/>
              <w:rPr>
                <w:rFonts w:hint="cs"/>
                <w:rtl/>
                <w:lang/>
              </w:rPr>
            </w:pPr>
            <w:r>
              <w:rPr>
                <w:rFonts w:hint="cs"/>
                <w:rtl/>
              </w:rPr>
              <w:tab/>
            </w:r>
            <w:r>
              <w:rPr>
                <w:rFonts w:hint="cs"/>
                <w:rtl/>
                <w:lang/>
              </w:rPr>
              <w:t>وبالإضافة إلى التعويض المالي المنصوص عليه في المادة 2 من القانون المدني الفرنسي والمادة 706-3 وما بعدها من قانون الإجراءات الجنائية، يجوز أيضاً للضحية أن يحصل على المساعدة من إحدى رابطات دعم الضحايا، وفقاً للمادة 41 من قانون الإجراءات الجنائية، لكي يتمكن من الحصول على المشورة وعلى الدعم النفسي. وتتلقَّى هذه الرابطات تمويلاً من الدولة.</w:t>
            </w:r>
          </w:p>
        </w:tc>
      </w:tr>
      <w:tr w:rsidR="00166239" w:rsidRPr="006F1B4E" w:rsidTr="00ED1A4D">
        <w:tc>
          <w:tcPr>
            <w:tcW w:w="7139" w:type="dxa"/>
            <w:gridSpan w:val="2"/>
            <w:tcBorders>
              <w:top w:val="nil"/>
              <w:bottom w:val="nil"/>
            </w:tcBorders>
            <w:shd w:val="clear" w:color="auto" w:fill="auto"/>
          </w:tcPr>
          <w:p w:rsidR="00166239" w:rsidRDefault="00166239" w:rsidP="00166239">
            <w:pPr>
              <w:pStyle w:val="SingleTxtGA"/>
              <w:tabs>
                <w:tab w:val="left" w:pos="659"/>
              </w:tabs>
              <w:ind w:left="57" w:right="0"/>
              <w:rPr>
                <w:rFonts w:hint="cs"/>
                <w:rtl/>
              </w:rPr>
            </w:pPr>
            <w:r>
              <w:rPr>
                <w:rFonts w:hint="cs"/>
                <w:rtl/>
                <w:lang/>
              </w:rPr>
              <w:tab/>
            </w:r>
            <w:r>
              <w:rPr>
                <w:rFonts w:hint="cs"/>
                <w:rtl/>
              </w:rPr>
              <w:t xml:space="preserve">وقد حدثت أيضاً حالات لتجربة العدالة الإصلاحية في فرنسا. ولم يشمل أي من هذه الحالات حتى الآن مرتكبي جرائم الاختفاء القسري أو ضحاياها، بيد أن هذه الحالات المتعلقة بتجربة العدالة الانتقالية لا يمكن إلا أن تسهم في تحقيق الأهداف المتمثلة في إعادة التأهيل، </w:t>
            </w:r>
            <w:r w:rsidRPr="004B1297">
              <w:rPr>
                <w:kern w:val="16"/>
                <w:rtl/>
              </w:rPr>
              <w:t xml:space="preserve">والوفاء، وضمانات عدم التكرار، </w:t>
            </w:r>
            <w:r>
              <w:rPr>
                <w:rFonts w:hint="cs"/>
                <w:kern w:val="16"/>
                <w:rtl/>
              </w:rPr>
              <w:t>المشار إليها في</w:t>
            </w:r>
            <w:r w:rsidRPr="004B1297">
              <w:rPr>
                <w:kern w:val="16"/>
                <w:rtl/>
              </w:rPr>
              <w:t xml:space="preserve"> </w:t>
            </w:r>
            <w:r>
              <w:rPr>
                <w:rFonts w:hint="cs"/>
                <w:kern w:val="16"/>
                <w:rtl/>
              </w:rPr>
              <w:t>ا</w:t>
            </w:r>
            <w:r w:rsidRPr="004B1297">
              <w:rPr>
                <w:kern w:val="16"/>
                <w:rtl/>
              </w:rPr>
              <w:t>لفقرة 5 من المادة 24 من الاتفاقية.</w:t>
            </w:r>
          </w:p>
        </w:tc>
      </w:tr>
      <w:tr w:rsidR="00166239" w:rsidRPr="006F1B4E" w:rsidTr="00ED1A4D">
        <w:tc>
          <w:tcPr>
            <w:tcW w:w="7139" w:type="dxa"/>
            <w:gridSpan w:val="2"/>
            <w:tcBorders>
              <w:top w:val="nil"/>
              <w:bottom w:val="nil"/>
            </w:tcBorders>
            <w:shd w:val="clear" w:color="auto" w:fill="auto"/>
          </w:tcPr>
          <w:p w:rsidR="00166239" w:rsidRDefault="00166239" w:rsidP="00166239">
            <w:pPr>
              <w:pStyle w:val="SingleTxtGA"/>
              <w:tabs>
                <w:tab w:val="left" w:pos="659"/>
              </w:tabs>
              <w:spacing w:before="120"/>
              <w:ind w:left="57" w:right="0"/>
              <w:rPr>
                <w:rFonts w:hint="cs"/>
                <w:rtl/>
              </w:rPr>
            </w:pPr>
            <w:r w:rsidRPr="00C142DE">
              <w:rPr>
                <w:rFonts w:hint="cs"/>
                <w:b/>
                <w:bCs/>
                <w:kern w:val="16"/>
                <w:rtl/>
              </w:rPr>
              <w:t xml:space="preserve">المعلومات </w:t>
            </w:r>
            <w:r>
              <w:rPr>
                <w:rFonts w:hint="cs"/>
                <w:b/>
                <w:bCs/>
                <w:kern w:val="16"/>
                <w:rtl/>
              </w:rPr>
              <w:t>المقدَّم</w:t>
            </w:r>
            <w:r w:rsidRPr="00C142DE">
              <w:rPr>
                <w:rFonts w:hint="cs"/>
                <w:b/>
                <w:bCs/>
                <w:kern w:val="16"/>
                <w:rtl/>
              </w:rPr>
              <w:t>ة من منظمات غير حكومية</w:t>
            </w:r>
          </w:p>
        </w:tc>
      </w:tr>
      <w:tr w:rsidR="00166239" w:rsidRPr="006F1B4E" w:rsidTr="00ED1A4D">
        <w:tc>
          <w:tcPr>
            <w:tcW w:w="7139" w:type="dxa"/>
            <w:gridSpan w:val="2"/>
            <w:tcBorders>
              <w:top w:val="nil"/>
              <w:bottom w:val="nil"/>
            </w:tcBorders>
            <w:shd w:val="clear" w:color="auto" w:fill="auto"/>
          </w:tcPr>
          <w:p w:rsidR="00166239" w:rsidRDefault="00166239" w:rsidP="00046E87">
            <w:pPr>
              <w:pStyle w:val="SingleTxtGA"/>
              <w:tabs>
                <w:tab w:val="left" w:pos="659"/>
              </w:tabs>
              <w:spacing w:line="360" w:lineRule="exact"/>
              <w:ind w:left="57" w:right="0"/>
              <w:rPr>
                <w:rFonts w:hint="cs"/>
                <w:rtl/>
              </w:rPr>
            </w:pPr>
            <w:r w:rsidRPr="00C142DE">
              <w:rPr>
                <w:rFonts w:hint="cs"/>
                <w:kern w:val="16"/>
                <w:rtl/>
              </w:rPr>
              <w:tab/>
              <w:t xml:space="preserve">منذ نيسان/أبريل 2013، لم يجر تعديل </w:t>
            </w:r>
            <w:r>
              <w:rPr>
                <w:rFonts w:hint="cs"/>
                <w:kern w:val="16"/>
                <w:rtl/>
              </w:rPr>
              <w:t>قانون الإجراءات الجنائية فيما يخص تعريف حقوق الضحايا. فما</w:t>
            </w:r>
            <w:r w:rsidR="0033086E">
              <w:rPr>
                <w:rFonts w:hint="cs"/>
                <w:kern w:val="16"/>
                <w:rtl/>
              </w:rPr>
              <w:t xml:space="preserve"> </w:t>
            </w:r>
            <w:r>
              <w:rPr>
                <w:rFonts w:hint="cs"/>
                <w:kern w:val="16"/>
                <w:rtl/>
              </w:rPr>
              <w:t>زالت المادة 2 من قانون الإجراءات الجنائية تنص على وجوب أن يبرهن الشخص، لكي يُعترف له بصفة الضحية، على وجود ضرر مباشر وشخصي لحِق به نتيجةً للجريمة المرتكبة.</w:t>
            </w:r>
          </w:p>
        </w:tc>
      </w:tr>
      <w:tr w:rsidR="00166239" w:rsidRPr="006F1B4E" w:rsidTr="00ED1A4D">
        <w:tc>
          <w:tcPr>
            <w:tcW w:w="7139" w:type="dxa"/>
            <w:gridSpan w:val="2"/>
            <w:tcBorders>
              <w:top w:val="nil"/>
              <w:bottom w:val="nil"/>
            </w:tcBorders>
            <w:shd w:val="clear" w:color="auto" w:fill="auto"/>
          </w:tcPr>
          <w:p w:rsidR="00166239" w:rsidRPr="00166239" w:rsidRDefault="00166239" w:rsidP="00046E87">
            <w:pPr>
              <w:pStyle w:val="SingleTxtGA"/>
              <w:tabs>
                <w:tab w:val="left" w:pos="659"/>
              </w:tabs>
              <w:spacing w:line="360" w:lineRule="exact"/>
              <w:ind w:left="57" w:right="0"/>
              <w:rPr>
                <w:rFonts w:hint="cs"/>
                <w:b/>
                <w:bCs/>
                <w:rtl/>
                <w:lang/>
              </w:rPr>
            </w:pPr>
            <w:r>
              <w:rPr>
                <w:rFonts w:hint="cs"/>
                <w:b/>
                <w:bCs/>
                <w:kern w:val="16"/>
                <w:rtl/>
              </w:rPr>
              <w:tab/>
            </w:r>
            <w:r>
              <w:rPr>
                <w:rFonts w:hint="cs"/>
                <w:rtl/>
                <w:lang/>
              </w:rPr>
              <w:t xml:space="preserve">ولا يزال الحق في الاطلاع على ملفات القضية وفي معرفة التقدم المحرز في الإجراءات غير متاح في حالة ضحية لا يمثله محامٍ وكذلك، بصفة أعم، لا ينص القانون الفرنسي </w:t>
            </w:r>
            <w:r w:rsidRPr="0033086E">
              <w:rPr>
                <w:rFonts w:hint="cs"/>
                <w:spacing w:val="-2"/>
                <w:rtl/>
                <w:lang/>
              </w:rPr>
              <w:t>بصراحة على الحق في معرفة الحقيقة فيما يتعلق بظروف الاختفاء القسري على نحو ما</w:t>
            </w:r>
            <w:r>
              <w:rPr>
                <w:rFonts w:hint="cs"/>
                <w:rtl/>
                <w:lang/>
              </w:rPr>
              <w:t xml:space="preserve"> تقتضيه الفقرة 2 من المادة 24 من الاتفاقية.</w:t>
            </w:r>
          </w:p>
        </w:tc>
      </w:tr>
      <w:tr w:rsidR="00166239" w:rsidRPr="006F1B4E" w:rsidTr="00ED1A4D">
        <w:tc>
          <w:tcPr>
            <w:tcW w:w="7139" w:type="dxa"/>
            <w:gridSpan w:val="2"/>
            <w:tcBorders>
              <w:top w:val="nil"/>
              <w:bottom w:val="nil"/>
            </w:tcBorders>
            <w:shd w:val="clear" w:color="auto" w:fill="auto"/>
          </w:tcPr>
          <w:p w:rsidR="00166239" w:rsidRDefault="00166239" w:rsidP="00046E87">
            <w:pPr>
              <w:pStyle w:val="SingleTxtGA"/>
              <w:tabs>
                <w:tab w:val="left" w:pos="659"/>
              </w:tabs>
              <w:spacing w:line="360" w:lineRule="exact"/>
              <w:ind w:left="57" w:right="0"/>
              <w:rPr>
                <w:rFonts w:hint="cs"/>
                <w:b/>
                <w:bCs/>
                <w:kern w:val="16"/>
                <w:rtl/>
              </w:rPr>
            </w:pPr>
            <w:r>
              <w:rPr>
                <w:rFonts w:hint="cs"/>
                <w:rtl/>
              </w:rPr>
              <w:tab/>
            </w:r>
            <w:r>
              <w:rPr>
                <w:rFonts w:hint="cs"/>
                <w:rtl/>
                <w:lang/>
              </w:rPr>
              <w:t>ولا تنص المادة 2 من قانون الإجراءات الجنائية إلا على التعويض المالي. ولم يجر أي تعديل للقانون بغية توسيع نطاق تدابير جبر الضرر بالنسبة إلى ضحايا الاختفاء القسري وفقاً لما تقتضيه الفقرة 5 من المادة 24 من الاتفاقية.</w:t>
            </w:r>
          </w:p>
        </w:tc>
      </w:tr>
      <w:tr w:rsidR="00166239" w:rsidRPr="006F1B4E" w:rsidTr="00ED1A4D">
        <w:tc>
          <w:tcPr>
            <w:tcW w:w="7139" w:type="dxa"/>
            <w:gridSpan w:val="2"/>
            <w:tcBorders>
              <w:top w:val="nil"/>
              <w:bottom w:val="nil"/>
            </w:tcBorders>
            <w:shd w:val="clear" w:color="auto" w:fill="auto"/>
          </w:tcPr>
          <w:p w:rsidR="00166239" w:rsidRDefault="00166239" w:rsidP="00166239">
            <w:pPr>
              <w:pStyle w:val="SingleTxtGA"/>
              <w:tabs>
                <w:tab w:val="left" w:pos="659"/>
              </w:tabs>
              <w:spacing w:before="120"/>
              <w:ind w:left="57" w:right="0"/>
              <w:rPr>
                <w:rFonts w:hint="cs"/>
                <w:b/>
                <w:bCs/>
                <w:kern w:val="16"/>
                <w:rtl/>
              </w:rPr>
            </w:pPr>
            <w:r w:rsidRPr="00F677C8">
              <w:rPr>
                <w:rFonts w:hint="cs"/>
                <w:b/>
                <w:bCs/>
                <w:rtl/>
              </w:rPr>
              <w:t>تقييم اللجنة</w:t>
            </w:r>
          </w:p>
        </w:tc>
      </w:tr>
      <w:tr w:rsidR="00166239" w:rsidRPr="006F1B4E" w:rsidTr="00ED1A4D">
        <w:tc>
          <w:tcPr>
            <w:tcW w:w="7139" w:type="dxa"/>
            <w:gridSpan w:val="2"/>
            <w:tcBorders>
              <w:top w:val="nil"/>
              <w:bottom w:val="nil"/>
            </w:tcBorders>
            <w:shd w:val="clear" w:color="auto" w:fill="auto"/>
          </w:tcPr>
          <w:p w:rsidR="00166239" w:rsidRPr="00F677C8" w:rsidRDefault="00166239" w:rsidP="00046E87">
            <w:pPr>
              <w:pStyle w:val="SingleTxtGA"/>
              <w:tabs>
                <w:tab w:val="left" w:pos="659"/>
              </w:tabs>
              <w:spacing w:line="360" w:lineRule="exact"/>
              <w:ind w:left="57" w:right="0"/>
              <w:rPr>
                <w:rFonts w:hint="cs"/>
                <w:b/>
                <w:bCs/>
                <w:rtl/>
              </w:rPr>
            </w:pPr>
            <w:r w:rsidRPr="0083277B">
              <w:rPr>
                <w:rFonts w:hint="cs"/>
                <w:b/>
                <w:bCs/>
                <w:rtl/>
              </w:rPr>
              <w:t xml:space="preserve">[جيم]: </w:t>
            </w:r>
            <w:r>
              <w:rPr>
                <w:rFonts w:hint="cs"/>
                <w:rtl/>
              </w:rPr>
              <w:t xml:space="preserve">فيما يتعلق بتعريف "الضحية"، بينما تحيط اللجنة علماً بالمعلومات المقدَّمة من الدولة الطرف، ولاسيما اختصاص المحاكم الفرنسية، فإنها ترى أن توصيتها الداعية إلى اتخاذ تدابير تشريعية ملائمة من أجل اعتماد تعريف </w:t>
            </w:r>
            <w:r w:rsidR="00046E87" w:rsidRPr="00046E87">
              <w:rPr>
                <w:rFonts w:hint="cs"/>
                <w:sz w:val="30"/>
                <w:rtl/>
              </w:rPr>
              <w:t>ل‍</w:t>
            </w:r>
            <w:r w:rsidR="00046E87">
              <w:rPr>
                <w:rFonts w:hint="cs"/>
                <w:rtl/>
              </w:rPr>
              <w:t xml:space="preserve"> </w:t>
            </w:r>
            <w:r>
              <w:rPr>
                <w:rFonts w:hint="cs"/>
                <w:rtl/>
              </w:rPr>
              <w:t>"الضحية" ي</w:t>
            </w:r>
            <w:r w:rsidR="00046E87">
              <w:rPr>
                <w:rFonts w:hint="cs"/>
                <w:rtl/>
              </w:rPr>
              <w:t>تفق مع التعريف الوارد في الفقرة</w:t>
            </w:r>
            <w:r w:rsidR="00046E87">
              <w:rPr>
                <w:rFonts w:hint="eastAsia"/>
                <w:rtl/>
              </w:rPr>
              <w:t> </w:t>
            </w:r>
            <w:r>
              <w:rPr>
                <w:rFonts w:hint="cs"/>
                <w:rtl/>
              </w:rPr>
              <w:t>1 من المادة 24 من الاتفاقية هي توصية لم تُنفَّذ.</w:t>
            </w:r>
            <w:r>
              <w:rPr>
                <w:rFonts w:hint="cs"/>
                <w:kern w:val="16"/>
                <w:rtl/>
              </w:rPr>
              <w:t xml:space="preserve"> </w:t>
            </w:r>
            <w:r w:rsidRPr="00C142DE">
              <w:rPr>
                <w:rFonts w:hint="cs"/>
                <w:kern w:val="16"/>
                <w:rtl/>
              </w:rPr>
              <w:t xml:space="preserve">وتكرر اللجنة توجيه توصيتها وتطلب إلى الدولة الطرف، عندما تقدّم المعلومات وفقاً للفقرة 43 </w:t>
            </w:r>
            <w:r>
              <w:rPr>
                <w:rFonts w:hint="cs"/>
                <w:kern w:val="16"/>
                <w:rtl/>
              </w:rPr>
              <w:t>من الملاحظات الختامية السابقة للجنة</w:t>
            </w:r>
            <w:r w:rsidRPr="00C142DE">
              <w:rPr>
                <w:rFonts w:hint="cs"/>
                <w:kern w:val="16"/>
                <w:rtl/>
              </w:rPr>
              <w:t xml:space="preserve"> (</w:t>
            </w:r>
            <w:r w:rsidRPr="00C142DE">
              <w:rPr>
                <w:lang/>
              </w:rPr>
              <w:t>CED/C/FRA/CO/1</w:t>
            </w:r>
            <w:r w:rsidRPr="00C142DE">
              <w:rPr>
                <w:rFonts w:hint="cs"/>
                <w:kern w:val="16"/>
                <w:rtl/>
              </w:rPr>
              <w:t>)، أن تقدّم معلومات عن التدابير التي اتخذتها لتنفيذ هذه التوصية.</w:t>
            </w:r>
          </w:p>
        </w:tc>
      </w:tr>
      <w:tr w:rsidR="00166239" w:rsidRPr="006F1B4E" w:rsidTr="00ED1A4D">
        <w:tc>
          <w:tcPr>
            <w:tcW w:w="7139" w:type="dxa"/>
            <w:gridSpan w:val="2"/>
            <w:tcBorders>
              <w:top w:val="nil"/>
              <w:bottom w:val="nil"/>
            </w:tcBorders>
            <w:shd w:val="clear" w:color="auto" w:fill="auto"/>
          </w:tcPr>
          <w:p w:rsidR="00166239" w:rsidRPr="00F677C8" w:rsidRDefault="00166239" w:rsidP="00166239">
            <w:pPr>
              <w:pStyle w:val="SingleTxtGA"/>
              <w:tabs>
                <w:tab w:val="left" w:pos="659"/>
              </w:tabs>
              <w:ind w:left="57" w:right="0"/>
              <w:rPr>
                <w:rFonts w:hint="cs"/>
                <w:b/>
                <w:bCs/>
                <w:rtl/>
              </w:rPr>
            </w:pPr>
            <w:r w:rsidRPr="0083277B">
              <w:rPr>
                <w:rFonts w:hint="cs"/>
                <w:b/>
                <w:bCs/>
                <w:rtl/>
              </w:rPr>
              <w:t>[</w:t>
            </w:r>
            <w:r>
              <w:rPr>
                <w:rFonts w:hint="cs"/>
                <w:b/>
                <w:bCs/>
                <w:rtl/>
              </w:rPr>
              <w:t>باء</w:t>
            </w:r>
            <w:r w:rsidRPr="0083277B">
              <w:rPr>
                <w:rFonts w:hint="cs"/>
                <w:b/>
                <w:bCs/>
                <w:rtl/>
              </w:rPr>
              <w:t xml:space="preserve">]: </w:t>
            </w:r>
            <w:r>
              <w:rPr>
                <w:rFonts w:hint="cs"/>
                <w:rtl/>
              </w:rPr>
              <w:t xml:space="preserve">وفيما يتعلق </w:t>
            </w:r>
            <w:r>
              <w:rPr>
                <w:rFonts w:hint="cs"/>
                <w:kern w:val="16"/>
                <w:rtl/>
              </w:rPr>
              <w:t xml:space="preserve">بالحق في معرفة الحقيقة، تحيط اللجنة علماً بالمعلومات المقدَّمة وهي بينما تذكّر بتوصيتها فإنها تطلب إلى الدولة الطرف، </w:t>
            </w:r>
            <w:r w:rsidRPr="00C142DE">
              <w:rPr>
                <w:rFonts w:hint="cs"/>
                <w:kern w:val="16"/>
                <w:rtl/>
              </w:rPr>
              <w:t xml:space="preserve">عندما تقدّم المعلومات وفقاً للفقرة 43 </w:t>
            </w:r>
            <w:r>
              <w:rPr>
                <w:rFonts w:hint="cs"/>
                <w:kern w:val="16"/>
                <w:rtl/>
              </w:rPr>
              <w:t>من الملاحظات الختامية السابقة للجنة</w:t>
            </w:r>
            <w:r w:rsidRPr="00C142DE">
              <w:rPr>
                <w:rFonts w:hint="cs"/>
                <w:kern w:val="16"/>
                <w:rtl/>
              </w:rPr>
              <w:t xml:space="preserve"> (</w:t>
            </w:r>
            <w:r w:rsidRPr="00C142DE">
              <w:rPr>
                <w:lang/>
              </w:rPr>
              <w:t>CED/C/FRA/CO/1</w:t>
            </w:r>
            <w:r w:rsidRPr="00C142DE">
              <w:rPr>
                <w:rFonts w:hint="cs"/>
                <w:kern w:val="16"/>
                <w:rtl/>
              </w:rPr>
              <w:t xml:space="preserve">)، أن تقدّم معلومات </w:t>
            </w:r>
            <w:r>
              <w:rPr>
                <w:rFonts w:hint="cs"/>
                <w:kern w:val="16"/>
                <w:rtl/>
              </w:rPr>
              <w:t xml:space="preserve">إضافية </w:t>
            </w:r>
            <w:r w:rsidRPr="00C142DE">
              <w:rPr>
                <w:rFonts w:hint="cs"/>
                <w:kern w:val="16"/>
                <w:rtl/>
              </w:rPr>
              <w:t>عن التدابير التي اتخذتها لتنفيذ هذه التوصية</w:t>
            </w:r>
            <w:r>
              <w:rPr>
                <w:rFonts w:hint="cs"/>
                <w:kern w:val="16"/>
                <w:rtl/>
              </w:rPr>
              <w:t>، وخاصة معلومات عن مضمون مشروع القانون المنفِّذ للتوجيه الصادر عن الاتحاد الأوروبي</w:t>
            </w:r>
            <w:r w:rsidRPr="00962EBA">
              <w:rPr>
                <w:lang/>
              </w:rPr>
              <w:t>2012/13/EU</w:t>
            </w:r>
            <w:r>
              <w:t xml:space="preserve"> </w:t>
            </w:r>
            <w:r>
              <w:rPr>
                <w:rFonts w:hint="cs"/>
                <w:kern w:val="16"/>
                <w:rtl/>
              </w:rPr>
              <w:t xml:space="preserve"> والمذكور في الفقرة 51 من تقريرها المتعلق بالمتابعة (</w:t>
            </w:r>
            <w:r w:rsidRPr="00962EBA">
              <w:rPr>
                <w:lang/>
              </w:rPr>
              <w:t>CED/C/FRA/CO/1/Add.1</w:t>
            </w:r>
            <w:r>
              <w:rPr>
                <w:rFonts w:hint="cs"/>
                <w:kern w:val="16"/>
                <w:rtl/>
              </w:rPr>
              <w:t>)، وخاصة فيما يتصل بالأشخاص الذين سيكون بمقدورهم الحصول على المعلومات الواردة في ملفات القضية، وكذلك معلومات عن الوضع الراهن لمشروع القانون هذا، بما في ذلك عن متى يُتوقَّع إقراراه ودخوله حيز النفاذ.</w:t>
            </w:r>
          </w:p>
        </w:tc>
      </w:tr>
      <w:tr w:rsidR="00166239" w:rsidRPr="006F1B4E" w:rsidTr="00ED1A4D">
        <w:tc>
          <w:tcPr>
            <w:tcW w:w="7139" w:type="dxa"/>
            <w:gridSpan w:val="2"/>
            <w:tcBorders>
              <w:top w:val="nil"/>
              <w:bottom w:val="nil"/>
            </w:tcBorders>
            <w:shd w:val="clear" w:color="auto" w:fill="auto"/>
          </w:tcPr>
          <w:p w:rsidR="00166239" w:rsidRPr="0083277B" w:rsidRDefault="00166239" w:rsidP="00166239">
            <w:pPr>
              <w:pStyle w:val="SingleTxtGA"/>
              <w:tabs>
                <w:tab w:val="left" w:pos="659"/>
              </w:tabs>
              <w:ind w:left="57" w:right="0"/>
              <w:rPr>
                <w:rFonts w:hint="cs"/>
                <w:b/>
                <w:bCs/>
                <w:rtl/>
              </w:rPr>
            </w:pPr>
            <w:r w:rsidRPr="0083277B">
              <w:rPr>
                <w:rFonts w:hint="cs"/>
                <w:b/>
                <w:bCs/>
                <w:rtl/>
              </w:rPr>
              <w:t xml:space="preserve">[جيم]: </w:t>
            </w:r>
            <w:r>
              <w:rPr>
                <w:rFonts w:hint="cs"/>
                <w:b/>
                <w:bCs/>
                <w:rtl/>
              </w:rPr>
              <w:t>و</w:t>
            </w:r>
            <w:r>
              <w:rPr>
                <w:rFonts w:hint="cs"/>
                <w:rtl/>
              </w:rPr>
              <w:t xml:space="preserve">فيما يتعلق </w:t>
            </w:r>
            <w:r>
              <w:rPr>
                <w:rFonts w:hint="cs"/>
                <w:kern w:val="16"/>
                <w:rtl/>
              </w:rPr>
              <w:t xml:space="preserve">بجبر الأضرار، ترى اللجنة أن توصيتها الداعية إلى اتخاذ تدابير لتوسيع نطاق أشكال جبر الأضرار، وخاصة </w:t>
            </w:r>
            <w:r w:rsidRPr="00C81188">
              <w:rPr>
                <w:kern w:val="16"/>
                <w:rtl/>
              </w:rPr>
              <w:t>رد الحقوق، وإعادة التأهيل، والوفاء، وضمانات عدم التكرار، وذلك وفقاً للفقرة 5 من المادة 24 من الاتفاقية</w:t>
            </w:r>
            <w:r>
              <w:rPr>
                <w:rFonts w:hint="cs"/>
                <w:kern w:val="16"/>
                <w:rtl/>
              </w:rPr>
              <w:t>، هي توصية لم تُنفَّذ</w:t>
            </w:r>
            <w:r w:rsidRPr="00C81188">
              <w:rPr>
                <w:kern w:val="16"/>
                <w:rtl/>
              </w:rPr>
              <w:t>.</w:t>
            </w:r>
            <w:r>
              <w:rPr>
                <w:rFonts w:hint="cs"/>
                <w:kern w:val="16"/>
                <w:rtl/>
              </w:rPr>
              <w:t xml:space="preserve"> </w:t>
            </w:r>
            <w:r w:rsidRPr="00C142DE">
              <w:rPr>
                <w:rFonts w:hint="cs"/>
                <w:kern w:val="16"/>
                <w:rtl/>
              </w:rPr>
              <w:t xml:space="preserve">وتكرر اللجنة توجيه توصيتها وتطلب إلى الدولة الطرف، عندما تقدّم المعلومات وفقاً للفقرة 43 </w:t>
            </w:r>
            <w:r>
              <w:rPr>
                <w:rFonts w:hint="cs"/>
                <w:kern w:val="16"/>
                <w:rtl/>
              </w:rPr>
              <w:t>من الملاحظات الختامية السابقة للجنة</w:t>
            </w:r>
            <w:r w:rsidRPr="00C142DE">
              <w:rPr>
                <w:rFonts w:hint="cs"/>
                <w:kern w:val="16"/>
                <w:rtl/>
              </w:rPr>
              <w:t xml:space="preserve"> (</w:t>
            </w:r>
            <w:r w:rsidRPr="00C142DE">
              <w:rPr>
                <w:lang/>
              </w:rPr>
              <w:t>CED/C/FRA/CO/1</w:t>
            </w:r>
            <w:r w:rsidRPr="00C142DE">
              <w:rPr>
                <w:rFonts w:hint="cs"/>
                <w:kern w:val="16"/>
                <w:rtl/>
              </w:rPr>
              <w:t>)، أن تقدّم معلومات عن التدابير التي اتخذتها لتنفيذ هذه التوصية.</w:t>
            </w:r>
          </w:p>
        </w:tc>
      </w:tr>
      <w:tr w:rsidR="00166239" w:rsidRPr="006F1B4E" w:rsidTr="00ED1A4D">
        <w:tc>
          <w:tcPr>
            <w:tcW w:w="7139" w:type="dxa"/>
            <w:gridSpan w:val="2"/>
            <w:tcBorders>
              <w:top w:val="nil"/>
              <w:bottom w:val="nil"/>
            </w:tcBorders>
            <w:shd w:val="clear" w:color="auto" w:fill="auto"/>
          </w:tcPr>
          <w:p w:rsidR="00166239" w:rsidRPr="0083277B" w:rsidRDefault="00166239" w:rsidP="00166239">
            <w:pPr>
              <w:pStyle w:val="SingleTxtGA"/>
              <w:tabs>
                <w:tab w:val="left" w:pos="659"/>
              </w:tabs>
              <w:spacing w:before="120"/>
              <w:ind w:left="57" w:right="0"/>
              <w:rPr>
                <w:rFonts w:hint="cs"/>
                <w:b/>
                <w:bCs/>
                <w:rtl/>
              </w:rPr>
            </w:pPr>
            <w:r w:rsidRPr="006077F6">
              <w:rPr>
                <w:rFonts w:hint="cs"/>
                <w:b/>
                <w:bCs/>
                <w:kern w:val="16"/>
                <w:rtl/>
              </w:rPr>
              <w:t>الإجراء الواجب اتخاذه</w:t>
            </w:r>
          </w:p>
        </w:tc>
      </w:tr>
      <w:tr w:rsidR="00166239" w:rsidRPr="006F1B4E" w:rsidTr="00166239">
        <w:tc>
          <w:tcPr>
            <w:tcW w:w="7139" w:type="dxa"/>
            <w:gridSpan w:val="2"/>
            <w:tcBorders>
              <w:top w:val="nil"/>
              <w:bottom w:val="nil"/>
            </w:tcBorders>
            <w:shd w:val="clear" w:color="auto" w:fill="auto"/>
          </w:tcPr>
          <w:p w:rsidR="00166239" w:rsidRPr="006077F6" w:rsidRDefault="00166239" w:rsidP="00166239">
            <w:pPr>
              <w:pStyle w:val="SingleTxtGA"/>
              <w:tabs>
                <w:tab w:val="left" w:pos="659"/>
              </w:tabs>
              <w:ind w:left="57" w:right="0"/>
              <w:rPr>
                <w:rFonts w:hint="cs"/>
                <w:b/>
                <w:bCs/>
                <w:kern w:val="16"/>
                <w:rtl/>
              </w:rPr>
            </w:pPr>
            <w:r>
              <w:rPr>
                <w:rFonts w:hint="cs"/>
                <w:kern w:val="16"/>
                <w:rtl/>
              </w:rPr>
              <w:t>ينبغي توجيه رسالة إلى الدولة الطرف تتضمن تقييم اللجنة.</w:t>
            </w:r>
          </w:p>
        </w:tc>
      </w:tr>
      <w:tr w:rsidR="00166239" w:rsidRPr="006F1B4E" w:rsidTr="00166239">
        <w:tc>
          <w:tcPr>
            <w:tcW w:w="7139" w:type="dxa"/>
            <w:gridSpan w:val="2"/>
            <w:tcBorders>
              <w:top w:val="nil"/>
              <w:bottom w:val="single" w:sz="12" w:space="0" w:color="auto"/>
            </w:tcBorders>
            <w:shd w:val="clear" w:color="auto" w:fill="auto"/>
          </w:tcPr>
          <w:p w:rsidR="00166239" w:rsidRPr="006077F6" w:rsidRDefault="00166239" w:rsidP="00A4185C">
            <w:pPr>
              <w:pStyle w:val="SingleTxtGA"/>
              <w:tabs>
                <w:tab w:val="left" w:pos="659"/>
              </w:tabs>
              <w:ind w:left="57" w:right="0"/>
              <w:jc w:val="left"/>
              <w:rPr>
                <w:rFonts w:hint="cs"/>
                <w:b/>
                <w:bCs/>
                <w:kern w:val="16"/>
                <w:rtl/>
              </w:rPr>
            </w:pPr>
            <w:r w:rsidRPr="00E01E04">
              <w:rPr>
                <w:rFonts w:hint="cs"/>
                <w:b/>
                <w:bCs/>
                <w:kern w:val="16"/>
                <w:rtl/>
              </w:rPr>
              <w:t>المعلومات المتعلقة بمتابعة تنفيذ جميع التوصيات</w:t>
            </w:r>
            <w:r>
              <w:rPr>
                <w:rFonts w:hint="cs"/>
                <w:b/>
                <w:bCs/>
                <w:kern w:val="16"/>
                <w:rtl/>
              </w:rPr>
              <w:t>،</w:t>
            </w:r>
            <w:r w:rsidRPr="00E01E04">
              <w:rPr>
                <w:rFonts w:hint="cs"/>
                <w:b/>
                <w:bCs/>
                <w:kern w:val="16"/>
                <w:rtl/>
              </w:rPr>
              <w:t xml:space="preserve"> </w:t>
            </w:r>
            <w:r>
              <w:rPr>
                <w:rFonts w:hint="cs"/>
                <w:b/>
                <w:bCs/>
                <w:kern w:val="16"/>
                <w:rtl/>
              </w:rPr>
              <w:t>والتي يتعين</w:t>
            </w:r>
            <w:r w:rsidRPr="00E01E04">
              <w:rPr>
                <w:rFonts w:hint="cs"/>
                <w:b/>
                <w:bCs/>
                <w:kern w:val="16"/>
                <w:rtl/>
              </w:rPr>
              <w:t xml:space="preserve"> تقديمها بحلول:</w:t>
            </w:r>
            <w:r w:rsidR="00A4185C">
              <w:rPr>
                <w:b/>
                <w:bCs/>
                <w:kern w:val="16"/>
                <w:rtl/>
              </w:rPr>
              <w:br/>
            </w:r>
            <w:r>
              <w:rPr>
                <w:rFonts w:hint="cs"/>
                <w:kern w:val="16"/>
                <w:rtl/>
              </w:rPr>
              <w:t>19 نيسان/أبريل 2019</w:t>
            </w:r>
          </w:p>
        </w:tc>
      </w:tr>
    </w:tbl>
    <w:p w:rsidR="001200E6" w:rsidRPr="00C142DE" w:rsidRDefault="001200E6" w:rsidP="00A4185C">
      <w:pPr>
        <w:pStyle w:val="HChGA"/>
        <w:spacing w:before="120"/>
        <w:rPr>
          <w:rFonts w:hint="cs"/>
          <w:kern w:val="16"/>
          <w:rtl/>
        </w:rPr>
      </w:pPr>
      <w:r>
        <w:rPr>
          <w:rtl/>
        </w:rPr>
        <w:br w:type="page"/>
      </w:r>
      <w:r w:rsidR="009319DB">
        <w:rPr>
          <w:rFonts w:hint="cs"/>
          <w:rtl/>
        </w:rPr>
        <w:tab/>
      </w:r>
      <w:r w:rsidR="009319DB">
        <w:rPr>
          <w:rtl/>
        </w:rPr>
        <w:tab/>
      </w:r>
      <w:r w:rsidRPr="00C142DE">
        <w:rPr>
          <w:rFonts w:hint="cs"/>
          <w:kern w:val="16"/>
          <w:rtl/>
        </w:rPr>
        <w:t>الدورة الرابعة (نيسان/أبريل 2013)</w:t>
      </w:r>
    </w:p>
    <w:p w:rsidR="001200E6" w:rsidRPr="00C142DE" w:rsidRDefault="009319DB" w:rsidP="00D31996">
      <w:pPr>
        <w:pStyle w:val="HChGA"/>
        <w:spacing w:before="240" w:line="400" w:lineRule="exact"/>
        <w:rPr>
          <w:rFonts w:hint="cs"/>
          <w:kern w:val="16"/>
          <w:rtl/>
        </w:rPr>
      </w:pPr>
      <w:r>
        <w:rPr>
          <w:kern w:val="16"/>
          <w:rtl/>
        </w:rPr>
        <w:tab/>
      </w:r>
      <w:r w:rsidR="001200E6">
        <w:rPr>
          <w:rFonts w:hint="cs"/>
          <w:kern w:val="16"/>
          <w:rtl/>
        </w:rPr>
        <w:t>ثالثاً</w:t>
      </w:r>
      <w:r w:rsidR="001200E6" w:rsidRPr="00C142DE">
        <w:rPr>
          <w:rFonts w:hint="cs"/>
          <w:kern w:val="16"/>
          <w:rtl/>
        </w:rPr>
        <w:t>-</w:t>
      </w:r>
      <w:r w:rsidR="001200E6" w:rsidRPr="00C142DE">
        <w:rPr>
          <w:rFonts w:hint="cs"/>
          <w:kern w:val="16"/>
          <w:rtl/>
        </w:rPr>
        <w:tab/>
      </w:r>
      <w:r w:rsidR="001200E6">
        <w:rPr>
          <w:rFonts w:hint="cs"/>
          <w:kern w:val="16"/>
          <w:rtl/>
        </w:rPr>
        <w:t>أوروغواي</w:t>
      </w: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119"/>
        <w:gridCol w:w="4253"/>
      </w:tblGrid>
      <w:tr w:rsidR="001200E6" w:rsidRPr="00C142DE" w:rsidTr="00ED1A4D">
        <w:trPr>
          <w:tblHeader/>
        </w:trPr>
        <w:tc>
          <w:tcPr>
            <w:tcW w:w="3119" w:type="dxa"/>
            <w:tcBorders>
              <w:top w:val="single" w:sz="4" w:space="0" w:color="auto"/>
              <w:bottom w:val="single" w:sz="12" w:space="0" w:color="auto"/>
            </w:tcBorders>
            <w:shd w:val="clear" w:color="auto" w:fill="auto"/>
            <w:vAlign w:val="bottom"/>
          </w:tcPr>
          <w:p w:rsidR="001200E6" w:rsidRPr="009319DB" w:rsidRDefault="001200E6" w:rsidP="00377F92">
            <w:pPr>
              <w:spacing w:after="120" w:line="380" w:lineRule="exact"/>
              <w:ind w:left="57" w:right="57"/>
              <w:rPr>
                <w:rFonts w:hint="cs"/>
                <w:iCs/>
                <w:rtl/>
                <w:lang w:val="en-GB"/>
              </w:rPr>
            </w:pPr>
            <w:r w:rsidRPr="009319DB">
              <w:rPr>
                <w:rFonts w:hint="cs"/>
                <w:iCs/>
                <w:rtl/>
                <w:lang w:val="en-GB"/>
              </w:rPr>
              <w:t>أوروغواي</w:t>
            </w:r>
          </w:p>
        </w:tc>
        <w:tc>
          <w:tcPr>
            <w:tcW w:w="4253" w:type="dxa"/>
            <w:tcBorders>
              <w:top w:val="single" w:sz="4" w:space="0" w:color="auto"/>
              <w:bottom w:val="single" w:sz="12" w:space="0" w:color="auto"/>
            </w:tcBorders>
            <w:shd w:val="clear" w:color="auto" w:fill="auto"/>
            <w:vAlign w:val="bottom"/>
          </w:tcPr>
          <w:p w:rsidR="001200E6" w:rsidRPr="009319DB" w:rsidRDefault="001200E6" w:rsidP="00377F92">
            <w:pPr>
              <w:spacing w:after="120" w:line="380" w:lineRule="exact"/>
              <w:ind w:left="57" w:right="57"/>
              <w:rPr>
                <w:iCs/>
                <w:lang w:val="en-GB"/>
              </w:rPr>
            </w:pPr>
          </w:p>
        </w:tc>
      </w:tr>
      <w:tr w:rsidR="001200E6" w:rsidRPr="00C142DE" w:rsidTr="00377F92">
        <w:trPr>
          <w:trHeight w:hRule="exact" w:val="113"/>
          <w:tblHeader/>
        </w:trPr>
        <w:tc>
          <w:tcPr>
            <w:tcW w:w="3119" w:type="dxa"/>
            <w:tcBorders>
              <w:top w:val="single" w:sz="12" w:space="0" w:color="auto"/>
              <w:bottom w:val="nil"/>
            </w:tcBorders>
            <w:shd w:val="clear" w:color="auto" w:fill="auto"/>
          </w:tcPr>
          <w:p w:rsidR="001200E6" w:rsidRPr="009319DB" w:rsidRDefault="001200E6" w:rsidP="00377F92">
            <w:pPr>
              <w:spacing w:after="120" w:line="380" w:lineRule="exact"/>
              <w:ind w:left="57" w:right="57"/>
              <w:rPr>
                <w:iCs/>
                <w:lang w:val="en-GB"/>
              </w:rPr>
            </w:pPr>
          </w:p>
        </w:tc>
        <w:tc>
          <w:tcPr>
            <w:tcW w:w="4253" w:type="dxa"/>
            <w:tcBorders>
              <w:top w:val="single" w:sz="12" w:space="0" w:color="auto"/>
              <w:bottom w:val="nil"/>
            </w:tcBorders>
            <w:shd w:val="clear" w:color="auto" w:fill="auto"/>
          </w:tcPr>
          <w:p w:rsidR="001200E6" w:rsidRPr="009319DB" w:rsidRDefault="001200E6" w:rsidP="00377F92">
            <w:pPr>
              <w:spacing w:after="120" w:line="380" w:lineRule="exact"/>
              <w:ind w:left="57" w:right="57"/>
              <w:rPr>
                <w:iCs/>
                <w:lang w:val="en-GB"/>
              </w:rPr>
            </w:pPr>
          </w:p>
        </w:tc>
      </w:tr>
      <w:tr w:rsidR="001200E6" w:rsidRPr="00C142DE" w:rsidTr="00377F92">
        <w:tc>
          <w:tcPr>
            <w:tcW w:w="3119" w:type="dxa"/>
            <w:tcBorders>
              <w:top w:val="nil"/>
              <w:bottom w:val="nil"/>
            </w:tcBorders>
            <w:shd w:val="clear" w:color="auto" w:fill="auto"/>
          </w:tcPr>
          <w:p w:rsidR="001200E6" w:rsidRPr="00377F92" w:rsidRDefault="001200E6" w:rsidP="00D31996">
            <w:pPr>
              <w:spacing w:after="120" w:line="360" w:lineRule="exact"/>
              <w:ind w:left="57" w:right="57"/>
              <w:rPr>
                <w:rFonts w:hint="cs"/>
                <w:b/>
                <w:bCs/>
                <w:i/>
                <w:rtl/>
                <w:lang w:val="en-GB"/>
              </w:rPr>
            </w:pPr>
            <w:r w:rsidRPr="00377F92">
              <w:rPr>
                <w:rFonts w:hint="cs"/>
                <w:b/>
                <w:bCs/>
                <w:i/>
                <w:rtl/>
                <w:lang w:val="en-GB"/>
              </w:rPr>
              <w:t>الملاحظات الختامية:</w:t>
            </w:r>
          </w:p>
        </w:tc>
        <w:tc>
          <w:tcPr>
            <w:tcW w:w="4253" w:type="dxa"/>
            <w:tcBorders>
              <w:top w:val="nil"/>
              <w:bottom w:val="nil"/>
            </w:tcBorders>
            <w:shd w:val="clear" w:color="auto" w:fill="auto"/>
          </w:tcPr>
          <w:p w:rsidR="001200E6" w:rsidRPr="00377F92" w:rsidRDefault="001200E6" w:rsidP="00D31996">
            <w:pPr>
              <w:spacing w:after="120" w:line="360" w:lineRule="exact"/>
              <w:ind w:left="57" w:right="57"/>
              <w:rPr>
                <w:rFonts w:hint="cs"/>
                <w:i/>
                <w:rtl/>
                <w:lang w:val="en-GB"/>
              </w:rPr>
            </w:pPr>
            <w:r w:rsidRPr="00AC4C46">
              <w:rPr>
                <w:iCs/>
                <w:lang w:val="en-GB"/>
              </w:rPr>
              <w:t>CED/C/URY/CO/1</w:t>
            </w:r>
            <w:r w:rsidRPr="00AC4C46">
              <w:rPr>
                <w:rFonts w:hint="cs"/>
                <w:i/>
                <w:rtl/>
                <w:lang w:val="en-GB"/>
              </w:rPr>
              <w:t>،</w:t>
            </w:r>
            <w:r w:rsidRPr="00377F92">
              <w:rPr>
                <w:rFonts w:hint="cs"/>
                <w:i/>
                <w:rtl/>
                <w:lang w:val="en-GB"/>
              </w:rPr>
              <w:t xml:space="preserve"> 19 نيسان/أبريل 2013</w:t>
            </w:r>
          </w:p>
        </w:tc>
      </w:tr>
      <w:tr w:rsidR="001200E6" w:rsidRPr="00C142DE" w:rsidTr="00377F92">
        <w:tc>
          <w:tcPr>
            <w:tcW w:w="3119" w:type="dxa"/>
            <w:tcBorders>
              <w:top w:val="nil"/>
              <w:bottom w:val="nil"/>
            </w:tcBorders>
            <w:shd w:val="clear" w:color="auto" w:fill="auto"/>
          </w:tcPr>
          <w:p w:rsidR="001200E6" w:rsidRPr="00377F92" w:rsidRDefault="001200E6" w:rsidP="00D31996">
            <w:pPr>
              <w:spacing w:after="120" w:line="360" w:lineRule="exact"/>
              <w:ind w:left="57" w:right="57"/>
              <w:rPr>
                <w:b/>
                <w:bCs/>
                <w:i/>
                <w:lang w:val="en-GB"/>
              </w:rPr>
            </w:pPr>
            <w:r w:rsidRPr="00377F92">
              <w:rPr>
                <w:rFonts w:hint="cs"/>
                <w:b/>
                <w:bCs/>
                <w:i/>
                <w:rtl/>
                <w:lang w:val="en-GB"/>
              </w:rPr>
              <w:t>فقرات المتابعة:</w:t>
            </w:r>
          </w:p>
        </w:tc>
        <w:tc>
          <w:tcPr>
            <w:tcW w:w="4253" w:type="dxa"/>
            <w:tcBorders>
              <w:top w:val="nil"/>
              <w:bottom w:val="nil"/>
            </w:tcBorders>
            <w:shd w:val="clear" w:color="auto" w:fill="auto"/>
          </w:tcPr>
          <w:p w:rsidR="001200E6" w:rsidRPr="00377F92" w:rsidRDefault="001200E6" w:rsidP="00D31996">
            <w:pPr>
              <w:spacing w:after="120" w:line="360" w:lineRule="exact"/>
              <w:ind w:left="57" w:right="57"/>
              <w:rPr>
                <w:i/>
                <w:lang w:val="en-GB"/>
              </w:rPr>
            </w:pPr>
            <w:r w:rsidRPr="00377F92">
              <w:rPr>
                <w:rFonts w:hint="cs"/>
                <w:i/>
                <w:rtl/>
                <w:lang w:val="en-GB"/>
              </w:rPr>
              <w:t>14 و22 و36</w:t>
            </w:r>
          </w:p>
        </w:tc>
      </w:tr>
      <w:tr w:rsidR="001200E6" w:rsidRPr="00C142DE" w:rsidTr="00377F92">
        <w:tc>
          <w:tcPr>
            <w:tcW w:w="3119" w:type="dxa"/>
            <w:tcBorders>
              <w:top w:val="nil"/>
              <w:bottom w:val="nil"/>
            </w:tcBorders>
            <w:shd w:val="clear" w:color="auto" w:fill="auto"/>
          </w:tcPr>
          <w:p w:rsidR="001200E6" w:rsidRPr="00377F92" w:rsidRDefault="001200E6" w:rsidP="00D31996">
            <w:pPr>
              <w:spacing w:after="120" w:line="360" w:lineRule="exact"/>
              <w:ind w:left="57" w:right="57"/>
              <w:rPr>
                <w:b/>
                <w:bCs/>
                <w:i/>
                <w:lang w:val="en-GB"/>
              </w:rPr>
            </w:pPr>
            <w:r w:rsidRPr="00377F92">
              <w:rPr>
                <w:rFonts w:hint="cs"/>
                <w:b/>
                <w:bCs/>
                <w:i/>
                <w:rtl/>
                <w:lang w:val="en-GB"/>
              </w:rPr>
              <w:t>الرد:</w:t>
            </w:r>
          </w:p>
        </w:tc>
        <w:tc>
          <w:tcPr>
            <w:tcW w:w="4253" w:type="dxa"/>
            <w:tcBorders>
              <w:top w:val="nil"/>
              <w:bottom w:val="nil"/>
            </w:tcBorders>
            <w:shd w:val="clear" w:color="auto" w:fill="auto"/>
          </w:tcPr>
          <w:p w:rsidR="001200E6" w:rsidRPr="00377F92" w:rsidRDefault="001200E6" w:rsidP="00D31996">
            <w:pPr>
              <w:spacing w:after="120" w:line="360" w:lineRule="exact"/>
              <w:ind w:left="57" w:right="57"/>
              <w:rPr>
                <w:i/>
                <w:lang w:val="en-GB"/>
              </w:rPr>
            </w:pPr>
            <w:r w:rsidRPr="00377F92">
              <w:rPr>
                <w:rFonts w:hint="cs"/>
                <w:i/>
                <w:rtl/>
                <w:lang w:val="en-GB"/>
              </w:rPr>
              <w:t xml:space="preserve">الموعد المقرِّر لتقديم الرد هو 19 نيسان/أبريل 2014؛ وقد ورد الرد في 14 نيسان/أبريل 2014 </w:t>
            </w:r>
            <w:r w:rsidRPr="00AC4C46">
              <w:rPr>
                <w:rFonts w:hint="cs"/>
                <w:i/>
                <w:rtl/>
                <w:lang w:val="en-GB"/>
              </w:rPr>
              <w:t>(</w:t>
            </w:r>
            <w:r w:rsidRPr="00AC4C46">
              <w:rPr>
                <w:iCs/>
                <w:lang w:val="en-GB"/>
              </w:rPr>
              <w:t>CED/C/URY/CO/1/Add.1</w:t>
            </w:r>
            <w:r w:rsidRPr="00AC4C46">
              <w:rPr>
                <w:rFonts w:hint="cs"/>
                <w:i/>
                <w:rtl/>
                <w:lang w:val="en-GB"/>
              </w:rPr>
              <w:t>)</w:t>
            </w:r>
          </w:p>
        </w:tc>
      </w:tr>
      <w:tr w:rsidR="001200E6" w:rsidRPr="00C142DE" w:rsidTr="00377F92">
        <w:tc>
          <w:tcPr>
            <w:tcW w:w="7372" w:type="dxa"/>
            <w:gridSpan w:val="2"/>
            <w:tcBorders>
              <w:top w:val="nil"/>
              <w:bottom w:val="nil"/>
            </w:tcBorders>
            <w:shd w:val="clear" w:color="auto" w:fill="auto"/>
          </w:tcPr>
          <w:p w:rsidR="001200E6" w:rsidRPr="009319DB" w:rsidRDefault="009319DB" w:rsidP="00D31996">
            <w:pPr>
              <w:spacing w:before="120" w:after="120" w:line="360" w:lineRule="exact"/>
              <w:ind w:left="57" w:right="57"/>
              <w:rPr>
                <w:iCs/>
                <w:lang w:val="en-GB"/>
              </w:rPr>
            </w:pPr>
            <w:r w:rsidRPr="00D3156F">
              <w:rPr>
                <w:rFonts w:hint="cs"/>
                <w:b/>
                <w:bCs/>
                <w:rtl/>
              </w:rPr>
              <w:t xml:space="preserve">الفقرة 14: </w:t>
            </w:r>
            <w:r w:rsidRPr="00D3156F">
              <w:rPr>
                <w:rFonts w:hint="cs"/>
                <w:b/>
                <w:bCs/>
                <w:rtl/>
                <w:lang/>
              </w:rPr>
              <w:t xml:space="preserve">يتعين على الدولة الطرف أن تضمن التحقيق في حالات الاختفاء القسري </w:t>
            </w:r>
            <w:r>
              <w:rPr>
                <w:rFonts w:hint="cs"/>
                <w:b/>
                <w:bCs/>
                <w:rtl/>
                <w:lang/>
              </w:rPr>
              <w:t>بصفتها حالات اختفاء قسري</w:t>
            </w:r>
            <w:r w:rsidRPr="00D3156F">
              <w:rPr>
                <w:rFonts w:hint="cs"/>
                <w:b/>
                <w:bCs/>
                <w:rtl/>
                <w:lang/>
              </w:rPr>
              <w:t xml:space="preserve">، وأن تعاقب المسؤولين عن هذه الجريمة بصرف النظر عن المدة الزمنية التي انقضت منذ </w:t>
            </w:r>
            <w:r>
              <w:rPr>
                <w:rFonts w:hint="cs"/>
                <w:b/>
                <w:bCs/>
                <w:rtl/>
                <w:lang/>
              </w:rPr>
              <w:t xml:space="preserve">بدء </w:t>
            </w:r>
            <w:r w:rsidRPr="00D3156F">
              <w:rPr>
                <w:rFonts w:hint="cs"/>
                <w:b/>
                <w:bCs/>
                <w:rtl/>
                <w:lang/>
              </w:rPr>
              <w:t>حدوث الفعل الإجرامي.</w:t>
            </w:r>
            <w:r w:rsidRPr="00D3156F">
              <w:rPr>
                <w:rFonts w:hint="cs"/>
                <w:b/>
                <w:bCs/>
                <w:rtl/>
              </w:rPr>
              <w:t xml:space="preserve"> </w:t>
            </w:r>
            <w:r w:rsidRPr="00D3156F">
              <w:rPr>
                <w:rFonts w:hint="cs"/>
                <w:b/>
                <w:bCs/>
                <w:rtl/>
                <w:lang/>
              </w:rPr>
              <w:t xml:space="preserve">ويتعين على الدولة الطرف أيضاً أن تضمن حصول جميع موظَّفي الدولة، بمن فيهم القضاة </w:t>
            </w:r>
            <w:r>
              <w:rPr>
                <w:rFonts w:hint="cs"/>
                <w:b/>
                <w:bCs/>
                <w:rtl/>
                <w:lang/>
              </w:rPr>
              <w:t>ووكلاء النيابة</w:t>
            </w:r>
            <w:r w:rsidRPr="00D3156F">
              <w:rPr>
                <w:rFonts w:hint="cs"/>
                <w:b/>
                <w:bCs/>
                <w:rtl/>
                <w:lang/>
              </w:rPr>
              <w:t xml:space="preserve">، على تدريب مناسب ومحدد فيما يتعلق بالاتفاقية والالتزامات الناشئة عنها بالنسبة </w:t>
            </w:r>
            <w:r>
              <w:rPr>
                <w:rFonts w:hint="cs"/>
                <w:b/>
                <w:bCs/>
                <w:rtl/>
                <w:lang/>
              </w:rPr>
              <w:t>إلى ا</w:t>
            </w:r>
            <w:r w:rsidRPr="00D3156F">
              <w:rPr>
                <w:rFonts w:hint="cs"/>
                <w:b/>
                <w:bCs/>
                <w:rtl/>
                <w:lang/>
              </w:rPr>
              <w:t>لدول التي تصدّق عليها. وتود</w:t>
            </w:r>
            <w:r>
              <w:rPr>
                <w:rFonts w:hint="cs"/>
                <w:b/>
                <w:bCs/>
                <w:rtl/>
                <w:lang/>
              </w:rPr>
              <w:t>ّ</w:t>
            </w:r>
            <w:r w:rsidRPr="00D3156F">
              <w:rPr>
                <w:rFonts w:hint="cs"/>
                <w:b/>
                <w:bCs/>
                <w:rtl/>
                <w:lang/>
              </w:rPr>
              <w:t xml:space="preserve"> اللجنة </w:t>
            </w:r>
            <w:r>
              <w:rPr>
                <w:rFonts w:hint="cs"/>
                <w:b/>
                <w:bCs/>
                <w:rtl/>
                <w:lang/>
              </w:rPr>
              <w:t>أن تؤكد على</w:t>
            </w:r>
            <w:r w:rsidRPr="00D3156F">
              <w:rPr>
                <w:rFonts w:hint="cs"/>
                <w:b/>
                <w:bCs/>
                <w:rtl/>
                <w:lang/>
              </w:rPr>
              <w:t xml:space="preserve"> </w:t>
            </w:r>
            <w:r>
              <w:rPr>
                <w:rFonts w:hint="cs"/>
                <w:b/>
                <w:bCs/>
                <w:rtl/>
                <w:lang/>
              </w:rPr>
              <w:t>الطبيعة المستمرة</w:t>
            </w:r>
            <w:r w:rsidRPr="00D3156F">
              <w:rPr>
                <w:rFonts w:hint="cs"/>
                <w:b/>
                <w:bCs/>
                <w:rtl/>
                <w:lang/>
              </w:rPr>
              <w:t xml:space="preserve"> </w:t>
            </w:r>
            <w:r>
              <w:rPr>
                <w:rFonts w:hint="cs"/>
                <w:b/>
                <w:bCs/>
                <w:rtl/>
                <w:lang/>
              </w:rPr>
              <w:t>ل</w:t>
            </w:r>
            <w:r w:rsidRPr="00D3156F">
              <w:rPr>
                <w:rFonts w:hint="cs"/>
                <w:b/>
                <w:bCs/>
                <w:rtl/>
                <w:lang/>
              </w:rPr>
              <w:t>جريمة الاختفاء القسري</w:t>
            </w:r>
            <w:r>
              <w:rPr>
                <w:rFonts w:hint="cs"/>
                <w:b/>
                <w:bCs/>
                <w:rtl/>
                <w:lang/>
              </w:rPr>
              <w:t>، وفقاً</w:t>
            </w:r>
            <w:r w:rsidRPr="00D3156F">
              <w:rPr>
                <w:rFonts w:hint="cs"/>
                <w:b/>
                <w:bCs/>
                <w:rtl/>
                <w:lang/>
              </w:rPr>
              <w:t xml:space="preserve"> </w:t>
            </w:r>
            <w:r>
              <w:rPr>
                <w:rFonts w:hint="cs"/>
                <w:b/>
                <w:bCs/>
                <w:rtl/>
                <w:lang/>
              </w:rPr>
              <w:t>ل</w:t>
            </w:r>
            <w:r w:rsidRPr="00D3156F">
              <w:rPr>
                <w:rFonts w:hint="cs"/>
                <w:b/>
                <w:bCs/>
                <w:rtl/>
                <w:lang/>
              </w:rPr>
              <w:t xml:space="preserve">مبادئ الاتفاقية، </w:t>
            </w:r>
            <w:r>
              <w:rPr>
                <w:rFonts w:hint="cs"/>
                <w:b/>
                <w:bCs/>
                <w:rtl/>
                <w:lang/>
              </w:rPr>
              <w:t>وأن تذكّر</w:t>
            </w:r>
            <w:r w:rsidRPr="00D3156F">
              <w:rPr>
                <w:rFonts w:hint="cs"/>
                <w:b/>
                <w:bCs/>
                <w:rtl/>
                <w:lang/>
              </w:rPr>
              <w:t xml:space="preserve"> بالشروط </w:t>
            </w:r>
            <w:r>
              <w:rPr>
                <w:rFonts w:hint="cs"/>
                <w:b/>
                <w:bCs/>
                <w:rtl/>
                <w:lang/>
              </w:rPr>
              <w:t>الصارمة الموضوعة في المادة المنظِّمة</w:t>
            </w:r>
            <w:r w:rsidRPr="00D3156F">
              <w:rPr>
                <w:rFonts w:hint="cs"/>
                <w:b/>
                <w:bCs/>
                <w:rtl/>
                <w:lang/>
              </w:rPr>
              <w:t xml:space="preserve"> </w:t>
            </w:r>
            <w:r>
              <w:rPr>
                <w:rFonts w:hint="cs"/>
                <w:b/>
                <w:bCs/>
                <w:rtl/>
                <w:lang/>
              </w:rPr>
              <w:t>ل</w:t>
            </w:r>
            <w:r w:rsidRPr="00D3156F">
              <w:rPr>
                <w:rFonts w:hint="cs"/>
                <w:b/>
                <w:bCs/>
                <w:rtl/>
                <w:lang/>
              </w:rPr>
              <w:t xml:space="preserve">مدة التقادم </w:t>
            </w:r>
            <w:r>
              <w:rPr>
                <w:rFonts w:hint="cs"/>
                <w:b/>
                <w:bCs/>
                <w:rtl/>
                <w:lang/>
              </w:rPr>
              <w:t xml:space="preserve">بشأن </w:t>
            </w:r>
            <w:r w:rsidRPr="00D3156F">
              <w:rPr>
                <w:rFonts w:hint="cs"/>
                <w:b/>
                <w:bCs/>
                <w:rtl/>
                <w:lang/>
              </w:rPr>
              <w:t xml:space="preserve">هذه الجريمة، </w:t>
            </w:r>
            <w:r>
              <w:rPr>
                <w:rFonts w:hint="cs"/>
                <w:b/>
                <w:bCs/>
                <w:rtl/>
                <w:lang/>
              </w:rPr>
              <w:t>وأن تؤكد على</w:t>
            </w:r>
            <w:r w:rsidRPr="00D3156F">
              <w:rPr>
                <w:rFonts w:hint="cs"/>
                <w:b/>
                <w:bCs/>
                <w:rtl/>
                <w:lang/>
              </w:rPr>
              <w:t xml:space="preserve"> طابعها الذي لا يخضع للتقادم كجريمة ضد الإنسانية.</w:t>
            </w:r>
          </w:p>
        </w:tc>
      </w:tr>
      <w:tr w:rsidR="009319DB" w:rsidRPr="00C142DE" w:rsidTr="00377F92">
        <w:tc>
          <w:tcPr>
            <w:tcW w:w="7372" w:type="dxa"/>
            <w:gridSpan w:val="2"/>
            <w:tcBorders>
              <w:top w:val="nil"/>
              <w:bottom w:val="nil"/>
            </w:tcBorders>
            <w:shd w:val="clear" w:color="auto" w:fill="auto"/>
          </w:tcPr>
          <w:p w:rsidR="009319DB" w:rsidRPr="009319DB" w:rsidRDefault="009319DB" w:rsidP="00D31996">
            <w:pPr>
              <w:pStyle w:val="SingleTxtGA"/>
              <w:tabs>
                <w:tab w:val="left" w:pos="659"/>
              </w:tabs>
              <w:spacing w:before="120" w:line="340" w:lineRule="exact"/>
              <w:ind w:left="57" w:right="0"/>
              <w:rPr>
                <w:rFonts w:hint="cs"/>
                <w:rtl/>
              </w:rPr>
            </w:pPr>
            <w:r w:rsidRPr="00C142DE">
              <w:rPr>
                <w:rFonts w:hint="cs"/>
                <w:b/>
                <w:bCs/>
                <w:kern w:val="16"/>
                <w:rtl/>
              </w:rPr>
              <w:t>ملخص الرد المقدَّم من الدولة الطرف</w:t>
            </w:r>
          </w:p>
        </w:tc>
      </w:tr>
      <w:tr w:rsidR="009319DB" w:rsidRPr="00C142DE" w:rsidTr="00377F92">
        <w:tc>
          <w:tcPr>
            <w:tcW w:w="7372" w:type="dxa"/>
            <w:gridSpan w:val="2"/>
            <w:tcBorders>
              <w:top w:val="nil"/>
              <w:bottom w:val="nil"/>
            </w:tcBorders>
            <w:shd w:val="clear" w:color="auto" w:fill="auto"/>
          </w:tcPr>
          <w:p w:rsidR="009319DB" w:rsidRPr="009319DB" w:rsidRDefault="009319DB" w:rsidP="00D31996">
            <w:pPr>
              <w:spacing w:after="120" w:line="360" w:lineRule="exact"/>
              <w:ind w:left="57" w:right="57"/>
              <w:rPr>
                <w:rFonts w:hint="cs"/>
                <w:rtl/>
              </w:rPr>
            </w:pPr>
            <w:r>
              <w:rPr>
                <w:rFonts w:hint="cs"/>
                <w:rtl/>
              </w:rPr>
              <w:tab/>
            </w:r>
            <w:r w:rsidR="00377F92">
              <w:rPr>
                <w:rFonts w:hint="cs"/>
                <w:rtl/>
              </w:rPr>
              <w:t>في نيسان/أبريل 2013،</w:t>
            </w:r>
            <w:r>
              <w:rPr>
                <w:rFonts w:hint="cs"/>
                <w:rtl/>
              </w:rPr>
              <w:t xml:space="preserve"> اجتمع ممثلو الفرع التنفيذي مع وزراء محكمة العدل العليا. وأثناء الاجتماع، أبلغ ممثلو الفرع التنفيذي المحكمة العليا بالتوصيات المقدَّمة من </w:t>
            </w:r>
            <w:r w:rsidRPr="00345430">
              <w:rPr>
                <w:rtl/>
              </w:rPr>
              <w:t>اللجنة المعنية بحالات الاختفاء القسري</w:t>
            </w:r>
            <w:r>
              <w:rPr>
                <w:rFonts w:hint="cs"/>
                <w:rtl/>
              </w:rPr>
              <w:t xml:space="preserve"> إلى أوروغواي، مسلطين الأضواء على التوصيات المتعلقة بالقضاء.</w:t>
            </w:r>
          </w:p>
        </w:tc>
      </w:tr>
      <w:tr w:rsidR="009319DB" w:rsidRPr="00C142DE" w:rsidTr="00377F92">
        <w:tc>
          <w:tcPr>
            <w:tcW w:w="7372" w:type="dxa"/>
            <w:gridSpan w:val="2"/>
            <w:tcBorders>
              <w:top w:val="nil"/>
              <w:bottom w:val="nil"/>
            </w:tcBorders>
            <w:shd w:val="clear" w:color="auto" w:fill="auto"/>
          </w:tcPr>
          <w:p w:rsidR="009319DB" w:rsidRPr="009319DB" w:rsidRDefault="009319DB" w:rsidP="00D31996">
            <w:pPr>
              <w:spacing w:after="120" w:line="360" w:lineRule="exact"/>
              <w:ind w:left="57" w:right="57"/>
              <w:rPr>
                <w:rFonts w:hint="cs"/>
                <w:rtl/>
              </w:rPr>
            </w:pPr>
            <w:r>
              <w:rPr>
                <w:rFonts w:hint="cs"/>
                <w:rtl/>
              </w:rPr>
              <w:tab/>
              <w:t xml:space="preserve">وأثناء ذلك الاجتماع، قدم ممثلو الفرع التنفيذي تقريراً إلى سلطات محكمة العدل العليا </w:t>
            </w:r>
            <w:r w:rsidRPr="00A4185C">
              <w:rPr>
                <w:rFonts w:hint="cs"/>
                <w:spacing w:val="-4"/>
                <w:rtl/>
              </w:rPr>
              <w:t>أعدته اللجنة المسؤولة عن رصد تنفيذ ’اتفاقية البلدان الأمريكية المتعلقة بالاختفاء القسري للأشخاص‘ ينتقد قرار المحكمة بإعلان عدم دستورية القانون المنظِّم لمدة التقادم المسقِط على أساس أن التقادم المسقِط ينطبق فعلاً على الجرائم المرتكبة أثناء فترة الدكتاتورية العسكرية في أوروغواي</w:t>
            </w:r>
            <w:r w:rsidRPr="00A4185C">
              <w:rPr>
                <w:rFonts w:hint="cs"/>
                <w:rtl/>
              </w:rPr>
              <w:t>، بدلاً من اعتبار هذه الجرائم جرائم ضد الإنسانية وهي حالة لا تنطبق عليها مدة التقادم.</w:t>
            </w:r>
          </w:p>
        </w:tc>
      </w:tr>
      <w:tr w:rsidR="009319DB" w:rsidRPr="00C142DE" w:rsidTr="00377F92">
        <w:tc>
          <w:tcPr>
            <w:tcW w:w="7372" w:type="dxa"/>
            <w:gridSpan w:val="2"/>
            <w:tcBorders>
              <w:top w:val="nil"/>
              <w:bottom w:val="nil"/>
            </w:tcBorders>
            <w:shd w:val="clear" w:color="auto" w:fill="auto"/>
          </w:tcPr>
          <w:p w:rsidR="009319DB" w:rsidRPr="009319DB" w:rsidRDefault="009319DB" w:rsidP="00D31996">
            <w:pPr>
              <w:spacing w:after="120" w:line="360" w:lineRule="exact"/>
              <w:ind w:left="57" w:right="57"/>
              <w:rPr>
                <w:rFonts w:hint="cs"/>
                <w:rtl/>
              </w:rPr>
            </w:pPr>
            <w:r>
              <w:rPr>
                <w:rFonts w:hint="cs"/>
                <w:rtl/>
              </w:rPr>
              <w:tab/>
              <w:t xml:space="preserve">وذكر رئيس محكمة العدل العليا آنذاك أن المحكمة العليا قد أحاطت علماً كما ينبغي بالتوصيات المذكورة وستأخذها في الاعتبار، </w:t>
            </w:r>
            <w:r>
              <w:rPr>
                <w:rFonts w:hint="cs"/>
                <w:rtl/>
                <w:lang/>
              </w:rPr>
              <w:t>دون المساس بالمواقف أو الفتاوى التي سبق أن اعتمدتها المحكمة في هذا الصدد. وشدد على أن القضاء، بحكم الضرورة، بتصرف باستقلالية  في مثل هذه الأمور.</w:t>
            </w:r>
          </w:p>
        </w:tc>
      </w:tr>
      <w:tr w:rsidR="009319DB" w:rsidRPr="00C142DE" w:rsidTr="00377F92">
        <w:tc>
          <w:tcPr>
            <w:tcW w:w="7372" w:type="dxa"/>
            <w:gridSpan w:val="2"/>
            <w:tcBorders>
              <w:top w:val="nil"/>
              <w:bottom w:val="nil"/>
            </w:tcBorders>
            <w:shd w:val="clear" w:color="auto" w:fill="auto"/>
          </w:tcPr>
          <w:p w:rsidR="009319DB" w:rsidRPr="009319DB" w:rsidRDefault="009319DB" w:rsidP="00377F92">
            <w:pPr>
              <w:pStyle w:val="SingleTxtGA"/>
              <w:tabs>
                <w:tab w:val="left" w:pos="659"/>
              </w:tabs>
              <w:spacing w:before="120"/>
              <w:ind w:left="57" w:right="0"/>
              <w:rPr>
                <w:rFonts w:hint="cs"/>
                <w:rtl/>
              </w:rPr>
            </w:pPr>
            <w:r w:rsidRPr="008C3938">
              <w:rPr>
                <w:rFonts w:hint="cs"/>
                <w:b/>
                <w:bCs/>
                <w:rtl/>
              </w:rPr>
              <w:t>تقييم اللجنة</w:t>
            </w:r>
          </w:p>
        </w:tc>
      </w:tr>
      <w:tr w:rsidR="009319DB" w:rsidRPr="00C142DE" w:rsidTr="00377F92">
        <w:tc>
          <w:tcPr>
            <w:tcW w:w="7372" w:type="dxa"/>
            <w:gridSpan w:val="2"/>
            <w:tcBorders>
              <w:top w:val="nil"/>
              <w:bottom w:val="nil"/>
            </w:tcBorders>
            <w:shd w:val="clear" w:color="auto" w:fill="auto"/>
          </w:tcPr>
          <w:p w:rsidR="009319DB" w:rsidRPr="009319DB" w:rsidRDefault="009319DB" w:rsidP="00D31996">
            <w:pPr>
              <w:spacing w:after="120" w:line="360" w:lineRule="exact"/>
              <w:ind w:left="57" w:right="57"/>
              <w:rPr>
                <w:rFonts w:hint="cs"/>
                <w:rtl/>
              </w:rPr>
            </w:pPr>
            <w:r w:rsidRPr="00324E26">
              <w:rPr>
                <w:rFonts w:hint="cs"/>
                <w:b/>
                <w:bCs/>
                <w:rtl/>
              </w:rPr>
              <w:t>[باء]:</w:t>
            </w:r>
            <w:r>
              <w:rPr>
                <w:rFonts w:hint="cs"/>
                <w:rtl/>
              </w:rPr>
              <w:t xml:space="preserve"> فيما يتصل بالتحقيق في حالات الاختفاء القسري، بينما تحيط اللجنة علماً بالمعلومات المقدَّمة فإنها تعيد توجيه توصيتها وتطلب إلى الدولة الطرف</w:t>
            </w:r>
            <w:r w:rsidRPr="00C142DE">
              <w:rPr>
                <w:rFonts w:hint="cs"/>
                <w:kern w:val="16"/>
                <w:rtl/>
              </w:rPr>
              <w:t>، عندما تقدّم المعلومات وفقاً للفقرة 4</w:t>
            </w:r>
            <w:r>
              <w:rPr>
                <w:rFonts w:hint="cs"/>
                <w:kern w:val="16"/>
                <w:rtl/>
              </w:rPr>
              <w:t>2</w:t>
            </w:r>
            <w:r w:rsidRPr="00C142DE">
              <w:rPr>
                <w:rFonts w:hint="cs"/>
                <w:kern w:val="16"/>
                <w:rtl/>
              </w:rPr>
              <w:t xml:space="preserve"> </w:t>
            </w:r>
            <w:r>
              <w:rPr>
                <w:rFonts w:hint="cs"/>
                <w:kern w:val="16"/>
                <w:rtl/>
              </w:rPr>
              <w:t>من الملاحظات الختامية السابقة للجنة</w:t>
            </w:r>
            <w:r w:rsidRPr="00C142DE">
              <w:rPr>
                <w:rFonts w:hint="cs"/>
                <w:kern w:val="16"/>
                <w:rtl/>
              </w:rPr>
              <w:t xml:space="preserve"> (</w:t>
            </w:r>
            <w:r w:rsidRPr="00962EBA">
              <w:rPr>
                <w:lang/>
              </w:rPr>
              <w:t>CED/C/URY/CO/1</w:t>
            </w:r>
            <w:r w:rsidRPr="00C142DE">
              <w:rPr>
                <w:rFonts w:hint="cs"/>
                <w:kern w:val="16"/>
                <w:rtl/>
              </w:rPr>
              <w:t xml:space="preserve">)، أن تقدّم معلومات </w:t>
            </w:r>
            <w:r>
              <w:rPr>
                <w:rFonts w:hint="cs"/>
                <w:kern w:val="16"/>
                <w:rtl/>
              </w:rPr>
              <w:t xml:space="preserve">إضافية </w:t>
            </w:r>
            <w:r w:rsidRPr="00C142DE">
              <w:rPr>
                <w:rFonts w:hint="cs"/>
                <w:kern w:val="16"/>
                <w:rtl/>
              </w:rPr>
              <w:t xml:space="preserve">عن </w:t>
            </w:r>
            <w:r>
              <w:rPr>
                <w:rFonts w:hint="cs"/>
                <w:kern w:val="16"/>
                <w:rtl/>
              </w:rPr>
              <w:t>الجهود التي اضطلعت بها</w:t>
            </w:r>
            <w:r w:rsidRPr="00C142DE">
              <w:rPr>
                <w:rFonts w:hint="cs"/>
                <w:kern w:val="16"/>
                <w:rtl/>
              </w:rPr>
              <w:t xml:space="preserve"> لتنفيذ هذه التوصية</w:t>
            </w:r>
            <w:r>
              <w:rPr>
                <w:rFonts w:hint="cs"/>
                <w:kern w:val="16"/>
                <w:rtl/>
              </w:rPr>
              <w:t>، بما في ذلك ما يلي:</w:t>
            </w:r>
          </w:p>
        </w:tc>
      </w:tr>
      <w:tr w:rsidR="009319DB" w:rsidRPr="00C142DE" w:rsidTr="00377F92">
        <w:tc>
          <w:tcPr>
            <w:tcW w:w="7372" w:type="dxa"/>
            <w:gridSpan w:val="2"/>
            <w:tcBorders>
              <w:top w:val="nil"/>
              <w:bottom w:val="nil"/>
            </w:tcBorders>
            <w:shd w:val="clear" w:color="auto" w:fill="auto"/>
          </w:tcPr>
          <w:p w:rsidR="009319DB" w:rsidRPr="009319DB" w:rsidRDefault="009319DB" w:rsidP="00D31996">
            <w:pPr>
              <w:spacing w:after="120" w:line="360" w:lineRule="exact"/>
              <w:ind w:left="57" w:right="57"/>
              <w:rPr>
                <w:rFonts w:hint="cs"/>
                <w:rtl/>
                <w:lang/>
              </w:rPr>
            </w:pPr>
            <w:r>
              <w:rPr>
                <w:rFonts w:hint="cs"/>
                <w:kern w:val="16"/>
                <w:rtl/>
              </w:rPr>
              <w:tab/>
              <w:t>(أ)</w:t>
            </w:r>
            <w:r>
              <w:rPr>
                <w:rFonts w:hint="cs"/>
                <w:kern w:val="16"/>
                <w:rtl/>
              </w:rPr>
              <w:tab/>
            </w:r>
            <w:r>
              <w:rPr>
                <w:rFonts w:hint="cs"/>
                <w:rtl/>
                <w:lang/>
              </w:rPr>
              <w:t>الاجتهادات القضائية لمحاكم أوروغواي، بما في ذلك الاجتهادات القضائية لمحكمة العدل العليا، فيما يتصل بحالات الاختفاء القسري، وبخاصة فيما يتعلق بمدة التقادم بشأن هذه الجريمة، بعد اعتماد اللجنة لملاحظاتها الختامية؛</w:t>
            </w:r>
          </w:p>
        </w:tc>
      </w:tr>
      <w:tr w:rsidR="009319DB" w:rsidRPr="00C142DE" w:rsidTr="00377F92">
        <w:tc>
          <w:tcPr>
            <w:tcW w:w="7372" w:type="dxa"/>
            <w:gridSpan w:val="2"/>
            <w:tcBorders>
              <w:top w:val="nil"/>
              <w:bottom w:val="nil"/>
            </w:tcBorders>
            <w:shd w:val="clear" w:color="auto" w:fill="auto"/>
          </w:tcPr>
          <w:p w:rsidR="009319DB" w:rsidRDefault="009319DB" w:rsidP="00D31996">
            <w:pPr>
              <w:spacing w:after="120" w:line="360" w:lineRule="exact"/>
              <w:ind w:left="57" w:right="57"/>
              <w:rPr>
                <w:rFonts w:hint="cs"/>
                <w:kern w:val="16"/>
                <w:rtl/>
              </w:rPr>
            </w:pPr>
            <w:r>
              <w:rPr>
                <w:rFonts w:hint="cs"/>
                <w:rtl/>
              </w:rPr>
              <w:tab/>
            </w:r>
            <w:r>
              <w:rPr>
                <w:rFonts w:hint="cs"/>
                <w:rtl/>
                <w:lang/>
              </w:rPr>
              <w:t>(ب)</w:t>
            </w:r>
            <w:r w:rsidR="00D31996">
              <w:rPr>
                <w:rtl/>
                <w:lang/>
              </w:rPr>
              <w:tab/>
            </w:r>
            <w:r>
              <w:rPr>
                <w:rFonts w:hint="cs"/>
                <w:rtl/>
                <w:lang/>
              </w:rPr>
              <w:t>ما إذا كانت قد صدرت أي قرارات قضائية تعاقب مرتكبي جرائم الاختفاء القسري على ارتكابهم لها هي نفسها وليس على جرائم أخرى مثل القتل.</w:t>
            </w:r>
          </w:p>
        </w:tc>
      </w:tr>
      <w:tr w:rsidR="009319DB" w:rsidRPr="00C142DE" w:rsidTr="00377F92">
        <w:tc>
          <w:tcPr>
            <w:tcW w:w="7372" w:type="dxa"/>
            <w:gridSpan w:val="2"/>
            <w:tcBorders>
              <w:top w:val="nil"/>
              <w:bottom w:val="nil"/>
            </w:tcBorders>
            <w:shd w:val="clear" w:color="auto" w:fill="auto"/>
          </w:tcPr>
          <w:p w:rsidR="009319DB" w:rsidRDefault="009319DB" w:rsidP="00D31996">
            <w:pPr>
              <w:spacing w:after="120" w:line="360" w:lineRule="exact"/>
              <w:ind w:left="57" w:right="57"/>
              <w:rPr>
                <w:rFonts w:hint="cs"/>
                <w:kern w:val="16"/>
                <w:rtl/>
              </w:rPr>
            </w:pPr>
            <w:r w:rsidRPr="00C142DE">
              <w:rPr>
                <w:rFonts w:hint="cs"/>
                <w:b/>
                <w:bCs/>
                <w:kern w:val="16"/>
                <w:rtl/>
              </w:rPr>
              <w:t>[جيم]:</w:t>
            </w:r>
            <w:r w:rsidRPr="00C142DE">
              <w:rPr>
                <w:rFonts w:hint="cs"/>
                <w:kern w:val="16"/>
                <w:rtl/>
              </w:rPr>
              <w:t xml:space="preserve"> </w:t>
            </w:r>
            <w:r>
              <w:rPr>
                <w:rFonts w:hint="cs"/>
                <w:kern w:val="16"/>
                <w:rtl/>
              </w:rPr>
              <w:t>تلاحظ اللجنة أن الدولة الطرف لم تقدِّم أي معلومات</w:t>
            </w:r>
            <w:r w:rsidRPr="00C142DE">
              <w:rPr>
                <w:rFonts w:hint="cs"/>
                <w:kern w:val="16"/>
                <w:rtl/>
              </w:rPr>
              <w:t xml:space="preserve"> </w:t>
            </w:r>
            <w:r>
              <w:rPr>
                <w:rFonts w:hint="cs"/>
                <w:rtl/>
              </w:rPr>
              <w:t>فيما يتعلق بتدريب موظفي الدولة. وبينما تكرر اللجنة توجيه توصيتها، فإنها تطلب إلى الدولة الطرف</w:t>
            </w:r>
            <w:r w:rsidRPr="00C142DE">
              <w:rPr>
                <w:rFonts w:hint="cs"/>
                <w:kern w:val="16"/>
                <w:rtl/>
              </w:rPr>
              <w:t>، عندما تقدّم المعلومات وفقاً للفقرة 4</w:t>
            </w:r>
            <w:r>
              <w:rPr>
                <w:rFonts w:hint="cs"/>
                <w:kern w:val="16"/>
                <w:rtl/>
              </w:rPr>
              <w:t>2</w:t>
            </w:r>
            <w:r w:rsidRPr="00C142DE">
              <w:rPr>
                <w:rFonts w:hint="cs"/>
                <w:kern w:val="16"/>
                <w:rtl/>
              </w:rPr>
              <w:t xml:space="preserve"> </w:t>
            </w:r>
            <w:r>
              <w:rPr>
                <w:rFonts w:hint="cs"/>
                <w:kern w:val="16"/>
                <w:rtl/>
              </w:rPr>
              <w:t>من الملاحظات الختامية السابقة للجنة</w:t>
            </w:r>
            <w:r w:rsidRPr="00C142DE">
              <w:rPr>
                <w:rFonts w:hint="cs"/>
                <w:kern w:val="16"/>
                <w:rtl/>
              </w:rPr>
              <w:t xml:space="preserve"> (</w:t>
            </w:r>
            <w:r w:rsidRPr="00962EBA">
              <w:rPr>
                <w:lang/>
              </w:rPr>
              <w:t>CED/C/URY/CO/1</w:t>
            </w:r>
            <w:r w:rsidRPr="00C142DE">
              <w:rPr>
                <w:rFonts w:hint="cs"/>
                <w:kern w:val="16"/>
                <w:rtl/>
              </w:rPr>
              <w:t xml:space="preserve">)، أن تقدّم معلومات </w:t>
            </w:r>
            <w:r>
              <w:rPr>
                <w:rFonts w:hint="cs"/>
                <w:kern w:val="16"/>
                <w:rtl/>
              </w:rPr>
              <w:t xml:space="preserve">إضافية </w:t>
            </w:r>
            <w:r w:rsidRPr="00C142DE">
              <w:rPr>
                <w:rFonts w:hint="cs"/>
                <w:kern w:val="16"/>
                <w:rtl/>
              </w:rPr>
              <w:t>عن التدابير التي اتخذتها</w:t>
            </w:r>
            <w:r>
              <w:rPr>
                <w:rFonts w:hint="cs"/>
                <w:kern w:val="16"/>
                <w:rtl/>
              </w:rPr>
              <w:t xml:space="preserve"> لضمان أن يتلقّى جميع موظفي الدولة، بمن فيهم القضاة ووكلاء النيابة العامة، تدريباً مناسباً ومحدداً بشأن الاتفاقية وبشأن الالتزامات التي تنشئها على الدول التي صدقت عليها.</w:t>
            </w:r>
          </w:p>
        </w:tc>
      </w:tr>
      <w:tr w:rsidR="009319DB" w:rsidRPr="00C142DE" w:rsidTr="00377F92">
        <w:tc>
          <w:tcPr>
            <w:tcW w:w="7372" w:type="dxa"/>
            <w:gridSpan w:val="2"/>
            <w:tcBorders>
              <w:top w:val="nil"/>
              <w:bottom w:val="nil"/>
            </w:tcBorders>
            <w:shd w:val="clear" w:color="auto" w:fill="auto"/>
          </w:tcPr>
          <w:p w:rsidR="009319DB" w:rsidRDefault="009319DB" w:rsidP="00D31996">
            <w:pPr>
              <w:spacing w:after="120" w:line="360" w:lineRule="exact"/>
              <w:ind w:left="57" w:right="57"/>
              <w:rPr>
                <w:rFonts w:hint="cs"/>
                <w:kern w:val="16"/>
                <w:rtl/>
              </w:rPr>
            </w:pPr>
            <w:r w:rsidRPr="0023568E">
              <w:rPr>
                <w:rFonts w:hint="cs"/>
                <w:b/>
                <w:bCs/>
                <w:kern w:val="16"/>
                <w:rtl/>
              </w:rPr>
              <w:t>الفقرة 22</w:t>
            </w:r>
            <w:r w:rsidRPr="00BB482C">
              <w:rPr>
                <w:rFonts w:hint="cs"/>
                <w:b/>
                <w:bCs/>
                <w:kern w:val="16"/>
                <w:rtl/>
              </w:rPr>
              <w:t xml:space="preserve">: </w:t>
            </w:r>
            <w:r>
              <w:rPr>
                <w:rFonts w:hint="cs"/>
                <w:b/>
                <w:bCs/>
                <w:rtl/>
                <w:lang/>
              </w:rPr>
              <w:t>تشجِّع</w:t>
            </w:r>
            <w:r w:rsidRPr="00BB482C">
              <w:rPr>
                <w:rFonts w:hint="cs"/>
                <w:b/>
                <w:bCs/>
                <w:rtl/>
                <w:lang/>
              </w:rPr>
              <w:t xml:space="preserve"> اللجنة الدولة الطرف على </w:t>
            </w:r>
            <w:r>
              <w:rPr>
                <w:rFonts w:hint="cs"/>
                <w:b/>
                <w:bCs/>
                <w:rtl/>
                <w:lang/>
              </w:rPr>
              <w:t>أن تعتمد على وجه السرعة</w:t>
            </w:r>
            <w:r w:rsidRPr="00BB482C">
              <w:rPr>
                <w:rFonts w:hint="cs"/>
                <w:b/>
                <w:bCs/>
                <w:rtl/>
                <w:lang/>
              </w:rPr>
              <w:t xml:space="preserve"> التعديلات المقترح إدخالها على قانون الإجراءات الجنائية وضمان أن </w:t>
            </w:r>
            <w:r>
              <w:rPr>
                <w:rFonts w:hint="cs"/>
                <w:b/>
                <w:bCs/>
                <w:rtl/>
                <w:lang/>
              </w:rPr>
              <w:t>تتمشى</w:t>
            </w:r>
            <w:r w:rsidRPr="00BB482C">
              <w:rPr>
                <w:rFonts w:hint="cs"/>
                <w:b/>
                <w:bCs/>
                <w:rtl/>
                <w:lang/>
              </w:rPr>
              <w:t xml:space="preserve"> هذه التعديلات مع التزاماتها الناشئة عن الاتفاقية، وأن تتيح لضحايا الاختفاء القسري إمكانية المشاركة الكاملة في الإجراءات القضائية </w:t>
            </w:r>
            <w:r>
              <w:rPr>
                <w:rFonts w:hint="cs"/>
                <w:b/>
                <w:bCs/>
                <w:rtl/>
                <w:lang/>
              </w:rPr>
              <w:t>المتعلقة با</w:t>
            </w:r>
            <w:r w:rsidRPr="00BB482C">
              <w:rPr>
                <w:rFonts w:hint="cs"/>
                <w:b/>
                <w:bCs/>
                <w:rtl/>
                <w:lang/>
              </w:rPr>
              <w:t>لتحقيق في هذه الجريمة.</w:t>
            </w:r>
            <w:r w:rsidRPr="00BB482C">
              <w:rPr>
                <w:rFonts w:hint="cs"/>
                <w:b/>
                <w:bCs/>
                <w:rtl/>
              </w:rPr>
              <w:t xml:space="preserve"> </w:t>
            </w:r>
            <w:r>
              <w:rPr>
                <w:rFonts w:hint="cs"/>
                <w:b/>
                <w:bCs/>
                <w:rtl/>
                <w:lang/>
              </w:rPr>
              <w:t>وتحث</w:t>
            </w:r>
            <w:r w:rsidRPr="00BB482C">
              <w:rPr>
                <w:rFonts w:hint="cs"/>
                <w:b/>
                <w:bCs/>
                <w:rtl/>
                <w:lang/>
              </w:rPr>
              <w:t xml:space="preserve"> اللجنةُ الدولة الطرف كذلك </w:t>
            </w:r>
            <w:r>
              <w:rPr>
                <w:rFonts w:hint="cs"/>
                <w:b/>
                <w:bCs/>
                <w:rtl/>
                <w:lang/>
              </w:rPr>
              <w:t>على</w:t>
            </w:r>
            <w:r w:rsidRPr="00BB482C">
              <w:rPr>
                <w:rFonts w:hint="cs"/>
                <w:b/>
                <w:bCs/>
                <w:rtl/>
                <w:lang/>
              </w:rPr>
              <w:t xml:space="preserve"> </w:t>
            </w:r>
            <w:r>
              <w:rPr>
                <w:rFonts w:hint="cs"/>
                <w:b/>
                <w:bCs/>
                <w:rtl/>
                <w:lang/>
              </w:rPr>
              <w:t>ضمان</w:t>
            </w:r>
            <w:r w:rsidRPr="00BB482C">
              <w:rPr>
                <w:rFonts w:hint="cs"/>
                <w:b/>
                <w:bCs/>
                <w:rtl/>
                <w:lang/>
              </w:rPr>
              <w:t xml:space="preserve"> تطبيق المادة 13 من القانون 18026 على نحو يتفق مع تعريف الضحية المنصوص عليه في الفقرة 1 من المادة 24 من الاتفاقية. كما تدعو اللجنة الدولة الطرف إلى النظر في إنشاء وحدة متخصصة، داخل </w:t>
            </w:r>
            <w:r>
              <w:rPr>
                <w:rFonts w:hint="cs"/>
                <w:b/>
                <w:bCs/>
                <w:rtl/>
                <w:lang/>
              </w:rPr>
              <w:t>جهاز</w:t>
            </w:r>
            <w:r w:rsidRPr="00BB482C">
              <w:rPr>
                <w:rFonts w:hint="cs"/>
                <w:b/>
                <w:bCs/>
                <w:rtl/>
                <w:lang/>
              </w:rPr>
              <w:t xml:space="preserve"> النيابة العامة أو أي </w:t>
            </w:r>
            <w:r>
              <w:rPr>
                <w:rFonts w:hint="cs"/>
                <w:b/>
                <w:bCs/>
                <w:rtl/>
                <w:lang/>
              </w:rPr>
              <w:t>هيئة مختصة أخرى</w:t>
            </w:r>
            <w:r w:rsidRPr="00BB482C">
              <w:rPr>
                <w:rFonts w:hint="cs"/>
                <w:b/>
                <w:bCs/>
                <w:rtl/>
                <w:lang/>
              </w:rPr>
              <w:t>، وتزويدها بالموظفين المدر</w:t>
            </w:r>
            <w:r>
              <w:rPr>
                <w:rFonts w:hint="cs"/>
                <w:b/>
                <w:bCs/>
                <w:rtl/>
                <w:lang/>
              </w:rPr>
              <w:t>َّ</w:t>
            </w:r>
            <w:r w:rsidRPr="00BB482C">
              <w:rPr>
                <w:rFonts w:hint="cs"/>
                <w:b/>
                <w:bCs/>
                <w:rtl/>
                <w:lang/>
              </w:rPr>
              <w:t xml:space="preserve">بين </w:t>
            </w:r>
            <w:r>
              <w:rPr>
                <w:rFonts w:hint="cs"/>
                <w:b/>
                <w:bCs/>
                <w:rtl/>
                <w:lang/>
              </w:rPr>
              <w:t>تدريباً محدَّداً</w:t>
            </w:r>
            <w:r w:rsidRPr="00BB482C">
              <w:rPr>
                <w:rFonts w:hint="cs"/>
                <w:b/>
                <w:bCs/>
                <w:rtl/>
                <w:lang/>
              </w:rPr>
              <w:t xml:space="preserve"> للتحقيق في ادعاءات الاختفاء القسري، </w:t>
            </w:r>
            <w:r>
              <w:rPr>
                <w:rFonts w:hint="cs"/>
                <w:b/>
                <w:bCs/>
                <w:rtl/>
                <w:lang/>
              </w:rPr>
              <w:t>ومتابعة</w:t>
            </w:r>
            <w:r w:rsidRPr="00BB482C">
              <w:rPr>
                <w:rFonts w:hint="cs"/>
                <w:b/>
                <w:bCs/>
                <w:rtl/>
                <w:lang/>
              </w:rPr>
              <w:t xml:space="preserve"> التحقيقات وتنسيق سياس</w:t>
            </w:r>
            <w:r>
              <w:rPr>
                <w:rFonts w:hint="cs"/>
                <w:b/>
                <w:bCs/>
                <w:rtl/>
                <w:lang/>
              </w:rPr>
              <w:t>ة</w:t>
            </w:r>
            <w:r w:rsidRPr="00BB482C">
              <w:rPr>
                <w:rFonts w:hint="cs"/>
                <w:b/>
                <w:bCs/>
                <w:rtl/>
                <w:lang/>
              </w:rPr>
              <w:t xml:space="preserve"> المقاضاة الجنائية في هذا المجال.</w:t>
            </w:r>
          </w:p>
        </w:tc>
      </w:tr>
      <w:tr w:rsidR="009319DB" w:rsidRPr="00C142DE" w:rsidTr="00377F92">
        <w:tc>
          <w:tcPr>
            <w:tcW w:w="7372" w:type="dxa"/>
            <w:gridSpan w:val="2"/>
            <w:tcBorders>
              <w:top w:val="nil"/>
              <w:bottom w:val="nil"/>
            </w:tcBorders>
            <w:shd w:val="clear" w:color="auto" w:fill="auto"/>
          </w:tcPr>
          <w:p w:rsidR="009319DB" w:rsidRPr="0023568E" w:rsidRDefault="009319DB" w:rsidP="005349E7">
            <w:pPr>
              <w:pStyle w:val="SingleTxtGA"/>
              <w:tabs>
                <w:tab w:val="left" w:pos="659"/>
              </w:tabs>
              <w:spacing w:before="120"/>
              <w:ind w:left="57" w:right="0"/>
              <w:rPr>
                <w:rFonts w:hint="cs"/>
                <w:b/>
                <w:bCs/>
                <w:kern w:val="16"/>
                <w:rtl/>
              </w:rPr>
            </w:pPr>
            <w:r w:rsidRPr="00C142DE">
              <w:rPr>
                <w:rFonts w:hint="cs"/>
                <w:b/>
                <w:bCs/>
                <w:kern w:val="16"/>
                <w:rtl/>
              </w:rPr>
              <w:t>ملخص الرد المقدَّم من الدولة الطرف</w:t>
            </w:r>
          </w:p>
        </w:tc>
      </w:tr>
      <w:tr w:rsidR="009319DB" w:rsidRPr="00C142DE" w:rsidTr="00377F92">
        <w:tc>
          <w:tcPr>
            <w:tcW w:w="7372" w:type="dxa"/>
            <w:gridSpan w:val="2"/>
            <w:tcBorders>
              <w:top w:val="nil"/>
              <w:bottom w:val="nil"/>
            </w:tcBorders>
            <w:shd w:val="clear" w:color="auto" w:fill="auto"/>
          </w:tcPr>
          <w:p w:rsidR="009319DB" w:rsidRPr="0023568E" w:rsidRDefault="009319DB" w:rsidP="00377F92">
            <w:pPr>
              <w:spacing w:after="120" w:line="380" w:lineRule="exact"/>
              <w:ind w:left="57" w:right="57"/>
              <w:rPr>
                <w:rFonts w:hint="cs"/>
                <w:b/>
                <w:bCs/>
                <w:kern w:val="16"/>
                <w:rtl/>
              </w:rPr>
            </w:pPr>
            <w:r>
              <w:rPr>
                <w:rFonts w:hint="cs"/>
                <w:rtl/>
              </w:rPr>
              <w:tab/>
              <w:t>يبحث البرلمان حالياً الخطة الرامية إلى تعديل قانون الإجراءات الجنائية.</w:t>
            </w:r>
          </w:p>
        </w:tc>
      </w:tr>
      <w:tr w:rsidR="009319DB" w:rsidRPr="00C142DE" w:rsidTr="00377F92">
        <w:tc>
          <w:tcPr>
            <w:tcW w:w="7372" w:type="dxa"/>
            <w:gridSpan w:val="2"/>
            <w:tcBorders>
              <w:top w:val="nil"/>
              <w:bottom w:val="nil"/>
            </w:tcBorders>
            <w:shd w:val="clear" w:color="auto" w:fill="auto"/>
          </w:tcPr>
          <w:p w:rsidR="009319DB" w:rsidRDefault="009319DB" w:rsidP="00377F92">
            <w:pPr>
              <w:spacing w:after="120" w:line="380" w:lineRule="exact"/>
              <w:ind w:left="57" w:right="57"/>
              <w:rPr>
                <w:rFonts w:hint="cs"/>
                <w:rtl/>
              </w:rPr>
            </w:pPr>
            <w:r>
              <w:rPr>
                <w:rFonts w:hint="cs"/>
                <w:rtl/>
              </w:rPr>
              <w:tab/>
              <w:t>وتحدد هذه الخطة نظاماً جديداً للإجراءات الجنائية، يرتكز على نظام شفوي واتهامي يشمل جلسات عامة. وسينطوي هذا الإصلاح أيضاً على إجراء تغييرات كبيرة في مكتب النائب العام.</w:t>
            </w:r>
          </w:p>
        </w:tc>
      </w:tr>
      <w:tr w:rsidR="009319DB" w:rsidRPr="00C142DE" w:rsidTr="00377F92">
        <w:tc>
          <w:tcPr>
            <w:tcW w:w="7372" w:type="dxa"/>
            <w:gridSpan w:val="2"/>
            <w:tcBorders>
              <w:top w:val="nil"/>
              <w:bottom w:val="nil"/>
            </w:tcBorders>
            <w:shd w:val="clear" w:color="auto" w:fill="auto"/>
          </w:tcPr>
          <w:p w:rsidR="009319DB" w:rsidRDefault="009319DB" w:rsidP="00D31996">
            <w:pPr>
              <w:spacing w:after="120" w:line="360" w:lineRule="exact"/>
              <w:ind w:left="57" w:right="57"/>
              <w:rPr>
                <w:rFonts w:hint="cs"/>
                <w:rtl/>
              </w:rPr>
            </w:pPr>
            <w:r>
              <w:rPr>
                <w:rFonts w:hint="cs"/>
                <w:rtl/>
              </w:rPr>
              <w:tab/>
              <w:t>وحتى إذا اعتمد البرلمان الحالي القانون الجديد للإجراءات الجنائية قبل عام 2015، فإن المحكمة العليا تتصور أن تطبيقه والانتقال إلى النظام الجديد سيستغرقان ثلاث سنوات على الأقل. ولذلك سيكون من الضروري اعتماد قانون ميزانية جديد للفترة 2015-2019.</w:t>
            </w:r>
          </w:p>
        </w:tc>
      </w:tr>
      <w:tr w:rsidR="009319DB" w:rsidRPr="00C142DE" w:rsidTr="00377F92">
        <w:tc>
          <w:tcPr>
            <w:tcW w:w="7372" w:type="dxa"/>
            <w:gridSpan w:val="2"/>
            <w:tcBorders>
              <w:top w:val="nil"/>
              <w:bottom w:val="nil"/>
            </w:tcBorders>
            <w:shd w:val="clear" w:color="auto" w:fill="auto"/>
          </w:tcPr>
          <w:p w:rsidR="009319DB" w:rsidRDefault="009319DB" w:rsidP="00D31996">
            <w:pPr>
              <w:pStyle w:val="SingleTxtGA"/>
              <w:tabs>
                <w:tab w:val="left" w:pos="659"/>
              </w:tabs>
              <w:spacing w:before="120" w:line="340" w:lineRule="exact"/>
              <w:ind w:left="57" w:right="0"/>
              <w:rPr>
                <w:rFonts w:hint="cs"/>
                <w:rtl/>
              </w:rPr>
            </w:pPr>
            <w:r w:rsidRPr="002C6896">
              <w:rPr>
                <w:rFonts w:hint="cs"/>
                <w:b/>
                <w:bCs/>
                <w:rtl/>
              </w:rPr>
              <w:t>تقييم اللجنة</w:t>
            </w:r>
          </w:p>
        </w:tc>
      </w:tr>
      <w:tr w:rsidR="009319DB" w:rsidRPr="00C142DE" w:rsidTr="00377F92">
        <w:tc>
          <w:tcPr>
            <w:tcW w:w="7372" w:type="dxa"/>
            <w:gridSpan w:val="2"/>
            <w:tcBorders>
              <w:top w:val="nil"/>
              <w:bottom w:val="nil"/>
            </w:tcBorders>
            <w:shd w:val="clear" w:color="auto" w:fill="auto"/>
          </w:tcPr>
          <w:p w:rsidR="009319DB" w:rsidRPr="002C6896" w:rsidRDefault="009319DB" w:rsidP="00D31996">
            <w:pPr>
              <w:spacing w:after="120" w:line="340" w:lineRule="exact"/>
              <w:ind w:left="57" w:right="57"/>
              <w:rPr>
                <w:rFonts w:hint="cs"/>
                <w:b/>
                <w:bCs/>
                <w:rtl/>
              </w:rPr>
            </w:pPr>
            <w:r w:rsidRPr="002C6896">
              <w:rPr>
                <w:rFonts w:hint="cs"/>
                <w:b/>
                <w:bCs/>
                <w:rtl/>
              </w:rPr>
              <w:t xml:space="preserve">[باء]: </w:t>
            </w:r>
            <w:r w:rsidRPr="000C00B6">
              <w:rPr>
                <w:rFonts w:hint="cs"/>
                <w:rtl/>
              </w:rPr>
              <w:t>بينما تح</w:t>
            </w:r>
            <w:r>
              <w:rPr>
                <w:rFonts w:hint="cs"/>
                <w:rtl/>
              </w:rPr>
              <w:t>يط اللجنة علماً بالمعلومات المقدَّمة عن الوضع الراهن للمشروع الرامي إلى تعديل قانون الإجراءات الجنائية وبالآثار المترتبة على تنفيذ قانون جديد في هذا الصدد، بما في ذلك الإطار الزمني الموضوع لاعتماده، فإنه سيكون موضع تقديرها أن تتلقّي معلومات إضافية عن التدابير المتخذة لتنفيذ توصيتها. ولذلك تطلب اللجنة إلى الدولة الطرف أن توضّح</w:t>
            </w:r>
            <w:r w:rsidRPr="00C142DE">
              <w:rPr>
                <w:rFonts w:hint="cs"/>
                <w:kern w:val="16"/>
                <w:rtl/>
              </w:rPr>
              <w:t>، عندما تقدّم المعلومات وفقاً للفقرة 4</w:t>
            </w:r>
            <w:r>
              <w:rPr>
                <w:rFonts w:hint="cs"/>
                <w:kern w:val="16"/>
                <w:rtl/>
              </w:rPr>
              <w:t>2</w:t>
            </w:r>
            <w:r w:rsidRPr="00C142DE">
              <w:rPr>
                <w:rFonts w:hint="cs"/>
                <w:kern w:val="16"/>
                <w:rtl/>
              </w:rPr>
              <w:t xml:space="preserve"> </w:t>
            </w:r>
            <w:r>
              <w:rPr>
                <w:rFonts w:hint="cs"/>
                <w:kern w:val="16"/>
                <w:rtl/>
              </w:rPr>
              <w:t>من الملاحظات الختامية السابقة للجنة</w:t>
            </w:r>
            <w:r w:rsidRPr="00C142DE">
              <w:rPr>
                <w:rFonts w:hint="cs"/>
                <w:kern w:val="16"/>
                <w:rtl/>
              </w:rPr>
              <w:t xml:space="preserve"> (</w:t>
            </w:r>
            <w:r w:rsidRPr="00962EBA">
              <w:rPr>
                <w:lang/>
              </w:rPr>
              <w:t>CED/C/URY/CO/1</w:t>
            </w:r>
            <w:r w:rsidRPr="00C142DE">
              <w:rPr>
                <w:rFonts w:hint="cs"/>
                <w:kern w:val="16"/>
                <w:rtl/>
              </w:rPr>
              <w:t xml:space="preserve">)، </w:t>
            </w:r>
            <w:r>
              <w:rPr>
                <w:rFonts w:hint="cs"/>
                <w:kern w:val="16"/>
                <w:rtl/>
              </w:rPr>
              <w:t>ما هي التدابير التي اتُخذت، ونتائجها، وذلك لضمان أن يكون القانون الجديد للإجراءات الجنائية متمشياً بالكامل مع الالتزامات الناشئة عن الاتفاقية وأن يمكّن ضحايا حالات الاختفاء القسري من المشاركة بالكامل في الإجراءات القضائية المتعلقة بالتحقيق في هذه الجريمة.</w:t>
            </w:r>
            <w:r>
              <w:rPr>
                <w:rFonts w:hint="cs"/>
                <w:rtl/>
              </w:rPr>
              <w:t xml:space="preserve"> وفي حالة أن كان القانون الجديد قد اعتُمد بحلول موعد تقديم المعلومات المشار إليها أعلاه، فإن اللجنة تودّ أن تتلقّى معلومات تفصيلية عن الأحكام المتعلقة بتنفيذ توصيتها.</w:t>
            </w:r>
          </w:p>
        </w:tc>
      </w:tr>
      <w:tr w:rsidR="009319DB" w:rsidRPr="00C142DE" w:rsidTr="00377F92">
        <w:tc>
          <w:tcPr>
            <w:tcW w:w="7372" w:type="dxa"/>
            <w:gridSpan w:val="2"/>
            <w:tcBorders>
              <w:top w:val="nil"/>
              <w:bottom w:val="nil"/>
            </w:tcBorders>
            <w:shd w:val="clear" w:color="auto" w:fill="auto"/>
          </w:tcPr>
          <w:p w:rsidR="009319DB" w:rsidRPr="002C6896" w:rsidRDefault="009319DB" w:rsidP="00D31996">
            <w:pPr>
              <w:spacing w:after="120" w:line="340" w:lineRule="exact"/>
              <w:ind w:left="57" w:right="57"/>
              <w:rPr>
                <w:rFonts w:hint="cs"/>
                <w:b/>
                <w:bCs/>
                <w:rtl/>
                <w:lang/>
              </w:rPr>
            </w:pPr>
            <w:r w:rsidRPr="00FB0697">
              <w:rPr>
                <w:rFonts w:hint="cs"/>
                <w:b/>
                <w:bCs/>
                <w:rtl/>
              </w:rPr>
              <w:t xml:space="preserve">[جيم]: </w:t>
            </w:r>
            <w:r>
              <w:rPr>
                <w:rFonts w:hint="cs"/>
                <w:rtl/>
                <w:lang/>
              </w:rPr>
              <w:t xml:space="preserve">تلاحظ اللجنة أنه لم تُقدَّم أي معلومات بشأن التدابير المتخَذة لتنفيذ توصيتها المتعلقة </w:t>
            </w:r>
            <w:r w:rsidRPr="00FB0697">
              <w:rPr>
                <w:rFonts w:hint="cs"/>
                <w:rtl/>
                <w:lang/>
              </w:rPr>
              <w:t xml:space="preserve">بتعريف </w:t>
            </w:r>
            <w:r>
              <w:rPr>
                <w:rFonts w:hint="cs"/>
                <w:rtl/>
                <w:lang/>
              </w:rPr>
              <w:t>"</w:t>
            </w:r>
            <w:r w:rsidRPr="00FB0697">
              <w:rPr>
                <w:rFonts w:hint="cs"/>
                <w:rtl/>
              </w:rPr>
              <w:t>الضحية</w:t>
            </w:r>
            <w:r>
              <w:rPr>
                <w:rFonts w:hint="cs"/>
                <w:rtl/>
                <w:lang/>
              </w:rPr>
              <w:t>"</w:t>
            </w:r>
            <w:r w:rsidRPr="00FB0697">
              <w:rPr>
                <w:rFonts w:hint="cs"/>
                <w:rtl/>
              </w:rPr>
              <w:t>.</w:t>
            </w:r>
            <w:r>
              <w:rPr>
                <w:rFonts w:hint="cs"/>
                <w:rtl/>
              </w:rPr>
              <w:t xml:space="preserve"> ولذلك تعيد اللجنة توجيه توصيتها </w:t>
            </w:r>
            <w:r>
              <w:rPr>
                <w:rFonts w:hint="cs"/>
                <w:rtl/>
                <w:lang/>
              </w:rPr>
              <w:t xml:space="preserve">وتطلب إلى الدولة الطرف </w:t>
            </w:r>
            <w:r>
              <w:rPr>
                <w:rFonts w:hint="cs"/>
                <w:rtl/>
              </w:rPr>
              <w:t>أن توضّح</w:t>
            </w:r>
            <w:r w:rsidRPr="00C142DE">
              <w:rPr>
                <w:rFonts w:hint="cs"/>
                <w:kern w:val="16"/>
                <w:rtl/>
              </w:rPr>
              <w:t>، عندما تقدّم المعلومات وفقاً للفقرة 4</w:t>
            </w:r>
            <w:r>
              <w:rPr>
                <w:rFonts w:hint="cs"/>
                <w:kern w:val="16"/>
                <w:rtl/>
              </w:rPr>
              <w:t>2</w:t>
            </w:r>
            <w:r w:rsidRPr="00C142DE">
              <w:rPr>
                <w:rFonts w:hint="cs"/>
                <w:kern w:val="16"/>
                <w:rtl/>
              </w:rPr>
              <w:t xml:space="preserve"> </w:t>
            </w:r>
            <w:r>
              <w:rPr>
                <w:rFonts w:hint="cs"/>
                <w:kern w:val="16"/>
                <w:rtl/>
              </w:rPr>
              <w:t>من الملاحظات الختامية السابقة للجنة</w:t>
            </w:r>
            <w:r w:rsidRPr="00C142DE">
              <w:rPr>
                <w:rFonts w:hint="cs"/>
                <w:kern w:val="16"/>
                <w:rtl/>
              </w:rPr>
              <w:t xml:space="preserve"> (</w:t>
            </w:r>
            <w:r w:rsidRPr="00962EBA">
              <w:rPr>
                <w:lang/>
              </w:rPr>
              <w:t>CED/C/URY/CO/1</w:t>
            </w:r>
            <w:r w:rsidRPr="00C142DE">
              <w:rPr>
                <w:rFonts w:hint="cs"/>
                <w:kern w:val="16"/>
                <w:rtl/>
              </w:rPr>
              <w:t xml:space="preserve">)، </w:t>
            </w:r>
            <w:r>
              <w:rPr>
                <w:rFonts w:hint="cs"/>
                <w:kern w:val="16"/>
                <w:rtl/>
              </w:rPr>
              <w:t>ما إذا كانت أي تدابير قد اتُخذت</w:t>
            </w:r>
            <w:r>
              <w:rPr>
                <w:rFonts w:hint="cs"/>
                <w:rtl/>
                <w:lang/>
              </w:rPr>
              <w:t xml:space="preserve"> لضمان تطبيق المادة 13 من القانون رقم 18026 على نحو يتفق مع تعريف "الضحية" الوارد في الفقرة 1 من المادة 24 من الاتفاقية، مثل تدريب من لهم صلة بهذه المسألة، وما إذا كانت قد صدرت أي قرارات قضائية أو قرارات ذات طابع آخر في هذا الصدد.</w:t>
            </w:r>
          </w:p>
        </w:tc>
      </w:tr>
      <w:tr w:rsidR="009319DB" w:rsidRPr="00C142DE" w:rsidTr="00377F92">
        <w:tc>
          <w:tcPr>
            <w:tcW w:w="7372" w:type="dxa"/>
            <w:gridSpan w:val="2"/>
            <w:tcBorders>
              <w:top w:val="nil"/>
              <w:bottom w:val="nil"/>
            </w:tcBorders>
            <w:shd w:val="clear" w:color="auto" w:fill="auto"/>
          </w:tcPr>
          <w:p w:rsidR="009319DB" w:rsidRPr="002C6896" w:rsidRDefault="009319DB" w:rsidP="00D31996">
            <w:pPr>
              <w:spacing w:after="120" w:line="340" w:lineRule="exact"/>
              <w:ind w:left="57" w:right="57"/>
              <w:rPr>
                <w:rFonts w:hint="cs"/>
                <w:b/>
                <w:bCs/>
                <w:rtl/>
                <w:lang/>
              </w:rPr>
            </w:pPr>
            <w:r w:rsidRPr="007672B0">
              <w:rPr>
                <w:rFonts w:hint="cs"/>
                <w:b/>
                <w:bCs/>
                <w:rtl/>
              </w:rPr>
              <w:t>[</w:t>
            </w:r>
            <w:r>
              <w:rPr>
                <w:rFonts w:hint="cs"/>
                <w:b/>
                <w:bCs/>
                <w:rtl/>
              </w:rPr>
              <w:t>باء</w:t>
            </w:r>
            <w:r w:rsidRPr="007672B0">
              <w:rPr>
                <w:rFonts w:hint="cs"/>
                <w:b/>
                <w:bCs/>
                <w:rtl/>
              </w:rPr>
              <w:t xml:space="preserve">]: </w:t>
            </w:r>
            <w:r>
              <w:rPr>
                <w:rFonts w:hint="cs"/>
                <w:rtl/>
                <w:lang/>
              </w:rPr>
              <w:t>ترحّب اللجنة بالمعلومات المقدَّمة في الفقرة 26 من تقرير الدولة الطرف المتعلق بالمتابعة ومفادها أن الدولة الطرف، كجزء من إصلاح جهاز النيابة العامة بما يتمشّى مع تنفيذ القانون الجديد للإجراءات الجنائية، من المتوقَّع أن تنشئ وحدات متخصصة في التعامل مع حالات الاختفاء القسري.</w:t>
            </w:r>
            <w:r>
              <w:rPr>
                <w:rFonts w:hint="cs"/>
                <w:b/>
                <w:bCs/>
                <w:rtl/>
              </w:rPr>
              <w:t xml:space="preserve"> </w:t>
            </w:r>
            <w:r>
              <w:rPr>
                <w:rFonts w:hint="cs"/>
                <w:rtl/>
                <w:lang/>
              </w:rPr>
              <w:t>وتطلب إلى الدولة الطرف</w:t>
            </w:r>
            <w:r>
              <w:rPr>
                <w:rFonts w:hint="cs"/>
                <w:kern w:val="16"/>
                <w:rtl/>
              </w:rPr>
              <w:t xml:space="preserve"> القيام</w:t>
            </w:r>
            <w:r w:rsidRPr="00C142DE">
              <w:rPr>
                <w:rFonts w:hint="cs"/>
                <w:kern w:val="16"/>
                <w:rtl/>
              </w:rPr>
              <w:t>، عندما تقدّم المعلومات وفقاً للفقرة 4</w:t>
            </w:r>
            <w:r>
              <w:rPr>
                <w:rFonts w:hint="cs"/>
                <w:kern w:val="16"/>
                <w:rtl/>
              </w:rPr>
              <w:t>2</w:t>
            </w:r>
            <w:r w:rsidRPr="00C142DE">
              <w:rPr>
                <w:rFonts w:hint="cs"/>
                <w:kern w:val="16"/>
                <w:rtl/>
              </w:rPr>
              <w:t xml:space="preserve"> </w:t>
            </w:r>
            <w:r>
              <w:rPr>
                <w:rFonts w:hint="cs"/>
                <w:kern w:val="16"/>
                <w:rtl/>
              </w:rPr>
              <w:t>من الملاحظات الختامية السابقة للجنة</w:t>
            </w:r>
            <w:r w:rsidRPr="00C142DE">
              <w:rPr>
                <w:rFonts w:hint="cs"/>
                <w:kern w:val="16"/>
                <w:rtl/>
              </w:rPr>
              <w:t xml:space="preserve"> (</w:t>
            </w:r>
            <w:r w:rsidRPr="00962EBA">
              <w:rPr>
                <w:lang/>
              </w:rPr>
              <w:t>CED/C/URY/CO/1</w:t>
            </w:r>
            <w:r w:rsidRPr="001360B6">
              <w:rPr>
                <w:rFonts w:hint="cs"/>
                <w:kern w:val="16"/>
                <w:rtl/>
              </w:rPr>
              <w:t>)،</w:t>
            </w:r>
            <w:r w:rsidRPr="001360B6">
              <w:rPr>
                <w:rFonts w:hint="cs"/>
                <w:rtl/>
              </w:rPr>
              <w:t xml:space="preserve"> بتقديم</w:t>
            </w:r>
            <w:r>
              <w:rPr>
                <w:rFonts w:hint="cs"/>
                <w:rtl/>
                <w:lang/>
              </w:rPr>
              <w:t xml:space="preserve"> مزيد من المعلومات عن هذه الوحدات المتخصصة، بما في ذلك معلومات عن ولايتها وتاريخ إنشائها</w:t>
            </w:r>
            <w:r w:rsidRPr="001360B6">
              <w:rPr>
                <w:rFonts w:hint="cs"/>
                <w:rtl/>
                <w:lang/>
              </w:rPr>
              <w:t xml:space="preserve"> </w:t>
            </w:r>
            <w:r>
              <w:rPr>
                <w:rFonts w:hint="cs"/>
                <w:rtl/>
                <w:lang/>
              </w:rPr>
              <w:t>والتدريب المتوقَّع تقديمه إلى الموظفين بشأن التحقيق في حالات الاختفاء القسري.</w:t>
            </w:r>
          </w:p>
        </w:tc>
      </w:tr>
      <w:tr w:rsidR="009319DB" w:rsidRPr="00C142DE" w:rsidTr="00377F92">
        <w:tc>
          <w:tcPr>
            <w:tcW w:w="7372" w:type="dxa"/>
            <w:gridSpan w:val="2"/>
            <w:tcBorders>
              <w:top w:val="nil"/>
              <w:bottom w:val="nil"/>
            </w:tcBorders>
            <w:shd w:val="clear" w:color="auto" w:fill="auto"/>
          </w:tcPr>
          <w:p w:rsidR="009319DB" w:rsidRPr="007672B0" w:rsidRDefault="009319DB" w:rsidP="00D31996">
            <w:pPr>
              <w:spacing w:after="120" w:line="340" w:lineRule="exact"/>
              <w:ind w:left="57" w:right="57"/>
              <w:rPr>
                <w:rFonts w:hint="cs"/>
                <w:b/>
                <w:bCs/>
                <w:rtl/>
              </w:rPr>
            </w:pPr>
            <w:r w:rsidRPr="006D14DB">
              <w:rPr>
                <w:rFonts w:hint="cs"/>
                <w:b/>
                <w:bCs/>
                <w:rtl/>
                <w:lang/>
              </w:rPr>
              <w:t xml:space="preserve">الفقرة 36: توصي اللجنة الدولة الطرف بوضع إجراءات محددة، وفقاً للفقرة 4 من المادة 25 من الاتفاقية، من أجل مراجعة عمليات </w:t>
            </w:r>
            <w:r>
              <w:rPr>
                <w:rFonts w:hint="cs"/>
                <w:b/>
                <w:bCs/>
                <w:rtl/>
                <w:lang/>
              </w:rPr>
              <w:t>التبنِّي</w:t>
            </w:r>
            <w:r w:rsidRPr="006D14DB">
              <w:rPr>
                <w:rFonts w:hint="cs"/>
                <w:b/>
                <w:bCs/>
                <w:rtl/>
                <w:lang/>
              </w:rPr>
              <w:t xml:space="preserve"> أو الرعاية البديلة التي نشأت عن </w:t>
            </w:r>
            <w:r>
              <w:rPr>
                <w:rFonts w:hint="cs"/>
                <w:b/>
                <w:bCs/>
                <w:rtl/>
                <w:lang/>
              </w:rPr>
              <w:t xml:space="preserve">حالات </w:t>
            </w:r>
            <w:r w:rsidRPr="006D14DB">
              <w:rPr>
                <w:rFonts w:hint="cs"/>
                <w:b/>
                <w:bCs/>
                <w:rtl/>
                <w:lang/>
              </w:rPr>
              <w:t xml:space="preserve">اختفاء قسري، وإلغاء هذه العمليات عند الاقتضاء، فضلاً عن </w:t>
            </w:r>
            <w:r>
              <w:rPr>
                <w:rFonts w:hint="cs"/>
                <w:b/>
                <w:bCs/>
                <w:rtl/>
                <w:lang/>
              </w:rPr>
              <w:t xml:space="preserve">وضع </w:t>
            </w:r>
            <w:r w:rsidRPr="006D14DB">
              <w:rPr>
                <w:rFonts w:hint="cs"/>
                <w:b/>
                <w:bCs/>
                <w:rtl/>
                <w:lang/>
              </w:rPr>
              <w:t xml:space="preserve">إجراءات تراعي </w:t>
            </w:r>
            <w:r>
              <w:rPr>
                <w:rFonts w:hint="cs"/>
                <w:b/>
                <w:bCs/>
                <w:rtl/>
                <w:lang/>
              </w:rPr>
              <w:t>مصالح</w:t>
            </w:r>
            <w:r w:rsidRPr="006D14DB">
              <w:rPr>
                <w:rFonts w:hint="cs"/>
                <w:b/>
                <w:bCs/>
                <w:rtl/>
                <w:lang/>
              </w:rPr>
              <w:t xml:space="preserve"> الطفل الفضلى، وبخاصة الاعتراف بحقه في الاستماع إلى رأيه إذا كان قادراً على </w:t>
            </w:r>
            <w:r w:rsidRPr="003C0DA1">
              <w:rPr>
                <w:b/>
                <w:bCs/>
                <w:rtl/>
                <w:lang/>
              </w:rPr>
              <w:t>تكوين آرائه</w:t>
            </w:r>
            <w:r>
              <w:rPr>
                <w:rFonts w:hint="cs"/>
                <w:b/>
                <w:bCs/>
                <w:rtl/>
                <w:lang/>
              </w:rPr>
              <w:t xml:space="preserve"> الخاصة به</w:t>
            </w:r>
            <w:r w:rsidRPr="006D14DB">
              <w:rPr>
                <w:rFonts w:hint="cs"/>
                <w:b/>
                <w:bCs/>
                <w:rtl/>
                <w:lang/>
              </w:rPr>
              <w:t>.</w:t>
            </w:r>
          </w:p>
        </w:tc>
      </w:tr>
      <w:tr w:rsidR="009319DB" w:rsidRPr="00C142DE" w:rsidTr="00377F92">
        <w:tc>
          <w:tcPr>
            <w:tcW w:w="7372" w:type="dxa"/>
            <w:gridSpan w:val="2"/>
            <w:tcBorders>
              <w:top w:val="nil"/>
              <w:bottom w:val="nil"/>
            </w:tcBorders>
            <w:shd w:val="clear" w:color="auto" w:fill="auto"/>
          </w:tcPr>
          <w:p w:rsidR="009319DB" w:rsidRPr="006D14DB" w:rsidRDefault="009319DB" w:rsidP="005349E7">
            <w:pPr>
              <w:pStyle w:val="SingleTxtGA"/>
              <w:tabs>
                <w:tab w:val="left" w:pos="659"/>
              </w:tabs>
              <w:spacing w:before="120" w:line="360" w:lineRule="exact"/>
              <w:ind w:left="57" w:right="0"/>
              <w:rPr>
                <w:rFonts w:hint="cs"/>
                <w:b/>
                <w:bCs/>
                <w:rtl/>
                <w:lang/>
              </w:rPr>
            </w:pPr>
            <w:r>
              <w:rPr>
                <w:rFonts w:hint="cs"/>
                <w:b/>
                <w:bCs/>
                <w:rtl/>
              </w:rPr>
              <w:t>ملخص الرد المقدَّم من الدولة الطرف</w:t>
            </w:r>
          </w:p>
        </w:tc>
      </w:tr>
      <w:tr w:rsidR="009319DB" w:rsidRPr="00C142DE" w:rsidTr="00377F92">
        <w:tc>
          <w:tcPr>
            <w:tcW w:w="7372" w:type="dxa"/>
            <w:gridSpan w:val="2"/>
            <w:tcBorders>
              <w:top w:val="nil"/>
              <w:bottom w:val="nil"/>
            </w:tcBorders>
            <w:shd w:val="clear" w:color="auto" w:fill="auto"/>
          </w:tcPr>
          <w:p w:rsidR="009319DB" w:rsidRPr="006D14DB" w:rsidRDefault="009319DB" w:rsidP="005349E7">
            <w:pPr>
              <w:spacing w:after="120" w:line="360" w:lineRule="exact"/>
              <w:ind w:left="57" w:right="57"/>
              <w:rPr>
                <w:rFonts w:hint="cs"/>
                <w:b/>
                <w:bCs/>
                <w:rtl/>
                <w:lang/>
              </w:rPr>
            </w:pPr>
            <w:r>
              <w:rPr>
                <w:rFonts w:hint="cs"/>
                <w:rtl/>
                <w:lang/>
              </w:rPr>
              <w:tab/>
              <w:t>بموجب القانون رقم 17894 الصادر في أيلول/سبتمبر 2005، أُعلن أن الأشخاص الذين أكَّدت لجنة السلام المنشأة في آب/أغسطس 2000 اختفاءهم داخل أوروغواي هم أشخاص "مفقودون" بفعل الاختفاء القسري، مما سمَح ببدء إجراءات التوارث القانونية المتعلقة بالأشخاص المفقودين، وفقاً للمادة 1037 من القانون المدني.</w:t>
            </w:r>
          </w:p>
        </w:tc>
      </w:tr>
      <w:tr w:rsidR="009319DB" w:rsidRPr="00C142DE" w:rsidTr="00377F92">
        <w:tc>
          <w:tcPr>
            <w:tcW w:w="7372" w:type="dxa"/>
            <w:gridSpan w:val="2"/>
            <w:tcBorders>
              <w:top w:val="nil"/>
              <w:bottom w:val="nil"/>
            </w:tcBorders>
            <w:shd w:val="clear" w:color="auto" w:fill="auto"/>
          </w:tcPr>
          <w:p w:rsidR="009319DB" w:rsidRDefault="009319DB" w:rsidP="005349E7">
            <w:pPr>
              <w:spacing w:after="120" w:line="360" w:lineRule="exact"/>
              <w:ind w:left="57" w:right="57"/>
              <w:rPr>
                <w:rFonts w:hint="cs"/>
                <w:rtl/>
              </w:rPr>
            </w:pPr>
            <w:r>
              <w:rPr>
                <w:rFonts w:hint="cs"/>
                <w:rtl/>
                <w:lang/>
              </w:rPr>
              <w:tab/>
              <w:t>وكجزء من إصلاح جهاز النيابة العامة بما يتمشّى مع تنفيذ القانون الجديد للإجراءات الجنائية، من المتوقَّع أن تنشئ الدولة الطرف وحدات خاصة في جهاز النيابة العامة للتعامل مع حالات الاختفاء القسري.</w:t>
            </w:r>
            <w:r>
              <w:rPr>
                <w:rFonts w:hint="cs"/>
                <w:b/>
                <w:bCs/>
                <w:rtl/>
              </w:rPr>
              <w:t xml:space="preserve"> </w:t>
            </w:r>
            <w:r>
              <w:rPr>
                <w:rFonts w:hint="cs"/>
                <w:rtl/>
              </w:rPr>
              <w:t xml:space="preserve">وسينطوي ذلك على الأخذ </w:t>
            </w:r>
            <w:r w:rsidRPr="005837DC">
              <w:rPr>
                <w:rFonts w:hint="cs"/>
                <w:rtl/>
              </w:rPr>
              <w:t>بإجراءات محدد</w:t>
            </w:r>
            <w:r>
              <w:rPr>
                <w:rFonts w:hint="cs"/>
                <w:rtl/>
              </w:rPr>
              <w:t>ة ووحدات متخصصة للتعامل مع هذه الحالات، بكل ما يعنيه ذلك، ولاسيما فيما يتعلق بحالات التبنّي التي قد تكون مرتبطة بحالات اختفاء قسري.</w:t>
            </w:r>
          </w:p>
        </w:tc>
      </w:tr>
      <w:tr w:rsidR="009319DB" w:rsidRPr="00C142DE" w:rsidTr="00377F92">
        <w:tc>
          <w:tcPr>
            <w:tcW w:w="7372" w:type="dxa"/>
            <w:gridSpan w:val="2"/>
            <w:tcBorders>
              <w:top w:val="nil"/>
              <w:bottom w:val="nil"/>
            </w:tcBorders>
            <w:shd w:val="clear" w:color="auto" w:fill="auto"/>
          </w:tcPr>
          <w:p w:rsidR="009319DB" w:rsidRDefault="009319DB" w:rsidP="005349E7">
            <w:pPr>
              <w:pStyle w:val="SingleTxtGA"/>
              <w:tabs>
                <w:tab w:val="left" w:pos="659"/>
              </w:tabs>
              <w:spacing w:before="120" w:line="360" w:lineRule="exact"/>
              <w:ind w:left="57" w:right="0"/>
              <w:rPr>
                <w:rFonts w:hint="cs"/>
                <w:rtl/>
                <w:lang/>
              </w:rPr>
            </w:pPr>
            <w:r w:rsidRPr="00E42A1B">
              <w:rPr>
                <w:rFonts w:hint="cs"/>
                <w:b/>
                <w:bCs/>
                <w:rtl/>
                <w:lang/>
              </w:rPr>
              <w:t>تقييم اللجنة</w:t>
            </w:r>
          </w:p>
        </w:tc>
      </w:tr>
      <w:tr w:rsidR="009319DB" w:rsidRPr="00C142DE" w:rsidTr="00377F92">
        <w:tc>
          <w:tcPr>
            <w:tcW w:w="7372" w:type="dxa"/>
            <w:gridSpan w:val="2"/>
            <w:tcBorders>
              <w:top w:val="nil"/>
              <w:bottom w:val="nil"/>
            </w:tcBorders>
            <w:shd w:val="clear" w:color="auto" w:fill="auto"/>
          </w:tcPr>
          <w:p w:rsidR="009319DB" w:rsidRPr="00E42A1B" w:rsidRDefault="009319DB" w:rsidP="005349E7">
            <w:pPr>
              <w:spacing w:after="120" w:line="360" w:lineRule="exact"/>
              <w:ind w:left="57" w:right="57"/>
              <w:rPr>
                <w:rFonts w:hint="cs"/>
                <w:b/>
                <w:bCs/>
                <w:rtl/>
              </w:rPr>
            </w:pPr>
            <w:r w:rsidRPr="00E42A1B">
              <w:rPr>
                <w:rFonts w:hint="cs"/>
                <w:b/>
                <w:bCs/>
                <w:rtl/>
                <w:lang/>
              </w:rPr>
              <w:t>[باء]:</w:t>
            </w:r>
            <w:r>
              <w:rPr>
                <w:rFonts w:hint="cs"/>
                <w:rtl/>
                <w:lang/>
              </w:rPr>
              <w:t xml:space="preserve"> بينما تحيط اللجنة علماً بالمعلومات المقدَّمة، فإنها ترى أنه يلزم تقديم مزيد من المعلومات لتمكينها من أن تقيّم على نحو سليم مدى تنفيذ توصيتها. وإذ تذكّر اللجنة بتوصيتها، فإنها </w:t>
            </w:r>
            <w:r w:rsidRPr="005837DC">
              <w:rPr>
                <w:rFonts w:hint="cs"/>
                <w:rtl/>
                <w:lang/>
              </w:rPr>
              <w:t>تطلب إلى الدولة الطرف</w:t>
            </w:r>
            <w:r w:rsidRPr="005837DC">
              <w:rPr>
                <w:rFonts w:hint="cs"/>
                <w:kern w:val="16"/>
                <w:rtl/>
              </w:rPr>
              <w:t xml:space="preserve"> </w:t>
            </w:r>
            <w:r>
              <w:rPr>
                <w:rFonts w:hint="cs"/>
                <w:kern w:val="16"/>
                <w:rtl/>
              </w:rPr>
              <w:t>أن تعمد</w:t>
            </w:r>
            <w:r w:rsidRPr="005837DC">
              <w:rPr>
                <w:rFonts w:hint="cs"/>
                <w:kern w:val="16"/>
                <w:rtl/>
              </w:rPr>
              <w:t>، عندما تقدّم المعلومات وفقاً للفقرة 42 من الملاحظات الختامية السابقة للجنة (</w:t>
            </w:r>
            <w:r w:rsidRPr="005837DC">
              <w:rPr>
                <w:lang/>
              </w:rPr>
              <w:t>CED/C/URY/CO/1</w:t>
            </w:r>
            <w:r w:rsidRPr="005837DC">
              <w:rPr>
                <w:rFonts w:hint="cs"/>
                <w:kern w:val="16"/>
                <w:rtl/>
              </w:rPr>
              <w:t>)،</w:t>
            </w:r>
            <w:r>
              <w:rPr>
                <w:rFonts w:hint="cs"/>
                <w:rtl/>
              </w:rPr>
              <w:t xml:space="preserve"> إلى القيام بما يلي:</w:t>
            </w:r>
          </w:p>
        </w:tc>
      </w:tr>
      <w:tr w:rsidR="009319DB" w:rsidRPr="00C142DE" w:rsidTr="00377F92">
        <w:tc>
          <w:tcPr>
            <w:tcW w:w="7372" w:type="dxa"/>
            <w:gridSpan w:val="2"/>
            <w:tcBorders>
              <w:top w:val="nil"/>
              <w:bottom w:val="nil"/>
            </w:tcBorders>
            <w:shd w:val="clear" w:color="auto" w:fill="auto"/>
          </w:tcPr>
          <w:p w:rsidR="009319DB" w:rsidRPr="00E42A1B" w:rsidRDefault="009319DB" w:rsidP="005349E7">
            <w:pPr>
              <w:spacing w:after="120" w:line="360" w:lineRule="exact"/>
              <w:ind w:left="57" w:right="57"/>
              <w:rPr>
                <w:rFonts w:hint="cs"/>
                <w:b/>
                <w:bCs/>
                <w:rtl/>
                <w:lang/>
              </w:rPr>
            </w:pPr>
            <w:r>
              <w:rPr>
                <w:rFonts w:hint="cs"/>
                <w:rtl/>
              </w:rPr>
              <w:tab/>
              <w:t>(أ)</w:t>
            </w:r>
            <w:r>
              <w:rPr>
                <w:rFonts w:hint="cs"/>
                <w:rtl/>
              </w:rPr>
              <w:tab/>
            </w:r>
            <w:r>
              <w:rPr>
                <w:rFonts w:hint="cs"/>
                <w:rtl/>
                <w:lang/>
              </w:rPr>
              <w:t>تقديم معلومات عن التأثير المحتمل لاستحداث الإجراءات المحددة والوحدات المتخصصة المتوقع إنشاؤها داخل مكتب النائب العام فيما يتعلق بمراجعة أو إلغاء عمليات التبنّي أو الرعاية البديلة التي تكون قد نشأت عن حالات اختفاء قسري؛</w:t>
            </w:r>
          </w:p>
        </w:tc>
      </w:tr>
      <w:tr w:rsidR="009319DB" w:rsidRPr="009319DB" w:rsidTr="00377F92">
        <w:tc>
          <w:tcPr>
            <w:tcW w:w="7372" w:type="dxa"/>
            <w:gridSpan w:val="2"/>
            <w:tcBorders>
              <w:top w:val="nil"/>
              <w:bottom w:val="nil"/>
            </w:tcBorders>
            <w:shd w:val="clear" w:color="auto" w:fill="auto"/>
          </w:tcPr>
          <w:p w:rsidR="009319DB" w:rsidRDefault="009319DB" w:rsidP="005349E7">
            <w:pPr>
              <w:spacing w:after="120" w:line="360" w:lineRule="exact"/>
              <w:ind w:left="57" w:right="57"/>
              <w:rPr>
                <w:rFonts w:hint="cs"/>
                <w:rtl/>
                <w:lang/>
              </w:rPr>
            </w:pPr>
            <w:r>
              <w:rPr>
                <w:rFonts w:hint="cs"/>
                <w:rtl/>
              </w:rPr>
              <w:tab/>
              <w:t>(ب)</w:t>
            </w:r>
            <w:r>
              <w:rPr>
                <w:rFonts w:hint="cs"/>
                <w:rtl/>
              </w:rPr>
              <w:tab/>
            </w:r>
            <w:r>
              <w:rPr>
                <w:rFonts w:hint="cs"/>
                <w:rtl/>
                <w:lang/>
              </w:rPr>
              <w:t>بيان التدابير التي اتُّخِذت في إطار القانون المدني لوضع إجراءات قانونية محددة من أجل مراجعة عمليات التبنّي أو الرعاية البديلة التي تكون قد نشأت عن حالات اختفاء قسري، ومن أجل إلغائها عند الاقتضاء.</w:t>
            </w:r>
          </w:p>
        </w:tc>
      </w:tr>
      <w:tr w:rsidR="009319DB" w:rsidRPr="009319DB" w:rsidTr="00377F92">
        <w:tc>
          <w:tcPr>
            <w:tcW w:w="7372" w:type="dxa"/>
            <w:gridSpan w:val="2"/>
            <w:tcBorders>
              <w:top w:val="nil"/>
              <w:bottom w:val="nil"/>
            </w:tcBorders>
            <w:shd w:val="clear" w:color="auto" w:fill="auto"/>
          </w:tcPr>
          <w:p w:rsidR="009319DB" w:rsidRDefault="009319DB" w:rsidP="005349E7">
            <w:pPr>
              <w:pStyle w:val="SingleTxtGA"/>
              <w:tabs>
                <w:tab w:val="left" w:pos="659"/>
              </w:tabs>
              <w:spacing w:before="120"/>
              <w:ind w:left="57" w:right="0"/>
              <w:rPr>
                <w:rFonts w:hint="cs"/>
                <w:rtl/>
              </w:rPr>
            </w:pPr>
            <w:r w:rsidRPr="006077F6">
              <w:rPr>
                <w:rFonts w:hint="cs"/>
                <w:b/>
                <w:bCs/>
                <w:kern w:val="16"/>
                <w:rtl/>
              </w:rPr>
              <w:t>الإجراء الواجب اتخاذه</w:t>
            </w:r>
          </w:p>
        </w:tc>
      </w:tr>
      <w:tr w:rsidR="009319DB" w:rsidRPr="009319DB" w:rsidTr="00377F92">
        <w:tc>
          <w:tcPr>
            <w:tcW w:w="7372" w:type="dxa"/>
            <w:gridSpan w:val="2"/>
            <w:tcBorders>
              <w:top w:val="nil"/>
              <w:bottom w:val="nil"/>
            </w:tcBorders>
            <w:shd w:val="clear" w:color="auto" w:fill="auto"/>
          </w:tcPr>
          <w:p w:rsidR="009319DB" w:rsidRPr="006077F6" w:rsidRDefault="009319DB" w:rsidP="00377F92">
            <w:pPr>
              <w:spacing w:after="120" w:line="380" w:lineRule="exact"/>
              <w:ind w:left="57" w:right="57"/>
              <w:rPr>
                <w:rFonts w:hint="cs"/>
                <w:b/>
                <w:bCs/>
                <w:kern w:val="16"/>
                <w:rtl/>
              </w:rPr>
            </w:pPr>
            <w:r>
              <w:rPr>
                <w:rFonts w:hint="cs"/>
                <w:kern w:val="16"/>
                <w:rtl/>
              </w:rPr>
              <w:t>ينبغي توجيه رسالة إلى الدولة الطرف تتضمن تقييم اللجنة.</w:t>
            </w:r>
          </w:p>
        </w:tc>
      </w:tr>
      <w:tr w:rsidR="009319DB" w:rsidRPr="009319DB" w:rsidTr="00377F92">
        <w:tc>
          <w:tcPr>
            <w:tcW w:w="7372" w:type="dxa"/>
            <w:gridSpan w:val="2"/>
            <w:tcBorders>
              <w:top w:val="nil"/>
              <w:bottom w:val="single" w:sz="12" w:space="0" w:color="auto"/>
            </w:tcBorders>
            <w:shd w:val="clear" w:color="auto" w:fill="auto"/>
          </w:tcPr>
          <w:p w:rsidR="009319DB" w:rsidRDefault="009319DB" w:rsidP="00377F92">
            <w:pPr>
              <w:spacing w:after="120" w:line="380" w:lineRule="exact"/>
              <w:ind w:left="57" w:right="57"/>
              <w:jc w:val="left"/>
              <w:rPr>
                <w:rFonts w:hint="cs"/>
                <w:kern w:val="16"/>
                <w:rtl/>
              </w:rPr>
            </w:pPr>
            <w:r w:rsidRPr="00E01E04">
              <w:rPr>
                <w:rFonts w:hint="cs"/>
                <w:b/>
                <w:bCs/>
                <w:kern w:val="16"/>
                <w:rtl/>
              </w:rPr>
              <w:t>المعلومات المتعلقة بمتابعة تنفيذ جميع التوصيات</w:t>
            </w:r>
            <w:r>
              <w:rPr>
                <w:rFonts w:hint="cs"/>
                <w:b/>
                <w:bCs/>
                <w:kern w:val="16"/>
                <w:rtl/>
              </w:rPr>
              <w:t>، والتي يتعين</w:t>
            </w:r>
            <w:r w:rsidRPr="00E01E04">
              <w:rPr>
                <w:rFonts w:hint="cs"/>
                <w:b/>
                <w:bCs/>
                <w:kern w:val="16"/>
                <w:rtl/>
              </w:rPr>
              <w:t xml:space="preserve"> تقديمها بحلول:</w:t>
            </w:r>
            <w:r>
              <w:rPr>
                <w:rFonts w:hint="cs"/>
                <w:kern w:val="16"/>
                <w:rtl/>
              </w:rPr>
              <w:t xml:space="preserve"> </w:t>
            </w:r>
            <w:r w:rsidR="00377F92">
              <w:rPr>
                <w:kern w:val="16"/>
                <w:rtl/>
              </w:rPr>
              <w:br/>
            </w:r>
            <w:r>
              <w:rPr>
                <w:rFonts w:hint="cs"/>
                <w:kern w:val="16"/>
                <w:rtl/>
              </w:rPr>
              <w:t>19 نيسان/أبريل 2019</w:t>
            </w:r>
          </w:p>
        </w:tc>
      </w:tr>
    </w:tbl>
    <w:p w:rsidR="001200E6" w:rsidRPr="001200E6" w:rsidRDefault="001200E6" w:rsidP="001200E6">
      <w:pPr>
        <w:spacing w:before="120"/>
        <w:jc w:val="center"/>
        <w:rPr>
          <w:rFonts w:hint="cs"/>
          <w:u w:val="single"/>
          <w:rtl/>
        </w:rPr>
      </w:pPr>
      <w:r>
        <w:rPr>
          <w:u w:val="single"/>
          <w:rtl/>
        </w:rPr>
        <w:tab/>
      </w:r>
      <w:r>
        <w:rPr>
          <w:u w:val="single"/>
          <w:rtl/>
        </w:rPr>
        <w:tab/>
      </w:r>
      <w:r>
        <w:rPr>
          <w:u w:val="single"/>
          <w:rtl/>
        </w:rPr>
        <w:tab/>
      </w:r>
    </w:p>
    <w:sectPr w:rsidR="001200E6" w:rsidRPr="001200E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621" w:rsidRPr="00FE6865" w:rsidRDefault="00DE4621" w:rsidP="00FE6865">
      <w:pPr>
        <w:pStyle w:val="Footer"/>
      </w:pPr>
    </w:p>
  </w:endnote>
  <w:endnote w:type="continuationSeparator" w:id="0">
    <w:p w:rsidR="00DE4621" w:rsidRDefault="00DE46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E6" w:rsidRPr="001200E6" w:rsidRDefault="001200E6" w:rsidP="001200E6">
    <w:pPr>
      <w:pStyle w:val="Footer"/>
      <w:tabs>
        <w:tab w:val="right" w:pos="9598"/>
      </w:tabs>
    </w:pPr>
    <w:r>
      <w:t>GE.14-19333</w:t>
    </w:r>
    <w:r>
      <w:tab/>
    </w:r>
    <w:r w:rsidRPr="001200E6">
      <w:rPr>
        <w:b/>
        <w:sz w:val="18"/>
      </w:rPr>
      <w:fldChar w:fldCharType="begin"/>
    </w:r>
    <w:r w:rsidRPr="001200E6">
      <w:rPr>
        <w:b/>
        <w:sz w:val="18"/>
      </w:rPr>
      <w:instrText xml:space="preserve"> PAGE  \* MERGEFORMAT </w:instrText>
    </w:r>
    <w:r w:rsidRPr="001200E6">
      <w:rPr>
        <w:b/>
        <w:sz w:val="18"/>
      </w:rPr>
      <w:fldChar w:fldCharType="separate"/>
    </w:r>
    <w:r w:rsidR="00326F04">
      <w:rPr>
        <w:b/>
        <w:noProof/>
        <w:sz w:val="18"/>
      </w:rPr>
      <w:t>14</w:t>
    </w:r>
    <w:r w:rsidRPr="001200E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E6" w:rsidRPr="001200E6" w:rsidRDefault="001200E6" w:rsidP="001200E6">
    <w:pPr>
      <w:pStyle w:val="Footer"/>
      <w:tabs>
        <w:tab w:val="right" w:pos="9598"/>
      </w:tabs>
      <w:rPr>
        <w:b/>
        <w:sz w:val="18"/>
      </w:rPr>
    </w:pPr>
    <w:r w:rsidRPr="001200E6">
      <w:rPr>
        <w:b/>
        <w:sz w:val="18"/>
      </w:rPr>
      <w:fldChar w:fldCharType="begin"/>
    </w:r>
    <w:r w:rsidRPr="001200E6">
      <w:rPr>
        <w:b/>
        <w:sz w:val="18"/>
      </w:rPr>
      <w:instrText xml:space="preserve"> PAGE  \* MERGEFORMAT </w:instrText>
    </w:r>
    <w:r w:rsidRPr="001200E6">
      <w:rPr>
        <w:b/>
        <w:sz w:val="18"/>
      </w:rPr>
      <w:fldChar w:fldCharType="separate"/>
    </w:r>
    <w:r w:rsidR="00326F04">
      <w:rPr>
        <w:b/>
        <w:noProof/>
        <w:sz w:val="18"/>
      </w:rPr>
      <w:t>13</w:t>
    </w:r>
    <w:r w:rsidRPr="001200E6">
      <w:rPr>
        <w:b/>
        <w:sz w:val="18"/>
      </w:rPr>
      <w:fldChar w:fldCharType="end"/>
    </w:r>
    <w:r>
      <w:rPr>
        <w:b/>
        <w:sz w:val="18"/>
      </w:rPr>
      <w:tab/>
    </w:r>
    <w:r>
      <w:t>GE.14-19333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6D" w:rsidRDefault="001200E6" w:rsidP="00326F04">
    <w:pPr>
      <w:pStyle w:val="Footer"/>
      <w:spacing w:before="240"/>
      <w:jc w:val="right"/>
    </w:pPr>
    <w:r>
      <w:rPr>
        <w:sz w:val="20"/>
      </w:rPr>
      <w:t>(A)   GE.14-19333</w:t>
    </w:r>
    <w:r w:rsidR="0092616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B634BA">
      <w:rPr>
        <w:sz w:val="20"/>
      </w:rPr>
      <w:t xml:space="preserve">    071114    111114</w:t>
    </w:r>
    <w:r w:rsidR="00326F04">
      <w:br/>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sidRPr="00326F04">
      <w:rPr>
        <w:rFonts w:ascii="C39T30Lfz" w:hAnsi="C39T30Lfz"/>
        <w:sz w:val="56"/>
      </w:rPr>
      <w:t></w:t>
    </w:r>
    <w:r w:rsidR="00326F04">
      <w:rPr>
        <w:rFonts w:ascii="C39T30Lfz" w:hAnsi="C39T30Lfz"/>
        <w:sz w:val="56"/>
      </w:rPr>
      <w:tab/>
    </w:r>
    <w:r w:rsidR="00326F04">
      <w:rPr>
        <w:noProof/>
        <w:lang w:val="en-US"/>
      </w:rPr>
      <w:pict>
        <v:shape id="_x0000_s2054" type="#_x0000_t75" style="position:absolute;left:0;text-align:left;margin-left:.05pt;margin-top:0;width:50.25pt;height:50.25pt;z-index:3;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621" w:rsidRDefault="00DE4621" w:rsidP="00300142">
      <w:pPr>
        <w:pStyle w:val="Footer"/>
        <w:bidi/>
        <w:spacing w:after="80" w:line="200" w:lineRule="exact"/>
        <w:ind w:left="680"/>
      </w:pPr>
      <w:r>
        <w:rPr>
          <w:rFonts w:hint="cs"/>
          <w:rtl/>
        </w:rPr>
        <w:t>__________</w:t>
      </w:r>
    </w:p>
  </w:footnote>
  <w:footnote w:type="continuationSeparator" w:id="0">
    <w:p w:rsidR="00DE4621" w:rsidRDefault="00DE4621"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E6" w:rsidRPr="001200E6" w:rsidRDefault="001200E6" w:rsidP="001200E6">
    <w:pPr>
      <w:pStyle w:val="Header"/>
      <w:jc w:val="right"/>
    </w:pPr>
    <w:r w:rsidRPr="001200E6">
      <w:t>CED/C/7/2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6D" w:rsidRPr="001200E6" w:rsidRDefault="001200E6" w:rsidP="001200E6">
    <w:pPr>
      <w:pStyle w:val="Header"/>
      <w:jc w:val="left"/>
    </w:pPr>
    <w:r w:rsidRPr="001200E6">
      <w:t>CED/C/7/2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6D" w:rsidRDefault="0092616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92616D" w:rsidRPr="00A85A54" w:rsidRDefault="001200E6" w:rsidP="00450332">
                <w:pPr>
                  <w:spacing w:before="120" w:line="600" w:lineRule="exact"/>
                  <w:suppressOverlap/>
                  <w:rPr>
                    <w:rFonts w:hint="cs"/>
                    <w:sz w:val="56"/>
                    <w:szCs w:val="56"/>
                  </w:rPr>
                </w:pPr>
                <w:r w:rsidRPr="00C142DE">
                  <w:rPr>
                    <w:rFonts w:hint="cs"/>
                    <w:b/>
                    <w:bCs/>
                    <w:sz w:val="52"/>
                    <w:szCs w:val="52"/>
                    <w:rtl/>
                  </w:rPr>
                  <w:t>الاتفاقية الدوليـة لحماية جميـع 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6677625"/>
    <w:multiLevelType w:val="hybridMultilevel"/>
    <w:tmpl w:val="8A42847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3F78A5"/>
    <w:multiLevelType w:val="hybridMultilevel"/>
    <w:tmpl w:val="2744A2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3A06F80"/>
    <w:multiLevelType w:val="hybridMultilevel"/>
    <w:tmpl w:val="B21C4E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64ABC"/>
    <w:multiLevelType w:val="hybridMultilevel"/>
    <w:tmpl w:val="C6FA01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5"/>
  </w:num>
  <w:num w:numId="4">
    <w:abstractNumId w:val="12"/>
  </w:num>
  <w:num w:numId="5">
    <w:abstractNumId w:val="8"/>
  </w:num>
  <w:num w:numId="6">
    <w:abstractNumId w:val="24"/>
  </w:num>
  <w:num w:numId="7">
    <w:abstractNumId w:val="11"/>
  </w:num>
  <w:num w:numId="8">
    <w:abstractNumId w:val="10"/>
  </w:num>
  <w:num w:numId="9">
    <w:abstractNumId w:val="14"/>
  </w:num>
  <w:num w:numId="10">
    <w:abstractNumId w:val="22"/>
  </w:num>
  <w:num w:numId="11">
    <w:abstractNumId w:val="1"/>
  </w:num>
  <w:num w:numId="12">
    <w:abstractNumId w:val="15"/>
  </w:num>
  <w:num w:numId="13">
    <w:abstractNumId w:val="12"/>
  </w:num>
  <w:num w:numId="14">
    <w:abstractNumId w:val="8"/>
  </w:num>
  <w:num w:numId="15">
    <w:abstractNumId w:val="24"/>
  </w:num>
  <w:num w:numId="16">
    <w:abstractNumId w:val="1"/>
  </w:num>
  <w:num w:numId="17">
    <w:abstractNumId w:val="15"/>
  </w:num>
  <w:num w:numId="18">
    <w:abstractNumId w:val="12"/>
  </w:num>
  <w:num w:numId="19">
    <w:abstractNumId w:val="8"/>
  </w:num>
  <w:num w:numId="20">
    <w:abstractNumId w:val="24"/>
  </w:num>
  <w:num w:numId="21">
    <w:abstractNumId w:val="1"/>
  </w:num>
  <w:num w:numId="22">
    <w:abstractNumId w:val="15"/>
  </w:num>
  <w:num w:numId="23">
    <w:abstractNumId w:val="8"/>
  </w:num>
  <w:num w:numId="24">
    <w:abstractNumId w:val="24"/>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6"/>
  </w:num>
  <w:num w:numId="33">
    <w:abstractNumId w:val="20"/>
  </w:num>
  <w:num w:numId="34">
    <w:abstractNumId w:val="25"/>
  </w:num>
  <w:num w:numId="35">
    <w:abstractNumId w:val="5"/>
  </w:num>
  <w:num w:numId="36">
    <w:abstractNumId w:val="19"/>
  </w:num>
  <w:num w:numId="37">
    <w:abstractNumId w:val="21"/>
  </w:num>
  <w:num w:numId="38">
    <w:abstractNumId w:val="0"/>
  </w:num>
  <w:num w:numId="39">
    <w:abstractNumId w:val="6"/>
  </w:num>
  <w:num w:numId="40">
    <w:abstractNumId w:val="18"/>
  </w:num>
  <w:num w:numId="41">
    <w:abstractNumId w:val="9"/>
  </w:num>
  <w:num w:numId="42">
    <w:abstractNumId w:val="23"/>
  </w:num>
  <w:num w:numId="4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616D"/>
    <w:rsid w:val="00040E25"/>
    <w:rsid w:val="00042149"/>
    <w:rsid w:val="00046E87"/>
    <w:rsid w:val="000648EA"/>
    <w:rsid w:val="00076443"/>
    <w:rsid w:val="00094ECB"/>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00E6"/>
    <w:rsid w:val="001455A0"/>
    <w:rsid w:val="001602A3"/>
    <w:rsid w:val="00166239"/>
    <w:rsid w:val="001A5161"/>
    <w:rsid w:val="001A60BD"/>
    <w:rsid w:val="00232277"/>
    <w:rsid w:val="0023736D"/>
    <w:rsid w:val="00257225"/>
    <w:rsid w:val="00300142"/>
    <w:rsid w:val="00310160"/>
    <w:rsid w:val="00317796"/>
    <w:rsid w:val="00326F04"/>
    <w:rsid w:val="0033086E"/>
    <w:rsid w:val="00341A8C"/>
    <w:rsid w:val="00342B05"/>
    <w:rsid w:val="003519E6"/>
    <w:rsid w:val="00355F81"/>
    <w:rsid w:val="00377F92"/>
    <w:rsid w:val="003B4356"/>
    <w:rsid w:val="003F08A8"/>
    <w:rsid w:val="004250E3"/>
    <w:rsid w:val="00450332"/>
    <w:rsid w:val="00472A81"/>
    <w:rsid w:val="004A20A6"/>
    <w:rsid w:val="004B2C92"/>
    <w:rsid w:val="004D6A3A"/>
    <w:rsid w:val="004F4AD7"/>
    <w:rsid w:val="005349E7"/>
    <w:rsid w:val="00543BB8"/>
    <w:rsid w:val="0054755A"/>
    <w:rsid w:val="00556B32"/>
    <w:rsid w:val="00557CD3"/>
    <w:rsid w:val="00571432"/>
    <w:rsid w:val="005732A2"/>
    <w:rsid w:val="005762A5"/>
    <w:rsid w:val="00590BA3"/>
    <w:rsid w:val="005B46D9"/>
    <w:rsid w:val="005B7AE0"/>
    <w:rsid w:val="005E23F5"/>
    <w:rsid w:val="005F146F"/>
    <w:rsid w:val="005F71B6"/>
    <w:rsid w:val="00654786"/>
    <w:rsid w:val="00660FD4"/>
    <w:rsid w:val="00663EEE"/>
    <w:rsid w:val="00665BE4"/>
    <w:rsid w:val="006A4425"/>
    <w:rsid w:val="006B00A4"/>
    <w:rsid w:val="006B4669"/>
    <w:rsid w:val="006C2D9E"/>
    <w:rsid w:val="006D3CFA"/>
    <w:rsid w:val="006F1B4E"/>
    <w:rsid w:val="006F6BF8"/>
    <w:rsid w:val="00707BDF"/>
    <w:rsid w:val="00710727"/>
    <w:rsid w:val="00715F45"/>
    <w:rsid w:val="00731815"/>
    <w:rsid w:val="00731B84"/>
    <w:rsid w:val="00734AE7"/>
    <w:rsid w:val="0079344E"/>
    <w:rsid w:val="007A0A35"/>
    <w:rsid w:val="007E197F"/>
    <w:rsid w:val="007F68C4"/>
    <w:rsid w:val="008059DC"/>
    <w:rsid w:val="008153DE"/>
    <w:rsid w:val="00852A10"/>
    <w:rsid w:val="00862634"/>
    <w:rsid w:val="008654B3"/>
    <w:rsid w:val="00866C59"/>
    <w:rsid w:val="00877306"/>
    <w:rsid w:val="00885524"/>
    <w:rsid w:val="008A6242"/>
    <w:rsid w:val="008B4BC6"/>
    <w:rsid w:val="008F6743"/>
    <w:rsid w:val="00901E57"/>
    <w:rsid w:val="009070DF"/>
    <w:rsid w:val="0092616D"/>
    <w:rsid w:val="009319DB"/>
    <w:rsid w:val="00935F0E"/>
    <w:rsid w:val="00945899"/>
    <w:rsid w:val="0095208F"/>
    <w:rsid w:val="00977B3F"/>
    <w:rsid w:val="009814AE"/>
    <w:rsid w:val="009901D3"/>
    <w:rsid w:val="00996BBE"/>
    <w:rsid w:val="009B2C03"/>
    <w:rsid w:val="009D17B9"/>
    <w:rsid w:val="009D1DD5"/>
    <w:rsid w:val="009F722C"/>
    <w:rsid w:val="00A26157"/>
    <w:rsid w:val="00A265C3"/>
    <w:rsid w:val="00A4185C"/>
    <w:rsid w:val="00A43F9A"/>
    <w:rsid w:val="00A53F38"/>
    <w:rsid w:val="00A543D4"/>
    <w:rsid w:val="00A85A54"/>
    <w:rsid w:val="00AC4C46"/>
    <w:rsid w:val="00AD0014"/>
    <w:rsid w:val="00AD4CF2"/>
    <w:rsid w:val="00AF0BBA"/>
    <w:rsid w:val="00B25159"/>
    <w:rsid w:val="00B30468"/>
    <w:rsid w:val="00B31FD6"/>
    <w:rsid w:val="00B44E31"/>
    <w:rsid w:val="00B634BA"/>
    <w:rsid w:val="00B83F84"/>
    <w:rsid w:val="00BA4F7E"/>
    <w:rsid w:val="00BB083D"/>
    <w:rsid w:val="00BB2C41"/>
    <w:rsid w:val="00BC55C8"/>
    <w:rsid w:val="00BC5C10"/>
    <w:rsid w:val="00BE2964"/>
    <w:rsid w:val="00BF6CF0"/>
    <w:rsid w:val="00C21623"/>
    <w:rsid w:val="00C24FBD"/>
    <w:rsid w:val="00C473BA"/>
    <w:rsid w:val="00C611ED"/>
    <w:rsid w:val="00C6490A"/>
    <w:rsid w:val="00C64FE1"/>
    <w:rsid w:val="00C726D2"/>
    <w:rsid w:val="00C74296"/>
    <w:rsid w:val="00C8345E"/>
    <w:rsid w:val="00CA5F7C"/>
    <w:rsid w:val="00D31996"/>
    <w:rsid w:val="00D51067"/>
    <w:rsid w:val="00D75657"/>
    <w:rsid w:val="00D960AD"/>
    <w:rsid w:val="00DA0E0E"/>
    <w:rsid w:val="00DB0885"/>
    <w:rsid w:val="00DB0C39"/>
    <w:rsid w:val="00DB7679"/>
    <w:rsid w:val="00DC5058"/>
    <w:rsid w:val="00DE4621"/>
    <w:rsid w:val="00DF1702"/>
    <w:rsid w:val="00DF4DD8"/>
    <w:rsid w:val="00DF668E"/>
    <w:rsid w:val="00E04826"/>
    <w:rsid w:val="00E14D2B"/>
    <w:rsid w:val="00E20DBA"/>
    <w:rsid w:val="00E31966"/>
    <w:rsid w:val="00E6524A"/>
    <w:rsid w:val="00E660D6"/>
    <w:rsid w:val="00E771AB"/>
    <w:rsid w:val="00EA796F"/>
    <w:rsid w:val="00EB077B"/>
    <w:rsid w:val="00EC50B9"/>
    <w:rsid w:val="00ED1A4D"/>
    <w:rsid w:val="00ED26A0"/>
    <w:rsid w:val="00F1727A"/>
    <w:rsid w:val="00F34764"/>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4101</Words>
  <Characters>21424</Characters>
  <Application>Microsoft Office Outlook</Application>
  <DocSecurity>4</DocSecurity>
  <Lines>415</Lines>
  <Paragraphs>139</Paragraphs>
  <ScaleCrop>false</ScaleCrop>
  <HeadingPairs>
    <vt:vector size="2" baseType="variant">
      <vt:variant>
        <vt:lpstr>العنوان</vt:lpstr>
      </vt:variant>
      <vt:variant>
        <vt:i4>1</vt:i4>
      </vt:variant>
    </vt:vector>
  </HeadingPairs>
  <TitlesOfParts>
    <vt:vector size="1" baseType="lpstr">
      <vt:lpstr>CED/C/7/2</vt:lpstr>
    </vt:vector>
  </TitlesOfParts>
  <Company>CSD</Company>
  <LinksUpToDate>false</LinksUpToDate>
  <CharactersWithSpaces>25454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CED/C/7/2</dc:title>
  <dc:subject/>
  <dc:creator>RIZ</dc:creator>
  <cp:keywords/>
  <dc:description/>
  <cp:lastModifiedBy>TPS</cp:lastModifiedBy>
  <cp:revision>2</cp:revision>
  <cp:lastPrinted>2014-11-11T13:20:00Z</cp:lastPrinted>
  <dcterms:created xsi:type="dcterms:W3CDTF">2014-11-11T16:00:00Z</dcterms:created>
  <dcterms:modified xsi:type="dcterms:W3CDTF">2014-11-11T16:00:00Z</dcterms:modified>
</cp:coreProperties>
</file>