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spacing w:line="240" w:lineRule="auto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after="0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213"/>
        </w:trPr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7881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jc w:val="center"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4"/>
              <w:rPr>
                <w:i/>
                <w:lang w:val="ru-RU"/>
              </w:rPr>
            </w:pPr>
            <w:r>
              <w:rPr>
                <w:i/>
                <w:sz w:val="40"/>
                <w:lang w:val="ru-RU"/>
              </w:rPr>
              <w:t>М</w:t>
            </w:r>
            <w:r>
              <w:rPr>
                <w:i/>
                <w:lang w:val="ru-RU"/>
              </w:rPr>
              <w:t xml:space="preserve">ЕЖДУНАРОДНАЯ </w:t>
            </w:r>
            <w:r>
              <w:rPr>
                <w:i/>
                <w:lang w:val="ru-RU"/>
              </w:rPr>
              <w:br/>
              <w:t xml:space="preserve">КОНВЕНЦИЯ </w:t>
            </w:r>
            <w:r>
              <w:rPr>
                <w:i/>
                <w:lang w:val="ru-RU"/>
              </w:rPr>
              <w:br/>
              <w:t xml:space="preserve">О ЛИКВИДАЦИИ </w:t>
            </w:r>
            <w:r>
              <w:rPr>
                <w:i/>
                <w:lang w:val="ru-RU"/>
              </w:rPr>
              <w:br/>
              <w:t xml:space="preserve">ВСЕХ ФОРМ </w:t>
            </w:r>
            <w:r>
              <w:rPr>
                <w:i/>
                <w:lang w:val="ru-RU"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3"/>
              <w:rPr>
                <w:sz w:val="20"/>
                <w:lang w:val="ru-RU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spacing w:after="0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after="0"/>
              <w:rPr>
                <w:sz w:val="22"/>
              </w:rPr>
            </w:pPr>
            <w:r>
              <w:rPr>
                <w:sz w:val="22"/>
                <w:lang w:val="en-US"/>
              </w:rPr>
              <w:t>GENERAL</w:t>
            </w:r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after="0"/>
            </w:pPr>
            <w:r>
              <w:t>CERD/C/YEM/CO/16</w:t>
            </w:r>
            <w:r>
              <w:br/>
              <w:t>19 October 2006</w:t>
            </w:r>
          </w:p>
          <w:p w:rsidR="00000000" w:rsidRDefault="00000000">
            <w:pPr>
              <w:spacing w:after="0"/>
            </w:pPr>
          </w:p>
          <w:p w:rsidR="00000000" w:rsidRDefault="00000000">
            <w:pPr>
              <w:spacing w:after="0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after="0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ENGLISH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after="0"/>
        <w:rPr>
          <w:lang w:val="en-US"/>
        </w:rPr>
      </w:pP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>КОМИТЕТ ПО ЛИКВИДАЦИИ</w:t>
      </w: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>РАСОВОЙ ДИСКРИМИНАЦИИ</w:t>
      </w:r>
    </w:p>
    <w:p w:rsidR="00000000" w:rsidRDefault="00000000">
      <w:pPr>
        <w:spacing w:after="0"/>
        <w:rPr>
          <w:szCs w:val="24"/>
        </w:rPr>
      </w:pPr>
      <w:r>
        <w:rPr>
          <w:szCs w:val="24"/>
          <w:lang w:val="ru-RU"/>
        </w:rPr>
        <w:t xml:space="preserve">Шестьдесят девятая сессия </w:t>
      </w:r>
    </w:p>
    <w:p w:rsidR="00000000" w:rsidRDefault="00000000">
      <w:pPr>
        <w:spacing w:after="0"/>
        <w:rPr>
          <w:szCs w:val="24"/>
        </w:rPr>
      </w:pPr>
      <w:r>
        <w:rPr>
          <w:szCs w:val="24"/>
          <w:lang w:val="ru-RU"/>
        </w:rPr>
        <w:t>31 июля - 18 августа 2006</w:t>
      </w:r>
      <w:r>
        <w:rPr>
          <w:szCs w:val="24"/>
        </w:rPr>
        <w:t> </w:t>
      </w:r>
      <w:r>
        <w:rPr>
          <w:szCs w:val="24"/>
          <w:lang w:val="ru-RU"/>
        </w:rPr>
        <w:t>года</w:t>
      </w:r>
    </w:p>
    <w:p w:rsidR="00000000" w:rsidRDefault="00000000">
      <w:pPr>
        <w:spacing w:after="0"/>
      </w:pPr>
    </w:p>
    <w:p w:rsidR="00000000" w:rsidRDefault="00000000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after="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Заключительные замечания Комитета по ликвидации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ru-RU"/>
        </w:rPr>
        <w:t>расовой дискриминации</w:t>
      </w:r>
    </w:p>
    <w:p w:rsidR="00000000" w:rsidRDefault="00000000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ЙЕМЕН</w:t>
      </w:r>
      <w:r>
        <w:rPr>
          <w:lang w:val="ru-RU"/>
        </w:rPr>
        <w:t xml:space="preserve"> </w:t>
      </w:r>
    </w:p>
    <w:p w:rsidR="00000000" w:rsidRDefault="00000000">
      <w:pPr>
        <w:numPr>
          <w:ilvl w:val="0"/>
          <w:numId w:val="1"/>
        </w:numPr>
      </w:pPr>
      <w:r>
        <w:rPr>
          <w:lang w:val="ru-RU"/>
        </w:rPr>
        <w:t>Комитет рассмотрел пятнадцатый и шестнадцатый периодические доклады Йемена, представленные в едином документе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YEM</w:t>
      </w:r>
      <w:r>
        <w:rPr>
          <w:lang w:val="ru-RU"/>
        </w:rPr>
        <w:t>/16), на своих 1764</w:t>
      </w:r>
      <w:r>
        <w:rPr>
          <w:lang w:val="ru-RU"/>
        </w:rPr>
        <w:noBreakHyphen/>
        <w:t>м и 1765</w:t>
      </w:r>
      <w:r>
        <w:rPr>
          <w:lang w:val="ru-RU"/>
        </w:rPr>
        <w:noBreakHyphen/>
        <w:t>м заседаниях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SR</w:t>
      </w:r>
      <w:r>
        <w:rPr>
          <w:lang w:val="ru-RU"/>
        </w:rPr>
        <w:t xml:space="preserve">.1764 и 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SR</w:t>
      </w:r>
      <w:r>
        <w:rPr>
          <w:lang w:val="ru-RU"/>
        </w:rPr>
        <w:t>.1765), состоявшихся 3 и 4</w:t>
      </w:r>
      <w:r>
        <w:t> </w:t>
      </w:r>
      <w:r>
        <w:rPr>
          <w:lang w:val="ru-RU"/>
        </w:rPr>
        <w:t>августа 2006</w:t>
      </w:r>
      <w:r>
        <w:t> </w:t>
      </w:r>
      <w:r>
        <w:rPr>
          <w:lang w:val="ru-RU"/>
        </w:rPr>
        <w:t>года.  На своем 1784</w:t>
      </w:r>
      <w:r>
        <w:rPr>
          <w:lang w:val="ru-RU"/>
        </w:rPr>
        <w:noBreakHyphen/>
        <w:t>м заседании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SR</w:t>
      </w:r>
      <w:r>
        <w:rPr>
          <w:lang w:val="ru-RU"/>
        </w:rPr>
        <w:t>.1784), состоявшемся 17</w:t>
      </w:r>
      <w:r>
        <w:t> </w:t>
      </w:r>
      <w:r>
        <w:rPr>
          <w:lang w:val="ru-RU"/>
        </w:rPr>
        <w:t>августа 2006</w:t>
      </w:r>
      <w:r>
        <w:t> </w:t>
      </w:r>
      <w:r>
        <w:rPr>
          <w:lang w:val="ru-RU"/>
        </w:rPr>
        <w:t>года, он принял следующие заключительные замечания.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ru-RU"/>
        </w:rPr>
        <w:t>А.</w:t>
      </w:r>
      <w:r>
        <w:rPr>
          <w:b/>
          <w:bCs/>
          <w:lang w:val="ru-RU"/>
        </w:rPr>
        <w:tab/>
        <w:t>Введение</w:t>
      </w:r>
    </w:p>
    <w:p w:rsidR="00000000" w:rsidRDefault="00000000">
      <w:pPr>
        <w:numPr>
          <w:ilvl w:val="0"/>
          <w:numId w:val="1"/>
        </w:numPr>
      </w:pPr>
      <w:r>
        <w:rPr>
          <w:lang w:val="ru-RU"/>
        </w:rPr>
        <w:t>Комитет приветствует представленный государством-участником доклад и выражает признательность за подробные ответы на поставленные в ходе рассмотрения доклада вопросы и за открытый и конструктивный диалог с делегацией.  Вместе с тем Комитет сожалеет о том, что в докладе не содержится достаточной информации о практическом выполнении Конвенции.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ru-RU"/>
        </w:rPr>
        <w:t>В.</w:t>
      </w:r>
      <w:r>
        <w:rPr>
          <w:b/>
          <w:bCs/>
          <w:lang w:val="ru-RU"/>
        </w:rPr>
        <w:tab/>
        <w:t>Позитивные аспекты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учреждение в 2003</w:t>
      </w:r>
      <w:r>
        <w:t> </w:t>
      </w:r>
      <w:r>
        <w:rPr>
          <w:lang w:val="ru-RU"/>
        </w:rPr>
        <w:t>году министерства по правам человека.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с удовлетворением отмечает проведение политики непрерывного обучения и повышения информированности сотрудников судебных органов, Департамента государственного обвинения и правоохранительных органов.</w:t>
      </w:r>
    </w:p>
    <w:p w:rsidR="00000000" w:rsidRDefault="00000000">
      <w:pPr>
        <w:rPr>
          <w:lang w:val="ru-RU"/>
        </w:rPr>
      </w:pP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предпринятые государством-участником усилия по созданию национального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принципы, содержащиеся в приложении к резолюции</w:t>
      </w:r>
      <w:r>
        <w:t> </w:t>
      </w:r>
      <w:r>
        <w:rPr>
          <w:lang w:val="ru-RU"/>
        </w:rPr>
        <w:t>48/134 Генеральной Ассамблеи).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одобряет усилия государства-участника, направленные на сокращение масштабов нищеты, и в частности принятие Национальной стратегии сокращения масштабов нищеты на 2003</w:t>
      </w:r>
      <w:r>
        <w:rPr>
          <w:lang w:val="ru-RU"/>
        </w:rPr>
        <w:noBreakHyphen/>
        <w:t>2005</w:t>
      </w:r>
      <w:r>
        <w:t> </w:t>
      </w:r>
      <w:r>
        <w:rPr>
          <w:lang w:val="ru-RU"/>
        </w:rPr>
        <w:t>годы, целью которой является улучшение условий жизни маргинализованных групп и уязвимых слоев населения Йемена.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также с удовлетворением отмечает регулярность представления Йеменом своих докладов в соответствии с требованиями Конвенции.</w:t>
      </w: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  <w:lang w:val="ru-RU"/>
        </w:rPr>
        <w:t>С.</w:t>
      </w:r>
      <w:r>
        <w:rPr>
          <w:b/>
          <w:bCs/>
          <w:lang w:val="ru-RU"/>
        </w:rPr>
        <w:tab/>
        <w:t>Проблемы, вызывающие озабоченность, и рекомендации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отмечает наличие расхождения между оценкой государства-участника, согласно которой йеменское общество является этнически однородным, и имеющейся в распоряжении Комитета достоверной информации о построенных по родовому признаку и имеющих отличимую культуру группах, таких, как ахдамы.</w:t>
      </w:r>
    </w:p>
    <w:p w:rsidR="00000000" w:rsidRDefault="00000000">
      <w:pPr>
        <w:ind w:left="567" w:hanging="567"/>
        <w:rPr>
          <w:b/>
          <w:bCs/>
        </w:rPr>
      </w:pPr>
      <w:r>
        <w:rPr>
          <w:lang w:val="ru-RU"/>
        </w:rPr>
        <w:tab/>
      </w:r>
      <w:r>
        <w:rPr>
          <w:b/>
          <w:bCs/>
          <w:lang w:val="ru-RU"/>
        </w:rPr>
        <w:t>С учетом своей общей рекомендации</w:t>
      </w:r>
      <w:r>
        <w:rPr>
          <w:b/>
          <w:bCs/>
        </w:rPr>
        <w:t> </w:t>
      </w:r>
      <w:r>
        <w:rPr>
          <w:b/>
          <w:bCs/>
          <w:lang w:val="ru-RU"/>
        </w:rPr>
        <w:t>№</w:t>
      </w:r>
      <w:r>
        <w:rPr>
          <w:b/>
          <w:bCs/>
        </w:rPr>
        <w:t> </w:t>
      </w:r>
      <w:r>
        <w:rPr>
          <w:b/>
          <w:bCs/>
          <w:lang w:val="ru-RU"/>
        </w:rPr>
        <w:t>4 (1973</w:t>
      </w:r>
      <w:r>
        <w:rPr>
          <w:b/>
          <w:bCs/>
        </w:rPr>
        <w:t> </w:t>
      </w:r>
      <w:r>
        <w:rPr>
          <w:b/>
          <w:bCs/>
          <w:lang w:val="ru-RU"/>
        </w:rPr>
        <w:t>год) и пункта</w:t>
      </w:r>
      <w:r>
        <w:rPr>
          <w:b/>
          <w:bCs/>
        </w:rPr>
        <w:t> </w:t>
      </w:r>
      <w:r>
        <w:rPr>
          <w:b/>
          <w:bCs/>
          <w:lang w:val="ru-RU"/>
        </w:rPr>
        <w:t>8 своих Руководящих принципов, касающихся представления докладов, Комитет вновь обращает внимание государства-участника на свою рекомендацию представить в следующем периодическом докладе информацию об этническом составе населения.  Кроме того, он напоминает свою общую рекомендацию</w:t>
      </w:r>
      <w:r>
        <w:rPr>
          <w:b/>
          <w:bCs/>
        </w:rPr>
        <w:t> </w:t>
      </w:r>
      <w:r>
        <w:rPr>
          <w:b/>
          <w:bCs/>
          <w:lang w:val="ru-RU"/>
        </w:rPr>
        <w:t>№</w:t>
      </w:r>
      <w:r>
        <w:rPr>
          <w:b/>
          <w:bCs/>
        </w:rPr>
        <w:t> </w:t>
      </w:r>
      <w:r>
        <w:rPr>
          <w:b/>
          <w:bCs/>
          <w:lang w:val="ru-RU"/>
        </w:rPr>
        <w:t>8, в которой указано, что причисление конкретных лиц к той или иной расовой или этнической группе</w:t>
      </w:r>
      <w:r>
        <w:rPr>
          <w:b/>
          <w:bCs/>
        </w:rPr>
        <w:t> </w:t>
      </w:r>
      <w:r>
        <w:rPr>
          <w:b/>
          <w:bCs/>
          <w:lang w:val="ru-RU"/>
        </w:rPr>
        <w:noBreakHyphen/>
        <w:t xml:space="preserve"> при отсутствии обстоятельств, делающих такое причисление неправомерным,</w:t>
      </w:r>
      <w:r>
        <w:rPr>
          <w:b/>
          <w:bCs/>
        </w:rPr>
        <w:t> </w:t>
      </w:r>
      <w:r>
        <w:rPr>
          <w:b/>
          <w:bCs/>
          <w:lang w:val="ru-RU"/>
        </w:rPr>
        <w:noBreakHyphen/>
        <w:t xml:space="preserve"> должно осуществляться с учетом мнения соответствующего индивидуума, и обращает внимание государства-участника на общую рекомендацию</w:t>
      </w:r>
      <w:r>
        <w:rPr>
          <w:b/>
          <w:bCs/>
        </w:rPr>
        <w:t> </w:t>
      </w:r>
      <w:r>
        <w:rPr>
          <w:b/>
          <w:bCs/>
          <w:lang w:val="ru-RU"/>
        </w:rPr>
        <w:t>№</w:t>
      </w:r>
      <w:r>
        <w:rPr>
          <w:b/>
          <w:bCs/>
        </w:rPr>
        <w:t> </w:t>
      </w:r>
      <w:r>
        <w:rPr>
          <w:b/>
          <w:bCs/>
          <w:lang w:val="ru-RU"/>
        </w:rPr>
        <w:t>29 (2002</w:t>
      </w:r>
      <w:r>
        <w:rPr>
          <w:b/>
          <w:bCs/>
        </w:rPr>
        <w:t> </w:t>
      </w:r>
      <w:r>
        <w:rPr>
          <w:b/>
          <w:bCs/>
          <w:lang w:val="ru-RU"/>
        </w:rPr>
        <w:t>год) по пункту</w:t>
      </w:r>
      <w:r>
        <w:rPr>
          <w:b/>
          <w:bCs/>
        </w:rPr>
        <w:t> </w:t>
      </w:r>
      <w:r>
        <w:rPr>
          <w:b/>
          <w:bCs/>
          <w:lang w:val="ru-RU"/>
        </w:rPr>
        <w:t>1 статьи</w:t>
      </w:r>
      <w:r>
        <w:rPr>
          <w:b/>
          <w:bCs/>
        </w:rPr>
        <w:t> </w:t>
      </w:r>
      <w:r>
        <w:rPr>
          <w:b/>
          <w:bCs/>
          <w:lang w:val="ru-RU"/>
        </w:rPr>
        <w:t>1 Конвенции (родовое происхождение).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по</w:t>
      </w:r>
      <w:r>
        <w:rPr>
          <w:lang w:val="ru-RU"/>
        </w:rPr>
        <w:noBreakHyphen/>
        <w:t>прежнему обеспокоен отсутствием во внутреннем законодательстве определения расовой дискриминации (статья</w:t>
      </w:r>
      <w:r>
        <w:t> </w:t>
      </w:r>
      <w:r>
        <w:rPr>
          <w:lang w:val="ru-RU"/>
        </w:rPr>
        <w:t>1).</w:t>
      </w:r>
    </w:p>
    <w:p w:rsidR="00000000" w:rsidRDefault="00000000">
      <w:pPr>
        <w:ind w:left="567" w:hanging="567"/>
        <w:rPr>
          <w:b/>
          <w:bCs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включить во внутреннее законодательство определение расовой дискриминации, учитывающее все элементы, изложенные в статье</w:t>
      </w:r>
      <w:r>
        <w:rPr>
          <w:b/>
          <w:bCs/>
        </w:rPr>
        <w:t> </w:t>
      </w:r>
      <w:r>
        <w:rPr>
          <w:b/>
          <w:bCs/>
          <w:lang w:val="ru-RU"/>
        </w:rPr>
        <w:t>1 Конвенции, которая определяет расовую дискриминацию, как дискриминацию, основанную на признаках расы, цвета кожи, родового, национального или этнического происхождения.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с обеспокоенностью отмечает, что статус Конвенции во внутреннем праве остается неясным и что на Конвенцию, очевидно, никогда не делалось прямых ссылок в йеменских судах.</w:t>
      </w:r>
    </w:p>
    <w:p w:rsidR="00000000" w:rsidRDefault="00000000">
      <w:pPr>
        <w:ind w:left="567" w:hanging="567"/>
        <w:rPr>
          <w:b/>
          <w:bCs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призывает государство-участник принять все необходимые меры для обеспечения эффективного соблюдения Конвенции во внутренней правовой системе.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напоминает о выраженной им ранее обеспокоенности по поводу отсутствия всеобъемлющего законодательства о недопущении и запрещении расовой дискриминации по признакам расы, цвета кожи, родового, национального или этнического происхождения (статья</w:t>
      </w:r>
      <w:r>
        <w:t> </w:t>
      </w:r>
      <w:r>
        <w:rPr>
          <w:lang w:val="ru-RU"/>
        </w:rPr>
        <w:t>2).</w:t>
      </w:r>
    </w:p>
    <w:p w:rsidR="00000000" w:rsidRDefault="00000000">
      <w:pPr>
        <w:ind w:left="567" w:hanging="567"/>
        <w:rPr>
          <w:b/>
          <w:bCs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настоятельно призывает государство-участник принять все необходимые и надлежащие меры по распространению всесторонней защиты от расовой дискриминации на всех лиц независимо от их расы, цвета кожи, родового, национального или этнического происхождения.  В</w:t>
      </w:r>
      <w:r>
        <w:rPr>
          <w:b/>
          <w:bCs/>
        </w:rPr>
        <w:t> </w:t>
      </w:r>
      <w:r>
        <w:rPr>
          <w:b/>
          <w:bCs/>
          <w:lang w:val="ru-RU"/>
        </w:rPr>
        <w:t>этой связи Комитет рекомендует государству-участнику укрепить национальное законодательство и установить всеобъемлющий антидискриминационный правовой режим в соответствии с требованиями статьи</w:t>
      </w:r>
      <w:r>
        <w:rPr>
          <w:b/>
          <w:bCs/>
        </w:rPr>
        <w:t> </w:t>
      </w:r>
      <w:r>
        <w:rPr>
          <w:b/>
          <w:bCs/>
          <w:lang w:val="ru-RU"/>
        </w:rPr>
        <w:t>2 Конвенции.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Отмечая наличие в Уголовном кодексе положений, предусматривающих наказание за правонарушения, связанные с дискриминацией и актами насилия, Комитет вместе с тем напоминает о выраженной им ранее обеспокоенности по поводу отсутствия четкого уголовного положения во внутреннем законодательстве Йемена, которое предусматривало бы установление уголовной ответственности и назначение наказаний за весь перечень деяний и видов деятельности, упоминаемых в статье</w:t>
      </w:r>
      <w:r>
        <w:t> </w:t>
      </w:r>
      <w:r>
        <w:rPr>
          <w:lang w:val="ru-RU"/>
        </w:rPr>
        <w:t>4 Конвенции.</w:t>
      </w:r>
    </w:p>
    <w:p w:rsidR="00000000" w:rsidRDefault="00000000">
      <w:pPr>
        <w:ind w:left="567" w:hanging="567"/>
        <w:rPr>
          <w:b/>
          <w:bCs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ссылается на свою рекомендацию государству-участнику пересмотреть Уголовный кодекс с целью принятия конкретного законодательства и обеспечения в полном объеме соблюдения положений статьи</w:t>
      </w:r>
      <w:r>
        <w:rPr>
          <w:b/>
          <w:bCs/>
        </w:rPr>
        <w:t> </w:t>
      </w:r>
      <w:r>
        <w:rPr>
          <w:b/>
          <w:bCs/>
          <w:lang w:val="ru-RU"/>
        </w:rPr>
        <w:t>4.  Комитет также обращает внимание государства-участника на свою общую рекомендацию</w:t>
      </w:r>
      <w:r>
        <w:rPr>
          <w:b/>
          <w:bCs/>
        </w:rPr>
        <w:t> </w:t>
      </w:r>
      <w:r>
        <w:rPr>
          <w:b/>
          <w:bCs/>
          <w:lang w:val="ru-RU"/>
        </w:rPr>
        <w:t>№</w:t>
      </w:r>
      <w:r>
        <w:rPr>
          <w:b/>
          <w:bCs/>
        </w:rPr>
        <w:t> </w:t>
      </w:r>
      <w:r>
        <w:rPr>
          <w:b/>
          <w:bCs/>
          <w:lang w:val="ru-RU"/>
        </w:rPr>
        <w:t>15 и рекомендует ему принять активные меры по обеспечению эффективного соблюдения такого законодательства.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отмечает, что Йемен до сих пор не снял свою оговорку к пункту</w:t>
      </w:r>
      <w:r>
        <w:t> </w:t>
      </w:r>
      <w:r>
        <w:rPr>
          <w:lang w:val="ru-RU"/>
        </w:rPr>
        <w:t>с) и подпунктам</w:t>
      </w:r>
      <w:r>
        <w:t> </w:t>
      </w:r>
      <w:r>
        <w:rPr>
          <w:lang w:val="en-US"/>
        </w:rPr>
        <w:t>iv</w:t>
      </w:r>
      <w:r>
        <w:rPr>
          <w:lang w:val="ru-RU"/>
        </w:rPr>
        <w:t xml:space="preserve">), </w:t>
      </w:r>
      <w:r>
        <w:rPr>
          <w:lang w:val="en-US"/>
        </w:rPr>
        <w:t>vi</w:t>
      </w:r>
      <w:r>
        <w:rPr>
          <w:lang w:val="ru-RU"/>
        </w:rPr>
        <w:t xml:space="preserve">) и </w:t>
      </w:r>
      <w:r>
        <w:rPr>
          <w:lang w:val="en-US"/>
        </w:rPr>
        <w:t>vii</w:t>
      </w:r>
      <w:r>
        <w:rPr>
          <w:lang w:val="ru-RU"/>
        </w:rPr>
        <w:t>) пункта</w:t>
      </w:r>
      <w:r>
        <w:t> </w:t>
      </w:r>
      <w:r>
        <w:rPr>
          <w:lang w:val="en-US"/>
        </w:rPr>
        <w:t>d</w:t>
      </w:r>
      <w:r>
        <w:rPr>
          <w:lang w:val="ru-RU"/>
        </w:rPr>
        <w:t>) статьи</w:t>
      </w:r>
      <w:r>
        <w:t> </w:t>
      </w:r>
      <w:r>
        <w:rPr>
          <w:lang w:val="ru-RU"/>
        </w:rPr>
        <w:t>5 Конвенции.</w:t>
      </w:r>
    </w:p>
    <w:p w:rsidR="00000000" w:rsidRDefault="00000000">
      <w:pPr>
        <w:ind w:left="567" w:hanging="567"/>
        <w:rPr>
          <w:b/>
          <w:bCs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напоминает о своей рекомендации государству-участнику рассмотреть возможности снятия своей оговорки к пункту</w:t>
      </w:r>
      <w:r>
        <w:rPr>
          <w:b/>
          <w:bCs/>
        </w:rPr>
        <w:t> </w:t>
      </w:r>
      <w:r>
        <w:rPr>
          <w:b/>
          <w:bCs/>
          <w:lang w:val="ru-RU"/>
        </w:rPr>
        <w:t>с) и подпунктам</w:t>
      </w:r>
      <w:r>
        <w:rPr>
          <w:b/>
          <w:bCs/>
        </w:rPr>
        <w:t> </w:t>
      </w:r>
      <w:r>
        <w:rPr>
          <w:b/>
          <w:bCs/>
          <w:lang w:val="en-US"/>
        </w:rPr>
        <w:t>iv</w:t>
      </w:r>
      <w:r>
        <w:rPr>
          <w:b/>
          <w:bCs/>
          <w:lang w:val="ru-RU"/>
        </w:rPr>
        <w:t xml:space="preserve">), </w:t>
      </w:r>
      <w:r>
        <w:rPr>
          <w:b/>
          <w:bCs/>
          <w:lang w:val="en-US"/>
        </w:rPr>
        <w:t>vi</w:t>
      </w:r>
      <w:r>
        <w:rPr>
          <w:b/>
          <w:bCs/>
          <w:lang w:val="ru-RU"/>
        </w:rPr>
        <w:t xml:space="preserve">) и </w:t>
      </w:r>
      <w:r>
        <w:rPr>
          <w:b/>
          <w:bCs/>
          <w:lang w:val="en-US"/>
        </w:rPr>
        <w:t>vii</w:t>
      </w:r>
      <w:r>
        <w:rPr>
          <w:b/>
          <w:bCs/>
          <w:lang w:val="ru-RU"/>
        </w:rPr>
        <w:t>) пункта</w:t>
      </w:r>
      <w:r>
        <w:rPr>
          <w:b/>
          <w:bCs/>
        </w:rPr>
        <w:t> </w:t>
      </w:r>
      <w:r>
        <w:rPr>
          <w:b/>
          <w:bCs/>
          <w:lang w:val="en-US"/>
        </w:rPr>
        <w:t>d</w:t>
      </w:r>
      <w:r>
        <w:rPr>
          <w:b/>
          <w:bCs/>
          <w:lang w:val="ru-RU"/>
        </w:rPr>
        <w:t>) статьи</w:t>
      </w:r>
      <w:r>
        <w:rPr>
          <w:b/>
          <w:bCs/>
        </w:rPr>
        <w:t> </w:t>
      </w:r>
      <w:r>
        <w:rPr>
          <w:b/>
          <w:bCs/>
          <w:lang w:val="ru-RU"/>
        </w:rPr>
        <w:t>5 Конвенции.</w:t>
      </w:r>
    </w:p>
    <w:p w:rsidR="00000000" w:rsidRDefault="00000000">
      <w:pPr>
        <w:numPr>
          <w:ilvl w:val="0"/>
          <w:numId w:val="1"/>
        </w:numPr>
      </w:pPr>
      <w:r>
        <w:rPr>
          <w:lang w:val="ru-RU"/>
        </w:rPr>
        <w:t>Приветствуя политику открытых дверей государства-участника по отношению к беженцам из стран Африканского Рога, Комитет вместе с тем выражает обеспокоенность по поводу отсутствия национального законодательства, конкретно определяющего права беженцев.  Кроме того, он также обеспокоен неблагоприятными условиями жизни и сообщениями об отсутствии доступа беженцев к образованию, трудоустройству, здравоохранению и защите от физического насилия и жестокого обращения (статья</w:t>
      </w:r>
      <w:r>
        <w:t> </w:t>
      </w:r>
      <w:r>
        <w:rPr>
          <w:lang w:val="ru-RU"/>
        </w:rPr>
        <w:t>5).</w:t>
      </w:r>
    </w:p>
    <w:p w:rsidR="00000000" w:rsidRDefault="00000000">
      <w:pPr>
        <w:ind w:left="567" w:hanging="567"/>
        <w:rPr>
          <w:b/>
          <w:bCs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обращает внимание государства-участника на общую рекомендацию</w:t>
      </w:r>
      <w:r>
        <w:rPr>
          <w:b/>
          <w:bCs/>
        </w:rPr>
        <w:t> </w:t>
      </w:r>
      <w:r>
        <w:rPr>
          <w:b/>
          <w:bCs/>
          <w:lang w:val="ru-RU"/>
        </w:rPr>
        <w:t>№</w:t>
      </w:r>
      <w:r>
        <w:rPr>
          <w:b/>
          <w:bCs/>
        </w:rPr>
        <w:t> </w:t>
      </w:r>
      <w:r>
        <w:rPr>
          <w:b/>
          <w:bCs/>
          <w:lang w:val="ru-RU"/>
        </w:rPr>
        <w:t>30 о дискриминации неграждан (2004</w:t>
      </w:r>
      <w:r>
        <w:rPr>
          <w:b/>
          <w:bCs/>
        </w:rPr>
        <w:t> </w:t>
      </w:r>
      <w:r>
        <w:rPr>
          <w:b/>
          <w:bCs/>
          <w:lang w:val="ru-RU"/>
        </w:rPr>
        <w:t>год) и просит государство-участник установить рамки законодательной защиты для беженцев и устранить препятствия, мешающие осуществлению экономических, социальных и культурных прав беженцев, особенно в таких областях, как образование, трудоустройство и здравоохранение.  Кроме того, он рекомендует государству-участнику тщательно, беспристрастно и эффективно расследовать любые утверждения о физическом насилии в отношении беженцев и жестоком обращении с ними, а также привлекать к уголовной ответственности лиц, виновных в совершении таких деяний, и обеспечить предоставление адекватных средств правовой защиты и компенсации жертвам.</w:t>
      </w:r>
    </w:p>
    <w:p w:rsidR="00000000" w:rsidRDefault="00000000">
      <w:pPr>
        <w:numPr>
          <w:ilvl w:val="0"/>
          <w:numId w:val="1"/>
        </w:numPr>
      </w:pPr>
      <w:r>
        <w:rPr>
          <w:lang w:val="ru-RU"/>
        </w:rPr>
        <w:t>Комитет серьезно обеспокоен неоднократными сообщениями о существующей де</w:t>
      </w:r>
      <w:r>
        <w:rPr>
          <w:lang w:val="ru-RU"/>
        </w:rPr>
        <w:noBreakHyphen/>
        <w:t>факто дискриминации в отношении построенных по родовому признаку и имеющих отличительную культуру общин, включая ахдамов.  Комитет особо обеспокоен дискриминацией, которая препятствует или не позволяет им пользоваться своими экономическими, социальными и культурными правами (пункт</w:t>
      </w:r>
      <w:r>
        <w:t> </w:t>
      </w:r>
      <w:r>
        <w:rPr>
          <w:lang w:val="ru-RU"/>
        </w:rPr>
        <w:t>2 статьи</w:t>
      </w:r>
      <w:r>
        <w:t> </w:t>
      </w:r>
      <w:r>
        <w:rPr>
          <w:lang w:val="ru-RU"/>
        </w:rPr>
        <w:t>2 и статья</w:t>
      </w:r>
      <w:r>
        <w:t> </w:t>
      </w:r>
      <w:r>
        <w:rPr>
          <w:lang w:val="ru-RU"/>
        </w:rPr>
        <w:t>5).</w:t>
      </w:r>
    </w:p>
    <w:p w:rsidR="00000000" w:rsidRDefault="00000000">
      <w:pPr>
        <w:ind w:left="567" w:hanging="567"/>
        <w:rPr>
          <w:b/>
          <w:bCs/>
        </w:rPr>
      </w:pPr>
      <w:r>
        <w:rPr>
          <w:lang w:val="ru-RU"/>
        </w:rPr>
        <w:tab/>
      </w:r>
      <w:r>
        <w:rPr>
          <w:b/>
          <w:bCs/>
          <w:lang w:val="ru-RU"/>
        </w:rPr>
        <w:t>С учетом своей общей рекомендации №</w:t>
      </w:r>
      <w:r>
        <w:rPr>
          <w:b/>
          <w:bCs/>
        </w:rPr>
        <w:t> </w:t>
      </w:r>
      <w:r>
        <w:rPr>
          <w:b/>
          <w:bCs/>
          <w:lang w:val="ru-RU"/>
        </w:rPr>
        <w:t>29 Комитет рекомендует государству-участнику разработать и осуществить при участии членов пострадавших общин национальную стратегию, включая особые меры, подлежащие принятию в соответствии с пунктом</w:t>
      </w:r>
      <w:r>
        <w:rPr>
          <w:b/>
          <w:bCs/>
        </w:rPr>
        <w:t> </w:t>
      </w:r>
      <w:r>
        <w:rPr>
          <w:b/>
          <w:bCs/>
          <w:lang w:val="ru-RU"/>
        </w:rPr>
        <w:t>2 статьи</w:t>
      </w:r>
      <w:r>
        <w:rPr>
          <w:b/>
          <w:bCs/>
        </w:rPr>
        <w:t> </w:t>
      </w:r>
      <w:r>
        <w:rPr>
          <w:b/>
          <w:bCs/>
          <w:lang w:val="ru-RU"/>
        </w:rPr>
        <w:t>2 Конвенции, с целью ликвидации дискриминации в отношении представителей маргинализованных и уязвимых групп, построенных по родовому признаку.  Комитет, в частности, рекомендует государству-участнику разработать законодательство и меры, запрещающие любые проявления дискриминационной практики по родовому признаку в области трудоустройства и жилья, а также обеспечить равный доступ к службам здравоохранения и социального обеспечения членов пострадавших общин, и в частности ахдамов.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с обеспокоенностью отмечает полученные им сообщения, свидетельствующие о том, что представители общины ахдамов сталкиваются с трудностями и даже непреодолимыми препятствиями с точки зрения эффективного осуществления своего права на владение имуществом (статья</w:t>
      </w:r>
      <w:r>
        <w:t> </w:t>
      </w:r>
      <w:r>
        <w:rPr>
          <w:lang w:val="ru-RU"/>
        </w:rPr>
        <w:t xml:space="preserve">5 </w:t>
      </w:r>
      <w:r>
        <w:t>d</w:t>
      </w:r>
      <w:r>
        <w:rPr>
          <w:lang w:val="ru-RU"/>
        </w:rPr>
        <w:t xml:space="preserve">) </w:t>
      </w:r>
      <w:r>
        <w:t>v</w:t>
      </w:r>
      <w:r>
        <w:rPr>
          <w:lang w:val="ru-RU"/>
        </w:rPr>
        <w:t>)).</w:t>
      </w:r>
    </w:p>
    <w:p w:rsidR="00000000" w:rsidRDefault="00000000">
      <w:pPr>
        <w:ind w:left="567" w:hanging="567"/>
        <w:rPr>
          <w:b/>
          <w:bCs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просит государство-участник представить дополнительную информацию о праве всех лиц, находящихся на его территории, включая членов маргинализованных или уязвимых групп, приобретать имущество и владеть им.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Отмечая, что в период с 2002 по 2004</w:t>
      </w:r>
      <w:r>
        <w:t> </w:t>
      </w:r>
      <w:r>
        <w:rPr>
          <w:lang w:val="ru-RU"/>
        </w:rPr>
        <w:t>год министерством по правам человека было получено более 1</w:t>
      </w:r>
      <w:r>
        <w:t> </w:t>
      </w:r>
      <w:r>
        <w:rPr>
          <w:lang w:val="ru-RU"/>
        </w:rPr>
        <w:t>200</w:t>
      </w:r>
      <w:r>
        <w:t> </w:t>
      </w:r>
      <w:r>
        <w:rPr>
          <w:lang w:val="ru-RU"/>
        </w:rPr>
        <w:t>жалоб о нарушениях прав, Комитет вместе с тем отмечает отсутствие жалоб по поводу расовой дискриминации (статья</w:t>
      </w:r>
      <w:r>
        <w:t> </w:t>
      </w:r>
      <w:r>
        <w:rPr>
          <w:lang w:val="ru-RU"/>
        </w:rPr>
        <w:t>6).</w:t>
      </w:r>
    </w:p>
    <w:p w:rsidR="00000000" w:rsidRDefault="00000000">
      <w:pPr>
        <w:ind w:left="567" w:hanging="567"/>
      </w:pPr>
      <w:r>
        <w:rPr>
          <w:lang w:val="ru-RU"/>
        </w:rPr>
        <w:tab/>
      </w:r>
      <w:r>
        <w:rPr>
          <w:b/>
          <w:bCs/>
          <w:lang w:val="ru-RU"/>
        </w:rPr>
        <w:t>Комитет просит государство-участник включить в свой следующий периодический доклад статистическую информацию о случаях возбуждения уголовного преследования и о назначенных наказаниях за совершение правонарушений, связанных с расовой дискриминацией, а также примеры применения соответствующих положений существующего внутреннего законодательства.  Комитет напоминает государству-участнику, что сам по себе факт отсутствия жалоб и судебных исков со стороны жертв расовой дискриминации может в значительной степени указывать на отсутствие соответствующего конкретного законодательства, на отсутствие осведомленности о наличии средств правовой защиты или на недостаточную решимость со стороны властей преследовать такие деяния.  Комитет просит государство-участник предусмотреть соответствующие положения в национальном законодательстве и проинформировать население о наличии всех средств правовой защиты в области расовой дискриминации.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отмечает, что государство-участник не сделало факультативного заявления, предусмотренного в статье</w:t>
      </w:r>
      <w:r>
        <w:t> </w:t>
      </w:r>
      <w:r>
        <w:rPr>
          <w:lang w:val="ru-RU"/>
        </w:rPr>
        <w:t>14 Конвенции, и настоятельно призывает его рассмотреть возможность такого заявления.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принимать во внимание соответствующие части Дурбанской декларации и Программы действий при осуществлении Конвенции во внутреннем праве, в частности статей</w:t>
      </w:r>
      <w:r>
        <w:t> </w:t>
      </w:r>
      <w:r>
        <w:rPr>
          <w:lang w:val="ru-RU"/>
        </w:rPr>
        <w:t>2-7, и включить в свой следующий периодический доклад информацию о планах дальнейших действий и других мерах, принятых в порядке осуществления Дурбанской декларации и Программы действий на национальном уровне.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ратифицировать Международную конвенцию о защите прав всех трудящихся-мигрантов и членов их семей.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призывает государство-участник продолжать проведение программ подготовки и повышения информированности по вопросам, касающимся положений Конвенции, среди работников судебной системы, сотрудников правоохранительных органов, учителей, социальных работников и других государственных должностных лиц.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продолжать консультации и расширять его диалог с организациями гражданского общества, занимающимися вопросами борьбы против расовой дискриминации, в связи с подготовкой следующего периодического доклада.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обнародовать свои доклады с момента их представления и обеспечить аналогичное распространение замечаний и рекомендаций Комитета по этим докладам.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В соответствии с пунктом</w:t>
      </w:r>
      <w:r>
        <w:t> </w:t>
      </w:r>
      <w:r>
        <w:rPr>
          <w:lang w:val="ru-RU"/>
        </w:rPr>
        <w:t>1 правила</w:t>
      </w:r>
      <w:r>
        <w:t> </w:t>
      </w:r>
      <w:r>
        <w:rPr>
          <w:lang w:val="ru-RU"/>
        </w:rPr>
        <w:t>65 правил процедуры Комитета государству-участнику следует в течение одного года представить информацию о мерах, принятых им в связи с рекомендациями Комитета, содержащимися в пунктах</w:t>
      </w:r>
      <w:r>
        <w:t> </w:t>
      </w:r>
      <w:r>
        <w:rPr>
          <w:rFonts w:eastAsia="SimSun"/>
          <w:lang w:val="ru-RU" w:eastAsia="zh-CN"/>
        </w:rPr>
        <w:t xml:space="preserve">13, 14 </w:t>
      </w:r>
      <w:r>
        <w:rPr>
          <w:lang w:val="ru-RU"/>
        </w:rPr>
        <w:t>и</w:t>
      </w:r>
      <w:r>
        <w:rPr>
          <w:rFonts w:eastAsia="SimSun"/>
          <w:lang w:val="ru-RU" w:eastAsia="zh-CN"/>
        </w:rPr>
        <w:t xml:space="preserve"> 15 </w:t>
      </w:r>
      <w:r>
        <w:rPr>
          <w:lang w:val="ru-RU"/>
        </w:rPr>
        <w:t>выше.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представить свои семнадцатый и восемнадцатый периодические доклады в едином документе к 17</w:t>
      </w:r>
      <w:r>
        <w:t> </w:t>
      </w:r>
      <w:r>
        <w:rPr>
          <w:lang w:val="ru-RU"/>
        </w:rPr>
        <w:t>ноября 2009</w:t>
      </w:r>
      <w:r>
        <w:t> </w:t>
      </w:r>
      <w:r>
        <w:rPr>
          <w:lang w:val="ru-RU"/>
        </w:rPr>
        <w:t>года и отразить в нем все вопросы, затронутые в настоящих заключительных замечаниях.</w:t>
      </w:r>
    </w:p>
    <w:p w:rsidR="00000000" w:rsidRDefault="00000000">
      <w:pPr>
        <w:jc w:val="center"/>
      </w:pPr>
      <w:r>
        <w:t>- - -</w:t>
      </w:r>
    </w:p>
    <w:sectPr w:rsidR="00000000">
      <w:headerReference w:type="even" r:id="rId9"/>
      <w:headerReference w:type="default" r:id="rId10"/>
      <w:footerReference w:type="first" r:id="rId11"/>
      <w:pgSz w:w="11906" w:h="16838"/>
      <w:pgMar w:top="1440" w:right="1440" w:bottom="1440" w:left="1440" w:header="1021" w:footer="836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fr-CH"/>
      </w:rPr>
    </w:pPr>
    <w:r>
      <w:rPr>
        <w:lang w:val="fr-CH"/>
      </w:rPr>
      <w:t>GE.06-44778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after="0"/>
    </w:pPr>
    <w:r>
      <w:t>CERD/C/YEM/CO/16</w:t>
    </w:r>
  </w:p>
  <w:p w:rsidR="00000000" w:rsidRDefault="00000000">
    <w:pPr>
      <w:pStyle w:val="Header"/>
      <w:spacing w:after="0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640"/>
        <w:tab w:val="right" w:pos="9000"/>
      </w:tabs>
      <w:spacing w:after="0"/>
    </w:pPr>
    <w:r>
      <w:tab/>
    </w:r>
    <w:r>
      <w:tab/>
      <w:t>CERD/C/YEM/CO/16</w:t>
    </w:r>
  </w:p>
  <w:p w:rsidR="00000000" w:rsidRDefault="00000000">
    <w:pPr>
      <w:pStyle w:val="Header"/>
      <w:tabs>
        <w:tab w:val="clear" w:pos="8640"/>
        <w:tab w:val="right" w:pos="9000"/>
      </w:tabs>
      <w:spacing w:after="0"/>
      <w:rPr>
        <w:rStyle w:val="PageNumber"/>
      </w:rPr>
    </w:pPr>
    <w:r>
      <w:tab/>
      <w:t xml:space="preserve">                                                                                               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640"/>
        <w:tab w:val="right" w:pos="9000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740B"/>
    <w:multiLevelType w:val="hybridMultilevel"/>
    <w:tmpl w:val="EC0415AE"/>
    <w:lvl w:ilvl="0" w:tplc="928A3DEC">
      <w:start w:val="1"/>
      <w:numFmt w:val="decimal"/>
      <w:lvlText w:val="%1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FC6EC4"/>
    <w:multiLevelType w:val="hybridMultilevel"/>
    <w:tmpl w:val="23AA7862"/>
    <w:lvl w:ilvl="0" w:tplc="8F2E58EE">
      <w:start w:val="43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B27DF1"/>
    <w:multiLevelType w:val="hybridMultilevel"/>
    <w:tmpl w:val="52ECBF78"/>
    <w:lvl w:ilvl="0" w:tplc="4F7CAA1A">
      <w:start w:val="44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9B6FFF"/>
    <w:multiLevelType w:val="hybridMultilevel"/>
    <w:tmpl w:val="3F061C46"/>
    <w:lvl w:ilvl="0" w:tplc="778484DA">
      <w:start w:val="45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A47CB8"/>
    <w:multiLevelType w:val="hybridMultilevel"/>
    <w:tmpl w:val="03EA8634"/>
    <w:lvl w:ilvl="0" w:tplc="9FB09FE8">
      <w:start w:val="45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C10B03"/>
    <w:multiLevelType w:val="hybridMultilevel"/>
    <w:tmpl w:val="8A60E60A"/>
    <w:lvl w:ilvl="0" w:tplc="1C50B3D6">
      <w:start w:val="45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FE6198"/>
    <w:multiLevelType w:val="hybridMultilevel"/>
    <w:tmpl w:val="6FACB9BE"/>
    <w:lvl w:ilvl="0" w:tplc="0F80090C">
      <w:start w:val="45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347158"/>
    <w:multiLevelType w:val="hybridMultilevel"/>
    <w:tmpl w:val="F496A7C4"/>
    <w:lvl w:ilvl="0" w:tplc="87D0C116">
      <w:start w:val="44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BE35D4"/>
    <w:multiLevelType w:val="hybridMultilevel"/>
    <w:tmpl w:val="D2DA8E4E"/>
    <w:lvl w:ilvl="0" w:tplc="79D8E88C">
      <w:start w:val="44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74206B"/>
    <w:multiLevelType w:val="hybridMultilevel"/>
    <w:tmpl w:val="3EA6D020"/>
    <w:lvl w:ilvl="0" w:tplc="C0924CEA">
      <w:start w:val="44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2DA5623"/>
    <w:multiLevelType w:val="hybridMultilevel"/>
    <w:tmpl w:val="937EB40A"/>
    <w:lvl w:ilvl="0" w:tplc="8D88403C">
      <w:start w:val="44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CA59C8"/>
    <w:multiLevelType w:val="hybridMultilevel"/>
    <w:tmpl w:val="9A6CBD1E"/>
    <w:lvl w:ilvl="0" w:tplc="B2B077AC">
      <w:start w:val="44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555553"/>
    <w:multiLevelType w:val="hybridMultilevel"/>
    <w:tmpl w:val="F9EEA5F4"/>
    <w:lvl w:ilvl="0" w:tplc="DD1AE948">
      <w:start w:val="44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41115"/>
    <w:multiLevelType w:val="hybridMultilevel"/>
    <w:tmpl w:val="2BBAD7EE"/>
    <w:lvl w:ilvl="0" w:tplc="62F27C76">
      <w:start w:val="45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736EFB"/>
    <w:multiLevelType w:val="hybridMultilevel"/>
    <w:tmpl w:val="0B24BC1A"/>
    <w:lvl w:ilvl="0" w:tplc="EA0A233C">
      <w:start w:val="43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5E61E10"/>
    <w:multiLevelType w:val="hybridMultilevel"/>
    <w:tmpl w:val="6DBC594E"/>
    <w:lvl w:ilvl="0" w:tplc="6B32E4A0">
      <w:start w:val="44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D3E6459"/>
    <w:multiLevelType w:val="hybridMultilevel"/>
    <w:tmpl w:val="9342E01C"/>
    <w:lvl w:ilvl="0" w:tplc="F4A297D6">
      <w:start w:val="44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15624A"/>
    <w:multiLevelType w:val="hybridMultilevel"/>
    <w:tmpl w:val="EED62742"/>
    <w:lvl w:ilvl="0" w:tplc="928EC026">
      <w:start w:val="45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3A44621"/>
    <w:multiLevelType w:val="hybridMultilevel"/>
    <w:tmpl w:val="77A0CD3E"/>
    <w:lvl w:ilvl="0" w:tplc="1FAC5CA4">
      <w:start w:val="43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80731B"/>
    <w:multiLevelType w:val="hybridMultilevel"/>
    <w:tmpl w:val="A082478A"/>
    <w:lvl w:ilvl="0" w:tplc="3940D234">
      <w:start w:val="44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8D16345"/>
    <w:multiLevelType w:val="hybridMultilevel"/>
    <w:tmpl w:val="1A8A6534"/>
    <w:lvl w:ilvl="0" w:tplc="DE32D88C">
      <w:start w:val="45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6D7620"/>
    <w:multiLevelType w:val="hybridMultilevel"/>
    <w:tmpl w:val="518A79AE"/>
    <w:lvl w:ilvl="0" w:tplc="1334EFB4">
      <w:start w:val="43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01F2DE3"/>
    <w:multiLevelType w:val="hybridMultilevel"/>
    <w:tmpl w:val="0DF8484A"/>
    <w:lvl w:ilvl="0" w:tplc="7938B736">
      <w:start w:val="45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07B6554"/>
    <w:multiLevelType w:val="hybridMultilevel"/>
    <w:tmpl w:val="990E140C"/>
    <w:lvl w:ilvl="0" w:tplc="965A8AB4">
      <w:start w:val="43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255713E"/>
    <w:multiLevelType w:val="hybridMultilevel"/>
    <w:tmpl w:val="5FEA0B8E"/>
    <w:lvl w:ilvl="0" w:tplc="875AF1EA">
      <w:start w:val="45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99D5982"/>
    <w:multiLevelType w:val="hybridMultilevel"/>
    <w:tmpl w:val="19AC3C26"/>
    <w:lvl w:ilvl="0" w:tplc="633A1E4E">
      <w:start w:val="45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21"/>
  </w:num>
  <w:num w:numId="4">
    <w:abstractNumId w:val="23"/>
  </w:num>
  <w:num w:numId="5">
    <w:abstractNumId w:val="18"/>
  </w:num>
  <w:num w:numId="6">
    <w:abstractNumId w:val="1"/>
  </w:num>
  <w:num w:numId="7">
    <w:abstractNumId w:val="15"/>
  </w:num>
  <w:num w:numId="8">
    <w:abstractNumId w:val="2"/>
  </w:num>
  <w:num w:numId="9">
    <w:abstractNumId w:val="19"/>
  </w:num>
  <w:num w:numId="10">
    <w:abstractNumId w:val="11"/>
  </w:num>
  <w:num w:numId="11">
    <w:abstractNumId w:val="9"/>
  </w:num>
  <w:num w:numId="12">
    <w:abstractNumId w:val="8"/>
  </w:num>
  <w:num w:numId="13">
    <w:abstractNumId w:val="16"/>
  </w:num>
  <w:num w:numId="14">
    <w:abstractNumId w:val="12"/>
  </w:num>
  <w:num w:numId="15">
    <w:abstractNumId w:val="10"/>
  </w:num>
  <w:num w:numId="16">
    <w:abstractNumId w:val="7"/>
  </w:num>
  <w:num w:numId="17">
    <w:abstractNumId w:val="25"/>
  </w:num>
  <w:num w:numId="18">
    <w:abstractNumId w:val="17"/>
  </w:num>
  <w:num w:numId="19">
    <w:abstractNumId w:val="22"/>
  </w:num>
  <w:num w:numId="20">
    <w:abstractNumId w:val="5"/>
  </w:num>
  <w:num w:numId="21">
    <w:abstractNumId w:val="13"/>
  </w:num>
  <w:num w:numId="22">
    <w:abstractNumId w:val="6"/>
  </w:num>
  <w:num w:numId="23">
    <w:abstractNumId w:val="24"/>
  </w:num>
  <w:num w:numId="24">
    <w:abstractNumId w:val="4"/>
  </w:num>
  <w:num w:numId="25">
    <w:abstractNumId w:val="20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rFonts w:eastAsia="Times New Roman"/>
      <w:sz w:val="24"/>
      <w:lang w:val="en-GB" w:eastAsia="en-US"/>
    </w:rPr>
  </w:style>
  <w:style w:type="paragraph" w:styleId="Heading5">
    <w:name w:val="heading 5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spacing w:after="0" w:line="288" w:lineRule="auto"/>
      <w:outlineLvl w:val="4"/>
    </w:pPr>
    <w:rPr>
      <w:rFonts w:eastAsia="SimSun"/>
      <w:i/>
      <w:u w:val="single"/>
      <w:lang w:val="ru-RU"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азвание"/>
    <w:basedOn w:val="Normal"/>
    <w:pPr>
      <w:widowControl w:val="0"/>
      <w:spacing w:after="0"/>
    </w:pPr>
    <w:rPr>
      <w:rFonts w:ascii="Courier" w:hAnsi="Courier"/>
      <w:snapToGrid w:val="0"/>
      <w:lang w:val="ru-RU" w:eastAsia="ru-RU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1733</Words>
  <Characters>9880</Characters>
  <Application>Microsoft Office Word</Application>
  <DocSecurity>4</DocSecurity>
  <Lines>82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International Computing Centre</Company>
  <LinksUpToDate>false</LinksUpToDate>
  <CharactersWithSpaces>12133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OHCHR</dc:creator>
  <cp:keywords/>
  <dc:description/>
  <cp:lastModifiedBy>csd</cp:lastModifiedBy>
  <cp:revision>4</cp:revision>
  <cp:lastPrinted>2006-10-23T08:02:00Z</cp:lastPrinted>
  <dcterms:created xsi:type="dcterms:W3CDTF">2006-10-20T12:58:00Z</dcterms:created>
  <dcterms:modified xsi:type="dcterms:W3CDTF">2006-10-23T08:02:00Z</dcterms:modified>
</cp:coreProperties>
</file>