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803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3"/>
            <w:r>
              <w:t>CRC/C/46/1</w:t>
            </w:r>
            <w:r>
              <w:br/>
            </w:r>
            <w:bookmarkEnd w:id="1"/>
            <w:r>
              <w:t>11 juillet 2007</w:t>
            </w:r>
          </w:p>
          <w:p w:rsidR="00000000" w:rsidRDefault="00000000">
            <w:pPr>
              <w:spacing w:after="120"/>
              <w:ind w:left="618"/>
            </w:pPr>
            <w:r>
              <w:t>FRANÇAIS</w:t>
            </w:r>
            <w:r>
              <w:br/>
              <w:t>Original: ANGLAIS</w:t>
            </w:r>
          </w:p>
        </w:tc>
      </w:tr>
    </w:tbl>
    <w:p w:rsidR="00000000" w:rsidRDefault="00000000">
      <w:pPr>
        <w:spacing w:before="60" w:after="240"/>
        <w:rPr>
          <w:noProof/>
        </w:rPr>
      </w:pPr>
      <w:r>
        <w:rPr>
          <w:noProof/>
        </w:rPr>
        <w:t>COMITÉ DES DROITS DE L’ENFANT</w:t>
      </w:r>
      <w:r>
        <w:rPr>
          <w:noProof/>
        </w:rPr>
        <w:br/>
        <w:t>Quarante</w:t>
      </w:r>
      <w:r>
        <w:rPr>
          <w:noProof/>
        </w:rPr>
        <w:noBreakHyphen/>
        <w:t>sixième session</w:t>
      </w:r>
      <w:r>
        <w:rPr>
          <w:noProof/>
        </w:rPr>
        <w:br/>
        <w:t>Genève, 17 septembre</w:t>
      </w:r>
      <w:r>
        <w:rPr>
          <w:noProof/>
        </w:rPr>
        <w:noBreakHyphen/>
        <w:t>5 octobre 2007</w:t>
      </w:r>
    </w:p>
    <w:p w:rsidR="00000000" w:rsidRDefault="00000000">
      <w:pPr>
        <w:keepNext/>
        <w:spacing w:after="240"/>
        <w:jc w:val="center"/>
        <w:rPr>
          <w:b/>
          <w:bCs/>
        </w:rPr>
      </w:pPr>
      <w:r>
        <w:rPr>
          <w:b/>
          <w:bCs/>
        </w:rPr>
        <w:t>ORDRE DU JOUR PROVISOIRE ET ORDRE DU JOUR</w:t>
      </w:r>
      <w:r>
        <w:rPr>
          <w:b/>
          <w:bCs/>
        </w:rPr>
        <w:br/>
        <w:t>PROVISOIRE ANNOTÉ</w:t>
      </w:r>
    </w:p>
    <w:p w:rsidR="00000000" w:rsidRDefault="00000000">
      <w:pPr>
        <w:keepNext/>
        <w:spacing w:after="240"/>
        <w:jc w:val="center"/>
        <w:rPr>
          <w:b/>
          <w:bCs/>
        </w:rPr>
      </w:pPr>
      <w:r>
        <w:rPr>
          <w:b/>
          <w:bCs/>
        </w:rPr>
        <w:t>Note du Secrétaire général</w:t>
      </w:r>
    </w:p>
    <w:p w:rsidR="00000000" w:rsidRDefault="00000000">
      <w:pPr>
        <w:spacing w:after="240"/>
      </w:pPr>
      <w:r>
        <w:t>1.</w:t>
      </w:r>
      <w:r>
        <w:tab/>
        <w:t>La quarante</w:t>
      </w:r>
      <w:r>
        <w:noBreakHyphen/>
        <w:t>sixième session du Comité des droits de l’enfant se tiendra à l’Office des Nations Unies à Genève du 17 septembre au 5 octobre 2007. La session s’ouvrira le lundi 17 septembre à 10 heures.</w:t>
      </w:r>
    </w:p>
    <w:p w:rsidR="00000000" w:rsidRDefault="00000000">
      <w:pPr>
        <w:spacing w:after="240"/>
      </w:pPr>
      <w:r>
        <w:t>2.</w:t>
      </w:r>
      <w:r>
        <w:tab/>
        <w:t xml:space="preserve">Conformément à l’article 6 du règlement intérieur provisoire, le Secrétaire général a établi, en concertation avec la présidence du Comité, l’ordre du jour provisoire de la </w:t>
      </w:r>
      <w:proofErr w:type="spellStart"/>
      <w:r>
        <w:t>quarante</w:t>
      </w:r>
      <w:r>
        <w:noBreakHyphen/>
        <w:t>sixième</w:t>
      </w:r>
      <w:proofErr w:type="spellEnd"/>
      <w:r>
        <w:t>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w:t>
      </w:r>
      <w:r>
        <w:noBreakHyphen/>
        <w:t>sixième session.</w:t>
      </w:r>
    </w:p>
    <w:p w:rsidR="00000000" w:rsidRDefault="00000000">
      <w:pPr>
        <w:spacing w:after="240"/>
      </w:pPr>
      <w:r>
        <w:t>5.</w:t>
      </w:r>
      <w:r>
        <w:tab/>
        <w:t>Un groupe de travail de présession, établi conformément à l’article 63 du règlement intérieur provisoire, s’est réuni à l’Office des Nations Unies à Genève du 11 au 15 juin 2007.</w:t>
      </w:r>
    </w:p>
    <w:p w:rsidR="00000000" w:rsidRDefault="00000000">
      <w:pPr>
        <w:spacing w:after="240"/>
        <w:jc w:val="center"/>
        <w:rPr>
          <w:b/>
          <w:bCs/>
        </w:rPr>
      </w:pP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Journée de débat général.</w:t>
      </w:r>
    </w:p>
    <w:p w:rsidR="00000000" w:rsidRDefault="00000000">
      <w:pPr>
        <w:spacing w:after="240"/>
      </w:pPr>
      <w:r>
        <w:t>8.</w:t>
      </w:r>
      <w:r>
        <w:tab/>
        <w:t>Observations générales.</w:t>
      </w:r>
    </w:p>
    <w:p w:rsidR="00000000" w:rsidRDefault="00000000">
      <w:pPr>
        <w:spacing w:after="240"/>
      </w:pPr>
      <w:r>
        <w:t>9.</w:t>
      </w:r>
      <w:r>
        <w:tab/>
        <w:t>Réunions futures.</w:t>
      </w:r>
    </w:p>
    <w:p w:rsidR="00000000" w:rsidRDefault="00000000">
      <w:pPr>
        <w:spacing w:after="240"/>
      </w:pPr>
      <w:r>
        <w:t>10.</w:t>
      </w:r>
      <w:r>
        <w:tab/>
        <w:t>Questions diverses.</w:t>
      </w:r>
    </w:p>
    <w:p w:rsidR="00000000" w:rsidRDefault="00000000">
      <w:pPr>
        <w:keepNext/>
        <w:spacing w:after="240"/>
        <w:jc w:val="center"/>
        <w:rPr>
          <w:b/>
          <w:bCs/>
        </w:rPr>
      </w:pPr>
      <w:r>
        <w:rPr>
          <w:b/>
          <w:bCs/>
        </w:rPr>
        <w:t>Ordre du jour provisoire annoté</w:t>
      </w:r>
    </w:p>
    <w:p w:rsidR="00000000" w:rsidRDefault="00000000">
      <w:pPr>
        <w:keepNext/>
        <w:spacing w:after="240"/>
        <w:jc w:val="center"/>
        <w:rPr>
          <w:b/>
          <w:bCs/>
        </w:rPr>
      </w:pPr>
      <w:r>
        <w:rPr>
          <w:b/>
          <w:bCs/>
        </w:rPr>
        <w:t>Point 1.  Adoption de l’ordre du jour</w:t>
      </w:r>
    </w:p>
    <w:p w:rsidR="00000000" w:rsidRDefault="00000000">
      <w:pPr>
        <w:spacing w:after="240"/>
      </w:pPr>
      <w:r>
        <w:t>6.</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keepNext/>
        <w:spacing w:after="240"/>
        <w:jc w:val="center"/>
        <w:rPr>
          <w:b/>
          <w:bCs/>
        </w:rPr>
      </w:pPr>
      <w:r>
        <w:rPr>
          <w:b/>
          <w:bCs/>
        </w:rPr>
        <w:t>Point 2.  Questions d’organisation</w:t>
      </w:r>
    </w:p>
    <w:p w:rsidR="00000000" w:rsidRDefault="00000000">
      <w:pPr>
        <w:spacing w:after="240"/>
      </w:pPr>
      <w:r>
        <w:t>7.</w:t>
      </w:r>
      <w:r>
        <w:tab/>
        <w:t>Au titre de ce point, le Comité voudra peut</w:t>
      </w:r>
      <w:r>
        <w:noBreakHyphen/>
        <w: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000000" w:rsidRDefault="00000000">
      <w:pPr>
        <w:keepNext/>
        <w:spacing w:after="12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00"/>
      </w:pPr>
      <w:r>
        <w:t>8.</w:t>
      </w:r>
      <w:r>
        <w:tab/>
        <w:t>Outre les rapports qu’il est prévu d’examiner à la quarante</w:t>
      </w:r>
      <w:r>
        <w:noBreakHyphen/>
        <w:t>sixième session du Comité (voir</w:t>
      </w:r>
      <w:r>
        <w:rPr>
          <w:b/>
          <w:bCs/>
        </w:rPr>
        <w:t> </w:t>
      </w:r>
      <w:r>
        <w:t>plus loin le calendrier de l’examen des rapports au titre du point 6) et les rapports mentionnés dans l’ordre du jour provisoire de la quarante</w:t>
      </w:r>
      <w:r>
        <w:noBreakHyphen/>
        <w:t>cinquième session (CRC/C/45/1), le Secrétaire général a</w:t>
      </w:r>
      <w:r>
        <w:rPr>
          <w:b/>
          <w:bCs/>
        </w:rPr>
        <w:t xml:space="preserve"> </w:t>
      </w:r>
      <w:r>
        <w:t>reçu les rapports suivants au titre de la Convention et de ses Protocoles</w:t>
      </w:r>
      <w:r>
        <w:rPr>
          <w:b/>
          <w:bCs/>
        </w:rPr>
        <w:t xml:space="preserve"> </w:t>
      </w:r>
      <w:r>
        <w:t>facultatifs:</w:t>
      </w:r>
    </w:p>
    <w:p w:rsidR="00000000" w:rsidRDefault="00000000">
      <w:pPr>
        <w:keepNext/>
        <w:spacing w:after="240"/>
        <w:jc w:val="center"/>
        <w:rPr>
          <w:b/>
          <w:bCs/>
        </w:rPr>
      </w:pPr>
      <w:r>
        <w:rPr>
          <w:b/>
          <w:bCs/>
        </w:rPr>
        <w:t>Convention relative aux droits de l’enfant</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rPr>
          <w:cantSplit/>
          <w:tblHeader/>
        </w:trPr>
        <w:tc>
          <w:tcPr>
            <w:tcW w:w="3969" w:type="dxa"/>
          </w:tcPr>
          <w:p w:rsidR="00000000" w:rsidRDefault="00000000">
            <w:pPr>
              <w:keepNext/>
              <w:spacing w:after="240"/>
              <w:rPr>
                <w:i/>
                <w:iCs/>
              </w:rPr>
            </w:pPr>
            <w:r>
              <w:rPr>
                <w:i/>
                <w:iCs/>
              </w:rPr>
              <w:t>État partie</w:t>
            </w:r>
          </w:p>
        </w:tc>
        <w:tc>
          <w:tcPr>
            <w:tcW w:w="2835" w:type="dxa"/>
          </w:tcPr>
          <w:p w:rsidR="00000000" w:rsidRDefault="00000000">
            <w:pPr>
              <w:keepNext/>
              <w:spacing w:after="240"/>
              <w:rPr>
                <w:i/>
                <w:iCs/>
              </w:rPr>
            </w:pPr>
            <w:r>
              <w:rPr>
                <w:i/>
                <w:iCs/>
              </w:rPr>
              <w:t>Attendu en</w:t>
            </w:r>
          </w:p>
        </w:tc>
        <w:tc>
          <w:tcPr>
            <w:tcW w:w="2693" w:type="dxa"/>
          </w:tcPr>
          <w:p w:rsidR="00000000" w:rsidRDefault="00000000">
            <w:pPr>
              <w:keepNext/>
              <w:spacing w:after="240"/>
              <w:rPr>
                <w:i/>
                <w:iCs/>
              </w:rPr>
            </w:pPr>
            <w:r>
              <w:rPr>
                <w:i/>
                <w:iCs/>
              </w:rPr>
              <w:t>Cote</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rPr>
                <w:bCs/>
              </w:rPr>
            </w:pPr>
            <w:r>
              <w:rPr>
                <w:bCs/>
              </w:rPr>
              <w:t>Bhoutan, deuxième</w:t>
            </w:r>
          </w:p>
        </w:tc>
        <w:tc>
          <w:tcPr>
            <w:tcW w:w="2835" w:type="dxa"/>
          </w:tcPr>
          <w:p w:rsidR="00000000" w:rsidRDefault="00000000">
            <w:pPr>
              <w:rPr>
                <w:bCs/>
              </w:rPr>
            </w:pPr>
            <w:r>
              <w:rPr>
                <w:bCs/>
              </w:rPr>
              <w:t>1997</w:t>
            </w:r>
          </w:p>
        </w:tc>
        <w:tc>
          <w:tcPr>
            <w:tcW w:w="2693" w:type="dxa"/>
          </w:tcPr>
          <w:p w:rsidR="00000000" w:rsidRDefault="00000000">
            <w:pPr>
              <w:rPr>
                <w:bCs/>
              </w:rPr>
            </w:pPr>
            <w:r>
              <w:rPr>
                <w:bCs/>
              </w:rPr>
              <w:t>CRC/C/BTN/2</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rPr>
                <w:bCs/>
              </w:rPr>
            </w:pPr>
            <w:r>
              <w:rPr>
                <w:bCs/>
              </w:rPr>
              <w:t>Pays-Bas, troisième</w:t>
            </w:r>
          </w:p>
        </w:tc>
        <w:tc>
          <w:tcPr>
            <w:tcW w:w="2835" w:type="dxa"/>
          </w:tcPr>
          <w:p w:rsidR="00000000" w:rsidRDefault="00000000">
            <w:pPr>
              <w:rPr>
                <w:bCs/>
                <w:lang w:val="en-US"/>
              </w:rPr>
            </w:pPr>
            <w:r>
              <w:rPr>
                <w:bCs/>
                <w:lang w:val="en-US"/>
              </w:rPr>
              <w:t>2007</w:t>
            </w:r>
          </w:p>
        </w:tc>
        <w:tc>
          <w:tcPr>
            <w:tcW w:w="2693" w:type="dxa"/>
          </w:tcPr>
          <w:p w:rsidR="00000000" w:rsidRDefault="00000000">
            <w:pPr>
              <w:rPr>
                <w:bCs/>
                <w:lang w:val="en-GB"/>
              </w:rPr>
            </w:pPr>
            <w:r>
              <w:rPr>
                <w:bCs/>
                <w:lang w:val="en-GB"/>
              </w:rPr>
              <w:t>CRC/C/NLD/3</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rPr>
                <w:bCs/>
              </w:rPr>
            </w:pPr>
            <w:r>
              <w:rPr>
                <w:bCs/>
              </w:rPr>
              <w:t>Serbie, initial</w:t>
            </w:r>
          </w:p>
        </w:tc>
        <w:tc>
          <w:tcPr>
            <w:tcW w:w="2835" w:type="dxa"/>
          </w:tcPr>
          <w:p w:rsidR="00000000" w:rsidRDefault="00000000">
            <w:pPr>
              <w:rPr>
                <w:bCs/>
                <w:lang w:val="en-US"/>
              </w:rPr>
            </w:pPr>
            <w:r>
              <w:rPr>
                <w:bCs/>
                <w:lang w:val="en-US"/>
              </w:rPr>
              <w:t>2003</w:t>
            </w:r>
          </w:p>
        </w:tc>
        <w:tc>
          <w:tcPr>
            <w:tcW w:w="2693" w:type="dxa"/>
          </w:tcPr>
          <w:p w:rsidR="00000000" w:rsidRDefault="00000000">
            <w:pPr>
              <w:rPr>
                <w:bCs/>
                <w:lang w:val="en-US"/>
              </w:rPr>
            </w:pPr>
            <w:r>
              <w:rPr>
                <w:bCs/>
                <w:lang w:val="en-US"/>
              </w:rPr>
              <w:t>CRC/C/SRB/1</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rPr>
                <w:bCs/>
              </w:rPr>
            </w:pPr>
            <w:r>
              <w:rPr>
                <w:bCs/>
              </w:rPr>
              <w:t>Tchad, deuxième</w:t>
            </w:r>
          </w:p>
        </w:tc>
        <w:tc>
          <w:tcPr>
            <w:tcW w:w="2835" w:type="dxa"/>
          </w:tcPr>
          <w:p w:rsidR="00000000" w:rsidRDefault="00000000">
            <w:pPr>
              <w:rPr>
                <w:bCs/>
                <w:lang w:val="en-US"/>
              </w:rPr>
            </w:pPr>
            <w:r>
              <w:rPr>
                <w:bCs/>
                <w:lang w:val="en-US"/>
              </w:rPr>
              <w:t>1997</w:t>
            </w:r>
          </w:p>
        </w:tc>
        <w:tc>
          <w:tcPr>
            <w:tcW w:w="2693" w:type="dxa"/>
          </w:tcPr>
          <w:p w:rsidR="00000000" w:rsidRDefault="00000000">
            <w:pPr>
              <w:rPr>
                <w:bCs/>
                <w:lang w:val="en-US"/>
              </w:rPr>
            </w:pPr>
            <w:r>
              <w:rPr>
                <w:bCs/>
                <w:lang w:val="en-US"/>
              </w:rPr>
              <w:t>CRC/C/TCD/2</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rPr>
                <w:bCs/>
              </w:rPr>
            </w:pPr>
            <w:r>
              <w:rPr>
                <w:bCs/>
              </w:rPr>
              <w:t>Érythrée, deuxième et troisième</w:t>
            </w:r>
          </w:p>
        </w:tc>
        <w:tc>
          <w:tcPr>
            <w:tcW w:w="2835" w:type="dxa"/>
          </w:tcPr>
          <w:p w:rsidR="00000000" w:rsidRDefault="00000000">
            <w:pPr>
              <w:rPr>
                <w:bCs/>
              </w:rPr>
            </w:pPr>
            <w:r>
              <w:rPr>
                <w:bCs/>
              </w:rPr>
              <w:t>2006</w:t>
            </w:r>
          </w:p>
        </w:tc>
        <w:tc>
          <w:tcPr>
            <w:tcW w:w="2693" w:type="dxa"/>
          </w:tcPr>
          <w:p w:rsidR="00000000" w:rsidRDefault="00000000">
            <w:pPr>
              <w:rPr>
                <w:bCs/>
              </w:rPr>
            </w:pPr>
            <w:r>
              <w:rPr>
                <w:bCs/>
              </w:rPr>
              <w:t>CRC/C/ERI/3</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rPr>
                <w:bCs/>
              </w:rPr>
            </w:pPr>
            <w:r>
              <w:rPr>
                <w:bCs/>
              </w:rPr>
              <w:t>Bulgarie, deuxième</w:t>
            </w:r>
          </w:p>
        </w:tc>
        <w:tc>
          <w:tcPr>
            <w:tcW w:w="2835" w:type="dxa"/>
          </w:tcPr>
          <w:p w:rsidR="00000000" w:rsidRDefault="00000000">
            <w:pPr>
              <w:rPr>
                <w:bCs/>
                <w:lang w:val="en-US"/>
              </w:rPr>
            </w:pPr>
            <w:r>
              <w:rPr>
                <w:bCs/>
                <w:lang w:val="en-US"/>
              </w:rPr>
              <w:t>1998</w:t>
            </w:r>
          </w:p>
        </w:tc>
        <w:tc>
          <w:tcPr>
            <w:tcW w:w="2693" w:type="dxa"/>
          </w:tcPr>
          <w:p w:rsidR="00000000" w:rsidRDefault="00000000">
            <w:pPr>
              <w:rPr>
                <w:bCs/>
              </w:rPr>
            </w:pPr>
            <w:r>
              <w:rPr>
                <w:bCs/>
              </w:rPr>
              <w:t>CRC/C/BGR/2</w:t>
            </w:r>
          </w:p>
        </w:tc>
      </w:tr>
    </w:tbl>
    <w:p w:rsidR="00000000" w:rsidRDefault="00000000">
      <w:pPr>
        <w:keepNext/>
        <w:tabs>
          <w:tab w:val="left" w:pos="3969"/>
          <w:tab w:val="left" w:pos="6804"/>
          <w:tab w:val="left" w:pos="9497"/>
        </w:tabs>
        <w:spacing w:before="240" w:after="240"/>
        <w:jc w:val="center"/>
        <w:rPr>
          <w:b/>
          <w:bCs/>
        </w:rPr>
      </w:pPr>
      <w:r>
        <w:rPr>
          <w:b/>
          <w:bCs/>
        </w:rPr>
        <w:t>Protocole facultatif concernant l’implication d’enfants</w:t>
      </w:r>
      <w:r>
        <w:rPr>
          <w:b/>
          <w:bCs/>
        </w:rPr>
        <w:br/>
        <w:t>dans les conflits armés</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rPr>
          <w:cantSplit/>
          <w:tblHeader/>
        </w:trPr>
        <w:tc>
          <w:tcPr>
            <w:tcW w:w="3969" w:type="dxa"/>
          </w:tcPr>
          <w:p w:rsidR="00000000" w:rsidRDefault="00000000">
            <w:pPr>
              <w:keepNext/>
              <w:spacing w:after="240"/>
              <w:rPr>
                <w:i/>
                <w:iCs/>
              </w:rPr>
            </w:pPr>
            <w:r>
              <w:rPr>
                <w:i/>
                <w:iCs/>
              </w:rPr>
              <w:t>État partie</w:t>
            </w:r>
          </w:p>
        </w:tc>
        <w:tc>
          <w:tcPr>
            <w:tcW w:w="2835" w:type="dxa"/>
          </w:tcPr>
          <w:p w:rsidR="00000000" w:rsidRDefault="00000000">
            <w:pPr>
              <w:keepNext/>
              <w:spacing w:after="240"/>
              <w:rPr>
                <w:i/>
                <w:iCs/>
              </w:rPr>
            </w:pPr>
            <w:r>
              <w:rPr>
                <w:i/>
                <w:iCs/>
              </w:rPr>
              <w:t>Attendu en</w:t>
            </w:r>
          </w:p>
        </w:tc>
        <w:tc>
          <w:tcPr>
            <w:tcW w:w="2693" w:type="dxa"/>
          </w:tcPr>
          <w:p w:rsidR="00000000" w:rsidRDefault="00000000">
            <w:pPr>
              <w:keepNext/>
              <w:spacing w:after="240"/>
              <w:rPr>
                <w:i/>
                <w:iCs/>
              </w:rPr>
            </w:pPr>
            <w:r>
              <w:rPr>
                <w:i/>
                <w:iCs/>
              </w:rPr>
              <w:t>Cote</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pPr>
            <w:r>
              <w:t>République de Corée</w:t>
            </w:r>
          </w:p>
        </w:tc>
        <w:tc>
          <w:tcPr>
            <w:tcW w:w="2835" w:type="dxa"/>
          </w:tcPr>
          <w:p w:rsidR="00000000" w:rsidRDefault="00000000">
            <w:r>
              <w:t>2006</w:t>
            </w:r>
          </w:p>
        </w:tc>
        <w:tc>
          <w:tcPr>
            <w:tcW w:w="2693" w:type="dxa"/>
          </w:tcPr>
          <w:p w:rsidR="00000000" w:rsidRDefault="00000000">
            <w:r>
              <w:t>CRC/C/OPAC/KOR/1</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pPr>
            <w:r>
              <w:t>États-Unis d’Amérique</w:t>
            </w:r>
          </w:p>
        </w:tc>
        <w:tc>
          <w:tcPr>
            <w:tcW w:w="2835" w:type="dxa"/>
          </w:tcPr>
          <w:p w:rsidR="00000000" w:rsidRDefault="00000000">
            <w:pPr>
              <w:rPr>
                <w:lang w:val="de-CH"/>
              </w:rPr>
            </w:pPr>
            <w:r>
              <w:rPr>
                <w:lang w:val="de-CH"/>
              </w:rPr>
              <w:t>2005</w:t>
            </w:r>
          </w:p>
        </w:tc>
        <w:tc>
          <w:tcPr>
            <w:tcW w:w="2693" w:type="dxa"/>
          </w:tcPr>
          <w:p w:rsidR="00000000" w:rsidRDefault="00000000">
            <w:pPr>
              <w:rPr>
                <w:lang w:val="de-CH"/>
              </w:rPr>
            </w:pPr>
            <w:r>
              <w:rPr>
                <w:lang w:val="de-CH"/>
              </w:rPr>
              <w:t>CRC/C/OPAC/USA/1</w:t>
            </w:r>
          </w:p>
        </w:tc>
      </w:tr>
      <w:tr w:rsidR="00000000">
        <w:tblPrEx>
          <w:tblCellMar>
            <w:top w:w="0" w:type="dxa"/>
            <w:bottom w:w="0" w:type="dxa"/>
          </w:tblCellMar>
        </w:tblPrEx>
        <w:trPr>
          <w:cantSplit/>
        </w:trPr>
        <w:tc>
          <w:tcPr>
            <w:tcW w:w="3969" w:type="dxa"/>
          </w:tcPr>
          <w:p w:rsidR="00000000" w:rsidRDefault="00000000">
            <w:pPr>
              <w:pStyle w:val="Header"/>
              <w:tabs>
                <w:tab w:val="clear" w:pos="4320"/>
                <w:tab w:val="clear" w:pos="8640"/>
              </w:tabs>
            </w:pPr>
            <w:r>
              <w:t>Philippines</w:t>
            </w:r>
          </w:p>
        </w:tc>
        <w:tc>
          <w:tcPr>
            <w:tcW w:w="2835" w:type="dxa"/>
          </w:tcPr>
          <w:p w:rsidR="00000000" w:rsidRDefault="00000000">
            <w:r>
              <w:t>2005</w:t>
            </w:r>
          </w:p>
        </w:tc>
        <w:tc>
          <w:tcPr>
            <w:tcW w:w="2693" w:type="dxa"/>
          </w:tcPr>
          <w:p w:rsidR="00000000" w:rsidRDefault="00000000">
            <w:r>
              <w:t>CRC/C/OPAC/PHL/1</w:t>
            </w:r>
          </w:p>
        </w:tc>
      </w:tr>
    </w:tbl>
    <w:p w:rsidR="00000000" w:rsidRDefault="00000000">
      <w:pPr>
        <w:keepNext/>
        <w:spacing w:before="240" w:after="240"/>
        <w:jc w:val="center"/>
        <w:rPr>
          <w:b/>
          <w:bCs/>
        </w:rPr>
      </w:pPr>
      <w:r>
        <w:rPr>
          <w:b/>
          <w:bCs/>
        </w:rPr>
        <w:t>Protocole facultatif concernant la vente d’enfants,</w:t>
      </w:r>
      <w:r>
        <w:rPr>
          <w:b/>
          <w:bCs/>
        </w:rPr>
        <w:br/>
        <w:t>la prostitution des enfants et la pornographie</w:t>
      </w:r>
      <w:r>
        <w:rPr>
          <w:b/>
          <w:bCs/>
        </w:rPr>
        <w:br/>
        <w:t>mettant en scène des enfants</w:t>
      </w:r>
    </w:p>
    <w:tbl>
      <w:tblPr>
        <w:tblW w:w="9497" w:type="dxa"/>
        <w:tblLayout w:type="fixed"/>
        <w:tblCellMar>
          <w:left w:w="70" w:type="dxa"/>
          <w:right w:w="70" w:type="dxa"/>
        </w:tblCellMar>
        <w:tblLook w:val="0000" w:firstRow="0" w:lastRow="0" w:firstColumn="0" w:lastColumn="0" w:noHBand="0" w:noVBand="0"/>
      </w:tblPr>
      <w:tblGrid>
        <w:gridCol w:w="3969"/>
        <w:gridCol w:w="2835"/>
        <w:gridCol w:w="2693"/>
      </w:tblGrid>
      <w:tr w:rsidR="00000000">
        <w:tblPrEx>
          <w:tblCellMar>
            <w:top w:w="0" w:type="dxa"/>
            <w:bottom w:w="0" w:type="dxa"/>
          </w:tblCellMar>
        </w:tblPrEx>
        <w:tc>
          <w:tcPr>
            <w:tcW w:w="3969" w:type="dxa"/>
          </w:tcPr>
          <w:p w:rsidR="00000000" w:rsidRDefault="00000000">
            <w:pPr>
              <w:keepNext/>
              <w:spacing w:after="240"/>
              <w:rPr>
                <w:i/>
                <w:iCs/>
              </w:rPr>
            </w:pPr>
            <w:r>
              <w:rPr>
                <w:i/>
                <w:iCs/>
              </w:rPr>
              <w:t>État partie</w:t>
            </w:r>
          </w:p>
        </w:tc>
        <w:tc>
          <w:tcPr>
            <w:tcW w:w="2835" w:type="dxa"/>
          </w:tcPr>
          <w:p w:rsidR="00000000" w:rsidRDefault="00000000">
            <w:pPr>
              <w:spacing w:after="240"/>
              <w:rPr>
                <w:i/>
                <w:iCs/>
              </w:rPr>
            </w:pPr>
            <w:r>
              <w:rPr>
                <w:i/>
                <w:iCs/>
              </w:rPr>
              <w:t>Attendu en</w:t>
            </w:r>
          </w:p>
        </w:tc>
        <w:tc>
          <w:tcPr>
            <w:tcW w:w="2693" w:type="dxa"/>
          </w:tcPr>
          <w:p w:rsidR="00000000" w:rsidRDefault="00000000">
            <w:pPr>
              <w:spacing w:after="240"/>
              <w:rPr>
                <w:i/>
                <w:iCs/>
                <w:lang w:val="de-CH"/>
              </w:rPr>
            </w:pPr>
            <w:r>
              <w:rPr>
                <w:i/>
                <w:iCs/>
                <w:lang w:val="de-CH"/>
              </w:rPr>
              <w:t>Cote</w:t>
            </w:r>
          </w:p>
        </w:tc>
      </w:tr>
      <w:tr w:rsidR="00000000">
        <w:tblPrEx>
          <w:tblCellMar>
            <w:top w:w="0" w:type="dxa"/>
            <w:bottom w:w="0" w:type="dxa"/>
          </w:tblCellMar>
        </w:tblPrEx>
        <w:tc>
          <w:tcPr>
            <w:tcW w:w="3969" w:type="dxa"/>
          </w:tcPr>
          <w:p w:rsidR="00000000" w:rsidRDefault="00000000">
            <w:pPr>
              <w:pStyle w:val="Header"/>
              <w:tabs>
                <w:tab w:val="clear" w:pos="4320"/>
                <w:tab w:val="clear" w:pos="8640"/>
              </w:tabs>
            </w:pPr>
            <w:r>
              <w:t>République de Corée</w:t>
            </w:r>
          </w:p>
        </w:tc>
        <w:tc>
          <w:tcPr>
            <w:tcW w:w="2835" w:type="dxa"/>
          </w:tcPr>
          <w:p w:rsidR="00000000" w:rsidRDefault="00000000">
            <w:pPr>
              <w:rPr>
                <w:bCs/>
                <w:lang w:val="nl-NL"/>
              </w:rPr>
            </w:pPr>
            <w:r>
              <w:rPr>
                <w:bCs/>
                <w:lang w:val="nl-NL"/>
              </w:rPr>
              <w:t>2006</w:t>
            </w:r>
          </w:p>
        </w:tc>
        <w:tc>
          <w:tcPr>
            <w:tcW w:w="2693" w:type="dxa"/>
          </w:tcPr>
          <w:p w:rsidR="00000000" w:rsidRDefault="00000000">
            <w:pPr>
              <w:pStyle w:val="Header"/>
              <w:tabs>
                <w:tab w:val="clear" w:pos="4320"/>
                <w:tab w:val="clear" w:pos="8640"/>
              </w:tabs>
              <w:rPr>
                <w:rFonts w:eastAsia="SimSun" w:cs="Times New Roman Bold"/>
                <w:bCs/>
                <w:color w:val="000000"/>
                <w:szCs w:val="24"/>
                <w:lang w:val="nl-NL" w:eastAsia="zh-CN"/>
              </w:rPr>
            </w:pPr>
            <w:r>
              <w:rPr>
                <w:rFonts w:eastAsia="SimSun" w:cs="Times New Roman Bold"/>
                <w:bCs/>
                <w:color w:val="000000"/>
                <w:szCs w:val="24"/>
                <w:lang w:val="nl-NL" w:eastAsia="zh-CN"/>
              </w:rPr>
              <w:t>CRC/C/OPSC/KOR/1</w:t>
            </w:r>
          </w:p>
        </w:tc>
      </w:tr>
      <w:tr w:rsidR="00000000">
        <w:tblPrEx>
          <w:tblCellMar>
            <w:top w:w="0" w:type="dxa"/>
            <w:bottom w:w="0" w:type="dxa"/>
          </w:tblCellMar>
        </w:tblPrEx>
        <w:tc>
          <w:tcPr>
            <w:tcW w:w="3969" w:type="dxa"/>
          </w:tcPr>
          <w:p w:rsidR="00000000" w:rsidRDefault="00000000">
            <w:pPr>
              <w:rPr>
                <w:rFonts w:eastAsia="SimSun" w:cs="Times New Roman Bold"/>
                <w:bCs/>
                <w:color w:val="000000"/>
                <w:szCs w:val="24"/>
                <w:lang w:eastAsia="zh-CN"/>
              </w:rPr>
            </w:pPr>
            <w:r>
              <w:t>États-Unis d’Amérique</w:t>
            </w:r>
          </w:p>
        </w:tc>
        <w:tc>
          <w:tcPr>
            <w:tcW w:w="2835" w:type="dxa"/>
          </w:tcPr>
          <w:p w:rsidR="00000000" w:rsidRDefault="00000000">
            <w:pPr>
              <w:rPr>
                <w:bCs/>
                <w:lang w:val="de-CH"/>
              </w:rPr>
            </w:pPr>
            <w:r>
              <w:rPr>
                <w:bCs/>
                <w:lang w:val="de-CH"/>
              </w:rPr>
              <w:t>2005</w:t>
            </w:r>
          </w:p>
        </w:tc>
        <w:tc>
          <w:tcPr>
            <w:tcW w:w="2693" w:type="dxa"/>
          </w:tcPr>
          <w:p w:rsidR="00000000" w:rsidRDefault="00000000">
            <w:pPr>
              <w:pStyle w:val="Header"/>
              <w:tabs>
                <w:tab w:val="clear" w:pos="4320"/>
                <w:tab w:val="clear" w:pos="8640"/>
              </w:tabs>
              <w:rPr>
                <w:rFonts w:eastAsia="SimSun" w:cs="Times New Roman Bold"/>
                <w:bCs/>
                <w:color w:val="000000"/>
                <w:szCs w:val="24"/>
                <w:lang w:val="de-CH" w:eastAsia="zh-CN"/>
              </w:rPr>
            </w:pPr>
            <w:r>
              <w:rPr>
                <w:rFonts w:eastAsia="SimSun" w:cs="Times New Roman Bold"/>
                <w:bCs/>
                <w:color w:val="000000"/>
                <w:szCs w:val="24"/>
                <w:lang w:val="de-CH" w:eastAsia="zh-CN"/>
              </w:rPr>
              <w:t>CRC/C/OPSC/USA/1</w:t>
            </w:r>
          </w:p>
        </w:tc>
      </w:tr>
    </w:tbl>
    <w:p w:rsidR="00000000" w:rsidRDefault="00000000">
      <w:pPr>
        <w:keepNext/>
        <w:spacing w:before="240" w:after="240"/>
        <w:jc w:val="center"/>
        <w:rPr>
          <w:b/>
          <w:bCs/>
        </w:rPr>
      </w:pPr>
      <w:r>
        <w:rPr>
          <w:b/>
          <w:bCs/>
        </w:rPr>
        <w:t>Rapports en retard</w:t>
      </w:r>
    </w:p>
    <w:p w:rsidR="00000000" w:rsidRDefault="00000000">
      <w:pPr>
        <w:spacing w:after="240"/>
      </w:pPr>
      <w:r>
        <w:t>9.</w:t>
      </w:r>
      <w:r>
        <w:tab/>
        <w:t>Conformément à l’article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w:t>
      </w:r>
      <w:r>
        <w:t>rapports initiaux à présenter au titre des deux protocoles facultatifs figure dans le document sur la situation en matière de présentation des rapports (CRC/C/46/2),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rPr>
        <w:t> </w:t>
      </w:r>
      <w:r>
        <w:t>recommandations ne s’appliquent qu’à titre de mesure exceptionnelle ne pouvant être prise</w:t>
      </w:r>
      <w:r>
        <w:rPr>
          <w:b/>
          <w:bCs/>
        </w:rPr>
        <w:t xml:space="preserve"> </w:t>
      </w:r>
      <w:r>
        <w:t>qu’une seule fois.</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10.</w:t>
      </w:r>
      <w:r>
        <w:tab/>
        <w:t>On trouvera ci</w:t>
      </w:r>
      <w:r>
        <w:noBreakHyphen/>
        <w:t>après le calendrier provisoire de l’examen des rapports à la quarante</w:t>
      </w:r>
      <w:r>
        <w:noBreakHyphen/>
        <w:t>sixième</w:t>
      </w:r>
      <w:r>
        <w:rPr>
          <w:b/>
          <w:bCs/>
        </w:rPr>
        <w:t xml:space="preserve"> </w:t>
      </w:r>
      <w:r>
        <w:t>session, établi par le Secrétaire général en concertation avec la présidence et</w:t>
      </w:r>
      <w:r>
        <w:rPr>
          <w:b/>
          <w:bCs/>
        </w:rPr>
        <w:t xml:space="preserve"> </w:t>
      </w:r>
      <w:r>
        <w:t>soumis</w:t>
      </w:r>
      <w:r>
        <w:rPr>
          <w:b/>
          <w:bCs/>
        </w:rPr>
        <w:t xml:space="preserve"> </w:t>
      </w:r>
      <w:r>
        <w:t>à l’approbation du Comité.</w:t>
      </w:r>
    </w:p>
    <w:p w:rsidR="00000000" w:rsidRDefault="00000000">
      <w:pPr>
        <w:keepNext/>
        <w:spacing w:after="240"/>
        <w:jc w:val="center"/>
        <w:rPr>
          <w:b/>
          <w:bCs/>
        </w:rPr>
      </w:pPr>
      <w:r>
        <w:rPr>
          <w:b/>
          <w:bCs/>
        </w:rPr>
        <w:t>Calendrier provisoire pour l’examen des rapports présentés</w:t>
      </w:r>
      <w:r>
        <w:rPr>
          <w:b/>
          <w:bCs/>
        </w:rPr>
        <w:br/>
        <w:t>par les États parties</w:t>
      </w:r>
    </w:p>
    <w:tbl>
      <w:tblPr>
        <w:tblW w:w="0" w:type="auto"/>
        <w:tblCellMar>
          <w:left w:w="68" w:type="dxa"/>
          <w:right w:w="68" w:type="dxa"/>
        </w:tblCellMar>
        <w:tblLook w:val="0000" w:firstRow="0" w:lastRow="0" w:firstColumn="0" w:lastColumn="0" w:noHBand="0" w:noVBand="0"/>
      </w:tblPr>
      <w:tblGrid>
        <w:gridCol w:w="2948"/>
        <w:gridCol w:w="960"/>
        <w:gridCol w:w="1800"/>
        <w:gridCol w:w="3784"/>
      </w:tblGrid>
      <w:tr w:rsidR="00000000">
        <w:tblPrEx>
          <w:tblCellMar>
            <w:top w:w="0" w:type="dxa"/>
            <w:bottom w:w="0" w:type="dxa"/>
          </w:tblCellMar>
        </w:tblPrEx>
        <w:trPr>
          <w:tblHeader/>
        </w:trPr>
        <w:tc>
          <w:tcPr>
            <w:tcW w:w="2948" w:type="dxa"/>
          </w:tcPr>
          <w:p w:rsidR="00000000" w:rsidRDefault="00000000">
            <w:pPr>
              <w:spacing w:after="240"/>
              <w:rPr>
                <w:i/>
                <w:iCs/>
              </w:rPr>
            </w:pPr>
            <w:r>
              <w:rPr>
                <w:i/>
                <w:iCs/>
              </w:rPr>
              <w:t>Date</w:t>
            </w:r>
          </w:p>
        </w:tc>
        <w:tc>
          <w:tcPr>
            <w:tcW w:w="960" w:type="dxa"/>
          </w:tcPr>
          <w:p w:rsidR="00000000" w:rsidRDefault="00000000">
            <w:pPr>
              <w:spacing w:after="240"/>
              <w:rPr>
                <w:i/>
                <w:iCs/>
              </w:rPr>
            </w:pPr>
            <w:r>
              <w:rPr>
                <w:i/>
                <w:iCs/>
              </w:rPr>
              <w:t>Heure</w:t>
            </w:r>
          </w:p>
        </w:tc>
        <w:tc>
          <w:tcPr>
            <w:tcW w:w="1800" w:type="dxa"/>
          </w:tcPr>
          <w:p w:rsidR="00000000" w:rsidRDefault="00000000">
            <w:pPr>
              <w:spacing w:after="240"/>
              <w:jc w:val="center"/>
              <w:rPr>
                <w:i/>
                <w:iCs/>
              </w:rPr>
            </w:pPr>
            <w:r>
              <w:rPr>
                <w:i/>
                <w:iCs/>
              </w:rPr>
              <w:t>Point de l’ordre du jour</w:t>
            </w:r>
          </w:p>
        </w:tc>
        <w:tc>
          <w:tcPr>
            <w:tcW w:w="3784" w:type="dxa"/>
          </w:tcPr>
          <w:p w:rsidR="00000000" w:rsidRDefault="00000000">
            <w:pPr>
              <w:spacing w:after="240"/>
              <w:rPr>
                <w:i/>
                <w:iCs/>
              </w:rPr>
            </w:pPr>
            <w:r>
              <w:rPr>
                <w:i/>
                <w:iCs/>
              </w:rPr>
              <w:t>Rapport</w:t>
            </w:r>
          </w:p>
        </w:tc>
      </w:tr>
      <w:tr w:rsidR="00000000">
        <w:tblPrEx>
          <w:tblCellMar>
            <w:top w:w="0" w:type="dxa"/>
            <w:bottom w:w="0" w:type="dxa"/>
          </w:tblCellMar>
        </w:tblPrEx>
        <w:trPr>
          <w:cantSplit/>
        </w:trPr>
        <w:tc>
          <w:tcPr>
            <w:tcW w:w="2948" w:type="dxa"/>
            <w:vMerge w:val="restart"/>
          </w:tcPr>
          <w:p w:rsidR="00000000" w:rsidRDefault="00000000">
            <w:r>
              <w:t xml:space="preserve">Mardi 18 septembre 2007 </w:t>
            </w:r>
          </w:p>
        </w:tc>
        <w:tc>
          <w:tcPr>
            <w:tcW w:w="960" w:type="dxa"/>
          </w:tcPr>
          <w:p w:rsidR="00000000" w:rsidRDefault="00000000">
            <w:pPr>
              <w:pStyle w:val="FootnoteText"/>
            </w:pPr>
            <w:r>
              <w:t>10 h 00</w:t>
            </w:r>
          </w:p>
        </w:tc>
        <w:tc>
          <w:tcPr>
            <w:tcW w:w="1800" w:type="dxa"/>
          </w:tcPr>
          <w:p w:rsidR="00000000" w:rsidRDefault="00000000">
            <w:pPr>
              <w:jc w:val="center"/>
            </w:pPr>
            <w:r>
              <w:t>4</w:t>
            </w:r>
          </w:p>
        </w:tc>
        <w:tc>
          <w:tcPr>
            <w:tcW w:w="3784" w:type="dxa"/>
          </w:tcPr>
          <w:p w:rsidR="00000000" w:rsidRDefault="00000000">
            <w:r>
              <w:t>Croatie, OPAC</w:t>
            </w:r>
          </w:p>
        </w:tc>
      </w:tr>
      <w:tr w:rsidR="00000000">
        <w:tblPrEx>
          <w:tblCellMar>
            <w:top w:w="0" w:type="dxa"/>
            <w:bottom w:w="0" w:type="dxa"/>
          </w:tblCellMar>
        </w:tblPrEx>
        <w:trPr>
          <w:cantSplit/>
        </w:trPr>
        <w:tc>
          <w:tcPr>
            <w:tcW w:w="2948" w:type="dxa"/>
            <w:vMerge/>
          </w:tcPr>
          <w:p w:rsidR="00000000" w:rsidRDefault="00000000">
            <w:pPr>
              <w:spacing w:after="240"/>
            </w:pPr>
          </w:p>
        </w:tc>
        <w:tc>
          <w:tcPr>
            <w:tcW w:w="960" w:type="dxa"/>
          </w:tcPr>
          <w:p w:rsidR="00000000" w:rsidRDefault="00000000">
            <w:pPr>
              <w:pStyle w:val="FootnoteText"/>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Lituanie, OPAC</w:t>
            </w:r>
          </w:p>
        </w:tc>
      </w:tr>
      <w:tr w:rsidR="00000000">
        <w:tblPrEx>
          <w:tblCellMar>
            <w:top w:w="0" w:type="dxa"/>
            <w:bottom w:w="0" w:type="dxa"/>
          </w:tblCellMar>
        </w:tblPrEx>
        <w:tc>
          <w:tcPr>
            <w:tcW w:w="2948" w:type="dxa"/>
          </w:tcPr>
          <w:p w:rsidR="00000000" w:rsidRDefault="00000000">
            <w:r>
              <w:t>Mercredi 19 septembre 2007</w:t>
            </w:r>
          </w:p>
        </w:tc>
        <w:tc>
          <w:tcPr>
            <w:tcW w:w="960" w:type="dxa"/>
          </w:tcPr>
          <w:p w:rsidR="00000000" w:rsidRDefault="00000000">
            <w:r>
              <w:t>10 h 00</w:t>
            </w:r>
          </w:p>
        </w:tc>
        <w:tc>
          <w:tcPr>
            <w:tcW w:w="1800" w:type="dxa"/>
          </w:tcPr>
          <w:p w:rsidR="00000000" w:rsidRDefault="00000000">
            <w:pPr>
              <w:jc w:val="center"/>
            </w:pPr>
            <w:r>
              <w:t>4</w:t>
            </w:r>
          </w:p>
        </w:tc>
        <w:tc>
          <w:tcPr>
            <w:tcW w:w="3784" w:type="dxa"/>
          </w:tcPr>
          <w:p w:rsidR="00000000" w:rsidRDefault="00000000">
            <w:r>
              <w:t xml:space="preserve">Sierra Leone, deuxième </w:t>
            </w:r>
          </w:p>
        </w:tc>
      </w:tr>
      <w:tr w:rsidR="00000000">
        <w:tblPrEx>
          <w:tblCellMar>
            <w:top w:w="0" w:type="dxa"/>
            <w:bottom w:w="0" w:type="dxa"/>
          </w:tblCellMar>
        </w:tblPrEx>
        <w:tc>
          <w:tcPr>
            <w:tcW w:w="2948" w:type="dxa"/>
          </w:tcPr>
          <w:p w:rsidR="00000000" w:rsidRDefault="00000000">
            <w:pPr>
              <w:pStyle w:val="FootnoteText"/>
              <w:spacing w:after="240"/>
            </w:pPr>
          </w:p>
        </w:tc>
        <w:tc>
          <w:tcPr>
            <w:tcW w:w="960" w:type="dxa"/>
          </w:tcPr>
          <w:p w:rsidR="00000000" w:rsidRDefault="00000000">
            <w:pPr>
              <w:pStyle w:val="FootnoteText"/>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 xml:space="preserve">Sierra Leone, deuxième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pPr>
              <w:pStyle w:val="Header"/>
              <w:keepNext/>
              <w:tabs>
                <w:tab w:val="clear" w:pos="4320"/>
                <w:tab w:val="clear" w:pos="8640"/>
              </w:tabs>
            </w:pPr>
            <w:r>
              <w:t>Jeudi 20 septembre 2007</w:t>
            </w:r>
          </w:p>
        </w:tc>
        <w:tc>
          <w:tcPr>
            <w:tcW w:w="960" w:type="dxa"/>
          </w:tcPr>
          <w:p w:rsidR="00000000" w:rsidRDefault="00000000">
            <w:pPr>
              <w:keepNext/>
            </w:pPr>
            <w:r>
              <w:t>10 h 00</w:t>
            </w:r>
          </w:p>
        </w:tc>
        <w:tc>
          <w:tcPr>
            <w:tcW w:w="1800" w:type="dxa"/>
          </w:tcPr>
          <w:p w:rsidR="00000000" w:rsidRDefault="00000000">
            <w:pPr>
              <w:keepNext/>
              <w:jc w:val="center"/>
            </w:pPr>
            <w:r>
              <w:t>4</w:t>
            </w:r>
          </w:p>
        </w:tc>
        <w:tc>
          <w:tcPr>
            <w:tcW w:w="3784" w:type="dxa"/>
          </w:tcPr>
          <w:p w:rsidR="00000000" w:rsidRDefault="00000000">
            <w:pPr>
              <w:keepNext/>
            </w:pPr>
            <w:r>
              <w:t>Luxembourg, OPAC</w:t>
            </w:r>
          </w:p>
        </w:tc>
      </w:tr>
      <w:tr w:rsidR="00000000">
        <w:tblPrEx>
          <w:tblCellMar>
            <w:top w:w="0" w:type="dxa"/>
            <w:bottom w:w="0" w:type="dxa"/>
          </w:tblCellMar>
        </w:tblPrEx>
        <w:tc>
          <w:tcPr>
            <w:tcW w:w="2948" w:type="dxa"/>
          </w:tcPr>
          <w:p w:rsidR="00000000" w:rsidRDefault="00000000">
            <w:pPr>
              <w:pStyle w:val="FootnoteText"/>
              <w:spacing w:after="240"/>
            </w:pPr>
          </w:p>
        </w:tc>
        <w:tc>
          <w:tcPr>
            <w:tcW w:w="960" w:type="dxa"/>
          </w:tcPr>
          <w:p w:rsidR="00000000" w:rsidRDefault="00000000">
            <w:pPr>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Qatar, OPAC</w:t>
            </w:r>
          </w:p>
        </w:tc>
      </w:tr>
      <w:tr w:rsidR="00000000">
        <w:tblPrEx>
          <w:tblCellMar>
            <w:top w:w="0" w:type="dxa"/>
            <w:bottom w:w="0" w:type="dxa"/>
          </w:tblCellMar>
        </w:tblPrEx>
        <w:tc>
          <w:tcPr>
            <w:tcW w:w="2948" w:type="dxa"/>
          </w:tcPr>
          <w:p w:rsidR="00000000" w:rsidRDefault="00000000">
            <w:pPr>
              <w:pStyle w:val="Header"/>
              <w:tabs>
                <w:tab w:val="clear" w:pos="4320"/>
                <w:tab w:val="clear" w:pos="8640"/>
              </w:tabs>
            </w:pPr>
            <w:r>
              <w:t>Vendredi 21 septembre 2007</w:t>
            </w:r>
          </w:p>
        </w:tc>
        <w:tc>
          <w:tcPr>
            <w:tcW w:w="960" w:type="dxa"/>
          </w:tcPr>
          <w:p w:rsidR="00000000" w:rsidRDefault="00000000">
            <w:pPr>
              <w:pStyle w:val="Header"/>
              <w:tabs>
                <w:tab w:val="clear" w:pos="4320"/>
                <w:tab w:val="clear" w:pos="8640"/>
              </w:tabs>
            </w:pPr>
            <w:r>
              <w:t>10 h 00</w:t>
            </w:r>
          </w:p>
        </w:tc>
        <w:tc>
          <w:tcPr>
            <w:tcW w:w="1800" w:type="dxa"/>
          </w:tcPr>
          <w:p w:rsidR="00000000" w:rsidRDefault="00000000">
            <w:pPr>
              <w:jc w:val="center"/>
            </w:pPr>
            <w:r>
              <w:t>7</w:t>
            </w:r>
          </w:p>
        </w:tc>
        <w:tc>
          <w:tcPr>
            <w:tcW w:w="3784" w:type="dxa"/>
          </w:tcPr>
          <w:p w:rsidR="00000000" w:rsidRDefault="00000000">
            <w:pPr>
              <w:pStyle w:val="Header"/>
              <w:tabs>
                <w:tab w:val="clear" w:pos="4320"/>
                <w:tab w:val="clear" w:pos="8640"/>
              </w:tabs>
            </w:pPr>
            <w:r>
              <w:t>Journée de débat général</w:t>
            </w:r>
          </w:p>
        </w:tc>
      </w:tr>
      <w:tr w:rsidR="00000000">
        <w:tblPrEx>
          <w:tblCellMar>
            <w:top w:w="0" w:type="dxa"/>
            <w:bottom w:w="0" w:type="dxa"/>
          </w:tblCellMar>
        </w:tblPrEx>
        <w:tc>
          <w:tcPr>
            <w:tcW w:w="2948" w:type="dxa"/>
          </w:tcPr>
          <w:p w:rsidR="00000000" w:rsidRDefault="00000000">
            <w:pPr>
              <w:spacing w:after="240"/>
            </w:pPr>
          </w:p>
        </w:tc>
        <w:tc>
          <w:tcPr>
            <w:tcW w:w="960" w:type="dxa"/>
          </w:tcPr>
          <w:p w:rsidR="00000000" w:rsidRDefault="00000000">
            <w:pPr>
              <w:spacing w:after="240"/>
              <w:rPr>
                <w:lang w:val="nl-NL"/>
              </w:rPr>
            </w:pPr>
            <w:r>
              <w:rPr>
                <w:lang w:val="nl-NL"/>
              </w:rPr>
              <w:t>15 h 00</w:t>
            </w:r>
          </w:p>
        </w:tc>
        <w:tc>
          <w:tcPr>
            <w:tcW w:w="1800" w:type="dxa"/>
          </w:tcPr>
          <w:p w:rsidR="00000000" w:rsidRDefault="00000000">
            <w:pPr>
              <w:spacing w:after="240"/>
              <w:jc w:val="center"/>
            </w:pPr>
            <w:r>
              <w:t>7</w:t>
            </w:r>
          </w:p>
        </w:tc>
        <w:tc>
          <w:tcPr>
            <w:tcW w:w="3784" w:type="dxa"/>
          </w:tcPr>
          <w:p w:rsidR="00000000" w:rsidRDefault="00000000">
            <w:pPr>
              <w:pStyle w:val="FootnoteText"/>
              <w:spacing w:after="240"/>
            </w:pPr>
            <w:r>
              <w:t>Journée de débat général</w:t>
            </w:r>
          </w:p>
        </w:tc>
      </w:tr>
      <w:tr w:rsidR="00000000">
        <w:tblPrEx>
          <w:tblCellMar>
            <w:top w:w="0" w:type="dxa"/>
            <w:bottom w:w="0" w:type="dxa"/>
          </w:tblCellMar>
        </w:tblPrEx>
        <w:tc>
          <w:tcPr>
            <w:tcW w:w="2948" w:type="dxa"/>
          </w:tcPr>
          <w:p w:rsidR="00000000" w:rsidRDefault="00000000">
            <w:r>
              <w:t>Lundi 24 septembre 2007</w:t>
            </w:r>
          </w:p>
        </w:tc>
        <w:tc>
          <w:tcPr>
            <w:tcW w:w="960" w:type="dxa"/>
          </w:tcPr>
          <w:p w:rsidR="00000000" w:rsidRDefault="00000000">
            <w:r>
              <w:t>10 h 00</w:t>
            </w:r>
          </w:p>
        </w:tc>
        <w:tc>
          <w:tcPr>
            <w:tcW w:w="1800" w:type="dxa"/>
          </w:tcPr>
          <w:p w:rsidR="00000000" w:rsidRDefault="00000000">
            <w:pPr>
              <w:jc w:val="center"/>
            </w:pPr>
            <w:r>
              <w:t>4</w:t>
            </w:r>
          </w:p>
        </w:tc>
        <w:tc>
          <w:tcPr>
            <w:tcW w:w="3784" w:type="dxa"/>
          </w:tcPr>
          <w:p w:rsidR="00000000" w:rsidRDefault="00000000">
            <w:r>
              <w:t>Bulgarie, OPAC et OPSC</w:t>
            </w:r>
          </w:p>
        </w:tc>
      </w:tr>
      <w:tr w:rsidR="00000000">
        <w:tblPrEx>
          <w:tblCellMar>
            <w:top w:w="0" w:type="dxa"/>
            <w:bottom w:w="0" w:type="dxa"/>
          </w:tblCellMar>
        </w:tblPrEx>
        <w:trPr>
          <w:trHeight w:val="453"/>
        </w:trPr>
        <w:tc>
          <w:tcPr>
            <w:tcW w:w="2948" w:type="dxa"/>
          </w:tcPr>
          <w:p w:rsidR="00000000" w:rsidRDefault="00000000">
            <w:pPr>
              <w:spacing w:after="240"/>
            </w:pPr>
          </w:p>
        </w:tc>
        <w:tc>
          <w:tcPr>
            <w:tcW w:w="960" w:type="dxa"/>
          </w:tcPr>
          <w:p w:rsidR="00000000" w:rsidRDefault="00000000">
            <w:pPr>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Bulgarie, OPAC et OPSC</w:t>
            </w:r>
            <w:r>
              <w:rPr>
                <w:rFonts w:eastAsia="MS Mincho"/>
              </w:rPr>
              <w:t xml:space="preserve"> (</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pPr>
              <w:pStyle w:val="Header"/>
              <w:tabs>
                <w:tab w:val="clear" w:pos="4320"/>
                <w:tab w:val="clear" w:pos="8640"/>
              </w:tabs>
            </w:pPr>
            <w:r>
              <w:t>Mercredi 26 septembre 2007</w:t>
            </w:r>
          </w:p>
        </w:tc>
        <w:tc>
          <w:tcPr>
            <w:tcW w:w="960" w:type="dxa"/>
          </w:tcPr>
          <w:p w:rsidR="00000000" w:rsidRDefault="00000000">
            <w:pPr>
              <w:pStyle w:val="Header"/>
              <w:tabs>
                <w:tab w:val="clear" w:pos="4320"/>
                <w:tab w:val="clear" w:pos="8640"/>
              </w:tabs>
            </w:pPr>
            <w:r>
              <w:t>10 h 00</w:t>
            </w:r>
          </w:p>
        </w:tc>
        <w:tc>
          <w:tcPr>
            <w:tcW w:w="1800" w:type="dxa"/>
          </w:tcPr>
          <w:p w:rsidR="00000000" w:rsidRDefault="00000000">
            <w:pPr>
              <w:jc w:val="center"/>
            </w:pPr>
            <w:r>
              <w:t>4</w:t>
            </w:r>
          </w:p>
        </w:tc>
        <w:tc>
          <w:tcPr>
            <w:tcW w:w="3784" w:type="dxa"/>
          </w:tcPr>
          <w:p w:rsidR="00000000" w:rsidRDefault="00000000">
            <w:r>
              <w:t>France, OPAC et OPSC</w:t>
            </w:r>
          </w:p>
        </w:tc>
      </w:tr>
      <w:tr w:rsidR="00000000">
        <w:tblPrEx>
          <w:tblCellMar>
            <w:top w:w="0" w:type="dxa"/>
            <w:bottom w:w="0" w:type="dxa"/>
          </w:tblCellMar>
        </w:tblPrEx>
        <w:tc>
          <w:tcPr>
            <w:tcW w:w="2948" w:type="dxa"/>
          </w:tcPr>
          <w:p w:rsidR="00000000" w:rsidRDefault="00000000">
            <w:pPr>
              <w:pStyle w:val="FootnoteText"/>
              <w:spacing w:after="240"/>
            </w:pPr>
          </w:p>
        </w:tc>
        <w:tc>
          <w:tcPr>
            <w:tcW w:w="960" w:type="dxa"/>
          </w:tcPr>
          <w:p w:rsidR="00000000" w:rsidRDefault="00000000">
            <w:pPr>
              <w:pStyle w:val="FootnoteText"/>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France, OPAC et OPSC</w:t>
            </w:r>
            <w:r>
              <w:rPr>
                <w:rFonts w:eastAsia="MS Mincho"/>
              </w:rPr>
              <w:t xml:space="preserve"> (</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pPr>
              <w:pStyle w:val="Header"/>
              <w:tabs>
                <w:tab w:val="clear" w:pos="4320"/>
                <w:tab w:val="clear" w:pos="8640"/>
              </w:tabs>
            </w:pPr>
            <w:r>
              <w:t xml:space="preserve">Vendredi 28 septembre 2007 </w:t>
            </w:r>
          </w:p>
        </w:tc>
        <w:tc>
          <w:tcPr>
            <w:tcW w:w="960" w:type="dxa"/>
          </w:tcPr>
          <w:p w:rsidR="00000000" w:rsidRDefault="00000000">
            <w:r>
              <w:t>10 h 00</w:t>
            </w:r>
          </w:p>
        </w:tc>
        <w:tc>
          <w:tcPr>
            <w:tcW w:w="1800" w:type="dxa"/>
          </w:tcPr>
          <w:p w:rsidR="00000000" w:rsidRDefault="00000000">
            <w:pPr>
              <w:pStyle w:val="Header"/>
              <w:tabs>
                <w:tab w:val="clear" w:pos="4320"/>
                <w:tab w:val="clear" w:pos="8640"/>
              </w:tabs>
              <w:jc w:val="center"/>
            </w:pPr>
            <w:r>
              <w:t>4</w:t>
            </w:r>
          </w:p>
        </w:tc>
        <w:tc>
          <w:tcPr>
            <w:tcW w:w="3784" w:type="dxa"/>
          </w:tcPr>
          <w:p w:rsidR="00000000" w:rsidRDefault="00000000">
            <w:r>
              <w:t>Venezuela, deuxième</w:t>
            </w:r>
          </w:p>
        </w:tc>
      </w:tr>
      <w:tr w:rsidR="00000000">
        <w:tblPrEx>
          <w:tblCellMar>
            <w:top w:w="0" w:type="dxa"/>
            <w:bottom w:w="0" w:type="dxa"/>
          </w:tblCellMar>
        </w:tblPrEx>
        <w:tc>
          <w:tcPr>
            <w:tcW w:w="2948" w:type="dxa"/>
          </w:tcPr>
          <w:p w:rsidR="00000000" w:rsidRDefault="00000000">
            <w:pPr>
              <w:pStyle w:val="FootnoteText"/>
              <w:spacing w:after="240"/>
            </w:pPr>
          </w:p>
        </w:tc>
        <w:tc>
          <w:tcPr>
            <w:tcW w:w="960" w:type="dxa"/>
          </w:tcPr>
          <w:p w:rsidR="00000000" w:rsidRDefault="00000000">
            <w:pPr>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 xml:space="preserve">Venezuela, deuxième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pPr>
              <w:pStyle w:val="FootnoteText"/>
            </w:pPr>
            <w:r>
              <w:t>Lundi 1</w:t>
            </w:r>
            <w:r>
              <w:rPr>
                <w:vertAlign w:val="superscript"/>
              </w:rPr>
              <w:t>er</w:t>
            </w:r>
            <w:r>
              <w:t xml:space="preserve"> octobre 2007</w:t>
            </w:r>
          </w:p>
        </w:tc>
        <w:tc>
          <w:tcPr>
            <w:tcW w:w="960" w:type="dxa"/>
          </w:tcPr>
          <w:p w:rsidR="00000000" w:rsidRDefault="00000000">
            <w:r>
              <w:t>10 h 00</w:t>
            </w:r>
          </w:p>
        </w:tc>
        <w:tc>
          <w:tcPr>
            <w:tcW w:w="1800" w:type="dxa"/>
          </w:tcPr>
          <w:p w:rsidR="00000000" w:rsidRDefault="00000000">
            <w:pPr>
              <w:jc w:val="center"/>
            </w:pPr>
            <w:r>
              <w:t>4</w:t>
            </w:r>
          </w:p>
        </w:tc>
        <w:tc>
          <w:tcPr>
            <w:tcW w:w="3784" w:type="dxa"/>
          </w:tcPr>
          <w:p w:rsidR="00000000" w:rsidRDefault="00000000">
            <w:r>
              <w:t>Espagne, OPAC et OPSC</w:t>
            </w:r>
          </w:p>
        </w:tc>
      </w:tr>
      <w:tr w:rsidR="00000000">
        <w:tblPrEx>
          <w:tblCellMar>
            <w:top w:w="0" w:type="dxa"/>
            <w:bottom w:w="0" w:type="dxa"/>
          </w:tblCellMar>
        </w:tblPrEx>
        <w:tc>
          <w:tcPr>
            <w:tcW w:w="2948" w:type="dxa"/>
          </w:tcPr>
          <w:p w:rsidR="00000000" w:rsidRDefault="00000000">
            <w:pPr>
              <w:pStyle w:val="FootnoteText"/>
              <w:spacing w:after="240"/>
            </w:pPr>
          </w:p>
        </w:tc>
        <w:tc>
          <w:tcPr>
            <w:tcW w:w="960" w:type="dxa"/>
          </w:tcPr>
          <w:p w:rsidR="00000000" w:rsidRDefault="00000000">
            <w:pPr>
              <w:spacing w:after="240"/>
            </w:pPr>
            <w:r>
              <w:t>15 h 00</w:t>
            </w:r>
          </w:p>
        </w:tc>
        <w:tc>
          <w:tcPr>
            <w:tcW w:w="1800" w:type="dxa"/>
          </w:tcPr>
          <w:p w:rsidR="00000000" w:rsidRDefault="00000000">
            <w:pPr>
              <w:spacing w:after="240"/>
              <w:jc w:val="center"/>
            </w:pPr>
            <w:r>
              <w:t>4</w:t>
            </w:r>
          </w:p>
        </w:tc>
        <w:tc>
          <w:tcPr>
            <w:tcW w:w="3784" w:type="dxa"/>
          </w:tcPr>
          <w:p w:rsidR="00000000" w:rsidRDefault="00000000">
            <w:pPr>
              <w:spacing w:after="240"/>
            </w:pPr>
            <w:r>
              <w:t xml:space="preserve">Espagne, OPAC et OPSC </w:t>
            </w:r>
            <w:r>
              <w:rPr>
                <w:rFonts w:eastAsia="MS Mincho"/>
              </w:rPr>
              <w:t>(</w:t>
            </w:r>
            <w:r>
              <w:rPr>
                <w:rFonts w:eastAsia="MS Mincho"/>
                <w:i/>
                <w:iCs/>
              </w:rPr>
              <w:t>suite</w:t>
            </w:r>
            <w:r>
              <w:rPr>
                <w:rFonts w:eastAsia="MS Mincho"/>
              </w:rPr>
              <w:t>)</w:t>
            </w:r>
          </w:p>
        </w:tc>
      </w:tr>
      <w:tr w:rsidR="00000000">
        <w:tblPrEx>
          <w:tblCellMar>
            <w:top w:w="0" w:type="dxa"/>
            <w:bottom w:w="0" w:type="dxa"/>
          </w:tblCellMar>
        </w:tblPrEx>
        <w:tc>
          <w:tcPr>
            <w:tcW w:w="2948" w:type="dxa"/>
          </w:tcPr>
          <w:p w:rsidR="00000000" w:rsidRDefault="00000000">
            <w:pPr>
              <w:pStyle w:val="FootnoteText"/>
              <w:spacing w:after="240"/>
            </w:pPr>
            <w:r>
              <w:t>Mardi 2 octobre 2007</w:t>
            </w:r>
          </w:p>
        </w:tc>
        <w:tc>
          <w:tcPr>
            <w:tcW w:w="960" w:type="dxa"/>
          </w:tcPr>
          <w:p w:rsidR="00000000" w:rsidRDefault="00000000">
            <w:pPr>
              <w:spacing w:after="240"/>
            </w:pPr>
            <w:r>
              <w:t>10 h 00</w:t>
            </w:r>
          </w:p>
        </w:tc>
        <w:tc>
          <w:tcPr>
            <w:tcW w:w="1800" w:type="dxa"/>
          </w:tcPr>
          <w:p w:rsidR="00000000" w:rsidRDefault="00000000">
            <w:pPr>
              <w:spacing w:after="240"/>
              <w:jc w:val="center"/>
            </w:pPr>
            <w:r>
              <w:t>4</w:t>
            </w:r>
          </w:p>
        </w:tc>
        <w:tc>
          <w:tcPr>
            <w:tcW w:w="3784" w:type="dxa"/>
          </w:tcPr>
          <w:p w:rsidR="00000000" w:rsidRDefault="00000000">
            <w:pPr>
              <w:spacing w:after="240"/>
            </w:pPr>
            <w:r>
              <w:t>République arabe syrienne, OPAC</w:t>
            </w:r>
          </w:p>
        </w:tc>
      </w:tr>
    </w:tbl>
    <w:p w:rsidR="00000000" w:rsidRDefault="00000000">
      <w:pPr>
        <w:spacing w:before="240" w:after="240"/>
      </w:pPr>
      <w:r>
        <w:t>11.</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Conformément à sa décision 8 concernant l’examen des rapports présentés au titre des deux protocoles facultatifs, le Comité peut proposer aux États d’opter pour un examen technique pour les rapports présentés au titre du Protocole facultatif concernant l’implication d’enfants dans les conflits armés.</w:t>
      </w:r>
    </w:p>
    <w:p w:rsidR="00000000" w:rsidRDefault="00000000">
      <w:pPr>
        <w:keepNext/>
        <w:keepLines/>
        <w:spacing w:after="240"/>
      </w:pPr>
      <w:r>
        <w:t>12.</w:t>
      </w:r>
      <w:r>
        <w:tab/>
        <w:t xml:space="preserve">Conformément à l’article 68 du règlement intérieur provisoire, le Secrétaire général a notifié aux États parties concernés la date d’ouverture, la durée et le lieu de la </w:t>
      </w:r>
      <w:proofErr w:type="spellStart"/>
      <w:r>
        <w:t>quarante</w:t>
      </w:r>
      <w:r>
        <w:noBreakHyphen/>
        <w:t>sixième</w:t>
      </w:r>
      <w:proofErr w:type="spellEnd"/>
      <w:r>
        <w:t> session du Comité, au</w:t>
      </w:r>
      <w:r>
        <w:rPr>
          <w:b/>
          <w:bCs/>
        </w:rPr>
        <w:t xml:space="preserve"> </w:t>
      </w:r>
      <w:r>
        <w:t>cours de laquelle leur rapport sera examiné, et les a invités à envoyer des représentants qui assisteront aux séances du Comité.</w:t>
      </w:r>
    </w:p>
    <w:p w:rsidR="00000000" w:rsidRDefault="00000000">
      <w:pPr>
        <w:keepNext/>
        <w:spacing w:after="240"/>
        <w:jc w:val="center"/>
        <w:rPr>
          <w:b/>
          <w:bCs/>
        </w:rPr>
      </w:pPr>
      <w:r>
        <w:rPr>
          <w:b/>
          <w:bCs/>
          <w:noProof/>
        </w:rPr>
        <w:t xml:space="preserve">Point 5.  </w:t>
      </w:r>
      <w:r>
        <w:rPr>
          <w:b/>
          <w:bCs/>
        </w:rPr>
        <w:t>Coopération avec d’autres organismes des Nations Unies,</w:t>
      </w:r>
      <w:r>
        <w:rPr>
          <w:b/>
          <w:bCs/>
        </w:rPr>
        <w:br/>
        <w:t>les institutions spécialisées et d’autres organismes compétents</w:t>
      </w:r>
    </w:p>
    <w:p w:rsidR="00000000" w:rsidRDefault="00000000">
      <w:pPr>
        <w:spacing w:after="240"/>
      </w:pPr>
      <w:r>
        <w:t>13.</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14.</w:t>
      </w:r>
      <w:r>
        <w:tab/>
        <w:t>Au titre de ce point, le Comité poursuivra les débats sur l’organisation de</w:t>
      </w:r>
      <w:r>
        <w:rPr>
          <w:b/>
          <w:bCs/>
        </w:rPr>
        <w:t xml:space="preserve"> </w:t>
      </w:r>
      <w:r>
        <w:t>ses travaux futurs, ainsi que sur la procédure à suivre pour l’examen et le suivi des rapports des États parties, y</w:t>
      </w:r>
      <w:r>
        <w:rPr>
          <w:b/>
          <w:bCs/>
        </w:rPr>
        <w:t xml:space="preserve"> </w:t>
      </w:r>
      <w:r>
        <w:t xml:space="preserve">compris, le cas échéant, les domaines dans lesquels une assistance technique se révèle nécessaire. </w:t>
      </w:r>
    </w:p>
    <w:p w:rsidR="00000000" w:rsidRDefault="00000000">
      <w:pPr>
        <w:keepNext/>
        <w:spacing w:after="240"/>
        <w:jc w:val="center"/>
        <w:rPr>
          <w:b/>
          <w:bCs/>
        </w:rPr>
      </w:pPr>
      <w:r>
        <w:rPr>
          <w:b/>
          <w:bCs/>
        </w:rPr>
        <w:t>Point 7.  Journée de débat général</w:t>
      </w:r>
    </w:p>
    <w:p w:rsidR="00000000" w:rsidRDefault="00000000">
      <w:pPr>
        <w:spacing w:after="240"/>
      </w:pPr>
      <w:r>
        <w:t>15.</w:t>
      </w:r>
      <w:r>
        <w:tab/>
        <w:t xml:space="preserve"> Conformément à l’article 75 du règlement intérieur provisoire, le Comité a décidé à sa </w:t>
      </w:r>
      <w:r>
        <w:rPr>
          <w:lang w:eastAsia="en-GB" w:bidi="he-IL"/>
        </w:rPr>
        <w:t>quarante-troisième</w:t>
      </w:r>
      <w:r>
        <w:t xml:space="preserve"> session qu’une journée de débat général se tiendrait au cours de sa quarante</w:t>
      </w:r>
      <w:r>
        <w:noBreakHyphen/>
        <w:t xml:space="preserve">sixième session sur le thème «Ressources pour les droits de l’enfant − Responsabilité des États», Investissements pour la mise en œuvre des droits économiques, sociaux et culturels des enfants et la coopération internationale (art. 4 de la Convention). Cette journée de débat général aura lieu le vendredi 21 septembre 2007. À sa </w:t>
      </w:r>
      <w:r>
        <w:rPr>
          <w:lang w:eastAsia="en-GB" w:bidi="he-IL"/>
        </w:rPr>
        <w:t xml:space="preserve">quarante-quatrième </w:t>
      </w:r>
      <w:r>
        <w:t xml:space="preserve">session, le Comité a adopté le plan d’ensemble de la journée de débat général (voir CRC/C/44/3, annexe ). Des documents et des informations concernant cette journée de débat général sont affichés sur la </w:t>
      </w:r>
      <w:r>
        <w:rPr>
          <w:spacing w:val="-2"/>
        </w:rPr>
        <w:t>page Web du Comité des droits de l’enfant (</w:t>
      </w:r>
      <w:hyperlink r:id="rId9" w:history="1">
        <w:r>
          <w:rPr>
            <w:rStyle w:val="Hyperlink"/>
            <w:spacing w:val="-2"/>
          </w:rPr>
          <w:t>http://www.ohchr.org/english/bodies/crc/discussion.htm</w:t>
        </w:r>
      </w:hyperlink>
      <w:r>
        <w:rPr>
          <w:spacing w:val="-2"/>
        </w:rPr>
        <w:t>).</w:t>
      </w:r>
    </w:p>
    <w:p w:rsidR="00000000" w:rsidRDefault="00000000">
      <w:pPr>
        <w:keepNext/>
        <w:spacing w:after="240"/>
        <w:jc w:val="center"/>
        <w:rPr>
          <w:b/>
          <w:bCs/>
        </w:rPr>
      </w:pPr>
      <w:r>
        <w:rPr>
          <w:b/>
          <w:bCs/>
        </w:rPr>
        <w:t>Point 8.  Observations générales</w:t>
      </w:r>
    </w:p>
    <w:p w:rsidR="00000000" w:rsidRDefault="00000000">
      <w:pPr>
        <w:spacing w:after="240"/>
      </w:pPr>
      <w:r>
        <w:t>16.</w:t>
      </w:r>
      <w:r>
        <w:tab/>
        <w:t>Au titre de ce point, le Comité poursuivra l’élaboration d’observations générales fondées sur les principes et dispositions de la</w:t>
      </w:r>
      <w:r>
        <w:rPr>
          <w:b/>
          <w:bCs/>
        </w:rPr>
        <w:t xml:space="preserve"> </w:t>
      </w:r>
      <w:r>
        <w:t>Convention.</w:t>
      </w:r>
    </w:p>
    <w:p w:rsidR="00000000" w:rsidRDefault="00000000">
      <w:pPr>
        <w:keepNext/>
        <w:spacing w:after="240"/>
        <w:jc w:val="center"/>
        <w:rPr>
          <w:b/>
          <w:bCs/>
        </w:rPr>
      </w:pPr>
      <w:r>
        <w:rPr>
          <w:b/>
          <w:bCs/>
        </w:rPr>
        <w:t>Point 9.  Réunions futures</w:t>
      </w:r>
    </w:p>
    <w:p w:rsidR="00000000" w:rsidRDefault="00000000">
      <w:pPr>
        <w:spacing w:after="240"/>
      </w:pPr>
      <w:r>
        <w:t>17.</w:t>
      </w:r>
      <w:r>
        <w:tab/>
        <w:t>Au titre de ce point, le Comité sera informé de tous faits récents ayant une incidence sur le</w:t>
      </w:r>
      <w:r>
        <w:rPr>
          <w:b/>
          <w:bCs/>
        </w:rPr>
        <w:t> </w:t>
      </w:r>
      <w:r>
        <w:t>calendrier de ses réunions à venir.</w:t>
      </w:r>
    </w:p>
    <w:p w:rsidR="00000000" w:rsidRDefault="00000000">
      <w:pPr>
        <w:keepNext/>
        <w:spacing w:after="240"/>
        <w:jc w:val="center"/>
        <w:rPr>
          <w:b/>
          <w:bCs/>
        </w:rPr>
      </w:pPr>
      <w:r>
        <w:rPr>
          <w:b/>
          <w:bCs/>
        </w:rPr>
        <w:t>Point 10.  Questions diverses</w:t>
      </w:r>
    </w:p>
    <w:p w:rsidR="00000000" w:rsidRDefault="00000000">
      <w:pPr>
        <w:spacing w:after="240"/>
      </w:pPr>
      <w:r>
        <w:t>18.</w:t>
      </w:r>
      <w:r>
        <w:tab/>
        <w:t>Au titre de ce point, les membres examineront, si</w:t>
      </w:r>
      <w:r>
        <w:rPr>
          <w:b/>
          <w:bCs/>
        </w:rPr>
        <w:t xml:space="preserve"> </w:t>
      </w:r>
      <w:r>
        <w:t>nécessaire, toute autre question intéressant les travaux du Comité.</w:t>
      </w:r>
    </w:p>
    <w:p w:rsidR="00000000" w:rsidRDefault="00000000">
      <w:pPr>
        <w:tabs>
          <w:tab w:val="right" w:pos="3195"/>
        </w:tabs>
        <w:jc w:val="center"/>
      </w:pPr>
      <w: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42949  (F)    240707    250707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CRC/C/46/1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firstLine="7371"/>
    </w:pPr>
    <w:r>
      <w:tab/>
      <w:t>CRC/C/46/1</w:t>
    </w:r>
  </w:p>
  <w:p w:rsidR="00000000" w:rsidRDefault="00000000">
    <w:pPr>
      <w:pStyle w:val="Header"/>
      <w:tabs>
        <w:tab w:val="clear" w:pos="4320"/>
        <w:tab w:val="clear" w:pos="8640"/>
      </w:tabs>
      <w:ind w:firstLine="7371"/>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glish/bodies/crc/discussion.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1338</Words>
  <Characters>7632</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CRC/C/46/1</vt:lpstr>
    </vt:vector>
  </TitlesOfParts>
  <Company/>
  <LinksUpToDate>false</LinksUpToDate>
  <CharactersWithSpaces>9372</CharactersWithSpaces>
  <SharedDoc>false</SharedDoc>
  <HLinks>
    <vt:vector size="6" baseType="variant">
      <vt:variant>
        <vt:i4>3407916</vt:i4>
      </vt:variant>
      <vt:variant>
        <vt:i4>3</vt:i4>
      </vt:variant>
      <vt:variant>
        <vt:i4>0</vt:i4>
      </vt:variant>
      <vt:variant>
        <vt:i4>5</vt:i4>
      </vt:variant>
      <vt:variant>
        <vt:lpwstr>http://www.ohchr.org/english/bodies/crc/discussion.htm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CRC/C/46/1</dc:title>
  <dc:subject>FINAL</dc:subject>
  <dc:creator>Lamy</dc:creator>
  <cp:keywords/>
  <dc:description/>
  <cp:lastModifiedBy>Sipp</cp:lastModifiedBy>
  <cp:revision>2</cp:revision>
  <cp:lastPrinted>2007-07-25T09:41:00Z</cp:lastPrinted>
  <dcterms:created xsi:type="dcterms:W3CDTF">2007-07-25T12:40:00Z</dcterms:created>
  <dcterms:modified xsi:type="dcterms:W3CDTF">2007-07-25T12:40:00Z</dcterms:modified>
</cp:coreProperties>
</file>