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5" w:type="dxa"/>
        <w:tblBorders>
          <w:bottom w:val="single" w:sz="24" w:space="0" w:color="auto"/>
        </w:tblBorders>
        <w:tblLayout w:type="fixed"/>
        <w:tblCellMar>
          <w:left w:w="68" w:type="dxa"/>
          <w:right w:w="68" w:type="dxa"/>
        </w:tblCellMar>
        <w:tblLook w:val="0000" w:firstRow="0" w:lastRow="0" w:firstColumn="0" w:lastColumn="0" w:noHBand="0" w:noVBand="0"/>
      </w:tblPr>
      <w:tblGrid>
        <w:gridCol w:w="1559"/>
        <w:gridCol w:w="4534"/>
        <w:gridCol w:w="3402"/>
      </w:tblGrid>
      <w:tr w:rsidR="00133AD6">
        <w:tblPrEx>
          <w:tblCellMar>
            <w:top w:w="0" w:type="dxa"/>
            <w:bottom w:w="0" w:type="dxa"/>
          </w:tblCellMar>
        </w:tblPrEx>
        <w:tc>
          <w:tcPr>
            <w:tcW w:w="1559" w:type="dxa"/>
            <w:tcBorders>
              <w:bottom w:val="single" w:sz="8" w:space="0" w:color="auto"/>
            </w:tcBorders>
          </w:tcPr>
          <w:p w:rsidR="00133AD6" w:rsidRDefault="00133AD6">
            <w:pPr>
              <w:spacing w:before="60"/>
            </w:pPr>
            <w:r>
              <w:rPr>
                <w:rFonts w:ascii="Arial" w:hAnsi="Arial" w:cs="Arial"/>
                <w:b/>
                <w:bCs/>
                <w:sz w:val="28"/>
              </w:rPr>
              <w:t>NATIONS</w:t>
            </w:r>
            <w:r>
              <w:rPr>
                <w:rFonts w:ascii="Arial" w:hAnsi="Arial" w:cs="Arial"/>
                <w:b/>
                <w:bCs/>
                <w:sz w:val="28"/>
              </w:rPr>
              <w:br/>
              <w:t>UNIES</w:t>
            </w:r>
          </w:p>
        </w:tc>
        <w:tc>
          <w:tcPr>
            <w:tcW w:w="4534" w:type="dxa"/>
            <w:tcBorders>
              <w:bottom w:val="single" w:sz="8" w:space="0" w:color="auto"/>
            </w:tcBorders>
          </w:tcPr>
          <w:p w:rsidR="00133AD6" w:rsidRDefault="00133AD6">
            <w:pPr>
              <w:tabs>
                <w:tab w:val="right" w:pos="3195"/>
              </w:tabs>
              <w:ind w:hanging="1"/>
            </w:pPr>
          </w:p>
        </w:tc>
        <w:tc>
          <w:tcPr>
            <w:tcW w:w="3402" w:type="dxa"/>
            <w:tcBorders>
              <w:bottom w:val="single" w:sz="8" w:space="0" w:color="auto"/>
            </w:tcBorders>
          </w:tcPr>
          <w:p w:rsidR="00133AD6" w:rsidRDefault="00133AD6">
            <w:pPr>
              <w:spacing w:after="120"/>
              <w:ind w:left="1134"/>
              <w:rPr>
                <w:b/>
                <w:bCs/>
                <w:sz w:val="72"/>
              </w:rPr>
            </w:pPr>
            <w:r>
              <w:rPr>
                <w:rFonts w:ascii="Arial" w:hAnsi="Arial"/>
                <w:b/>
                <w:bCs/>
                <w:sz w:val="72"/>
              </w:rPr>
              <w:t>CRC</w:t>
            </w:r>
          </w:p>
        </w:tc>
      </w:tr>
      <w:tr w:rsidR="00133AD6">
        <w:tblPrEx>
          <w:tblCellMar>
            <w:top w:w="0" w:type="dxa"/>
            <w:bottom w:w="0" w:type="dxa"/>
          </w:tblCellMar>
        </w:tblPrEx>
        <w:trPr>
          <w:trHeight w:hRule="exact" w:val="2552"/>
        </w:trPr>
        <w:tc>
          <w:tcPr>
            <w:tcW w:w="1559" w:type="dxa"/>
            <w:tcBorders>
              <w:top w:val="single" w:sz="8" w:space="0" w:color="auto"/>
              <w:bottom w:val="single" w:sz="36" w:space="0" w:color="auto"/>
            </w:tcBorders>
            <w:tcMar>
              <w:top w:w="119" w:type="dxa"/>
            </w:tcMar>
          </w:tcPr>
          <w:p w:rsidR="00133AD6" w:rsidRDefault="00133AD6">
            <w:pPr>
              <w:rPr>
                <w:rFonts w:ascii="Courier New" w:hAnsi="Courier New"/>
                <w:sz w:val="20"/>
              </w:rPr>
            </w:pPr>
            <w:r>
              <w:object w:dxaOrig="1361" w:dyaOrig="127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7.5pt;height:63.75pt" o:ole="" o:allowoverlap="f">
                  <v:imagedata r:id="rId7" o:title=""/>
                </v:shape>
                <o:OLEObject Type="Embed" ProgID="Word.Picture.8" ShapeID="_x0000_i1025" DrawAspect="Content" ObjectID="_1394788022" r:id="rId8"/>
              </w:object>
            </w:r>
          </w:p>
        </w:tc>
        <w:tc>
          <w:tcPr>
            <w:tcW w:w="4534" w:type="dxa"/>
            <w:tcBorders>
              <w:top w:val="single" w:sz="8" w:space="0" w:color="auto"/>
              <w:bottom w:val="single" w:sz="36" w:space="0" w:color="auto"/>
            </w:tcBorders>
            <w:tcMar>
              <w:top w:w="119" w:type="dxa"/>
            </w:tcMar>
          </w:tcPr>
          <w:p w:rsidR="00133AD6" w:rsidRDefault="00133AD6" w:rsidP="00497CAD">
            <w:pPr>
              <w:spacing w:before="120"/>
              <w:rPr>
                <w:rFonts w:ascii="Courier New" w:hAnsi="Courier New"/>
                <w:sz w:val="20"/>
              </w:rPr>
            </w:pPr>
            <w:r>
              <w:rPr>
                <w:rFonts w:ascii="Arial" w:hAnsi="Arial"/>
                <w:b/>
                <w:sz w:val="34"/>
              </w:rPr>
              <w:t>Convention relative</w:t>
            </w:r>
            <w:r>
              <w:rPr>
                <w:rFonts w:ascii="Arial" w:hAnsi="Arial"/>
                <w:b/>
                <w:sz w:val="34"/>
              </w:rPr>
              <w:br/>
              <w:t>aux droits de l’enfant</w:t>
            </w:r>
          </w:p>
        </w:tc>
        <w:tc>
          <w:tcPr>
            <w:tcW w:w="3402" w:type="dxa"/>
            <w:tcBorders>
              <w:top w:val="single" w:sz="8" w:space="0" w:color="auto"/>
              <w:bottom w:val="single" w:sz="36" w:space="0" w:color="auto"/>
            </w:tcBorders>
            <w:tcMar>
              <w:top w:w="119" w:type="dxa"/>
            </w:tcMar>
          </w:tcPr>
          <w:p w:rsidR="00133AD6" w:rsidRDefault="00133AD6" w:rsidP="00497CAD">
            <w:pPr>
              <w:spacing w:before="120" w:after="240"/>
            </w:pPr>
            <w:r>
              <w:t>Distr.</w:t>
            </w:r>
            <w:bookmarkStart w:id="0" w:name="a1"/>
            <w:r>
              <w:br/>
              <w:t>GÉNÉRALE</w:t>
            </w:r>
            <w:bookmarkEnd w:id="0"/>
          </w:p>
          <w:p w:rsidR="00133AD6" w:rsidRDefault="00DA41EE" w:rsidP="00497CAD">
            <w:pPr>
              <w:spacing w:after="240"/>
            </w:pPr>
            <w:r w:rsidRPr="00DA41EE">
              <w:t>CRC/C/OPAC/POL/1</w:t>
            </w:r>
            <w:bookmarkStart w:id="1" w:name="a3"/>
            <w:r w:rsidR="00133AD6">
              <w:br/>
            </w:r>
            <w:bookmarkEnd w:id="1"/>
            <w:r>
              <w:t>19 février</w:t>
            </w:r>
            <w:r w:rsidR="00133AD6">
              <w:t xml:space="preserve"> 200</w:t>
            </w:r>
            <w:r w:rsidR="00CE590A">
              <w:t>9</w:t>
            </w:r>
          </w:p>
          <w:p w:rsidR="00133AD6" w:rsidRDefault="00133AD6" w:rsidP="00497CAD">
            <w:pPr>
              <w:spacing w:after="120"/>
            </w:pPr>
            <w:r>
              <w:t>FRANÇAIS</w:t>
            </w:r>
            <w:r>
              <w:br/>
              <w:t>Original: ANGLAIS</w:t>
            </w:r>
          </w:p>
        </w:tc>
      </w:tr>
    </w:tbl>
    <w:p w:rsidR="00DA41EE" w:rsidRPr="008C0D51" w:rsidRDefault="00DA41EE" w:rsidP="000164BE">
      <w:pPr>
        <w:spacing w:before="480" w:after="360"/>
        <w:jc w:val="center"/>
        <w:rPr>
          <w:b/>
        </w:rPr>
      </w:pPr>
      <w:r w:rsidRPr="008C0D51">
        <w:rPr>
          <w:b/>
        </w:rPr>
        <w:t>COMITÉ DES DROITS DE L</w:t>
      </w:r>
      <w:r>
        <w:rPr>
          <w:b/>
        </w:rPr>
        <w:t>’</w:t>
      </w:r>
      <w:r w:rsidRPr="008C0D51">
        <w:rPr>
          <w:b/>
        </w:rPr>
        <w:t>ENFANT</w:t>
      </w:r>
    </w:p>
    <w:p w:rsidR="00DA41EE" w:rsidRPr="008C0D51" w:rsidRDefault="00DA41EE" w:rsidP="00DA41EE">
      <w:pPr>
        <w:spacing w:after="240"/>
        <w:jc w:val="center"/>
        <w:rPr>
          <w:b/>
        </w:rPr>
      </w:pPr>
      <w:r w:rsidRPr="008C0D51">
        <w:rPr>
          <w:b/>
        </w:rPr>
        <w:t>EXAMEN DES RAPPORTS PRÉSENTÉS PAR LES ÉTATS PARTIES</w:t>
      </w:r>
      <w:r>
        <w:rPr>
          <w:b/>
        </w:rPr>
        <w:t xml:space="preserve"> </w:t>
      </w:r>
      <w:r w:rsidRPr="008C0D51">
        <w:rPr>
          <w:b/>
        </w:rPr>
        <w:t>CONFORMÉMENT AU PARAGRAPHE 1 DE L</w:t>
      </w:r>
      <w:r>
        <w:rPr>
          <w:b/>
        </w:rPr>
        <w:t>’</w:t>
      </w:r>
      <w:r w:rsidRPr="008C0D51">
        <w:rPr>
          <w:b/>
        </w:rPr>
        <w:t>ARTICLE 8 DU</w:t>
      </w:r>
      <w:r w:rsidRPr="008C0D51">
        <w:rPr>
          <w:b/>
        </w:rPr>
        <w:br/>
        <w:t>PROTOCOLE FACULTATIF À LA CONVENTION RELATIVE</w:t>
      </w:r>
      <w:r w:rsidRPr="008C0D51">
        <w:rPr>
          <w:b/>
        </w:rPr>
        <w:br/>
        <w:t>AUX DROITS DE L</w:t>
      </w:r>
      <w:r>
        <w:rPr>
          <w:b/>
        </w:rPr>
        <w:t>’</w:t>
      </w:r>
      <w:r w:rsidRPr="008C0D51">
        <w:rPr>
          <w:b/>
        </w:rPr>
        <w:t>ENFANT, CONCERNANT L</w:t>
      </w:r>
      <w:r>
        <w:rPr>
          <w:b/>
        </w:rPr>
        <w:t>’</w:t>
      </w:r>
      <w:r w:rsidRPr="008C0D51">
        <w:rPr>
          <w:b/>
        </w:rPr>
        <w:t>IMPLICATION</w:t>
      </w:r>
      <w:r>
        <w:rPr>
          <w:b/>
        </w:rPr>
        <w:br/>
      </w:r>
      <w:r w:rsidRPr="008C0D51">
        <w:rPr>
          <w:b/>
        </w:rPr>
        <w:t>D</w:t>
      </w:r>
      <w:r>
        <w:rPr>
          <w:b/>
        </w:rPr>
        <w:t>’</w:t>
      </w:r>
      <w:r w:rsidRPr="008C0D51">
        <w:rPr>
          <w:b/>
        </w:rPr>
        <w:t>ENFANTS DANS LES CONFLIT ARMÉS</w:t>
      </w:r>
    </w:p>
    <w:p w:rsidR="00DA41EE" w:rsidRPr="008C0D51" w:rsidRDefault="00DA41EE" w:rsidP="000164BE">
      <w:pPr>
        <w:spacing w:after="600"/>
        <w:jc w:val="center"/>
        <w:rPr>
          <w:b/>
        </w:rPr>
      </w:pPr>
      <w:r w:rsidRPr="008C0D51">
        <w:rPr>
          <w:b/>
        </w:rPr>
        <w:t>Rapports initiaux des États parties attendus en 2007</w:t>
      </w:r>
    </w:p>
    <w:p w:rsidR="00DA41EE" w:rsidRPr="008C0D51" w:rsidRDefault="00DA41EE" w:rsidP="000164BE">
      <w:pPr>
        <w:spacing w:after="840"/>
        <w:jc w:val="center"/>
        <w:rPr>
          <w:b/>
        </w:rPr>
      </w:pPr>
      <w:r w:rsidRPr="008C0D51">
        <w:rPr>
          <w:b/>
        </w:rPr>
        <w:t>POLOGNE</w:t>
      </w:r>
      <w:r>
        <w:rPr>
          <w:rStyle w:val="FootnoteReference"/>
          <w:b w:val="0"/>
        </w:rPr>
        <w:footnoteReference w:customMarkFollows="1" w:id="1"/>
        <w:t>*</w:t>
      </w:r>
    </w:p>
    <w:p w:rsidR="00DA41EE" w:rsidRPr="008C0D51" w:rsidRDefault="00DA41EE" w:rsidP="00DA41EE">
      <w:pPr>
        <w:spacing w:after="240"/>
        <w:jc w:val="right"/>
      </w:pPr>
      <w:r w:rsidRPr="008C0D51">
        <w:t>[13 décembre 2007]</w:t>
      </w:r>
    </w:p>
    <w:p w:rsidR="00DA41EE" w:rsidRPr="008C0D51" w:rsidRDefault="00DA41EE" w:rsidP="00DA41EE">
      <w:pPr>
        <w:spacing w:after="240"/>
        <w:jc w:val="center"/>
        <w:rPr>
          <w:b/>
        </w:rPr>
      </w:pPr>
      <w:r w:rsidRPr="008C0D51">
        <w:rPr>
          <w:b/>
        </w:rPr>
        <w:br w:type="page"/>
        <w:t>Introduction</w:t>
      </w:r>
    </w:p>
    <w:p w:rsidR="00DA41EE" w:rsidRPr="008C0D51" w:rsidRDefault="00DA41EE" w:rsidP="00DA41EE">
      <w:pPr>
        <w:spacing w:after="240"/>
      </w:pPr>
      <w:r w:rsidRPr="008C0D51">
        <w:t>1.</w:t>
      </w:r>
      <w:r w:rsidRPr="008C0D51">
        <w:tab/>
        <w:t>Le 6 septembre 2004, la Pologne a ratifié le Protocole facultatif à la Convention relative aux droits de l</w:t>
      </w:r>
      <w:r>
        <w:t>’</w:t>
      </w:r>
      <w:r w:rsidRPr="008C0D51">
        <w:t>enfant, concernant l</w:t>
      </w:r>
      <w:r>
        <w:t>’</w:t>
      </w:r>
      <w:r w:rsidRPr="008C0D51">
        <w:t>implication d</w:t>
      </w:r>
      <w:r>
        <w:t>’</w:t>
      </w:r>
      <w:r w:rsidRPr="008C0D51">
        <w:t xml:space="preserve">enfants dans les conflits armés, adopté à New York le 25 mai 2000 (loi du 6 septembre 2004, recueil de lois </w:t>
      </w:r>
      <w:r w:rsidRPr="008C0D51">
        <w:rPr>
          <w:rFonts w:eastAsia="MS Mincho"/>
        </w:rPr>
        <w:t>n</w:t>
      </w:r>
      <w:r w:rsidRPr="008C0D51">
        <w:rPr>
          <w:rFonts w:eastAsia="MS Mincho"/>
          <w:vertAlign w:val="superscript"/>
        </w:rPr>
        <w:t>o</w:t>
      </w:r>
      <w:r w:rsidRPr="008C0D51">
        <w:t xml:space="preserve"> 194, point 1982). Le Protocole est entré en vigueur en Pologne le 7 mai 2005.</w:t>
      </w:r>
    </w:p>
    <w:p w:rsidR="00DA41EE" w:rsidRPr="008C0D51" w:rsidRDefault="00DA41EE" w:rsidP="00DA41EE">
      <w:pPr>
        <w:spacing w:after="240"/>
      </w:pPr>
      <w:r w:rsidRPr="008C0D51">
        <w:t>2.</w:t>
      </w:r>
      <w:r w:rsidRPr="008C0D51">
        <w:tab/>
        <w:t>En vertu du paragraphe 1 de l</w:t>
      </w:r>
      <w:r>
        <w:t>’</w:t>
      </w:r>
      <w:r w:rsidRPr="008C0D51">
        <w:t>article 8 du Protocole, le présent rapport est soumis au Comité des droits de l</w:t>
      </w:r>
      <w:r>
        <w:t>’</w:t>
      </w:r>
      <w:r w:rsidRPr="008C0D51">
        <w:t>enfant pour la première fois depuis la ratification du Protocole. D</w:t>
      </w:r>
      <w:r>
        <w:t>’</w:t>
      </w:r>
      <w:r w:rsidR="000164BE">
        <w:t>autres </w:t>
      </w:r>
      <w:r w:rsidRPr="008C0D51">
        <w:t>parties du rapport traitent de la mise en œuvre des dispositions du Protocole en Pologne, ainsi que des activités entreprises à cet égard.</w:t>
      </w:r>
    </w:p>
    <w:p w:rsidR="00DA41EE" w:rsidRPr="008C0D51" w:rsidRDefault="00DA41EE" w:rsidP="00DA41EE">
      <w:pPr>
        <w:spacing w:after="240"/>
        <w:jc w:val="center"/>
      </w:pPr>
      <w:r w:rsidRPr="008C0D51">
        <w:rPr>
          <w:b/>
        </w:rPr>
        <w:t xml:space="preserve">Article </w:t>
      </w:r>
      <w:r>
        <w:rPr>
          <w:b/>
        </w:rPr>
        <w:t>premier</w:t>
      </w:r>
    </w:p>
    <w:p w:rsidR="00DA41EE" w:rsidRPr="008C0D51" w:rsidRDefault="00DA41EE" w:rsidP="00DA41EE">
      <w:pPr>
        <w:spacing w:after="240"/>
      </w:pPr>
      <w:r w:rsidRPr="008C0D51">
        <w:t>3.</w:t>
      </w:r>
      <w:r w:rsidRPr="008C0D51">
        <w:tab/>
        <w:t>En vertu de la législation polonaise, les mineurs de 18 ans ne sont pas tenus d</w:t>
      </w:r>
      <w:r>
        <w:t>’</w:t>
      </w:r>
      <w:r w:rsidRPr="008C0D51">
        <w:t>effectuer leur service militaire, et ne peuvent participer à des opérations militaires. En vertu de la section 1 de l</w:t>
      </w:r>
      <w:r>
        <w:t>’</w:t>
      </w:r>
      <w:r w:rsidRPr="008C0D51">
        <w:t xml:space="preserve">article 4 de la loi du 21 novembre 1967 sur le devoir universel de défense de la République de Pologne (texte consolidé, recueil de lois de 2004, </w:t>
      </w:r>
      <w:r w:rsidRPr="008C0D51">
        <w:rPr>
          <w:rFonts w:eastAsia="MS Mincho"/>
        </w:rPr>
        <w:t>n</w:t>
      </w:r>
      <w:r w:rsidRPr="008C0D51">
        <w:rPr>
          <w:rFonts w:eastAsia="MS Mincho"/>
          <w:vertAlign w:val="superscript"/>
        </w:rPr>
        <w:t>o</w:t>
      </w:r>
      <w:r w:rsidRPr="008C0D51">
        <w:t xml:space="preserve"> 241, point 2416), tous les citoyens polonais sont soumis au devoir de défense s</w:t>
      </w:r>
      <w:r>
        <w:t>’</w:t>
      </w:r>
      <w:r w:rsidRPr="008C0D51">
        <w:t xml:space="preserve">ils ont les capacités voulues </w:t>
      </w:r>
      <w:r>
        <w:t xml:space="preserve">au regard </w:t>
      </w:r>
      <w:r w:rsidR="000164BE">
        <w:t>de leur âge et </w:t>
      </w:r>
      <w:r w:rsidRPr="008C0D51">
        <w:t>de leur condition physique.</w:t>
      </w:r>
    </w:p>
    <w:p w:rsidR="00DA41EE" w:rsidRPr="008C0D51" w:rsidRDefault="00DA41EE" w:rsidP="00DA41EE">
      <w:pPr>
        <w:spacing w:after="240"/>
        <w:jc w:val="center"/>
        <w:rPr>
          <w:b/>
        </w:rPr>
      </w:pPr>
      <w:r w:rsidRPr="008C0D51">
        <w:rPr>
          <w:b/>
        </w:rPr>
        <w:t>Article 2</w:t>
      </w:r>
    </w:p>
    <w:p w:rsidR="00DA41EE" w:rsidRPr="008C0D51" w:rsidRDefault="00DA41EE" w:rsidP="00DA41EE">
      <w:pPr>
        <w:spacing w:after="240"/>
      </w:pPr>
      <w:r w:rsidRPr="008C0D51">
        <w:t>4</w:t>
      </w:r>
      <w:r w:rsidR="00303CF8">
        <w:t>.</w:t>
      </w:r>
      <w:r w:rsidRPr="008C0D51">
        <w:tab/>
        <w:t>L</w:t>
      </w:r>
      <w:r>
        <w:t>’</w:t>
      </w:r>
      <w:r w:rsidRPr="008C0D51">
        <w:t>âge de l</w:t>
      </w:r>
      <w:r>
        <w:t>’</w:t>
      </w:r>
      <w:r w:rsidRPr="008C0D51">
        <w:t>en</w:t>
      </w:r>
      <w:r>
        <w:t xml:space="preserve">rôlement </w:t>
      </w:r>
      <w:r w:rsidRPr="008C0D51">
        <w:t xml:space="preserve">obligatoire pour le service militaire de base est </w:t>
      </w:r>
      <w:r>
        <w:t xml:space="preserve">précisé à </w:t>
      </w:r>
      <w:r w:rsidRPr="008C0D51">
        <w:t>l</w:t>
      </w:r>
      <w:r>
        <w:t>’</w:t>
      </w:r>
      <w:r w:rsidRPr="008C0D51">
        <w:t>article 31 de la loi, lequel dispose que tous les hommes qui atteignent l</w:t>
      </w:r>
      <w:r>
        <w:t>’</w:t>
      </w:r>
      <w:r w:rsidRPr="008C0D51">
        <w:t>âge de 18 ans au cours d</w:t>
      </w:r>
      <w:r>
        <w:t>’</w:t>
      </w:r>
      <w:r w:rsidRPr="008C0D51">
        <w:t>une année civile donnée sont tenus de s</w:t>
      </w:r>
      <w:r>
        <w:t>’</w:t>
      </w:r>
      <w:r w:rsidRPr="008C0D51">
        <w:t>enregistrer en vue de leur conscription. La conscription concerne les hommes atteignant l</w:t>
      </w:r>
      <w:r>
        <w:t>’</w:t>
      </w:r>
      <w:r w:rsidRPr="008C0D51">
        <w:t>âge de 19 ans au cours d</w:t>
      </w:r>
      <w:r>
        <w:t>’</w:t>
      </w:r>
      <w:r w:rsidRPr="008C0D51">
        <w:t>une année civile donnée (art. 32 de la loi). Dans des cas exceptionnels, le Conseil des ministres peut imposer l</w:t>
      </w:r>
      <w:r>
        <w:t>’</w:t>
      </w:r>
      <w:r w:rsidRPr="008C0D51">
        <w:t>obligation de conscription aux hommes qui atteignent l</w:t>
      </w:r>
      <w:r>
        <w:t>’</w:t>
      </w:r>
      <w:r w:rsidRPr="008C0D51">
        <w:t>âge de 18 ans au cours d</w:t>
      </w:r>
      <w:r>
        <w:t>’</w:t>
      </w:r>
      <w:r w:rsidRPr="008C0D51">
        <w:t xml:space="preserve">une année civile donnée. De même, en ce qui concerne le service volontaire, les </w:t>
      </w:r>
      <w:r>
        <w:t>personnes</w:t>
      </w:r>
      <w:r w:rsidRPr="008C0D51">
        <w:t xml:space="preserve"> qui n</w:t>
      </w:r>
      <w:r>
        <w:t>’</w:t>
      </w:r>
      <w:r w:rsidRPr="008C0D51">
        <w:t>ont pas 18 ans révolus au cours de l</w:t>
      </w:r>
      <w:r>
        <w:t>’</w:t>
      </w:r>
      <w:r w:rsidRPr="008C0D51">
        <w:t>année civile en question ne peuvent effectuer leur service militaire même en cas de mobilisation et de guerre</w:t>
      </w:r>
      <w:r>
        <w:t xml:space="preserve"> −</w:t>
      </w:r>
      <w:r w:rsidRPr="008C0D51">
        <w:t xml:space="preserve"> </w:t>
      </w:r>
      <w:r>
        <w:t>s</w:t>
      </w:r>
      <w:r w:rsidRPr="008C0D51">
        <w:t>euls les conscrits jugés aptes au service militaire et les autres personnes visées à l</w:t>
      </w:r>
      <w:r>
        <w:t>’</w:t>
      </w:r>
      <w:r w:rsidRPr="008C0D51">
        <w:t>article 109 de la loi sont appelés sous les drapeaux.</w:t>
      </w:r>
    </w:p>
    <w:p w:rsidR="00DA41EE" w:rsidRPr="008C0D51" w:rsidRDefault="00DA41EE" w:rsidP="00DA41EE">
      <w:pPr>
        <w:spacing w:after="240"/>
      </w:pPr>
      <w:r w:rsidRPr="008C0D51">
        <w:t>5.</w:t>
      </w:r>
      <w:r w:rsidRPr="008C0D51">
        <w:tab/>
        <w:t>Le Code pénal actuel n</w:t>
      </w:r>
      <w:r>
        <w:t>’</w:t>
      </w:r>
      <w:r w:rsidRPr="008C0D51">
        <w:t>érige pas exp</w:t>
      </w:r>
      <w:r>
        <w:t>ressément</w:t>
      </w:r>
      <w:r w:rsidRPr="008C0D51">
        <w:t xml:space="preserve"> en infraction le recrutement d</w:t>
      </w:r>
      <w:r>
        <w:t>’</w:t>
      </w:r>
      <w:r w:rsidRPr="008C0D51">
        <w:t xml:space="preserve">enfants par contrat pour effectuer des services à caractère militaire.  Toutefois, la disposition du Protocole concernant ce point est </w:t>
      </w:r>
      <w:r>
        <w:t xml:space="preserve">en partie appliquée </w:t>
      </w:r>
      <w:r w:rsidRPr="008C0D51">
        <w:t>à travers le paragraphe 2 de l</w:t>
      </w:r>
      <w:r>
        <w:t>’</w:t>
      </w:r>
      <w:r w:rsidRPr="008C0D51">
        <w:t>article 142 du Code pénal, selon lequel quiconque recrute par contrat des citoyens polonais ou des étrangers résidant en Pologne pour fournir des services à caractère militaire interdits par le droit international, finance</w:t>
      </w:r>
      <w:r>
        <w:t xml:space="preserve"> de tels services, les organise ou bien </w:t>
      </w:r>
      <w:r w:rsidRPr="008C0D51">
        <w:t xml:space="preserve">instruit ou utilise </w:t>
      </w:r>
      <w:r>
        <w:t xml:space="preserve">les intéressés est passible de </w:t>
      </w:r>
      <w:r w:rsidRPr="008C0D51">
        <w:t>sanction</w:t>
      </w:r>
      <w:r>
        <w:t>s</w:t>
      </w:r>
      <w:r w:rsidRPr="008C0D51">
        <w:t>. En conséquence, l</w:t>
      </w:r>
      <w:r>
        <w:t>’</w:t>
      </w:r>
      <w:r w:rsidRPr="008C0D51">
        <w:t xml:space="preserve">interdiction précitée renvoie à tous les citoyens et à tous les étrangers résidant en Pologne, indépendamment de leur âge. Il convient en outre de noter que </w:t>
      </w:r>
      <w:r w:rsidR="000164BE">
        <w:t>le </w:t>
      </w:r>
      <w:r w:rsidRPr="008C0D51">
        <w:t>Minist</w:t>
      </w:r>
      <w:r>
        <w:t>ère</w:t>
      </w:r>
      <w:r w:rsidRPr="008C0D51">
        <w:t xml:space="preserve"> de la justice met actuellement au point un projet d</w:t>
      </w:r>
      <w:r>
        <w:t>’</w:t>
      </w:r>
      <w:r w:rsidRPr="008C0D51">
        <w:t xml:space="preserve">amendement du Code pénal </w:t>
      </w:r>
      <w:r>
        <w:t xml:space="preserve">tendant à </w:t>
      </w:r>
      <w:r w:rsidRPr="008C0D51">
        <w:t xml:space="preserve">interdire expressément la conscription ou le recrutement de mineurs de 18 ans dans </w:t>
      </w:r>
      <w:r w:rsidR="000164BE">
        <w:t>les </w:t>
      </w:r>
      <w:r w:rsidRPr="008C0D51">
        <w:t>forces armées.</w:t>
      </w:r>
    </w:p>
    <w:p w:rsidR="00DA41EE" w:rsidRPr="008C0D51" w:rsidRDefault="00DA41EE" w:rsidP="000164BE">
      <w:pPr>
        <w:keepNext/>
        <w:spacing w:after="240"/>
        <w:jc w:val="center"/>
      </w:pPr>
      <w:r w:rsidRPr="008C0D51">
        <w:rPr>
          <w:b/>
        </w:rPr>
        <w:t>Article 3</w:t>
      </w:r>
    </w:p>
    <w:p w:rsidR="00DA41EE" w:rsidRPr="008C0D51" w:rsidRDefault="00DA41EE" w:rsidP="000164BE">
      <w:pPr>
        <w:keepNext/>
        <w:spacing w:after="240"/>
      </w:pPr>
      <w:r w:rsidRPr="008C0D51">
        <w:t>6.</w:t>
      </w:r>
      <w:r w:rsidRPr="008C0D51">
        <w:tab/>
        <w:t xml:space="preserve">Voir </w:t>
      </w:r>
      <w:r w:rsidR="000164BE">
        <w:t xml:space="preserve">les </w:t>
      </w:r>
      <w:r w:rsidRPr="008C0D51">
        <w:t>articles 1 et 2.</w:t>
      </w:r>
    </w:p>
    <w:p w:rsidR="00DA41EE" w:rsidRPr="008C0D51" w:rsidRDefault="00DA41EE" w:rsidP="00DA41EE">
      <w:pPr>
        <w:spacing w:after="240"/>
        <w:jc w:val="center"/>
      </w:pPr>
      <w:r w:rsidRPr="008C0D51">
        <w:rPr>
          <w:b/>
        </w:rPr>
        <w:t>Article 6</w:t>
      </w:r>
    </w:p>
    <w:p w:rsidR="00DA41EE" w:rsidRPr="008C0D51" w:rsidRDefault="00DA41EE" w:rsidP="00DA41EE">
      <w:pPr>
        <w:spacing w:after="240"/>
      </w:pPr>
      <w:r w:rsidRPr="008C0D51">
        <w:t>7.</w:t>
      </w:r>
      <w:r w:rsidRPr="008C0D51">
        <w:tab/>
        <w:t xml:space="preserve">Le Bureau des affaires </w:t>
      </w:r>
      <w:r w:rsidR="000164BE">
        <w:t xml:space="preserve">de </w:t>
      </w:r>
      <w:r w:rsidRPr="008C0D51">
        <w:t>défense du Ministère de l</w:t>
      </w:r>
      <w:r>
        <w:t>’</w:t>
      </w:r>
      <w:r w:rsidRPr="008C0D51">
        <w:t xml:space="preserve">éducation a, dans le cadre de la diffusion </w:t>
      </w:r>
      <w:r w:rsidR="000164BE">
        <w:t xml:space="preserve">et </w:t>
      </w:r>
      <w:r w:rsidRPr="008C0D51">
        <w:t xml:space="preserve">de la promotion des principes et dispositions du Protocole, </w:t>
      </w:r>
      <w:r w:rsidR="000164BE">
        <w:t xml:space="preserve">présenté </w:t>
      </w:r>
      <w:r w:rsidRPr="008C0D51">
        <w:t xml:space="preserve">le Protocole </w:t>
      </w:r>
      <w:r w:rsidR="000164BE">
        <w:t xml:space="preserve">et fourni </w:t>
      </w:r>
      <w:r w:rsidRPr="008C0D51">
        <w:t>des informations sur sa ratification par la République de Pologne lors d</w:t>
      </w:r>
      <w:r>
        <w:t>’</w:t>
      </w:r>
      <w:r w:rsidR="000164BE">
        <w:t>une conférence </w:t>
      </w:r>
      <w:r w:rsidRPr="008C0D51">
        <w:t>organisée à l</w:t>
      </w:r>
      <w:r>
        <w:t>’</w:t>
      </w:r>
      <w:r w:rsidR="000164BE">
        <w:t>Académie</w:t>
      </w:r>
      <w:r w:rsidRPr="008C0D51">
        <w:t xml:space="preserve"> de défense nationale à Rembertów</w:t>
      </w:r>
      <w:r w:rsidR="000164BE">
        <w:t>,</w:t>
      </w:r>
      <w:r w:rsidRPr="008C0D51">
        <w:t xml:space="preserve"> les 6 et 7 octobre 2004. Les participants à la conférence étaient des </w:t>
      </w:r>
      <w:r w:rsidR="000164BE">
        <w:t>experts des</w:t>
      </w:r>
      <w:r w:rsidRPr="008C0D51">
        <w:t xml:space="preserve"> questions </w:t>
      </w:r>
      <w:r w:rsidR="000164BE">
        <w:t xml:space="preserve">de </w:t>
      </w:r>
      <w:r w:rsidRPr="008C0D51">
        <w:t xml:space="preserve">défense </w:t>
      </w:r>
      <w:r w:rsidR="000164BE">
        <w:t xml:space="preserve">désignés par les autorités </w:t>
      </w:r>
      <w:r w:rsidRPr="008C0D51">
        <w:t>éducatives locales</w:t>
      </w:r>
      <w:r w:rsidR="000164BE">
        <w:t xml:space="preserve"> et</w:t>
      </w:r>
      <w:r w:rsidRPr="008C0D51">
        <w:t xml:space="preserve"> des représentants d</w:t>
      </w:r>
      <w:r>
        <w:t>’</w:t>
      </w:r>
      <w:r w:rsidRPr="008C0D51">
        <w:t>universités pédagogiques responsables de la formation d</w:t>
      </w:r>
      <w:r>
        <w:t>’</w:t>
      </w:r>
      <w:r w:rsidRPr="008C0D51">
        <w:t>enseignants dans le domaine de la défense civile.</w:t>
      </w:r>
    </w:p>
    <w:p w:rsidR="00DA41EE" w:rsidRDefault="00DA41EE" w:rsidP="000164BE">
      <w:pPr>
        <w:spacing w:after="240"/>
        <w:jc w:val="center"/>
      </w:pPr>
      <w:r w:rsidRPr="008C0D51">
        <w:t>-----</w:t>
      </w:r>
    </w:p>
    <w:sectPr w:rsidR="00DA41EE" w:rsidSect="00DA41EE">
      <w:headerReference w:type="even" r:id="rId9"/>
      <w:headerReference w:type="default" r:id="rId10"/>
      <w:footerReference w:type="first" r:id="rId11"/>
      <w:endnotePr>
        <w:numFmt w:val="decimal"/>
      </w:endnotePr>
      <w:pgSz w:w="11907" w:h="16840" w:code="9"/>
      <w:pgMar w:top="1134" w:right="850" w:bottom="1984" w:left="1701" w:header="850" w:footer="1701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0A5D" w:rsidRDefault="008E0A5D">
      <w:r>
        <w:separator/>
      </w:r>
    </w:p>
  </w:endnote>
  <w:endnote w:type="continuationSeparator" w:id="0">
    <w:p w:rsidR="008E0A5D" w:rsidRDefault="008E0A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Gras">
    <w:panose1 w:val="02020803070505020304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0A5D" w:rsidRDefault="008E0A5D">
    <w:pPr>
      <w:pStyle w:val="Footer"/>
      <w:spacing w:before="240"/>
    </w:pPr>
    <w:r>
      <w:t>GE.09</w:t>
    </w:r>
    <w:r>
      <w:noBreakHyphen/>
      <w:t xml:space="preserve"> 40778 (F)    240309    250309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0A5D" w:rsidRDefault="008E0A5D">
      <w:r>
        <w:separator/>
      </w:r>
    </w:p>
  </w:footnote>
  <w:footnote w:type="continuationSeparator" w:id="0">
    <w:p w:rsidR="008E0A5D" w:rsidRDefault="008E0A5D">
      <w:r>
        <w:continuationSeparator/>
      </w:r>
    </w:p>
  </w:footnote>
  <w:footnote w:id="1">
    <w:p w:rsidR="008E0A5D" w:rsidRDefault="008E0A5D" w:rsidP="00B765E7">
      <w:pPr>
        <w:pStyle w:val="FootnoteText"/>
        <w:spacing w:after="240"/>
      </w:pPr>
      <w:r>
        <w:rPr>
          <w:rStyle w:val="FootnoteReference"/>
        </w:rPr>
        <w:t>*</w:t>
      </w:r>
      <w:r>
        <w:t xml:space="preserve"> </w:t>
      </w:r>
      <w:r w:rsidRPr="008C0D51">
        <w:t>Conformément aux informations communiquées aux États parties concernant le traitement de leurs rapports, le présent document n</w:t>
      </w:r>
      <w:r>
        <w:t>’</w:t>
      </w:r>
      <w:r w:rsidRPr="008C0D51">
        <w:t>a pas été revu par les services d</w:t>
      </w:r>
      <w:r>
        <w:t>’</w:t>
      </w:r>
      <w:r w:rsidRPr="008C0D51">
        <w:t>édition avant d</w:t>
      </w:r>
      <w:r>
        <w:t>’</w:t>
      </w:r>
      <w:r w:rsidRPr="008C0D51">
        <w:t>être envoyé aux services de traduction de l</w:t>
      </w:r>
      <w:r>
        <w:t>’</w:t>
      </w:r>
      <w:r w:rsidRPr="008C0D51">
        <w:t>Organisation des Nations Unies.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0A5D" w:rsidRDefault="008E0A5D">
    <w:pPr>
      <w:pStyle w:val="Header"/>
    </w:pPr>
    <w:r>
      <w:t>CRC/C/OPAC/POL/1</w:t>
    </w:r>
  </w:p>
  <w:p w:rsidR="008E0A5D" w:rsidRDefault="008E0A5D">
    <w:pPr>
      <w:pStyle w:val="Header"/>
    </w:pPr>
    <w:r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8E0A5D" w:rsidRDefault="008E0A5D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0A5D" w:rsidRDefault="008E0A5D" w:rsidP="00DA41EE">
    <w:pPr>
      <w:pStyle w:val="Header"/>
      <w:tabs>
        <w:tab w:val="clear" w:pos="4320"/>
        <w:tab w:val="clear" w:pos="8640"/>
        <w:tab w:val="left" w:pos="6803"/>
      </w:tabs>
    </w:pPr>
    <w:r>
      <w:tab/>
      <w:t>CRC/C/OPAC/POL/1</w:t>
    </w:r>
  </w:p>
  <w:p w:rsidR="008E0A5D" w:rsidRDefault="008E0A5D" w:rsidP="00DA41EE">
    <w:pPr>
      <w:pStyle w:val="Header"/>
      <w:tabs>
        <w:tab w:val="clear" w:pos="4320"/>
        <w:tab w:val="clear" w:pos="8640"/>
        <w:tab w:val="left" w:pos="6803"/>
      </w:tabs>
    </w:pPr>
    <w:r>
      <w:tab/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3</w:t>
    </w:r>
    <w:r>
      <w:fldChar w:fldCharType="end"/>
    </w:r>
  </w:p>
  <w:p w:rsidR="008E0A5D" w:rsidRDefault="008E0A5D" w:rsidP="00DA41EE">
    <w:pPr>
      <w:pStyle w:val="Header"/>
      <w:tabs>
        <w:tab w:val="clear" w:pos="4320"/>
        <w:tab w:val="clear" w:pos="8640"/>
        <w:tab w:val="left" w:pos="6803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3F49C6"/>
    <w:multiLevelType w:val="singleLevel"/>
    <w:tmpl w:val="E3B2C61A"/>
    <w:lvl w:ilvl="0">
      <w:start w:val="1"/>
      <w:numFmt w:val="lowerRoman"/>
      <w:lvlText w:val="%1)"/>
      <w:lvlJc w:val="right"/>
      <w:pPr>
        <w:tabs>
          <w:tab w:val="num" w:pos="927"/>
        </w:tabs>
        <w:ind w:left="567" w:firstLine="0"/>
      </w:pPr>
    </w:lvl>
  </w:abstractNum>
  <w:abstractNum w:abstractNumId="1">
    <w:nsid w:val="3CB061AB"/>
    <w:multiLevelType w:val="singleLevel"/>
    <w:tmpl w:val="243A09C4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2">
    <w:nsid w:val="4F71550D"/>
    <w:multiLevelType w:val="singleLevel"/>
    <w:tmpl w:val="2354CE34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3">
    <w:nsid w:val="7CF349BD"/>
    <w:multiLevelType w:val="singleLevel"/>
    <w:tmpl w:val="1AEC463A"/>
    <w:lvl w:ilvl="0">
      <w:start w:val="1"/>
      <w:numFmt w:val="lowerRoman"/>
      <w:lvlText w:val="%1)"/>
      <w:lvlJc w:val="right"/>
      <w:pPr>
        <w:tabs>
          <w:tab w:val="num" w:pos="504"/>
        </w:tabs>
        <w:ind w:left="504" w:hanging="216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3"/>
  </w:num>
  <w:num w:numId="5">
    <w:abstractNumId w:val="0"/>
  </w:num>
  <w:num w:numId="6">
    <w:abstractNumId w:val="3"/>
  </w:num>
  <w:num w:numId="7">
    <w:abstractNumId w:val="3"/>
  </w:num>
  <w:num w:numId="8">
    <w:abstractNumId w:val="3"/>
  </w:num>
  <w:num w:numId="9">
    <w:abstractNumId w:val="3"/>
  </w:num>
  <w:num w:numId="10">
    <w:abstractNumId w:val="1"/>
  </w:num>
  <w:num w:numId="11">
    <w:abstractNumId w:val="1"/>
  </w:num>
  <w:num w:numId="12">
    <w:abstractNumId w:val="3"/>
  </w:num>
  <w:num w:numId="13">
    <w:abstractNumId w:val="1"/>
  </w:num>
  <w:num w:numId="14">
    <w:abstractNumId w:val="3"/>
  </w:num>
  <w:num w:numId="15">
    <w:abstractNumId w:val="3"/>
  </w:num>
  <w:num w:numId="16">
    <w:abstractNumId w:val="3"/>
  </w:num>
  <w:num w:numId="17">
    <w:abstractNumId w:val="3"/>
  </w:num>
  <w:num w:numId="18">
    <w:abstractNumId w:val="3"/>
  </w:num>
  <w:num w:numId="19">
    <w:abstractNumId w:val="3"/>
  </w:num>
  <w:num w:numId="20">
    <w:abstractNumId w:val="0"/>
  </w:num>
  <w:num w:numId="21">
    <w:abstractNumId w:val="0"/>
  </w:num>
  <w:num w:numId="22">
    <w:abstractNumId w:val="0"/>
  </w:num>
  <w:num w:numId="23">
    <w:abstractNumId w:val="0"/>
  </w:num>
  <w:num w:numId="24">
    <w:abstractNumId w:val="0"/>
  </w:num>
  <w:num w:numId="25">
    <w:abstractNumId w:val="1"/>
  </w:num>
  <w:num w:numId="26">
    <w:abstractNumId w:val="1"/>
  </w:num>
  <w:num w:numId="27">
    <w:abstractNumId w:val="0"/>
  </w:num>
  <w:num w:numId="28">
    <w:abstractNumId w:val="1"/>
  </w:num>
  <w:num w:numId="29">
    <w:abstractNumId w:val="1"/>
  </w:num>
  <w:num w:numId="30">
    <w:abstractNumId w:val="1"/>
  </w:num>
  <w:num w:numId="31">
    <w:abstractNumId w:val="0"/>
  </w:num>
  <w:num w:numId="32">
    <w:abstractNumId w:val="0"/>
  </w:num>
  <w:num w:numId="33">
    <w:abstractNumId w:val="3"/>
  </w:num>
  <w:num w:numId="34">
    <w:abstractNumId w:val="0"/>
  </w:num>
  <w:num w:numId="35">
    <w:abstractNumId w:val="3"/>
  </w:num>
  <w:num w:numId="36">
    <w:abstractNumId w:val="3"/>
  </w:num>
  <w:num w:numId="37">
    <w:abstractNumId w:val="0"/>
  </w:num>
  <w:num w:numId="38">
    <w:abstractNumId w:val="3"/>
  </w:num>
  <w:num w:numId="39">
    <w:abstractNumId w:val="0"/>
  </w:num>
  <w:num w:numId="40">
    <w:abstractNumId w:val="0"/>
  </w:num>
  <w:num w:numId="41">
    <w:abstractNumId w:val="0"/>
  </w:num>
  <w:num w:numId="42">
    <w:abstractNumId w:val="3"/>
  </w:num>
  <w:num w:numId="43">
    <w:abstractNumId w:val="0"/>
  </w:num>
  <w:num w:numId="44">
    <w:abstractNumId w:val="3"/>
  </w:num>
  <w:num w:numId="45">
    <w:abstractNumId w:val="0"/>
  </w:num>
  <w:num w:numId="46">
    <w:abstractNumId w:val="0"/>
  </w:num>
  <w:num w:numId="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activeWritingStyle w:appName="MSWord" w:lang="fr-FR" w:vendorID="9" w:dllVersion="512" w:checkStyle="1"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oNotTrackMoves/>
  <w:defaultTabStop w:val="567"/>
  <w:hyphenationZone w:val="425"/>
  <w:evenAndOddHeaders/>
  <w:drawingGridHorizontalSpacing w:val="120"/>
  <w:drawingGridVerticalSpacing w:val="107"/>
  <w:displayHorizontalDrawingGridEvery w:val="0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A3CF9"/>
    <w:rsid w:val="000164BE"/>
    <w:rsid w:val="00133AD6"/>
    <w:rsid w:val="00170109"/>
    <w:rsid w:val="00303CF8"/>
    <w:rsid w:val="00497CAD"/>
    <w:rsid w:val="0051357D"/>
    <w:rsid w:val="006A3CF9"/>
    <w:rsid w:val="008E0A5D"/>
    <w:rsid w:val="009B5CC0"/>
    <w:rsid w:val="00B21649"/>
    <w:rsid w:val="00B765E7"/>
    <w:rsid w:val="00BC6C1E"/>
    <w:rsid w:val="00CE590A"/>
    <w:rsid w:val="00DA41EE"/>
    <w:rsid w:val="00ED4444"/>
    <w:rsid w:val="00F20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B5CC0"/>
    <w:rPr>
      <w:sz w:val="24"/>
      <w:lang w:eastAsia="en-US"/>
    </w:rPr>
  </w:style>
  <w:style w:type="paragraph" w:styleId="Heading1">
    <w:name w:val="heading 1"/>
    <w:basedOn w:val="Normal"/>
    <w:next w:val="Normal"/>
    <w:qFormat/>
    <w:rsid w:val="009B5CC0"/>
    <w:pPr>
      <w:keepNext/>
      <w:spacing w:after="240"/>
      <w:outlineLvl w:val="0"/>
    </w:pPr>
    <w:rPr>
      <w:b/>
      <w:bCs/>
    </w:rPr>
  </w:style>
  <w:style w:type="paragraph" w:styleId="Heading2">
    <w:name w:val="heading 2"/>
    <w:basedOn w:val="Normal"/>
    <w:next w:val="Normal"/>
    <w:qFormat/>
    <w:rsid w:val="009B5CC0"/>
    <w:pPr>
      <w:keepNext/>
      <w:spacing w:after="240"/>
      <w:outlineLvl w:val="1"/>
    </w:pPr>
    <w:rPr>
      <w:b/>
    </w:rPr>
  </w:style>
  <w:style w:type="paragraph" w:styleId="Heading3">
    <w:name w:val="heading 3"/>
    <w:basedOn w:val="Normal"/>
    <w:next w:val="Normal"/>
    <w:qFormat/>
    <w:rsid w:val="009B5CC0"/>
    <w:pPr>
      <w:keepNext/>
      <w:spacing w:after="240"/>
      <w:outlineLvl w:val="2"/>
    </w:pPr>
  </w:style>
  <w:style w:type="paragraph" w:styleId="Heading4">
    <w:name w:val="heading 4"/>
    <w:basedOn w:val="Normal"/>
    <w:next w:val="Normal"/>
    <w:qFormat/>
    <w:pPr>
      <w:keepNext/>
      <w:spacing w:after="240"/>
      <w:outlineLvl w:val="3"/>
    </w:pPr>
    <w:rPr>
      <w:rFonts w:ascii="Times New Roman Gras" w:hAnsi="Times New Roman Gras"/>
      <w:b/>
    </w:rPr>
  </w:style>
  <w:style w:type="character" w:default="1" w:styleId="DefaultParagraphFont">
    <w:name w:val="Default Paragraph Font"/>
    <w:rsid w:val="009B5CC0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9B5CC0"/>
  </w:style>
  <w:style w:type="character" w:styleId="FootnoteReference">
    <w:name w:val="footnote reference"/>
    <w:rsid w:val="009B5CC0"/>
    <w:rPr>
      <w:rFonts w:ascii="Times New Roman" w:hAnsi="Times New Roman"/>
      <w:b/>
      <w:sz w:val="24"/>
      <w:vertAlign w:val="superscript"/>
    </w:rPr>
  </w:style>
  <w:style w:type="paragraph" w:styleId="Header">
    <w:name w:val="header"/>
    <w:basedOn w:val="Normal"/>
    <w:rsid w:val="009B5CC0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9B5CC0"/>
  </w:style>
  <w:style w:type="paragraph" w:styleId="Footer">
    <w:name w:val="footer"/>
    <w:basedOn w:val="Normal"/>
    <w:rsid w:val="009B5CC0"/>
    <w:pPr>
      <w:tabs>
        <w:tab w:val="center" w:pos="4320"/>
        <w:tab w:val="right" w:pos="8640"/>
      </w:tabs>
    </w:pPr>
  </w:style>
  <w:style w:type="paragraph" w:styleId="FootnoteText">
    <w:name w:val="footnote text"/>
    <w:basedOn w:val="Normal"/>
    <w:rsid w:val="009B5CC0"/>
  </w:style>
  <w:style w:type="character" w:styleId="EndnoteReference">
    <w:name w:val="endnote reference"/>
    <w:rsid w:val="009B5CC0"/>
    <w:rPr>
      <w:rFonts w:ascii="Times New Roman" w:hAnsi="Times New Roman"/>
      <w:b/>
      <w:sz w:val="24"/>
      <w:vertAlign w:val="superscript"/>
    </w:rPr>
  </w:style>
  <w:style w:type="paragraph" w:styleId="EndnoteText">
    <w:name w:val="endnote text"/>
    <w:basedOn w:val="Normal"/>
    <w:rsid w:val="009B5C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</Template>
  <TotalTime>0</TotalTime>
  <Pages>3</Pages>
  <Words>692</Words>
  <Characters>3554</Characters>
  <Application>Microsoft Office Word</Application>
  <DocSecurity>4</DocSecurity>
  <Lines>72</Lines>
  <Paragraphs>24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CRC/C/OPAC/POL/1</vt:lpstr>
    </vt:vector>
  </TitlesOfParts>
  <Company/>
  <LinksUpToDate>false</LinksUpToDate>
  <CharactersWithSpaces>4223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CRC/C/OPAC/POL/1</dc:title>
  <dc:subject/>
  <dc:creator>E.Saoli</dc:creator>
  <cp:keywords/>
  <dc:description/>
  <cp:lastModifiedBy>C. Guebey</cp:lastModifiedBy>
  <cp:revision>2</cp:revision>
  <cp:lastPrinted>2009-03-25T13:45:00Z</cp:lastPrinted>
  <dcterms:created xsi:type="dcterms:W3CDTF">2009-03-25T13:47:00Z</dcterms:created>
  <dcterms:modified xsi:type="dcterms:W3CDTF">2009-03-25T13:47:00Z</dcterms:modified>
</cp:coreProperties>
</file>