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D0B28" w:rsidP="00BD0B28">
            <w:pPr>
              <w:jc w:val="right"/>
            </w:pPr>
            <w:r w:rsidRPr="00BD0B28">
              <w:rPr>
                <w:sz w:val="40"/>
              </w:rPr>
              <w:t>CRC</w:t>
            </w:r>
            <w:r>
              <w:t>/C/PAN/Q/3-4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BD0B28" w:rsidRDefault="00BD0B28" w:rsidP="006A2FF6">
            <w:pPr>
              <w:spacing w:before="240"/>
            </w:pPr>
            <w:r>
              <w:t>Distr. générale</w:t>
            </w:r>
          </w:p>
          <w:p w:rsidR="00BD0B28" w:rsidRDefault="00BD0B28" w:rsidP="00BD0B28">
            <w:pPr>
              <w:spacing w:line="240" w:lineRule="exact"/>
            </w:pPr>
            <w:r>
              <w:t>6 juillet 2011</w:t>
            </w:r>
          </w:p>
          <w:p w:rsidR="00BD0B28" w:rsidRDefault="00BD0B28" w:rsidP="00BD0B28">
            <w:pPr>
              <w:spacing w:line="240" w:lineRule="exact"/>
            </w:pPr>
            <w:r>
              <w:t>Français</w:t>
            </w:r>
          </w:p>
          <w:p w:rsidR="00060E82" w:rsidRPr="00DB58B5" w:rsidRDefault="00BD0B28" w:rsidP="00BD0B28">
            <w:pPr>
              <w:spacing w:line="240" w:lineRule="exact"/>
            </w:pPr>
            <w:r>
              <w:t>Original: espagnol</w:t>
            </w:r>
          </w:p>
        </w:tc>
      </w:tr>
    </w:tbl>
    <w:p w:rsidR="00FF1DBD" w:rsidRPr="00DA3BE9" w:rsidRDefault="00DA3BE9" w:rsidP="00DA3BE9">
      <w:pPr>
        <w:spacing w:before="120"/>
        <w:rPr>
          <w:b/>
          <w:sz w:val="24"/>
          <w:szCs w:val="24"/>
        </w:rPr>
      </w:pPr>
      <w:r w:rsidRPr="00DA3BE9">
        <w:rPr>
          <w:b/>
          <w:sz w:val="24"/>
          <w:szCs w:val="24"/>
        </w:rPr>
        <w:t>Comité des droits de l’enfant</w:t>
      </w:r>
    </w:p>
    <w:p w:rsidR="00BD0B28" w:rsidRPr="004969F6" w:rsidRDefault="00BD0B28" w:rsidP="00BD0B28">
      <w:pPr>
        <w:rPr>
          <w:b/>
        </w:rPr>
      </w:pPr>
      <w:r w:rsidRPr="004969F6">
        <w:rPr>
          <w:b/>
        </w:rPr>
        <w:t>Cinquante-huitième session</w:t>
      </w:r>
    </w:p>
    <w:p w:rsidR="00BD0B28" w:rsidRPr="00BD0B28" w:rsidRDefault="00BD0B28" w:rsidP="00BD0B28">
      <w:r w:rsidRPr="00BD0B28">
        <w:t>19 septembre-7 octobre 2011</w:t>
      </w:r>
    </w:p>
    <w:p w:rsidR="00BD0B28" w:rsidRPr="002200BB" w:rsidRDefault="00BD0B28" w:rsidP="00BD0B28">
      <w:pPr>
        <w:pStyle w:val="HChG"/>
      </w:pPr>
      <w:r>
        <w:tab/>
      </w:r>
      <w:r>
        <w:tab/>
      </w:r>
      <w:r w:rsidRPr="002200BB">
        <w:t>Application de la Convention relative aux droits de l’enfant</w:t>
      </w:r>
    </w:p>
    <w:p w:rsidR="00BD0B28" w:rsidRPr="002200BB" w:rsidRDefault="00BD0B28" w:rsidP="00BD0B28">
      <w:pPr>
        <w:pStyle w:val="H1G"/>
      </w:pPr>
      <w:r>
        <w:tab/>
      </w:r>
      <w:r>
        <w:tab/>
      </w:r>
      <w:r w:rsidRPr="002200BB">
        <w:t>Liste de questions se rapportant à l’examen des troisième et quatrième rapports périodiques du Panama présenté</w:t>
      </w:r>
      <w:r>
        <w:t>s</w:t>
      </w:r>
      <w:r w:rsidRPr="002200BB">
        <w:t xml:space="preserve"> en un seul document (CRC/C/PAN/3-4)</w:t>
      </w:r>
    </w:p>
    <w:p w:rsidR="00BD0B28" w:rsidRPr="00BD0B28" w:rsidRDefault="00BD0B28" w:rsidP="00BD0B28">
      <w:pPr>
        <w:pStyle w:val="SingleTxtG"/>
        <w:ind w:firstLine="567"/>
        <w:rPr>
          <w:b/>
        </w:rPr>
      </w:pPr>
      <w:r w:rsidRPr="00BD0B28">
        <w:rPr>
          <w:b/>
        </w:rPr>
        <w:t xml:space="preserve">Sous cette rubrique, l’État partie est invité à communiquer par écrit des renseignements supplémentaires et à jour, si possible </w:t>
      </w:r>
      <w:r w:rsidRPr="00BD0B28">
        <w:rPr>
          <w:b/>
          <w:i/>
        </w:rPr>
        <w:t>avant le 2</w:t>
      </w:r>
      <w:r w:rsidR="004F679C">
        <w:rPr>
          <w:b/>
          <w:i/>
        </w:rPr>
        <w:t xml:space="preserve"> </w:t>
      </w:r>
      <w:r w:rsidRPr="00BD0B28">
        <w:rPr>
          <w:b/>
          <w:i/>
        </w:rPr>
        <w:t>août 2011</w:t>
      </w:r>
      <w:r w:rsidRPr="00BD0B28">
        <w:rPr>
          <w:b/>
        </w:rPr>
        <w:t>.</w:t>
      </w:r>
    </w:p>
    <w:p w:rsidR="00BD0B28" w:rsidRPr="002200BB" w:rsidRDefault="00BD0B28" w:rsidP="00BD0B28">
      <w:pPr>
        <w:pStyle w:val="SingleTxtG"/>
        <w:ind w:firstLine="567"/>
        <w:rPr>
          <w:i/>
        </w:rPr>
      </w:pPr>
      <w:r w:rsidRPr="002200BB">
        <w:rPr>
          <w:i/>
        </w:rPr>
        <w:t>Le Comité pourra aborder tous les aspects des droits de l’enfant énoncés dans la Convention lors du dialogue avec l’État partie.</w:t>
      </w:r>
    </w:p>
    <w:p w:rsidR="00BD0B28" w:rsidRPr="002200BB" w:rsidRDefault="00BD0B28" w:rsidP="00BD0B28">
      <w:pPr>
        <w:pStyle w:val="HChG"/>
      </w:pPr>
      <w:r>
        <w:tab/>
      </w:r>
      <w:r>
        <w:tab/>
      </w:r>
      <w:r w:rsidRPr="002200BB">
        <w:t>Première partie</w:t>
      </w:r>
    </w:p>
    <w:p w:rsidR="00BD0B28" w:rsidRPr="00BD0B28" w:rsidRDefault="00BD0B28" w:rsidP="00BD0B28">
      <w:pPr>
        <w:pStyle w:val="SingleTxtG"/>
        <w:ind w:firstLine="567"/>
        <w:rPr>
          <w:b/>
        </w:rPr>
      </w:pPr>
      <w:r w:rsidRPr="00BD0B28">
        <w:rPr>
          <w:b/>
        </w:rPr>
        <w:t>Sous cette rubrique, l’État partie est invité à présenter par écrit (30 pages au maximum) ses réponses aux questions ci-après.</w:t>
      </w:r>
    </w:p>
    <w:p w:rsidR="00BD0B28" w:rsidRPr="00BD0B28" w:rsidRDefault="00BD0B28" w:rsidP="00BD0B28">
      <w:pPr>
        <w:pStyle w:val="SingleTxtG"/>
      </w:pPr>
      <w:r w:rsidRPr="00BD0B28">
        <w:t>1.</w:t>
      </w:r>
      <w:r w:rsidRPr="00BD0B28">
        <w:tab/>
        <w:t xml:space="preserve">Informer le Comité des mesures prises par l’État partie pour remédier aux circonstances évoquées aux paragraphes 32 et 33 du rapport, qui ont empêché l’adoption du projet de loi relative à la protection intégrale de l’enfance et de l’adolescence. Indiquer en quoi ces mesures ont porté leurs fruits et </w:t>
      </w:r>
      <w:r>
        <w:t xml:space="preserve">expliquer </w:t>
      </w:r>
      <w:r w:rsidRPr="00BD0B28">
        <w:t xml:space="preserve">l’état d’avancement </w:t>
      </w:r>
      <w:r>
        <w:t>dudit projet</w:t>
      </w:r>
      <w:r w:rsidRPr="00BD0B28">
        <w:t xml:space="preserve">. Faute de résultat, indiquer le régime juridique et le système de promotion et de protection des droits des enfants en vigueur dans le pays et </w:t>
      </w:r>
      <w:r>
        <w:t xml:space="preserve">préciser </w:t>
      </w:r>
      <w:r w:rsidRPr="00BD0B28">
        <w:t xml:space="preserve">en quoi </w:t>
      </w:r>
      <w:r>
        <w:t xml:space="preserve">ce dernier </w:t>
      </w:r>
      <w:r w:rsidRPr="00BD0B28">
        <w:t>est conforme à la Convention.</w:t>
      </w:r>
    </w:p>
    <w:p w:rsidR="00BD0B28" w:rsidRPr="00BD0B28" w:rsidRDefault="00BD0B28" w:rsidP="00BD0B28">
      <w:pPr>
        <w:pStyle w:val="SingleTxtG"/>
      </w:pPr>
      <w:r w:rsidRPr="00BD0B28">
        <w:t>2.</w:t>
      </w:r>
      <w:r w:rsidRPr="00BD0B28">
        <w:tab/>
        <w:t xml:space="preserve">Fournir des informations détaillées sur les résultats de l’évaluation faite en 2007 du Plan national en faveur de l’enfance et de l’adolescence 2003-2006 et indiquer si ces résultats ont été pris en compte </w:t>
      </w:r>
      <w:r>
        <w:t xml:space="preserve">aux fins de la </w:t>
      </w:r>
      <w:r w:rsidRPr="00BD0B28">
        <w:t>révision complète de</w:t>
      </w:r>
      <w:r>
        <w:t>s</w:t>
      </w:r>
      <w:r w:rsidRPr="00BD0B28">
        <w:t xml:space="preserve"> politique</w:t>
      </w:r>
      <w:r>
        <w:t>s</w:t>
      </w:r>
      <w:r w:rsidRPr="00BD0B28">
        <w:t>, des plans et des systèmes de promotion et de protection des droits des enfants et des adolescents.</w:t>
      </w:r>
    </w:p>
    <w:p w:rsidR="00BD0B28" w:rsidRPr="00BD0B28" w:rsidRDefault="00BD0B28" w:rsidP="00BD0B28">
      <w:pPr>
        <w:pStyle w:val="SingleTxtG"/>
      </w:pPr>
      <w:r w:rsidRPr="00BD0B28">
        <w:t>3.</w:t>
      </w:r>
      <w:r w:rsidRPr="00BD0B28">
        <w:tab/>
        <w:t xml:space="preserve">Donner des informations sur la suppression du Conseil national de l’enfance et de l’adolescence et la création du Conseil consultatif </w:t>
      </w:r>
      <w:r>
        <w:t>de</w:t>
      </w:r>
      <w:r w:rsidRPr="00BD0B28">
        <w:t xml:space="preserve"> la petite enfance, dont le mandat se limite à </w:t>
      </w:r>
      <w:r>
        <w:t xml:space="preserve">la </w:t>
      </w:r>
      <w:r w:rsidRPr="00BD0B28">
        <w:t>promo</w:t>
      </w:r>
      <w:r>
        <w:t>tion</w:t>
      </w:r>
      <w:r w:rsidRPr="00BD0B28">
        <w:t xml:space="preserve"> des droits des </w:t>
      </w:r>
      <w:r>
        <w:t>moins</w:t>
      </w:r>
      <w:r w:rsidRPr="00BD0B28">
        <w:t xml:space="preserve"> de 5 ans. Quelle entité est responsable de la coordination multisectorielle de la politique et du Plan d’action en faveur de l’enfance et de l’adolescence pour tous les enfants de moins de 18 ans? Par ailleurs, indiquer au Comité quelle est la relation entre le nouveau Secrétariat national </w:t>
      </w:r>
      <w:r>
        <w:t>à</w:t>
      </w:r>
      <w:r w:rsidRPr="00BD0B28">
        <w:t xml:space="preserve"> l’enfance et </w:t>
      </w:r>
      <w:r>
        <w:t>à</w:t>
      </w:r>
      <w:r w:rsidRPr="00BD0B28">
        <w:t xml:space="preserve"> l’adolescence et le Conseil </w:t>
      </w:r>
      <w:r>
        <w:t>consultatif de</w:t>
      </w:r>
      <w:r w:rsidRPr="00BD0B28">
        <w:t xml:space="preserve"> la petite enfance.</w:t>
      </w:r>
    </w:p>
    <w:p w:rsidR="00BD0B28" w:rsidRPr="00BD0B28" w:rsidRDefault="00BD0B28" w:rsidP="00BD0B28">
      <w:pPr>
        <w:pStyle w:val="SingleTxtG"/>
      </w:pPr>
      <w:r w:rsidRPr="00BD0B28">
        <w:t>4.</w:t>
      </w:r>
      <w:r w:rsidRPr="00BD0B28">
        <w:tab/>
        <w:t xml:space="preserve">Donner des informations </w:t>
      </w:r>
      <w:r>
        <w:t xml:space="preserve">sur la manière dont sont assurés l’autonomie et le plein exercice des </w:t>
      </w:r>
      <w:r w:rsidRPr="00BD0B28">
        <w:t xml:space="preserve">compétences du Défenseur du peuple, en conformité avec les dispositions des Principes de Paris. Donner également des informations sur l’affectation de ressources humaines, techniques et financières à l’Unité spéciale chargée de l’enfance et de l’adolescence du Bureau du </w:t>
      </w:r>
      <w:r w:rsidR="004969F6" w:rsidRPr="00BD0B28">
        <w:t>D</w:t>
      </w:r>
      <w:r w:rsidRPr="00BD0B28">
        <w:t>éfenseur du peuple, et sur</w:t>
      </w:r>
      <w:r w:rsidR="004F679C">
        <w:t xml:space="preserve"> </w:t>
      </w:r>
      <w:r w:rsidRPr="00BD0B28">
        <w:t>les mesures prises pour permettre le fonctionnement efficace de l’Observatoire des droits de l’enfant et de l’adolescent, créé en 2010.</w:t>
      </w:r>
    </w:p>
    <w:p w:rsidR="00BD0B28" w:rsidRPr="00BD0B28" w:rsidRDefault="00BD0B28" w:rsidP="00BD0B28">
      <w:pPr>
        <w:pStyle w:val="SingleTxtG"/>
      </w:pPr>
      <w:r w:rsidRPr="00BD0B28">
        <w:t>5.</w:t>
      </w:r>
      <w:r w:rsidRPr="00BD0B28">
        <w:tab/>
        <w:t xml:space="preserve">Informer le Comité des plans et programmes de formation à la Convention </w:t>
      </w:r>
      <w:r>
        <w:t xml:space="preserve">dispensés </w:t>
      </w:r>
      <w:r w:rsidRPr="00BD0B28">
        <w:t>à l’intention des professionnels qui travaillent avec les enfants et les adolescents, et des mesures prises pour diffuser la Convention</w:t>
      </w:r>
      <w:r>
        <w:t>,</w:t>
      </w:r>
      <w:r w:rsidRPr="00BD0B28">
        <w:t xml:space="preserve"> mieux faire connaître les droits des enfants et des adolescents et y sensibiliser davantage le public.</w:t>
      </w:r>
    </w:p>
    <w:p w:rsidR="00BD0B28" w:rsidRPr="00BD0B28" w:rsidRDefault="00BD0B28" w:rsidP="00BD0B28">
      <w:pPr>
        <w:pStyle w:val="SingleTxtG"/>
      </w:pPr>
      <w:r w:rsidRPr="00BD0B28">
        <w:t>6.</w:t>
      </w:r>
      <w:r w:rsidRPr="00BD0B28">
        <w:tab/>
        <w:t xml:space="preserve">Indiquer au Comité si </w:t>
      </w:r>
      <w:r>
        <w:t xml:space="preserve">le </w:t>
      </w:r>
      <w:r w:rsidRPr="00BD0B28">
        <w:t xml:space="preserve">couvre-feu imposé aux </w:t>
      </w:r>
      <w:r>
        <w:t>mineurs</w:t>
      </w:r>
      <w:r w:rsidRPr="00BD0B28">
        <w:t xml:space="preserve"> de 18 ans </w:t>
      </w:r>
      <w:r>
        <w:t>a été analysé dans le souci d’en</w:t>
      </w:r>
      <w:r w:rsidRPr="00BD0B28">
        <w:t xml:space="preserve"> vérifier l</w:t>
      </w:r>
      <w:r>
        <w:t>a</w:t>
      </w:r>
      <w:r w:rsidRPr="00BD0B28">
        <w:t xml:space="preserve"> conformité avec la Convention. Expliquer aussi quel type de mesures sont prises lorsqu’un jeune est surpris </w:t>
      </w:r>
      <w:r>
        <w:t xml:space="preserve">en infraction avec le </w:t>
      </w:r>
      <w:r w:rsidRPr="00BD0B28">
        <w:t xml:space="preserve">couvre-feu et si </w:t>
      </w:r>
      <w:r>
        <w:t>l</w:t>
      </w:r>
      <w:r w:rsidRPr="00BD0B28">
        <w:t xml:space="preserve">es mesures prises </w:t>
      </w:r>
      <w:r>
        <w:t>respectent pleinement les droits qui s’attachent à son statut d’</w:t>
      </w:r>
      <w:r w:rsidRPr="00BD0B28">
        <w:t>enfant.</w:t>
      </w:r>
    </w:p>
    <w:p w:rsidR="00BD0B28" w:rsidRPr="00BD0B28" w:rsidRDefault="00BD0B28" w:rsidP="00BD0B28">
      <w:pPr>
        <w:pStyle w:val="SingleTxtG"/>
      </w:pPr>
      <w:r w:rsidRPr="00BD0B28">
        <w:t>7.</w:t>
      </w:r>
      <w:r w:rsidRPr="00BD0B28">
        <w:tab/>
        <w:t xml:space="preserve">Donner des informations sur les mesures prises pour réduire le nombre d’enfants privés de leur milieu familial, </w:t>
      </w:r>
      <w:r>
        <w:t xml:space="preserve">actuellement élevé, </w:t>
      </w:r>
      <w:r w:rsidRPr="00BD0B28">
        <w:t xml:space="preserve">en particulier </w:t>
      </w:r>
      <w:r>
        <w:t xml:space="preserve">parce </w:t>
      </w:r>
      <w:r w:rsidRPr="00BD0B28">
        <w:t xml:space="preserve">qu’ils se trouvent dans une situation à risque du point de vue social. Donner également des informations </w:t>
      </w:r>
      <w:r>
        <w:t>détaillées</w:t>
      </w:r>
      <w:r w:rsidRPr="00BD0B28">
        <w:t>:</w:t>
      </w:r>
    </w:p>
    <w:p w:rsidR="00BD0B28" w:rsidRPr="00BD0B28" w:rsidRDefault="00BD0B28" w:rsidP="00BD0B28">
      <w:pPr>
        <w:pStyle w:val="SingleTxtG"/>
        <w:ind w:firstLine="567"/>
      </w:pPr>
      <w:r w:rsidRPr="00BD0B28">
        <w:t>a)</w:t>
      </w:r>
      <w:r w:rsidRPr="00BD0B28">
        <w:tab/>
      </w:r>
      <w:r>
        <w:t>Sur l</w:t>
      </w:r>
      <w:r w:rsidRPr="00BD0B28">
        <w:t xml:space="preserve">es critères d’admission dans </w:t>
      </w:r>
      <w:r>
        <w:t>l</w:t>
      </w:r>
      <w:r w:rsidRPr="00BD0B28">
        <w:t xml:space="preserve">es structures de </w:t>
      </w:r>
      <w:r>
        <w:t xml:space="preserve">substitution qui protègent </w:t>
      </w:r>
      <w:r w:rsidRPr="00BD0B28">
        <w:t>les enfants;</w:t>
      </w:r>
    </w:p>
    <w:p w:rsidR="00BD0B28" w:rsidRPr="00BD0B28" w:rsidRDefault="00BD0B28" w:rsidP="00BD0B28">
      <w:pPr>
        <w:pStyle w:val="SingleTxtG"/>
        <w:ind w:firstLine="567"/>
      </w:pPr>
      <w:r w:rsidRPr="00BD0B28">
        <w:t>b)</w:t>
      </w:r>
      <w:r w:rsidRPr="00BD0B28">
        <w:tab/>
      </w:r>
      <w:r>
        <w:t>Sur l</w:t>
      </w:r>
      <w:r w:rsidRPr="00BD0B28">
        <w:t>es mesures prises pour réglementer et contrôler l’administration et la supervision de ces structures;</w:t>
      </w:r>
    </w:p>
    <w:p w:rsidR="00BD0B28" w:rsidRPr="00BD0B28" w:rsidRDefault="00BD0B28" w:rsidP="00BD0B28">
      <w:pPr>
        <w:pStyle w:val="SingleTxtG"/>
        <w:ind w:firstLine="567"/>
      </w:pPr>
      <w:r w:rsidRPr="00BD0B28">
        <w:t>c)</w:t>
      </w:r>
      <w:r w:rsidRPr="00BD0B28">
        <w:tab/>
      </w:r>
      <w:r>
        <w:t>Sur l’existence de structures</w:t>
      </w:r>
      <w:r w:rsidRPr="00BD0B28">
        <w:t xml:space="preserve"> distinctes du placement en institution, destinées aux enfants privés de leur milieu familial.</w:t>
      </w:r>
    </w:p>
    <w:p w:rsidR="00BD0B28" w:rsidRPr="00BD0B28" w:rsidRDefault="00BD0B28" w:rsidP="00BD0B28">
      <w:pPr>
        <w:pStyle w:val="SingleTxtG"/>
      </w:pPr>
      <w:r w:rsidRPr="00BD0B28">
        <w:t>8.</w:t>
      </w:r>
      <w:r w:rsidRPr="00BD0B28">
        <w:tab/>
        <w:t>Expliquer en quoi consistent les propositions de réforme de la loi 61/2008 en matière d’adoption et si ces réformes continuent d’appuyer les disp</w:t>
      </w:r>
      <w:r w:rsidR="004969F6">
        <w:t>ositions de la Convention de La </w:t>
      </w:r>
      <w:r w:rsidRPr="00BD0B28">
        <w:t>Haye sur la protection des enfants et la coopération en matière d’adoption internationale. Donner également des informations sur l’exécution du mandat du Secrétariat national à l’enfance et à l’adolescence en matière d’adoption dans le pays et à l’étranger.</w:t>
      </w:r>
    </w:p>
    <w:p w:rsidR="00BD0B28" w:rsidRPr="00BD0B28" w:rsidRDefault="00BD0B28" w:rsidP="00BD0B28">
      <w:pPr>
        <w:pStyle w:val="SingleTxtG"/>
      </w:pPr>
      <w:r w:rsidRPr="00BD0B28">
        <w:t>9.</w:t>
      </w:r>
      <w:r w:rsidRPr="00BD0B28">
        <w:tab/>
        <w:t xml:space="preserve">Donner des informations sur les mesures prises pour prévenir et réduire le nombre élevé de grossesses d’adolescentes, principalement dans la population autochtone et d’ascendance africaine. Indiquer aussi quelles mesures ont été prises pour que les adolescentes enceintes </w:t>
      </w:r>
      <w:r>
        <w:t>aient</w:t>
      </w:r>
      <w:r w:rsidRPr="00BD0B28">
        <w:t xml:space="preserve"> accès </w:t>
      </w:r>
      <w:r>
        <w:t>sans réserve à l’enseignement</w:t>
      </w:r>
      <w:r w:rsidRPr="00BD0B28">
        <w:t>, conformément à la loi 29/2002 et à la Convention relative aux droits de l’enfant.</w:t>
      </w:r>
    </w:p>
    <w:p w:rsidR="00BD0B28" w:rsidRPr="00BD0B28" w:rsidRDefault="00BD0B28" w:rsidP="00BD0B28">
      <w:pPr>
        <w:pStyle w:val="SingleTxtG"/>
      </w:pPr>
      <w:r w:rsidRPr="00BD0B28">
        <w:t>10.</w:t>
      </w:r>
      <w:r w:rsidRPr="00BD0B28">
        <w:tab/>
        <w:t xml:space="preserve">Donner des informations sur les objectifs et </w:t>
      </w:r>
      <w:r>
        <w:t>l’état d’avancement</w:t>
      </w:r>
      <w:r w:rsidRPr="00BD0B28">
        <w:t xml:space="preserve"> de la réforme des programmes d’</w:t>
      </w:r>
      <w:r>
        <w:t>enseignement</w:t>
      </w:r>
      <w:r w:rsidRPr="00BD0B28">
        <w:t xml:space="preserve"> entreprise en 2009 et indiquer si cette réforme porte sur l’éducation civique, l’éducation aux droits de l’homme et aux droits de l’enfant, ainsi que </w:t>
      </w:r>
      <w:r>
        <w:t xml:space="preserve">sur </w:t>
      </w:r>
      <w:r w:rsidRPr="00BD0B28">
        <w:t xml:space="preserve">l’éducation à la santé </w:t>
      </w:r>
      <w:r>
        <w:t>génésique</w:t>
      </w:r>
      <w:r w:rsidRPr="00BD0B28">
        <w:t xml:space="preserve">. Donner des informations sur les différences entre le modèle </w:t>
      </w:r>
      <w:r>
        <w:t>d’enseignement</w:t>
      </w:r>
      <w:r w:rsidRPr="00BD0B28">
        <w:t xml:space="preserve"> préscolaire </w:t>
      </w:r>
      <w:r>
        <w:t xml:space="preserve">officiel </w:t>
      </w:r>
      <w:r w:rsidRPr="00BD0B28">
        <w:t xml:space="preserve">et </w:t>
      </w:r>
      <w:r>
        <w:t>son pendant informel</w:t>
      </w:r>
      <w:r w:rsidRPr="00BD0B28">
        <w:t xml:space="preserve">, et les domaines </w:t>
      </w:r>
      <w:r>
        <w:t>où</w:t>
      </w:r>
      <w:r w:rsidRPr="00BD0B28">
        <w:t xml:space="preserve"> elles </w:t>
      </w:r>
      <w:r>
        <w:t>sont perceptibles</w:t>
      </w:r>
      <w:r w:rsidRPr="00BD0B28">
        <w:t>.</w:t>
      </w:r>
    </w:p>
    <w:p w:rsidR="00BD0B28" w:rsidRPr="00BD0B28" w:rsidRDefault="00BD0B28" w:rsidP="00BD0B28">
      <w:pPr>
        <w:pStyle w:val="SingleTxtG"/>
      </w:pPr>
      <w:r w:rsidRPr="00BD0B28">
        <w:t>11.</w:t>
      </w:r>
      <w:r w:rsidRPr="00BD0B28">
        <w:tab/>
        <w:t xml:space="preserve">Indiquer les mesures prises pour </w:t>
      </w:r>
      <w:r>
        <w:t xml:space="preserve">faire respecter et appliquer en pratique </w:t>
      </w:r>
      <w:r w:rsidRPr="00BD0B28">
        <w:t>la loi 17/2000, qui porte à 15 ans l’âge minimum d’admission à l’emploi conformément à la Convention n</w:t>
      </w:r>
      <w:r w:rsidRPr="00BD0B28">
        <w:rPr>
          <w:vertAlign w:val="superscript"/>
        </w:rPr>
        <w:t>o</w:t>
      </w:r>
      <w:r w:rsidR="004F679C">
        <w:t xml:space="preserve"> </w:t>
      </w:r>
      <w:r w:rsidRPr="00BD0B28">
        <w:t xml:space="preserve">138 de </w:t>
      </w:r>
      <w:r>
        <w:t xml:space="preserve">1973 de </w:t>
      </w:r>
      <w:r w:rsidRPr="00BD0B28">
        <w:t>l’Organisation internationale du Travail (OIT) sur l’âge minimum d’admission à l’emploi.</w:t>
      </w:r>
    </w:p>
    <w:p w:rsidR="00BD0B28" w:rsidRPr="00BD0B28" w:rsidRDefault="00BD0B28" w:rsidP="00BD0B28">
      <w:pPr>
        <w:pStyle w:val="SingleTxtG"/>
      </w:pPr>
      <w:r w:rsidRPr="00BD0B28">
        <w:t>12.</w:t>
      </w:r>
      <w:r w:rsidRPr="00BD0B28">
        <w:tab/>
        <w:t xml:space="preserve">Donner des informations sur les résultats du Plan national pour la prévention et l’élimination de l’exploitation sexuelle des enfants et des adolescents à des fins commerciales (2008-2010). Donner également des informations sur les mesures prises pour lutter contre la tolérance de l’exploitation sexuelle </w:t>
      </w:r>
      <w:r>
        <w:t xml:space="preserve">dans </w:t>
      </w:r>
      <w:r w:rsidRPr="00BD0B28">
        <w:t>la famille et sur l’application pratique (enquête</w:t>
      </w:r>
      <w:r>
        <w:t>s</w:t>
      </w:r>
      <w:r w:rsidRPr="00BD0B28">
        <w:t xml:space="preserve">, </w:t>
      </w:r>
      <w:r>
        <w:t>procès</w:t>
      </w:r>
      <w:r w:rsidRPr="00BD0B28">
        <w:t xml:space="preserve"> et condamnation</w:t>
      </w:r>
      <w:r>
        <w:t>s</w:t>
      </w:r>
      <w:r w:rsidRPr="00BD0B28">
        <w:t>) des articles du Code pénal concernant la vente et le trafic d’enfants à des fins d’exploitation sexuelle, le recrutement forcé dans des groupes armés et dans des activités illicites telles que le trafic de stupéfiants.</w:t>
      </w:r>
    </w:p>
    <w:p w:rsidR="00BD0B28" w:rsidRPr="00BD0B28" w:rsidRDefault="00BD0B28" w:rsidP="00BD0B28">
      <w:pPr>
        <w:pStyle w:val="SingleTxtG"/>
      </w:pPr>
      <w:r w:rsidRPr="00BD0B28">
        <w:t>13.</w:t>
      </w:r>
      <w:r w:rsidRPr="00BD0B28">
        <w:tab/>
        <w:t xml:space="preserve">Indiquer au Comité les raisons qui ont conduit à réformer successivement, entre 2008 et 2010 la loi 40/1999 sur le régime spécial de responsabilité pénale </w:t>
      </w:r>
      <w:r>
        <w:t>d</w:t>
      </w:r>
      <w:r w:rsidR="004969F6">
        <w:t>es</w:t>
      </w:r>
      <w:r w:rsidRPr="00BD0B28">
        <w:t xml:space="preserve"> adolescents; en particulier, expliquer pourquoi l’âge de la responsabili</w:t>
      </w:r>
      <w:r w:rsidR="004969F6">
        <w:t>té pénale a été ramené de 14 à 12 </w:t>
      </w:r>
      <w:r w:rsidRPr="00BD0B28">
        <w:t xml:space="preserve">ans et pourquoi les peines </w:t>
      </w:r>
      <w:r>
        <w:t>imposées</w:t>
      </w:r>
      <w:r w:rsidRPr="00BD0B28">
        <w:t xml:space="preserve"> aux enfants en conflit avec la loi ont été </w:t>
      </w:r>
      <w:r>
        <w:t>alourdies</w:t>
      </w:r>
      <w:r w:rsidRPr="00BD0B28">
        <w:t xml:space="preserve">. Expliquer aussi en quoi ces réformes sont conformes aux obligations internationales </w:t>
      </w:r>
      <w:r>
        <w:t>que la Convention impose à l’État partie</w:t>
      </w:r>
      <w:r w:rsidRPr="00BD0B28">
        <w:t>.</w:t>
      </w:r>
    </w:p>
    <w:p w:rsidR="00BD0B28" w:rsidRPr="00BD0B28" w:rsidRDefault="00BD0B28" w:rsidP="00BD0B28">
      <w:pPr>
        <w:pStyle w:val="SingleTxtG"/>
      </w:pPr>
      <w:r w:rsidRPr="00BD0B28">
        <w:t>14.</w:t>
      </w:r>
      <w:r w:rsidRPr="00BD0B28">
        <w:tab/>
        <w:t>Donner des informations sur les mesures prises pour améliorer le</w:t>
      </w:r>
      <w:r>
        <w:t xml:space="preserve"> sort</w:t>
      </w:r>
      <w:r w:rsidRPr="00BD0B28">
        <w:t xml:space="preserve"> des adolescents privés de liberté qui se trouvent dans des établissements pénitentiaires pour mineurs. Donner des informations sur les progrès de l’enquête pénale concernant l’incendie et la mort de cinq adolescents </w:t>
      </w:r>
      <w:r>
        <w:t xml:space="preserve">survenus le 9 </w:t>
      </w:r>
      <w:r w:rsidRPr="00BD0B28">
        <w:t>janvier 2011</w:t>
      </w:r>
      <w:r>
        <w:t xml:space="preserve"> </w:t>
      </w:r>
      <w:r w:rsidRPr="00BD0B28">
        <w:t>dans l’établissement pénitentiaire pour mineurs de Tocumen. Donner également des informations sur l’incendie survenu dans l’établissement pénitentiaire pour mineurs Arco Iris le 20</w:t>
      </w:r>
      <w:r w:rsidR="004F679C">
        <w:t xml:space="preserve"> </w:t>
      </w:r>
      <w:r w:rsidRPr="00BD0B28">
        <w:t xml:space="preserve">juin 2011, sur l’état de </w:t>
      </w:r>
      <w:r>
        <w:t xml:space="preserve">santé des </w:t>
      </w:r>
      <w:r w:rsidRPr="00BD0B28">
        <w:t>20 mineurs qui ont été blessés</w:t>
      </w:r>
      <w:r>
        <w:t>,</w:t>
      </w:r>
      <w:r w:rsidRPr="00BD0B28">
        <w:t xml:space="preserve"> ainsi que sur l’enquête menée et s</w:t>
      </w:r>
      <w:r>
        <w:t>es conclusions</w:t>
      </w:r>
      <w:r w:rsidRPr="00BD0B28">
        <w:t>.</w:t>
      </w:r>
    </w:p>
    <w:p w:rsidR="00BD0B28" w:rsidRPr="00BD0B28" w:rsidRDefault="00BD0B28" w:rsidP="00BD0B28">
      <w:pPr>
        <w:pStyle w:val="SingleTxtG"/>
      </w:pPr>
      <w:r w:rsidRPr="00BD0B28">
        <w:t>15.</w:t>
      </w:r>
      <w:r w:rsidRPr="00BD0B28">
        <w:tab/>
        <w:t xml:space="preserve">Informer le Comité des mesures prises pour garantir les droits des enfants de parents colombiens qui ont été victimes du conflit armé en Colombie et qui se trouvent </w:t>
      </w:r>
      <w:r>
        <w:t>en</w:t>
      </w:r>
      <w:r w:rsidRPr="00BD0B28">
        <w:t xml:space="preserve"> territoire panaméen. Expliquer s’il existe des </w:t>
      </w:r>
      <w:r>
        <w:t>dispositifs de repérage, d’instruction et de répression de</w:t>
      </w:r>
      <w:r w:rsidR="004969F6">
        <w:t>s</w:t>
      </w:r>
      <w:r w:rsidRPr="00BD0B28">
        <w:t xml:space="preserve"> violence</w:t>
      </w:r>
      <w:r>
        <w:t>s</w:t>
      </w:r>
      <w:r w:rsidRPr="00BD0B28">
        <w:t xml:space="preserve"> commis</w:t>
      </w:r>
      <w:r>
        <w:t>es</w:t>
      </w:r>
      <w:r w:rsidRPr="00BD0B28">
        <w:t xml:space="preserve"> par des agents de l’État </w:t>
      </w:r>
      <w:r>
        <w:t xml:space="preserve">sur des </w:t>
      </w:r>
      <w:r w:rsidRPr="00BD0B28">
        <w:t>enfants et adolescents réfugiés, migrants ou demandeurs d’asile.</w:t>
      </w:r>
    </w:p>
    <w:p w:rsidR="00BD0B28" w:rsidRPr="00BD0B28" w:rsidRDefault="00BD0B28" w:rsidP="00BD0B28">
      <w:pPr>
        <w:pStyle w:val="SingleTxtG"/>
      </w:pPr>
      <w:r w:rsidRPr="00BD0B28">
        <w:t>16.</w:t>
      </w:r>
      <w:r w:rsidRPr="00BD0B28">
        <w:tab/>
        <w:t>Donner des informations à jour sur le fonctionnement</w:t>
      </w:r>
      <w:r>
        <w:t xml:space="preserve"> et la dotation en</w:t>
      </w:r>
      <w:r w:rsidRPr="00BD0B28">
        <w:t xml:space="preserve"> ressources et </w:t>
      </w:r>
      <w:r>
        <w:t>en</w:t>
      </w:r>
      <w:r w:rsidRPr="00BD0B28">
        <w:t xml:space="preserve"> personnel </w:t>
      </w:r>
      <w:r>
        <w:t>(</w:t>
      </w:r>
      <w:r w:rsidRPr="00BD0B28">
        <w:t xml:space="preserve">en particulier </w:t>
      </w:r>
      <w:r>
        <w:t xml:space="preserve">du point de vue ethnique) de </w:t>
      </w:r>
      <w:r w:rsidRPr="00BD0B28">
        <w:t xml:space="preserve">la Commission nationale contre la discrimination et au Conseil national du groupe ethnique noir. Par ailleurs, informer le Comité des mesures prises pour garantir aux enfants et aux adolescents autochtones </w:t>
      </w:r>
      <w:r w:rsidR="004969F6">
        <w:t xml:space="preserve">et </w:t>
      </w:r>
      <w:r w:rsidRPr="00BD0B28">
        <w:t>d</w:t>
      </w:r>
      <w:r>
        <w:t>’a</w:t>
      </w:r>
      <w:r w:rsidRPr="00BD0B28">
        <w:t xml:space="preserve">scendance africaine l’exercice de leurs droits et </w:t>
      </w:r>
      <w:r>
        <w:t xml:space="preserve">préciser </w:t>
      </w:r>
      <w:r w:rsidRPr="00BD0B28">
        <w:t>l’influence des institutions susmentionnées dans la lutte contre la discrimination.</w:t>
      </w:r>
    </w:p>
    <w:p w:rsidR="00BD0B28" w:rsidRPr="00BD0B28" w:rsidRDefault="00BD0B28" w:rsidP="00BD0B28">
      <w:pPr>
        <w:pStyle w:val="SingleTxtG"/>
      </w:pPr>
      <w:r w:rsidRPr="00BD0B28">
        <w:t>17.</w:t>
      </w:r>
      <w:r w:rsidRPr="00BD0B28">
        <w:tab/>
        <w:t>Indiquer si les mesures proposées par le Rapporteur spécial sur le</w:t>
      </w:r>
      <w:r>
        <w:t>s</w:t>
      </w:r>
      <w:r w:rsidRPr="00BD0B28">
        <w:t xml:space="preserve"> droit</w:t>
      </w:r>
      <w:r>
        <w:t>s</w:t>
      </w:r>
      <w:r w:rsidRPr="00BD0B28">
        <w:t xml:space="preserve"> des </w:t>
      </w:r>
      <w:r>
        <w:t xml:space="preserve">autochtones pour évaluer et </w:t>
      </w:r>
      <w:r w:rsidRPr="00BD0B28">
        <w:t xml:space="preserve">réglementer les effets </w:t>
      </w:r>
      <w:r>
        <w:t xml:space="preserve">qu’a </w:t>
      </w:r>
      <w:r w:rsidRPr="00BD0B28">
        <w:t xml:space="preserve">sur l’environnement et sur les populations touchées </w:t>
      </w:r>
      <w:r>
        <w:t xml:space="preserve">la centrale </w:t>
      </w:r>
      <w:r w:rsidRPr="00BD0B28">
        <w:t>hydroélectrique Chan 75 dans la province de Bocas del Toro sont appliquées. Indiquer également si</w:t>
      </w:r>
      <w:r>
        <w:t xml:space="preserve"> l’on a pris ou </w:t>
      </w:r>
      <w:r w:rsidRPr="00BD0B28">
        <w:t xml:space="preserve">envisagé de prendre des mesures </w:t>
      </w:r>
      <w:r>
        <w:t>pour</w:t>
      </w:r>
      <w:r w:rsidRPr="00BD0B28">
        <w:t xml:space="preserve"> évaluer et </w:t>
      </w:r>
      <w:r>
        <w:t>maîtriser les effets</w:t>
      </w:r>
      <w:r w:rsidRPr="00BD0B28">
        <w:t xml:space="preserve"> de deux autres </w:t>
      </w:r>
      <w:r>
        <w:t>grands ouvrages</w:t>
      </w:r>
      <w:r w:rsidRPr="00BD0B28">
        <w:t xml:space="preserve">, </w:t>
      </w:r>
      <w:r>
        <w:t>en territoire autochtone</w:t>
      </w:r>
      <w:r w:rsidRPr="00BD0B28">
        <w:t>.</w:t>
      </w:r>
    </w:p>
    <w:p w:rsidR="00BD0B28" w:rsidRPr="00BD0B28" w:rsidRDefault="00BD0B28" w:rsidP="00BD0B28">
      <w:pPr>
        <w:pStyle w:val="HChG"/>
      </w:pPr>
      <w:r>
        <w:tab/>
      </w:r>
      <w:r>
        <w:tab/>
      </w:r>
      <w:r w:rsidRPr="00BD0B28">
        <w:t>Deuxième partie</w:t>
      </w:r>
    </w:p>
    <w:p w:rsidR="00BD0B28" w:rsidRPr="00BD0B28" w:rsidRDefault="00BD0B28" w:rsidP="00BD0B28">
      <w:pPr>
        <w:pStyle w:val="SingleTxtG"/>
        <w:ind w:firstLine="567"/>
      </w:pPr>
      <w:r w:rsidRPr="00BD0B28">
        <w:t>Sous cette rubrique, le Comité invite l’État partie à mettre à jour brièvement (trois pages au maximum) les renseignements fournis dans son rapport en ce qui concerne:</w:t>
      </w:r>
    </w:p>
    <w:p w:rsidR="00BD0B28" w:rsidRPr="00BD0B28" w:rsidRDefault="00BD0B28" w:rsidP="00BD0B28">
      <w:pPr>
        <w:pStyle w:val="SingleTxtG"/>
        <w:ind w:firstLine="567"/>
      </w:pPr>
      <w:r w:rsidRPr="00BD0B28">
        <w:t>a)</w:t>
      </w:r>
      <w:r w:rsidRPr="00BD0B28">
        <w:tab/>
        <w:t>Les nouveaux projets ou textes de loi et leur règlement d’application respectif;</w:t>
      </w:r>
    </w:p>
    <w:p w:rsidR="00BD0B28" w:rsidRPr="00BD0B28" w:rsidRDefault="00BD0B28" w:rsidP="00BD0B28">
      <w:pPr>
        <w:pStyle w:val="SingleTxtG"/>
        <w:ind w:firstLine="567"/>
      </w:pPr>
      <w:r w:rsidRPr="00BD0B28">
        <w:t>b)</w:t>
      </w:r>
      <w:r w:rsidRPr="00BD0B28">
        <w:tab/>
        <w:t>Les nouvelles institutions et leur</w:t>
      </w:r>
      <w:r>
        <w:t>s</w:t>
      </w:r>
      <w:r w:rsidRPr="00BD0B28">
        <w:t xml:space="preserve"> </w:t>
      </w:r>
      <w:r>
        <w:t>attributions</w:t>
      </w:r>
      <w:r w:rsidRPr="00BD0B28">
        <w:t>, ainsi que leur financement;</w:t>
      </w:r>
    </w:p>
    <w:p w:rsidR="00BD0B28" w:rsidRPr="00BD0B28" w:rsidRDefault="00BD0B28" w:rsidP="00BD0B28">
      <w:pPr>
        <w:pStyle w:val="SingleTxtG"/>
        <w:ind w:firstLine="567"/>
      </w:pPr>
      <w:r w:rsidRPr="00BD0B28">
        <w:t>c)</w:t>
      </w:r>
      <w:r w:rsidRPr="00BD0B28">
        <w:tab/>
        <w:t>Les politiques et programmes adoptés et appliqués récemment et leur portée sur le territoire;</w:t>
      </w:r>
    </w:p>
    <w:p w:rsidR="00BD0B28" w:rsidRPr="00BD0B28" w:rsidRDefault="00BD0B28" w:rsidP="00BD0B28">
      <w:pPr>
        <w:pStyle w:val="SingleTxtG"/>
        <w:ind w:firstLine="567"/>
      </w:pPr>
      <w:r w:rsidRPr="00BD0B28">
        <w:t>d)</w:t>
      </w:r>
      <w:r w:rsidRPr="00BD0B28">
        <w:tab/>
        <w:t>L</w:t>
      </w:r>
      <w:r>
        <w:t>a ratification des</w:t>
      </w:r>
      <w:r w:rsidRPr="00BD0B28">
        <w:t xml:space="preserve"> instruments relatifs aux droits de l’homme.</w:t>
      </w:r>
    </w:p>
    <w:p w:rsidR="00BD0B28" w:rsidRPr="00BD0B28" w:rsidRDefault="00BD0B28" w:rsidP="00BD0B28">
      <w:pPr>
        <w:pStyle w:val="HChG"/>
      </w:pPr>
      <w:r>
        <w:tab/>
      </w:r>
      <w:r>
        <w:tab/>
      </w:r>
      <w:r w:rsidRPr="00BD0B28">
        <w:t>Troisième partie</w:t>
      </w:r>
    </w:p>
    <w:p w:rsidR="00BD0B28" w:rsidRPr="00BD0B28" w:rsidRDefault="00BD0B28" w:rsidP="00BD0B28">
      <w:pPr>
        <w:pStyle w:val="H23G"/>
      </w:pPr>
      <w:r>
        <w:tab/>
      </w:r>
      <w:r>
        <w:tab/>
      </w:r>
      <w:r w:rsidRPr="00BD0B28">
        <w:t>Données et statistiques, si disponibles</w:t>
      </w:r>
    </w:p>
    <w:p w:rsidR="00BD0B28" w:rsidRPr="00BD0B28" w:rsidRDefault="00BD0B28" w:rsidP="00BD0B28">
      <w:pPr>
        <w:pStyle w:val="SingleTxtG"/>
      </w:pPr>
      <w:r w:rsidRPr="00BD0B28">
        <w:t>1.</w:t>
      </w:r>
      <w:r w:rsidRPr="00BD0B28">
        <w:tab/>
        <w:t xml:space="preserve">Fournir </w:t>
      </w:r>
      <w:r>
        <w:t>l</w:t>
      </w:r>
      <w:r w:rsidRPr="00BD0B28">
        <w:t xml:space="preserve">es données </w:t>
      </w:r>
      <w:r>
        <w:t>de</w:t>
      </w:r>
      <w:r w:rsidRPr="00BD0B28">
        <w:t xml:space="preserve"> 2008, 2009 et 2010, ventilées par âge, sexe, origine ethnique et région, </w:t>
      </w:r>
      <w:r>
        <w:t xml:space="preserve">indiquant </w:t>
      </w:r>
      <w:r w:rsidRPr="00BD0B28">
        <w:t xml:space="preserve">le nombre d’enfants victimes de </w:t>
      </w:r>
      <w:r>
        <w:t>maltraitance</w:t>
      </w:r>
      <w:r w:rsidRPr="00BD0B28">
        <w:t>, y compris sexuel</w:t>
      </w:r>
      <w:r>
        <w:t>le</w:t>
      </w:r>
      <w:r w:rsidRPr="00BD0B28">
        <w:t>. Combien de plaintes ont été reçues par l’interméd</w:t>
      </w:r>
      <w:r>
        <w:t xml:space="preserve">iaire de la ligne téléphonique </w:t>
      </w:r>
      <w:r w:rsidRPr="00BD0B28">
        <w:t>147</w:t>
      </w:r>
      <w:r>
        <w:t xml:space="preserve"> destinée aux </w:t>
      </w:r>
      <w:r w:rsidRPr="00BD0B28">
        <w:t xml:space="preserve">enfants et </w:t>
      </w:r>
      <w:r>
        <w:t>aux</w:t>
      </w:r>
      <w:r w:rsidRPr="00BD0B28">
        <w:t xml:space="preserve"> adolescents? Fournir également des données sur les décisions </w:t>
      </w:r>
      <w:r>
        <w:t xml:space="preserve">de </w:t>
      </w:r>
      <w:r w:rsidRPr="00BD0B28">
        <w:t>ju</w:t>
      </w:r>
      <w:r>
        <w:t>stice</w:t>
      </w:r>
      <w:r w:rsidRPr="00BD0B28">
        <w:t>, le nombre de victimes qui ont reçu une a</w:t>
      </w:r>
      <w:r>
        <w:t>ide</w:t>
      </w:r>
      <w:r w:rsidRPr="00BD0B28">
        <w:t xml:space="preserve"> et le nombre de condamnations prononcées.</w:t>
      </w:r>
    </w:p>
    <w:p w:rsidR="00BD0B28" w:rsidRPr="00BD0B28" w:rsidRDefault="00BD0B28" w:rsidP="00BD0B28">
      <w:pPr>
        <w:pStyle w:val="SingleTxtG"/>
      </w:pPr>
      <w:r w:rsidRPr="00BD0B28">
        <w:t>2.</w:t>
      </w:r>
      <w:r w:rsidRPr="00BD0B28">
        <w:tab/>
        <w:t xml:space="preserve">Fournir les données </w:t>
      </w:r>
      <w:r>
        <w:t>de</w:t>
      </w:r>
      <w:r w:rsidRPr="00BD0B28">
        <w:t xml:space="preserve"> 2008, 2009 et 2010, ventilées par âge, sexe, origine ethnique et région, </w:t>
      </w:r>
      <w:r>
        <w:t xml:space="preserve">relatives aux </w:t>
      </w:r>
      <w:r w:rsidRPr="00BD0B28">
        <w:t xml:space="preserve">enfants qui vivent dans des </w:t>
      </w:r>
      <w:r>
        <w:t>structures de substitution</w:t>
      </w:r>
      <w:r w:rsidRPr="00BD0B28">
        <w:t xml:space="preserve">, en précisant </w:t>
      </w:r>
      <w:r>
        <w:t>le</w:t>
      </w:r>
      <w:r w:rsidRPr="00BD0B28">
        <w:t xml:space="preserve"> type d</w:t>
      </w:r>
      <w:r>
        <w:t>’institution</w:t>
      </w:r>
      <w:r w:rsidRPr="00BD0B28">
        <w:t>.</w:t>
      </w:r>
    </w:p>
    <w:p w:rsidR="00BD0B28" w:rsidRPr="00BD0B28" w:rsidRDefault="00BD0B28" w:rsidP="00BD0B28">
      <w:pPr>
        <w:pStyle w:val="SingleTxtG"/>
      </w:pPr>
      <w:r w:rsidRPr="00BD0B28">
        <w:t>3.</w:t>
      </w:r>
      <w:r w:rsidRPr="00BD0B28">
        <w:tab/>
        <w:t xml:space="preserve">Fournir </w:t>
      </w:r>
      <w:r>
        <w:t>l</w:t>
      </w:r>
      <w:r w:rsidRPr="00BD0B28">
        <w:t xml:space="preserve">es données </w:t>
      </w:r>
      <w:r>
        <w:t>de</w:t>
      </w:r>
      <w:r w:rsidRPr="00BD0B28">
        <w:t xml:space="preserve"> 2008, 2009 et 2010</w:t>
      </w:r>
      <w:r>
        <w:t>,</w:t>
      </w:r>
      <w:r w:rsidRPr="00BD0B28">
        <w:t xml:space="preserve"> ventilées par âge, sexe, origine ethnique et région, </w:t>
      </w:r>
      <w:r>
        <w:t xml:space="preserve">relatives aux </w:t>
      </w:r>
      <w:r w:rsidRPr="00BD0B28">
        <w:t xml:space="preserve">adoptions </w:t>
      </w:r>
      <w:r>
        <w:t>(</w:t>
      </w:r>
      <w:r w:rsidRPr="00BD0B28">
        <w:t>dans le pays et à l’étranger</w:t>
      </w:r>
      <w:r>
        <w:t>)</w:t>
      </w:r>
      <w:r w:rsidRPr="00BD0B28">
        <w:t>.</w:t>
      </w:r>
    </w:p>
    <w:p w:rsidR="00BD0B28" w:rsidRPr="00BD0B28" w:rsidRDefault="00BD0B28" w:rsidP="00BD0B28">
      <w:pPr>
        <w:pStyle w:val="SingleTxtG"/>
      </w:pPr>
      <w:r w:rsidRPr="00BD0B28">
        <w:t>4.</w:t>
      </w:r>
      <w:r w:rsidRPr="00BD0B28">
        <w:tab/>
        <w:t xml:space="preserve">Fournir </w:t>
      </w:r>
      <w:r>
        <w:t>l</w:t>
      </w:r>
      <w:r w:rsidRPr="00BD0B28">
        <w:t xml:space="preserve">es données </w:t>
      </w:r>
      <w:r>
        <w:t>de</w:t>
      </w:r>
      <w:r w:rsidRPr="00BD0B28">
        <w:t xml:space="preserve"> 2008, 2009 et 2010, ventilées par âge, groupe ethnique et région</w:t>
      </w:r>
      <w:r>
        <w:t xml:space="preserve">, relatives aux </w:t>
      </w:r>
      <w:r w:rsidRPr="00BD0B28">
        <w:t xml:space="preserve">adolescentes enceintes et </w:t>
      </w:r>
      <w:r>
        <w:t xml:space="preserve">aux </w:t>
      </w:r>
      <w:r w:rsidRPr="00BD0B28">
        <w:t>mères</w:t>
      </w:r>
      <w:r>
        <w:t xml:space="preserve"> adolescentes</w:t>
      </w:r>
      <w:r w:rsidRPr="00BD0B28">
        <w:t>, scolarisées ou déscolarisées.</w:t>
      </w:r>
    </w:p>
    <w:p w:rsidR="00BD0B28" w:rsidRPr="00BD0B28" w:rsidRDefault="00BD0B28" w:rsidP="00BD0B28">
      <w:pPr>
        <w:pStyle w:val="SingleTxtG"/>
      </w:pPr>
      <w:r w:rsidRPr="00BD0B28">
        <w:t>5.</w:t>
      </w:r>
      <w:r w:rsidRPr="00BD0B28">
        <w:tab/>
      </w:r>
      <w:r>
        <w:t>Présenter la statistique récente ventilée</w:t>
      </w:r>
      <w:r w:rsidRPr="00BD0B28">
        <w:t xml:space="preserve"> </w:t>
      </w:r>
      <w:r>
        <w:t>du</w:t>
      </w:r>
      <w:r w:rsidRPr="00BD0B28">
        <w:t xml:space="preserve"> nombre et </w:t>
      </w:r>
      <w:r>
        <w:t xml:space="preserve">de </w:t>
      </w:r>
      <w:r w:rsidRPr="00BD0B28">
        <w:t xml:space="preserve">l’origine ethnique des adolescents détenus dans </w:t>
      </w:r>
      <w:r w:rsidR="004969F6">
        <w:t>d</w:t>
      </w:r>
      <w:r w:rsidRPr="00BD0B28">
        <w:t>es établissements pénitentiaires pour mineurs.</w:t>
      </w:r>
    </w:p>
    <w:p w:rsidR="00BD0B28" w:rsidRPr="00BD0B28" w:rsidRDefault="00BD0B28" w:rsidP="00BD0B28">
      <w:pPr>
        <w:pStyle w:val="SingleTxtG"/>
      </w:pPr>
      <w:r w:rsidRPr="00BD0B28">
        <w:t>6.</w:t>
      </w:r>
      <w:r w:rsidRPr="00BD0B28">
        <w:tab/>
        <w:t>Fournir des données récentes,</w:t>
      </w:r>
      <w:r w:rsidR="004F679C">
        <w:t xml:space="preserve"> </w:t>
      </w:r>
      <w:r w:rsidRPr="00BD0B28">
        <w:t xml:space="preserve">ventilées par âge et par province, sur le nombre de </w:t>
      </w:r>
      <w:r>
        <w:t>mineures de 16 ans</w:t>
      </w:r>
      <w:r w:rsidRPr="00BD0B28">
        <w:t xml:space="preserve"> mariées et sur le nombre de </w:t>
      </w:r>
      <w:r>
        <w:t>mineurs</w:t>
      </w:r>
      <w:r w:rsidRPr="00BD0B28">
        <w:t xml:space="preserve"> de 18 ans qui</w:t>
      </w:r>
      <w:r>
        <w:t xml:space="preserve"> </w:t>
      </w:r>
      <w:r w:rsidRPr="00BD0B28">
        <w:t>sont mariés.</w:t>
      </w:r>
    </w:p>
    <w:p w:rsidR="00BD0B28" w:rsidRPr="00BD0B28" w:rsidRDefault="00BD0B28" w:rsidP="00BD0B28">
      <w:pPr>
        <w:pStyle w:val="SingleTxtG"/>
      </w:pPr>
      <w:r w:rsidRPr="00BD0B28">
        <w:t>7.</w:t>
      </w:r>
      <w:r w:rsidRPr="00BD0B28">
        <w:tab/>
        <w:t xml:space="preserve">Fournir des données récentes ventilées par sexe, âge, groupe ethnique et </w:t>
      </w:r>
      <w:r>
        <w:t xml:space="preserve">zone </w:t>
      </w:r>
      <w:r w:rsidRPr="00BD0B28">
        <w:t>urbain</w:t>
      </w:r>
      <w:r>
        <w:t>e</w:t>
      </w:r>
      <w:r w:rsidRPr="00BD0B28">
        <w:t xml:space="preserve"> </w:t>
      </w:r>
      <w:r>
        <w:t xml:space="preserve">relatives aux </w:t>
      </w:r>
      <w:r w:rsidRPr="00BD0B28">
        <w:t xml:space="preserve">mineurs qui ont été </w:t>
      </w:r>
      <w:r>
        <w:t xml:space="preserve">appréhendés </w:t>
      </w:r>
      <w:r w:rsidRPr="00BD0B28">
        <w:t>pour non-respect du couvre-feu.</w:t>
      </w:r>
    </w:p>
    <w:p w:rsidR="00BD0B28" w:rsidRPr="00BD0B28" w:rsidRDefault="00BD0B28" w:rsidP="00BD0B28">
      <w:pPr>
        <w:pStyle w:val="SingleTxtG"/>
      </w:pPr>
      <w:r w:rsidRPr="00BD0B28">
        <w:t>8.</w:t>
      </w:r>
      <w:r w:rsidRPr="00BD0B28">
        <w:tab/>
        <w:t xml:space="preserve">En outre, l’État partie peut établir </w:t>
      </w:r>
      <w:r>
        <w:t>la</w:t>
      </w:r>
      <w:r w:rsidRPr="00BD0B28">
        <w:t xml:space="preserve"> liste de</w:t>
      </w:r>
      <w:r>
        <w:t>s</w:t>
      </w:r>
      <w:r w:rsidRPr="00BD0B28">
        <w:t xml:space="preserve"> domaines qui touchent les enfants qu’il juge importants pour l’application de la Convention.</w:t>
      </w:r>
    </w:p>
    <w:p w:rsidR="00DA3BE9" w:rsidRPr="00BD0B28" w:rsidRDefault="00BD0B28" w:rsidP="00BD0B28">
      <w:pPr>
        <w:pStyle w:val="SingleTxtG"/>
        <w:spacing w:before="240" w:after="0"/>
        <w:jc w:val="center"/>
        <w:rPr>
          <w:u w:val="single"/>
        </w:rPr>
      </w:pPr>
      <w:r>
        <w:rPr>
          <w:u w:val="single"/>
        </w:rPr>
        <w:tab/>
      </w:r>
      <w:r>
        <w:rPr>
          <w:u w:val="single"/>
        </w:rPr>
        <w:tab/>
      </w:r>
      <w:r>
        <w:rPr>
          <w:u w:val="single"/>
        </w:rPr>
        <w:tab/>
      </w:r>
    </w:p>
    <w:sectPr w:rsidR="00DA3BE9" w:rsidRPr="00BD0B28" w:rsidSect="00BD0B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E03" w:rsidRDefault="00A75E03"/>
  </w:endnote>
  <w:endnote w:type="continuationSeparator" w:id="0">
    <w:p w:rsidR="00A75E03" w:rsidRDefault="00A75E03"/>
  </w:endnote>
  <w:endnote w:type="continuationNotice" w:id="1">
    <w:p w:rsidR="00A75E03" w:rsidRDefault="00A75E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B28" w:rsidRPr="00BD0B28" w:rsidRDefault="00BD0B28" w:rsidP="00BD0B28">
    <w:pPr>
      <w:pStyle w:val="Footer"/>
      <w:tabs>
        <w:tab w:val="right" w:pos="9638"/>
      </w:tabs>
    </w:pPr>
    <w:r w:rsidRPr="00BD0B28">
      <w:rPr>
        <w:b/>
        <w:sz w:val="18"/>
      </w:rPr>
      <w:fldChar w:fldCharType="begin"/>
    </w:r>
    <w:r w:rsidRPr="00BD0B28">
      <w:rPr>
        <w:b/>
        <w:sz w:val="18"/>
      </w:rPr>
      <w:instrText xml:space="preserve"> PAGE  \* MERGEFORMAT </w:instrText>
    </w:r>
    <w:r w:rsidRPr="00BD0B28">
      <w:rPr>
        <w:b/>
        <w:sz w:val="18"/>
      </w:rPr>
      <w:fldChar w:fldCharType="separate"/>
    </w:r>
    <w:r w:rsidR="00051867">
      <w:rPr>
        <w:b/>
        <w:noProof/>
        <w:sz w:val="18"/>
      </w:rPr>
      <w:t>2</w:t>
    </w:r>
    <w:r w:rsidRPr="00BD0B28">
      <w:rPr>
        <w:b/>
        <w:sz w:val="18"/>
      </w:rPr>
      <w:fldChar w:fldCharType="end"/>
    </w:r>
    <w:r>
      <w:rPr>
        <w:b/>
        <w:sz w:val="18"/>
      </w:rPr>
      <w:tab/>
    </w:r>
    <w:r>
      <w:t>GE.11-43916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B28" w:rsidRPr="00BD0B28" w:rsidRDefault="00BD0B28" w:rsidP="00BD0B28">
    <w:pPr>
      <w:pStyle w:val="Footer"/>
      <w:tabs>
        <w:tab w:val="right" w:pos="9638"/>
      </w:tabs>
      <w:rPr>
        <w:b/>
        <w:sz w:val="18"/>
      </w:rPr>
    </w:pPr>
    <w:r>
      <w:t>GE.11-43916</w:t>
    </w:r>
    <w:r>
      <w:tab/>
    </w:r>
    <w:r w:rsidRPr="00BD0B28">
      <w:rPr>
        <w:b/>
        <w:sz w:val="18"/>
      </w:rPr>
      <w:fldChar w:fldCharType="begin"/>
    </w:r>
    <w:r w:rsidRPr="00BD0B28">
      <w:rPr>
        <w:b/>
        <w:sz w:val="18"/>
      </w:rPr>
      <w:instrText xml:space="preserve"> PAGE  \* MERGEFORMAT </w:instrText>
    </w:r>
    <w:r w:rsidRPr="00BD0B28">
      <w:rPr>
        <w:b/>
        <w:sz w:val="18"/>
      </w:rPr>
      <w:fldChar w:fldCharType="separate"/>
    </w:r>
    <w:r w:rsidR="004969F6">
      <w:rPr>
        <w:b/>
        <w:noProof/>
        <w:sz w:val="18"/>
      </w:rPr>
      <w:t>3</w:t>
    </w:r>
    <w:r w:rsidRPr="00BD0B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E03" w:rsidRDefault="00BD0B28">
    <w:pPr>
      <w:pStyle w:val="Footer"/>
    </w:pPr>
    <w:r>
      <w:rPr>
        <w:sz w:val="20"/>
      </w:rPr>
      <w:t>GE.11-43916</w:t>
    </w:r>
    <w:r w:rsidR="00A75E0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200711    290711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E03" w:rsidRPr="00D27D5E" w:rsidRDefault="00A75E03" w:rsidP="00D27D5E">
      <w:pPr>
        <w:tabs>
          <w:tab w:val="right" w:pos="2155"/>
        </w:tabs>
        <w:spacing w:after="80"/>
        <w:ind w:left="680"/>
        <w:rPr>
          <w:u w:val="single"/>
        </w:rPr>
      </w:pPr>
      <w:r>
        <w:rPr>
          <w:u w:val="single"/>
        </w:rPr>
        <w:tab/>
      </w:r>
    </w:p>
  </w:footnote>
  <w:footnote w:type="continuationSeparator" w:id="0">
    <w:p w:rsidR="00A75E03" w:rsidRPr="00EA0E33" w:rsidRDefault="00A75E03" w:rsidP="00EA0E33">
      <w:pPr>
        <w:tabs>
          <w:tab w:val="right" w:pos="2155"/>
        </w:tabs>
        <w:spacing w:after="80"/>
        <w:ind w:left="680"/>
        <w:rPr>
          <w:u w:val="single"/>
        </w:rPr>
      </w:pPr>
      <w:r w:rsidRPr="00EA0E33">
        <w:rPr>
          <w:u w:val="single"/>
        </w:rPr>
        <w:tab/>
      </w:r>
    </w:p>
  </w:footnote>
  <w:footnote w:type="continuationNotice" w:id="1">
    <w:p w:rsidR="00A75E03" w:rsidRDefault="00A75E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B28" w:rsidRPr="00BD0B28" w:rsidRDefault="00BD0B28">
    <w:pPr>
      <w:pStyle w:val="Header"/>
    </w:pPr>
    <w:r>
      <w:t>CRC/C/PAN/Q/3-4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B28" w:rsidRPr="00BD0B28" w:rsidRDefault="00BD0B28" w:rsidP="00BD0B28">
    <w:pPr>
      <w:pStyle w:val="Header"/>
      <w:jc w:val="right"/>
    </w:pPr>
    <w:r>
      <w:t>CRC/C/PAN/Q/3-4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5E03"/>
    <w:rsid w:val="0000767A"/>
    <w:rsid w:val="00016AC5"/>
    <w:rsid w:val="00051867"/>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4969F6"/>
    <w:rsid w:val="004F679C"/>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04BD7"/>
    <w:rsid w:val="00716BD0"/>
    <w:rsid w:val="007176C1"/>
    <w:rsid w:val="007C3C0D"/>
    <w:rsid w:val="007F55CB"/>
    <w:rsid w:val="00844750"/>
    <w:rsid w:val="008B44C4"/>
    <w:rsid w:val="008E7FAE"/>
    <w:rsid w:val="00901884"/>
    <w:rsid w:val="00911BF7"/>
    <w:rsid w:val="00977EC8"/>
    <w:rsid w:val="00993C56"/>
    <w:rsid w:val="009C2D18"/>
    <w:rsid w:val="009D3A8C"/>
    <w:rsid w:val="009E7956"/>
    <w:rsid w:val="00A133AF"/>
    <w:rsid w:val="00A2492E"/>
    <w:rsid w:val="00A63C60"/>
    <w:rsid w:val="00A75E03"/>
    <w:rsid w:val="00AC67A1"/>
    <w:rsid w:val="00AC7977"/>
    <w:rsid w:val="00AD1127"/>
    <w:rsid w:val="00AE352C"/>
    <w:rsid w:val="00B15A79"/>
    <w:rsid w:val="00B32E2D"/>
    <w:rsid w:val="00B61990"/>
    <w:rsid w:val="00B93DB1"/>
    <w:rsid w:val="00BD0B28"/>
    <w:rsid w:val="00BE6AE4"/>
    <w:rsid w:val="00BF0556"/>
    <w:rsid w:val="00C261F8"/>
    <w:rsid w:val="00C33100"/>
    <w:rsid w:val="00C36B9B"/>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81E94"/>
    <w:rsid w:val="00E82607"/>
    <w:rsid w:val="00EA0E33"/>
    <w:rsid w:val="00F05DB9"/>
    <w:rsid w:val="00F47851"/>
    <w:rsid w:val="00FA5A79"/>
    <w:rsid w:val="00FB0BFE"/>
    <w:rsid w:val="00FB4C51"/>
    <w:rsid w:val="00FC7540"/>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1695</Words>
  <Characters>9324</Characters>
  <Application>Microsoft Office Word</Application>
  <DocSecurity>4</DocSecurity>
  <Lines>158</Lines>
  <Paragraphs>61</Paragraphs>
  <ScaleCrop>false</ScaleCrop>
  <HeadingPairs>
    <vt:vector size="2" baseType="variant">
      <vt:variant>
        <vt:lpstr>Titre</vt:lpstr>
      </vt:variant>
      <vt:variant>
        <vt:i4>1</vt:i4>
      </vt:variant>
    </vt:vector>
  </HeadingPairs>
  <TitlesOfParts>
    <vt:vector size="1" baseType="lpstr">
      <vt:lpstr>CRC/C/PAN/Q/3-4</vt:lpstr>
    </vt:vector>
  </TitlesOfParts>
  <Company>Corine</Company>
  <LinksUpToDate>false</LinksUpToDate>
  <CharactersWithSpaces>10958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CRC/C/PAN/Q/3-4</dc:title>
  <dc:subject>Final</dc:subject>
  <dc:creator>Clère</dc:creator>
  <cp:keywords/>
  <dc:description/>
  <cp:lastModifiedBy>Clère</cp:lastModifiedBy>
  <cp:revision>2</cp:revision>
  <cp:lastPrinted>2011-07-29T10:05:00Z</cp:lastPrinted>
  <dcterms:created xsi:type="dcterms:W3CDTF">2011-07-29T10:45:00Z</dcterms:created>
  <dcterms:modified xsi:type="dcterms:W3CDTF">2011-07-29T10:45:00Z</dcterms:modified>
</cp:coreProperties>
</file>