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B0E" w:rsidRDefault="00391B0E">
      <w:pPr>
        <w:spacing w:line="240" w:lineRule="auto"/>
        <w:rPr>
          <w:sz w:val="6"/>
        </w:rPr>
        <w:sectPr w:rsidR="00391B0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391B0E" w:rsidRDefault="00391B0E">
      <w:pPr>
        <w:pStyle w:val="H1"/>
      </w:pPr>
      <w:r>
        <w:t>Comité para la Eliminación de la Discriminación</w:t>
      </w:r>
      <w:r>
        <w:br/>
        <w:t>contra la Mujer</w:t>
      </w:r>
    </w:p>
    <w:p w:rsidR="00391B0E" w:rsidRDefault="00391B0E">
      <w:pPr>
        <w:pStyle w:val="H23"/>
      </w:pPr>
      <w:r>
        <w:t>24° período de sesiones</w:t>
      </w:r>
    </w:p>
    <w:p w:rsidR="00391B0E" w:rsidRDefault="00391B0E">
      <w:pPr>
        <w:spacing w:line="240" w:lineRule="auto"/>
        <w:rPr>
          <w:sz w:val="12"/>
        </w:rPr>
      </w:pPr>
    </w:p>
    <w:p w:rsidR="00391B0E" w:rsidRDefault="00391B0E">
      <w:pPr>
        <w:pStyle w:val="H23"/>
      </w:pPr>
      <w:r>
        <w:t>Acta resumida de la 494ª sesión</w:t>
      </w:r>
    </w:p>
    <w:p w:rsidR="00391B0E" w:rsidRDefault="00391B0E">
      <w:r>
        <w:t>Celebrada en la Sede, Nueva York, el lunes 22 de enero de 2001, a las 10.30 horas</w:t>
      </w:r>
    </w:p>
    <w:p w:rsidR="00391B0E" w:rsidRDefault="00391B0E">
      <w:pPr>
        <w:spacing w:line="120" w:lineRule="exact"/>
        <w:rPr>
          <w:sz w:val="10"/>
        </w:rPr>
      </w:pPr>
    </w:p>
    <w:p w:rsidR="00391B0E" w:rsidRDefault="00391B0E">
      <w:pPr>
        <w:tabs>
          <w:tab w:val="right" w:pos="950"/>
          <w:tab w:val="left" w:pos="1267"/>
          <w:tab w:val="right" w:leader="dot" w:pos="8568"/>
        </w:tabs>
        <w:ind w:right="1267"/>
      </w:pPr>
      <w:r>
        <w:rPr>
          <w:i/>
        </w:rPr>
        <w:t>Presidenta:</w:t>
      </w:r>
      <w:r>
        <w:tab/>
        <w:t>Sra. Abaka</w:t>
      </w:r>
    </w:p>
    <w:p w:rsidR="00391B0E" w:rsidRDefault="00391B0E">
      <w:pPr>
        <w:tabs>
          <w:tab w:val="right" w:pos="950"/>
          <w:tab w:val="left" w:pos="1267"/>
          <w:tab w:val="right" w:leader="dot" w:pos="8568"/>
        </w:tabs>
        <w:spacing w:line="120" w:lineRule="exact"/>
        <w:ind w:right="1267"/>
        <w:rPr>
          <w:sz w:val="10"/>
        </w:rPr>
      </w:pPr>
    </w:p>
    <w:p w:rsidR="00391B0E" w:rsidRDefault="00391B0E">
      <w:pPr>
        <w:tabs>
          <w:tab w:val="right" w:pos="950"/>
          <w:tab w:val="left" w:pos="1267"/>
          <w:tab w:val="right" w:leader="dot" w:pos="8568"/>
        </w:tabs>
        <w:spacing w:line="120" w:lineRule="exact"/>
        <w:ind w:right="1267"/>
        <w:rPr>
          <w:sz w:val="10"/>
        </w:rPr>
      </w:pPr>
    </w:p>
    <w:p w:rsidR="00391B0E" w:rsidRDefault="00391B0E">
      <w:pPr>
        <w:tabs>
          <w:tab w:val="right" w:pos="950"/>
          <w:tab w:val="left" w:pos="1267"/>
          <w:tab w:val="right" w:leader="dot" w:pos="8568"/>
        </w:tabs>
        <w:spacing w:line="120" w:lineRule="exact"/>
        <w:ind w:right="1267"/>
        <w:rPr>
          <w:sz w:val="10"/>
        </w:rPr>
      </w:pPr>
    </w:p>
    <w:p w:rsidR="00391B0E" w:rsidRDefault="00391B0E">
      <w:pPr>
        <w:pStyle w:val="HCh"/>
        <w:rPr>
          <w:b w:val="0"/>
        </w:rPr>
      </w:pPr>
      <w:r>
        <w:rPr>
          <w:b w:val="0"/>
        </w:rPr>
        <w:t>Sumario</w:t>
      </w:r>
    </w:p>
    <w:p w:rsidR="00391B0E" w:rsidRDefault="00391B0E">
      <w:pPr>
        <w:pStyle w:val="HCh"/>
        <w:spacing w:line="240" w:lineRule="auto"/>
        <w:rPr>
          <w:b w:val="0"/>
          <w:sz w:val="12"/>
        </w:rPr>
      </w:pPr>
    </w:p>
    <w:p w:rsidR="00391B0E" w:rsidRDefault="00391B0E">
      <w:pPr>
        <w:pStyle w:val="SingleTxt"/>
        <w:jc w:val="left"/>
      </w:pPr>
      <w:r>
        <w:t>Examen de los informes presentados por los Estados Partes de conformidad con</w:t>
      </w:r>
      <w:r>
        <w:br/>
        <w:t>el artículo 18 de la Convención (</w:t>
      </w:r>
      <w:r>
        <w:rPr>
          <w:i/>
          <w:iCs/>
        </w:rPr>
        <w:t>continuación</w:t>
      </w:r>
      <w:r>
        <w:t>)</w:t>
      </w:r>
    </w:p>
    <w:p w:rsidR="00391B0E" w:rsidRDefault="00391B0E">
      <w:pPr>
        <w:pStyle w:val="SingleTxt"/>
        <w:jc w:val="left"/>
        <w:sectPr w:rsidR="00391B0E">
          <w:type w:val="continuous"/>
          <w:pgSz w:w="12240" w:h="15840" w:code="1"/>
          <w:pgMar w:top="1742" w:right="1195" w:bottom="1898" w:left="1195" w:header="576" w:footer="1030" w:gutter="0"/>
          <w:pgNumType w:start="1"/>
          <w:cols w:space="720"/>
          <w:noEndnote/>
          <w:docGrid w:linePitch="209"/>
        </w:sectPr>
      </w:pPr>
      <w:r>
        <w:tab/>
      </w:r>
      <w:r>
        <w:rPr>
          <w:i/>
          <w:iCs/>
        </w:rPr>
        <w:t>Informes periódicos tercero y cuarto de Finlandia</w:t>
      </w:r>
    </w:p>
    <w:p w:rsidR="00391B0E" w:rsidRDefault="00391B0E">
      <w:pPr>
        <w:pStyle w:val="SingleTxt"/>
        <w:spacing w:after="0" w:line="240" w:lineRule="auto"/>
        <w:rPr>
          <w:i/>
          <w:iCs/>
          <w:sz w:val="2"/>
        </w:rPr>
        <w:sectPr w:rsidR="00391B0E">
          <w:pgSz w:w="12240" w:h="15840" w:code="1"/>
          <w:pgMar w:top="1742" w:right="1195" w:bottom="1898" w:left="1195" w:header="576" w:footer="1030" w:gutter="0"/>
          <w:cols w:space="720"/>
          <w:noEndnote/>
          <w:docGrid w:linePitch="209"/>
        </w:sectPr>
      </w:pPr>
    </w:p>
    <w:p w:rsidR="00391B0E" w:rsidRDefault="00391B0E">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10.50 horas.</w:t>
      </w:r>
    </w:p>
    <w:p w:rsidR="00391B0E" w:rsidRDefault="00391B0E">
      <w:pPr>
        <w:pStyle w:val="DualTxt"/>
        <w:spacing w:after="0" w:line="120" w:lineRule="exact"/>
        <w:rPr>
          <w:sz w:val="10"/>
        </w:rPr>
      </w:pPr>
    </w:p>
    <w:p w:rsidR="00391B0E" w:rsidRDefault="00391B0E">
      <w:pPr>
        <w:pStyle w:val="DualTxt"/>
        <w:spacing w:after="0" w:line="120" w:lineRule="exact"/>
        <w:rPr>
          <w:sz w:val="10"/>
        </w:rPr>
      </w:pPr>
    </w:p>
    <w:p w:rsidR="00391B0E" w:rsidRDefault="00391B0E">
      <w:pPr>
        <w:pStyle w:val="H23"/>
        <w:tabs>
          <w:tab w:val="right" w:pos="360"/>
          <w:tab w:val="left" w:pos="475"/>
          <w:tab w:val="left" w:pos="965"/>
          <w:tab w:val="left" w:pos="1440"/>
          <w:tab w:val="left" w:pos="1915"/>
          <w:tab w:val="left" w:pos="2405"/>
          <w:tab w:val="left" w:pos="2880"/>
          <w:tab w:val="left" w:pos="3355"/>
        </w:tabs>
        <w:rPr>
          <w:i/>
          <w:iCs/>
        </w:rPr>
      </w:pPr>
      <w:r>
        <w:t xml:space="preserve">Examen de los informes presentados por los </w:t>
      </w:r>
      <w:r>
        <w:br/>
        <w:t xml:space="preserve">Estados Partes de conformidad con el artículo 18 </w:t>
      </w:r>
      <w:r>
        <w:br/>
        <w:t>de la Convención (</w:t>
      </w:r>
      <w:r>
        <w:rPr>
          <w:b w:val="0"/>
          <w:bCs/>
          <w:i/>
          <w:iCs/>
        </w:rPr>
        <w:t>continuación</w:t>
      </w:r>
      <w:r>
        <w:t>)</w:t>
      </w:r>
    </w:p>
    <w:p w:rsidR="00391B0E" w:rsidRDefault="00391B0E">
      <w:pPr>
        <w:pStyle w:val="DualTxt"/>
        <w:spacing w:after="0" w:line="120" w:lineRule="exact"/>
        <w:rPr>
          <w:sz w:val="10"/>
        </w:rPr>
      </w:pPr>
    </w:p>
    <w:p w:rsidR="00391B0E" w:rsidRDefault="00391B0E">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tercero y cuarto de Finlandia</w:t>
      </w:r>
      <w:r>
        <w:rPr>
          <w:i w:val="0"/>
          <w:iCs/>
        </w:rPr>
        <w:t xml:space="preserve"> (CEDAW/C/FIN/3 y CEDAW/C/FIN/4)</w:t>
      </w:r>
      <w:r>
        <w:t xml:space="preserve"> </w:t>
      </w:r>
    </w:p>
    <w:p w:rsidR="00391B0E" w:rsidRDefault="00391B0E">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391B0E" w:rsidRDefault="00391B0E">
      <w:pPr>
        <w:pStyle w:val="DualTxt"/>
        <w:numPr>
          <w:ilvl w:val="0"/>
          <w:numId w:val="5"/>
        </w:numPr>
        <w:tabs>
          <w:tab w:val="clear" w:pos="960"/>
          <w:tab w:val="left" w:pos="475"/>
          <w:tab w:val="left" w:pos="965"/>
        </w:tabs>
      </w:pPr>
      <w:r>
        <w:rPr>
          <w:i/>
          <w:iCs/>
        </w:rPr>
        <w:t>Por invitación de la Presidenta, la Sra. Rasi, la Sra. Mäkinen, la Sra. Romanov, el Sr. Ellisaari, la Sra. Aalto, la Sra. Suikkari y la Sra. Rotola-Pukkila (Fi</w:t>
      </w:r>
      <w:r>
        <w:rPr>
          <w:i/>
          <w:iCs/>
        </w:rPr>
        <w:t>n</w:t>
      </w:r>
      <w:r>
        <w:rPr>
          <w:i/>
          <w:iCs/>
        </w:rPr>
        <w:t>landia), ocupan sus lugares en la mesa del Comité.</w:t>
      </w:r>
      <w:r>
        <w:t xml:space="preserve"> </w:t>
      </w:r>
    </w:p>
    <w:p w:rsidR="00391B0E" w:rsidRDefault="00391B0E">
      <w:pPr>
        <w:pStyle w:val="DualTxt"/>
        <w:numPr>
          <w:ilvl w:val="0"/>
          <w:numId w:val="5"/>
        </w:numPr>
        <w:tabs>
          <w:tab w:val="clear" w:pos="960"/>
          <w:tab w:val="left" w:pos="475"/>
          <w:tab w:val="left" w:pos="965"/>
        </w:tabs>
      </w:pPr>
      <w:r>
        <w:rPr>
          <w:b/>
          <w:bCs/>
        </w:rPr>
        <w:t xml:space="preserve">La Sra. Rasi </w:t>
      </w:r>
      <w:r>
        <w:t>(Finlandia), al presentar los info</w:t>
      </w:r>
      <w:r>
        <w:t>r</w:t>
      </w:r>
      <w:r>
        <w:t>mes periódicos tercero y cuarto de Finlandia, expresa el reconocimiento del Gobierno</w:t>
      </w:r>
      <w:r>
        <w:rPr>
          <w:i/>
          <w:iCs/>
        </w:rPr>
        <w:t xml:space="preserve"> </w:t>
      </w:r>
      <w:r>
        <w:t>de ese país por la v</w:t>
      </w:r>
      <w:r>
        <w:t>a</w:t>
      </w:r>
      <w:r>
        <w:t>liosa contribución de las organizaciones no gubern</w:t>
      </w:r>
      <w:r>
        <w:t>a</w:t>
      </w:r>
      <w:r>
        <w:t>mentales fi</w:t>
      </w:r>
      <w:r>
        <w:t>n</w:t>
      </w:r>
      <w:r>
        <w:t>landesas.. La Convención ha tenido un efecto cons</w:t>
      </w:r>
      <w:r>
        <w:t>i</w:t>
      </w:r>
      <w:r>
        <w:t>derable en la formulación de la legislación y las med</w:t>
      </w:r>
      <w:r>
        <w:t>i</w:t>
      </w:r>
      <w:r>
        <w:t>das nacionales destinadas a promover la igualdad de género en Finlandia, por ejemplo la Ley de Igualdad entre las Mujeres y los Hombres (la Ley de Igualdad), que se aplica a todos los sectores de la s</w:t>
      </w:r>
      <w:r>
        <w:t>o</w:t>
      </w:r>
      <w:r>
        <w:t>ciedad. Hab</w:t>
      </w:r>
      <w:r>
        <w:t>i</w:t>
      </w:r>
      <w:r>
        <w:t>da cuenta de que el Gobierno de Finlandia estima que es importante fortalecer la Convención, acogió con agrado la entrada en vigor de su Protocolo Facultativo. Firmó el Protocolo Facultativo en dicie</w:t>
      </w:r>
      <w:r>
        <w:t>m</w:t>
      </w:r>
      <w:r>
        <w:t xml:space="preserve">bre de 1999 y lo ratificó en diciembre de 2000. </w:t>
      </w:r>
    </w:p>
    <w:p w:rsidR="00391B0E" w:rsidRDefault="00391B0E">
      <w:pPr>
        <w:pStyle w:val="DualTxt"/>
        <w:numPr>
          <w:ilvl w:val="0"/>
          <w:numId w:val="5"/>
        </w:numPr>
        <w:tabs>
          <w:tab w:val="clear" w:pos="960"/>
          <w:tab w:val="left" w:pos="475"/>
          <w:tab w:val="left" w:pos="965"/>
        </w:tabs>
      </w:pPr>
      <w:r>
        <w:t>Como lo demuestran los informes presentados por el Ministerio de Relaciones Exteriores al Parlamento en noviembre de 1999 y en noviembre de 2000 sobre derechos humanos y la política exterior de Finlandia, respectivamente, los derechos de la mujer, el niño y las minorías son una de las prioridades de la política n</w:t>
      </w:r>
      <w:r>
        <w:t>a</w:t>
      </w:r>
      <w:r>
        <w:t>cional en materia de derechos humanos. Las mujeres y los hombres disfrutan ambos de independencia econ</w:t>
      </w:r>
      <w:r>
        <w:t>ó</w:t>
      </w:r>
      <w:r>
        <w:t>mica y el Gobierno atribuye considerable importancia a combatir la violencia contra la mujer. Más aún, las m</w:t>
      </w:r>
      <w:r>
        <w:t>u</w:t>
      </w:r>
      <w:r>
        <w:t>jeres gozan de plena participación en la esfera política y están representadas en la actualidad en todos los n</w:t>
      </w:r>
      <w:r>
        <w:t>i</w:t>
      </w:r>
      <w:r>
        <w:t>veles de la vida política. Ciertamente, por primera vez en la historia de Finlandia, el país tiene una Presidenta. Treinta y siete por ciento de los miembros del Parl</w:t>
      </w:r>
      <w:r>
        <w:t>a</w:t>
      </w:r>
      <w:r>
        <w:t>mento son mujeres como lo son dos de los tres Pres</w:t>
      </w:r>
      <w:r>
        <w:t>i</w:t>
      </w:r>
      <w:r>
        <w:t>dentes de la Cámara. En las elecciones municipales r</w:t>
      </w:r>
      <w:r>
        <w:t>e</w:t>
      </w:r>
      <w:r>
        <w:t>cientes, el número de escaños en los concejos munic</w:t>
      </w:r>
      <w:r>
        <w:t>i</w:t>
      </w:r>
      <w:r>
        <w:t>pales ocupados por mujeres subió del 31% al 34%. Como consecuencia de la disposición sobre cupos en el sentido de que en los órganos gubernamentales y m</w:t>
      </w:r>
      <w:r>
        <w:t>u</w:t>
      </w:r>
      <w:r>
        <w:t>nicipales debería haber un mínimo del 40% tanto de hombres como de mujeres, a partir de 1995 práctic</w:t>
      </w:r>
      <w:r>
        <w:t>a</w:t>
      </w:r>
      <w:r>
        <w:t>mente se ha duplicado el número de mujeres design</w:t>
      </w:r>
      <w:r>
        <w:t>a</w:t>
      </w:r>
      <w:r>
        <w:t>das a órganos representativos, especialmente en el pl</w:t>
      </w:r>
      <w:r>
        <w:t>a</w:t>
      </w:r>
      <w:r>
        <w:t xml:space="preserve">no local. </w:t>
      </w:r>
    </w:p>
    <w:p w:rsidR="00391B0E" w:rsidRDefault="00391B0E">
      <w:pPr>
        <w:pStyle w:val="DualTxt"/>
        <w:numPr>
          <w:ilvl w:val="0"/>
          <w:numId w:val="5"/>
        </w:numPr>
        <w:tabs>
          <w:tab w:val="clear" w:pos="960"/>
          <w:tab w:val="left" w:pos="475"/>
          <w:tab w:val="left" w:pos="965"/>
        </w:tabs>
      </w:pPr>
      <w:r>
        <w:t>La participación de las mujeres en el mercado l</w:t>
      </w:r>
      <w:r>
        <w:t>a</w:t>
      </w:r>
      <w:r>
        <w:t>boral es casi tan alta como la de los varones. Lament</w:t>
      </w:r>
      <w:r>
        <w:t>a</w:t>
      </w:r>
      <w:r>
        <w:t>blemente, en términos generales persiste la segregación por género en el mercado laboral y también sigue l</w:t>
      </w:r>
      <w:r>
        <w:t>í</w:t>
      </w:r>
      <w:r>
        <w:t>neas verticales: hay pocas mujeres en los puestos más altos del sector público. Habida cuenta de que el G</w:t>
      </w:r>
      <w:r>
        <w:t>o</w:t>
      </w:r>
      <w:r>
        <w:t>bierno considera la segregación ocupacional como un problema de igualdad, en su política de empleo ha i</w:t>
      </w:r>
      <w:r>
        <w:t>n</w:t>
      </w:r>
      <w:r>
        <w:t>cluido un proyecto estratégico en gran escala destinado a crear un mercado laboral equitativo para el período 2000 a 2003. Como parte de ese proyecto cuatrienal, se lanzará un programa de cooperación con escuelas y empresas en busca de nuevas formas de elegir la oc</w:t>
      </w:r>
      <w:r>
        <w:t>u</w:t>
      </w:r>
      <w:r>
        <w:t xml:space="preserve">pación que rompan con las normas estereotípicas. </w:t>
      </w:r>
    </w:p>
    <w:p w:rsidR="00391B0E" w:rsidRDefault="00391B0E">
      <w:pPr>
        <w:pStyle w:val="DualTxt"/>
        <w:numPr>
          <w:ilvl w:val="0"/>
          <w:numId w:val="5"/>
        </w:numPr>
        <w:tabs>
          <w:tab w:val="clear" w:pos="960"/>
          <w:tab w:val="left" w:pos="475"/>
          <w:tab w:val="left" w:pos="965"/>
          <w:tab w:val="left" w:pos="1440"/>
          <w:tab w:val="left" w:pos="1915"/>
          <w:tab w:val="left" w:pos="2405"/>
          <w:tab w:val="left" w:pos="2880"/>
          <w:tab w:val="left" w:pos="3355"/>
        </w:tabs>
      </w:pPr>
      <w:r>
        <w:t>Otro reto que enfrenta el Gobierno es eliminar la desigualdad con respecto a la remuneración de los tr</w:t>
      </w:r>
      <w:r>
        <w:t>a</w:t>
      </w:r>
      <w:r>
        <w:t>bajadores. Entre los principales motivos de la despr</w:t>
      </w:r>
      <w:r>
        <w:t>o</w:t>
      </w:r>
      <w:r>
        <w:t>porción de los salarios está la segregación del empleo en base al género y el hecho de que los hombres cu</w:t>
      </w:r>
      <w:r>
        <w:t>m</w:t>
      </w:r>
      <w:r>
        <w:t>plen más horas extraordinarias de trabajo remunerado. Las estadísticas indican una leve reducción de las dif</w:t>
      </w:r>
      <w:r>
        <w:t>e</w:t>
      </w:r>
      <w:r>
        <w:t>renciales de salarios en función de género en el decenio de 1990, como consecuencia en parte de una profunda recesión económica ocurrida a comienzos del decenio. Los suplementos de igualdad y salarios bajos conven</w:t>
      </w:r>
      <w:r>
        <w:t>i</w:t>
      </w:r>
      <w:r>
        <w:t xml:space="preserve">dos mediante la negociación colectiva también han contribuido a reducir la desproporción de los salarios. </w:t>
      </w:r>
    </w:p>
    <w:p w:rsidR="00391B0E" w:rsidRDefault="00391B0E">
      <w:pPr>
        <w:pStyle w:val="DualTxt"/>
        <w:numPr>
          <w:ilvl w:val="0"/>
          <w:numId w:val="5"/>
        </w:numPr>
        <w:tabs>
          <w:tab w:val="clear" w:pos="960"/>
          <w:tab w:val="left" w:pos="475"/>
          <w:tab w:val="left" w:pos="965"/>
        </w:tabs>
      </w:pPr>
      <w:r>
        <w:t>Para promover el principio de la igualdad de p</w:t>
      </w:r>
      <w:r>
        <w:t>a</w:t>
      </w:r>
      <w:r>
        <w:t>go, el Defensor del Pueblo en materia de Igualdad, en cooperación con investigadores representantes de org</w:t>
      </w:r>
      <w:r>
        <w:t>a</w:t>
      </w:r>
      <w:r>
        <w:t>nizaciones del mercado laboral y de compiladores de estadísticas, lanzó un proyecto de investigación con objeto de examinar los cambios de la desproporción y los motivos de ella. Los resultados de ese estudio se incluirán en el siguiente informe de Finlandia al Com</w:t>
      </w:r>
      <w:r>
        <w:t>i</w:t>
      </w:r>
      <w:r>
        <w:t>té. La recesión económica ha demostrado la importa</w:t>
      </w:r>
      <w:r>
        <w:t>n</w:t>
      </w:r>
      <w:r>
        <w:t>cia fundamental del sistema nórdico de bienestar que proporcionó una red de seguridad a los ciudadanos y mantuvo a la vez la cohesión interna de la sociedad d</w:t>
      </w:r>
      <w:r>
        <w:t>u</w:t>
      </w:r>
      <w:r>
        <w:t xml:space="preserve">rante la difícil situación del empleo. </w:t>
      </w:r>
    </w:p>
    <w:p w:rsidR="00391B0E" w:rsidRDefault="00391B0E">
      <w:pPr>
        <w:pStyle w:val="DualTxt"/>
        <w:numPr>
          <w:ilvl w:val="0"/>
          <w:numId w:val="5"/>
        </w:numPr>
        <w:tabs>
          <w:tab w:val="clear" w:pos="960"/>
          <w:tab w:val="left" w:pos="475"/>
          <w:tab w:val="left" w:pos="965"/>
        </w:tabs>
      </w:pPr>
      <w:r>
        <w:t>La amplia atención internacional otorgada a la violencia contra la mujer, especialmente en la Conf</w:t>
      </w:r>
      <w:r>
        <w:t>e</w:t>
      </w:r>
      <w:r>
        <w:t>rencia de Beijing y sus actividades complementarias, contribuyó a despertar la conciencia pública respecto del problema en Finlandia. El Gobierno viene tomando varias medidas a ese respecto, inclusive un Proyecto para la Pr</w:t>
      </w:r>
      <w:r>
        <w:t>e</w:t>
      </w:r>
      <w:r>
        <w:t>vención de la Violencia contra la Mujer. En una amplia encuesta realizada en el marco de ese pr</w:t>
      </w:r>
      <w:r>
        <w:t>o</w:t>
      </w:r>
      <w:r>
        <w:t>yecto se descubrió que 22% de las mujeres que viven en relaciones permanentes experimenta violencia o la amenaza de violencia por parte de sus compañeros, y que en la población en general, el 40% de las mujeres experimentó violencia física o sexual o la amenaza de violencia por parte de hombres. Los resultados de una segunda encuesta revelaron que los costos directos de la violencia contra la mujer para la sociedad, en fu</w:t>
      </w:r>
      <w:r>
        <w:t>n</w:t>
      </w:r>
      <w:r>
        <w:t>ción de la atención de la salud, servicios sociales y ga</w:t>
      </w:r>
      <w:r>
        <w:t>s</w:t>
      </w:r>
      <w:r>
        <w:t>tos por concepto de abogados, ascendieron a 296 m</w:t>
      </w:r>
      <w:r>
        <w:t>i</w:t>
      </w:r>
      <w:r>
        <w:t>llones de marcos finlandeses en 1998, y que los costos indirectos de ese tipo de violencia, calculados en hasta 660 millones de marcos finlandeses, incluyen las d</w:t>
      </w:r>
      <w:r>
        <w:t>e</w:t>
      </w:r>
      <w:r>
        <w:t>funciones y la pé</w:t>
      </w:r>
      <w:r>
        <w:t>r</w:t>
      </w:r>
      <w:r>
        <w:t>dida de producción. Forma parte del proyecto además un sondeo de la violencia experime</w:t>
      </w:r>
      <w:r>
        <w:t>n</w:t>
      </w:r>
      <w:r>
        <w:t>tada por las mujeres inmigrantes. La Academia de Fi</w:t>
      </w:r>
      <w:r>
        <w:t>n</w:t>
      </w:r>
      <w:r>
        <w:t>landia emprendió asimismo 10 proyectos a un costo e</w:t>
      </w:r>
      <w:r>
        <w:t>s</w:t>
      </w:r>
      <w:r>
        <w:t>timado de 10 m</w:t>
      </w:r>
      <w:r>
        <w:t>i</w:t>
      </w:r>
      <w:r>
        <w:t xml:space="preserve">llones de marcos finlandeses titulados “El Poder, la Violencia y el Género” que abarca los años 2000 a 2003. </w:t>
      </w:r>
    </w:p>
    <w:p w:rsidR="00391B0E" w:rsidRDefault="00391B0E">
      <w:pPr>
        <w:pStyle w:val="DualTxt"/>
        <w:numPr>
          <w:ilvl w:val="0"/>
          <w:numId w:val="5"/>
        </w:numPr>
        <w:tabs>
          <w:tab w:val="clear" w:pos="960"/>
          <w:tab w:val="left" w:pos="475"/>
          <w:tab w:val="left" w:pos="965"/>
        </w:tabs>
      </w:pPr>
      <w:r>
        <w:t>La Ley sobre una orden de restricción es uno de los nuevos instrumentos para combatir la violencia i</w:t>
      </w:r>
      <w:r>
        <w:t>n</w:t>
      </w:r>
      <w:r>
        <w:t>trafamiliar y la violencia contra las mujeres. En 1999 y 2000 se libraron unas 1.000 y 1.200 órdenes de restri</w:t>
      </w:r>
      <w:r>
        <w:t>c</w:t>
      </w:r>
      <w:r>
        <w:t>ción, respectivamente, lo que es una demostración p</w:t>
      </w:r>
      <w:r>
        <w:t>a</w:t>
      </w:r>
      <w:r>
        <w:t>tente de la necesidad de órdenes de ese tipo y de la v</w:t>
      </w:r>
      <w:r>
        <w:t>o</w:t>
      </w:r>
      <w:r>
        <w:t>luntad de la policía y los tribunales de tomar las med</w:t>
      </w:r>
      <w:r>
        <w:t>i</w:t>
      </w:r>
      <w:r>
        <w:t>das necesarias para utilizarlas. Por otra parte, de co</w:t>
      </w:r>
      <w:r>
        <w:t>n</w:t>
      </w:r>
      <w:r>
        <w:t>formidad con la Ley de Procedimientos Penales de 1997 las víctimas de delitos sexuales y de violencia i</w:t>
      </w:r>
      <w:r>
        <w:t>n</w:t>
      </w:r>
      <w:r>
        <w:t xml:space="preserve">trafamiliar tienen derecho a recibir asistencia letrada gratuita. </w:t>
      </w:r>
    </w:p>
    <w:p w:rsidR="00391B0E" w:rsidRDefault="00391B0E">
      <w:pPr>
        <w:pStyle w:val="DualTxt"/>
        <w:numPr>
          <w:ilvl w:val="0"/>
          <w:numId w:val="5"/>
        </w:numPr>
        <w:tabs>
          <w:tab w:val="clear" w:pos="960"/>
          <w:tab w:val="left" w:pos="475"/>
          <w:tab w:val="left" w:pos="965"/>
        </w:tabs>
      </w:pPr>
      <w:r>
        <w:t>El Gobierno ha tomado medidas especiales para abordar el problema del tráfico de mujeres y la prost</w:t>
      </w:r>
      <w:r>
        <w:t>i</w:t>
      </w:r>
      <w:r>
        <w:t>tución, inclusive un Proyecto para la Prevención de la Prostitución y la criminalización del acto de adquirir servicios sexuales de personas menores de 18 años. Además, mediante una nueva disposición del Código Penal, los delitos sexuales relacionados con el abuso de menores son ahora pasibles de procesamiento en Fi</w:t>
      </w:r>
      <w:r>
        <w:t>n</w:t>
      </w:r>
      <w:r>
        <w:t>landia, aún cuando los delitos fueran cometidos por ciudad</w:t>
      </w:r>
      <w:r>
        <w:t>a</w:t>
      </w:r>
      <w:r>
        <w:t xml:space="preserve">nos finlandeses en el extranjero. </w:t>
      </w:r>
    </w:p>
    <w:p w:rsidR="00391B0E" w:rsidRDefault="00391B0E">
      <w:pPr>
        <w:pStyle w:val="DualTxt"/>
        <w:numPr>
          <w:ilvl w:val="0"/>
          <w:numId w:val="5"/>
        </w:numPr>
        <w:tabs>
          <w:tab w:val="clear" w:pos="960"/>
          <w:tab w:val="left" w:pos="475"/>
          <w:tab w:val="left" w:pos="965"/>
        </w:tabs>
      </w:pPr>
      <w:r>
        <w:t>Se ha promulgado una Ley sobre la Integración de Inmigrantes y Recepción de Personas en busca de Asilo con el propósito de abordar las necesidades de la creciente población de inmigrantes. En ella se armon</w:t>
      </w:r>
      <w:r>
        <w:t>i</w:t>
      </w:r>
      <w:r>
        <w:t>zan las medidas adoptadas por las autoridades de inm</w:t>
      </w:r>
      <w:r>
        <w:t>i</w:t>
      </w:r>
      <w:r>
        <w:t xml:space="preserve">gración y se fortalece la cooperación recíproca entre ellas en todos los niveles. </w:t>
      </w:r>
    </w:p>
    <w:p w:rsidR="00391B0E" w:rsidRDefault="00391B0E">
      <w:pPr>
        <w:pStyle w:val="DualTxt"/>
        <w:numPr>
          <w:ilvl w:val="0"/>
          <w:numId w:val="5"/>
        </w:numPr>
        <w:tabs>
          <w:tab w:val="clear" w:pos="960"/>
          <w:tab w:val="left" w:pos="475"/>
          <w:tab w:val="left" w:pos="965"/>
        </w:tabs>
      </w:pPr>
      <w:r>
        <w:t>Uno de los principales objetivos del Gobierno, en lo que atañe a la promoción de la igualdad de género, es la creación de condiciones que permitan que los p</w:t>
      </w:r>
      <w:r>
        <w:t>a</w:t>
      </w:r>
      <w:r>
        <w:t>dres compartan licencias de paternidad y maternidad y de atención. El nuevo acuerdo colectivo entre las org</w:t>
      </w:r>
      <w:r>
        <w:t>a</w:t>
      </w:r>
      <w:r>
        <w:t>nizaciones del mercado laboral concertado en dicie</w:t>
      </w:r>
      <w:r>
        <w:t>m</w:t>
      </w:r>
      <w:r>
        <w:t xml:space="preserve">bre de 2000 contiene disposiciones con ese propósito. </w:t>
      </w:r>
    </w:p>
    <w:p w:rsidR="00391B0E" w:rsidRDefault="00391B0E">
      <w:pPr>
        <w:pStyle w:val="DualTxt"/>
        <w:numPr>
          <w:ilvl w:val="0"/>
          <w:numId w:val="5"/>
        </w:numPr>
        <w:tabs>
          <w:tab w:val="clear" w:pos="960"/>
          <w:tab w:val="left" w:pos="475"/>
          <w:tab w:val="left" w:pos="965"/>
        </w:tabs>
      </w:pPr>
      <w:r>
        <w:t>De conformidad con la Plataforma de Acción de Be</w:t>
      </w:r>
      <w:r>
        <w:t>i</w:t>
      </w:r>
      <w:r>
        <w:t>jing, el Gobierno de Finlandia está decidido a llevar a cabo evaluaciones del impacto de género de todas las nuevas iniciativas legislativas, puesto que está conve</w:t>
      </w:r>
      <w:r>
        <w:t>n</w:t>
      </w:r>
      <w:r>
        <w:t>cido de que introducir la perspectiva de género en la corriente principal de todas las políticas es fundame</w:t>
      </w:r>
      <w:r>
        <w:t>n</w:t>
      </w:r>
      <w:r>
        <w:t>tal para el logro de la igualdad de género. Es importa</w:t>
      </w:r>
      <w:r>
        <w:t>n</w:t>
      </w:r>
      <w:r>
        <w:t>te valerse plenamente de los instrumentos existentes para medir la igualdad, incluidas las estadísticas co</w:t>
      </w:r>
      <w:r>
        <w:t>m</w:t>
      </w:r>
      <w:r>
        <w:t>parat</w:t>
      </w:r>
      <w:r>
        <w:t>i</w:t>
      </w:r>
      <w:r>
        <w:t>vas, los indicadores y los puntos de referencia. El Gobierno de Finlandia proyecta renovar la Ley de Igualdad, que tiene 13 años de antigüedad, con el pr</w:t>
      </w:r>
      <w:r>
        <w:t>o</w:t>
      </w:r>
      <w:r>
        <w:t xml:space="preserve">pósito de corregir sus deficiencias y de adaptarla a los retos de la actualidad. </w:t>
      </w:r>
    </w:p>
    <w:p w:rsidR="00391B0E" w:rsidRDefault="00391B0E">
      <w:pPr>
        <w:pStyle w:val="DualTxt"/>
        <w:numPr>
          <w:ilvl w:val="0"/>
          <w:numId w:val="5"/>
        </w:numPr>
        <w:tabs>
          <w:tab w:val="clear" w:pos="960"/>
          <w:tab w:val="left" w:pos="475"/>
          <w:tab w:val="left" w:pos="965"/>
        </w:tabs>
      </w:pPr>
      <w:r>
        <w:t>Si bien en Finlandia se han logrado considerables adelantos desde que el país ratificó la Convención e i</w:t>
      </w:r>
      <w:r>
        <w:t>n</w:t>
      </w:r>
      <w:r>
        <w:t>trodujo legislación destinada a alcanzar la igualdad de la mujer en todas las esferas de actividad, aún se r</w:t>
      </w:r>
      <w:r>
        <w:t>e</w:t>
      </w:r>
      <w:r>
        <w:t>quieren esfuerzos considerables antes de poder alca</w:t>
      </w:r>
      <w:r>
        <w:t>n</w:t>
      </w:r>
      <w:r>
        <w:t>zar la plena igualdad de género. A ese respecto, las r</w:t>
      </w:r>
      <w:r>
        <w:t>e</w:t>
      </w:r>
      <w:r>
        <w:t>comendaciones del Comité ayudarán al Gobierno en sus e</w:t>
      </w:r>
      <w:r>
        <w:t>s</w:t>
      </w:r>
      <w:r>
        <w:t xml:space="preserve">fuerzos por promover los derechos de la mujer. </w:t>
      </w:r>
    </w:p>
    <w:p w:rsidR="00391B0E" w:rsidRDefault="00391B0E">
      <w:pPr>
        <w:pStyle w:val="DualTxt"/>
        <w:numPr>
          <w:ilvl w:val="0"/>
          <w:numId w:val="5"/>
        </w:numPr>
        <w:tabs>
          <w:tab w:val="clear" w:pos="960"/>
          <w:tab w:val="left" w:pos="475"/>
          <w:tab w:val="left" w:pos="965"/>
        </w:tabs>
      </w:pPr>
      <w:r>
        <w:rPr>
          <w:b/>
          <w:bCs/>
        </w:rPr>
        <w:t>La Presidenta</w:t>
      </w:r>
      <w:r>
        <w:t xml:space="preserve"> señala que habida cuenta de que los países en desarrollo se inclinan a considerar que los países nórdicos son modelos para sus propios esfuerzos destinados a poner fin a la discriminación contra la m</w:t>
      </w:r>
      <w:r>
        <w:t>u</w:t>
      </w:r>
      <w:r>
        <w:t>jer, los sucesos que allí ocurren son de gran importa</w:t>
      </w:r>
      <w:r>
        <w:t>n</w:t>
      </w:r>
      <w:r>
        <w:t>cia para las mujeres de todo el mundo. Elogia a Finla</w:t>
      </w:r>
      <w:r>
        <w:t>n</w:t>
      </w:r>
      <w:r>
        <w:t>dia por haber estado entre los primeros Estados en fi</w:t>
      </w:r>
      <w:r>
        <w:t>r</w:t>
      </w:r>
      <w:r>
        <w:t>mar el Protocolo Facultativo, y por haberlo ratificado. Expresa la esperanza de que Finlandia tome medidas para dar a publicidad ese hecho a fin de promover la aplicación de la Convención. Al tomar nota con rec</w:t>
      </w:r>
      <w:r>
        <w:t>o</w:t>
      </w:r>
      <w:r>
        <w:t>nocimiento de la participación de las organizaciones no gubernamentales en la elaboración de los informes, la Presidenta expresa la esperanza de que Finlandia co</w:t>
      </w:r>
      <w:r>
        <w:t>n</w:t>
      </w:r>
      <w:r>
        <w:t>tinúe su diálogo franco con dichas organizaciones, que son importantes partes interesadas en la aplicación de la Convención. Por último, elogia al Gobierno por su intención de celebrar una conferencia de prensa s</w:t>
      </w:r>
      <w:r>
        <w:t>o</w:t>
      </w:r>
      <w:r>
        <w:t>bre las sugerencias y recomendaciones generales del Com</w:t>
      </w:r>
      <w:r>
        <w:t>i</w:t>
      </w:r>
      <w:r>
        <w:t xml:space="preserve">té. </w:t>
      </w:r>
    </w:p>
    <w:p w:rsidR="00391B0E" w:rsidRDefault="00391B0E">
      <w:pPr>
        <w:pStyle w:val="DualTxt"/>
        <w:numPr>
          <w:ilvl w:val="0"/>
          <w:numId w:val="5"/>
        </w:numPr>
        <w:tabs>
          <w:tab w:val="clear" w:pos="960"/>
          <w:tab w:val="left" w:pos="475"/>
          <w:tab w:val="left" w:pos="965"/>
        </w:tabs>
      </w:pPr>
      <w:r>
        <w:rPr>
          <w:b/>
          <w:bCs/>
        </w:rPr>
        <w:t>La Sra. Schöpp-Schilling</w:t>
      </w:r>
      <w:r>
        <w:t xml:space="preserve"> agradece a la deleg</w:t>
      </w:r>
      <w:r>
        <w:t>a</w:t>
      </w:r>
      <w:r>
        <w:t>ción de Finlandia las respuestas que ha dado a la lista de preguntas y aplaude a ese país por su constante pr</w:t>
      </w:r>
      <w:r>
        <w:t>o</w:t>
      </w:r>
      <w:r>
        <w:t>greso en el logro de los derechos de la mujer. Acoge con agrado las enmiendas introducidas en la Constit</w:t>
      </w:r>
      <w:r>
        <w:t>u</w:t>
      </w:r>
      <w:r>
        <w:t>ción que incorporan en ese instrumento los derechos económicos, sociales y a la educación y prevén la a</w:t>
      </w:r>
      <w:r>
        <w:t>c</w:t>
      </w:r>
      <w:r>
        <w:t>ción afirmativa de conformidad con el primer párrafo del artículo 4 de la Convención. Se reconoce que la r</w:t>
      </w:r>
      <w:r>
        <w:t>e</w:t>
      </w:r>
      <w:r>
        <w:t>cesión del decenio de 1990 perjudicó los esfuerzos por alcanzar la igualdad. Sin embargo, la oradora exper</w:t>
      </w:r>
      <w:r>
        <w:t>i</w:t>
      </w:r>
      <w:r>
        <w:t>menta inquietud por el plan de igualdad, y le complace que esté en curso una reforma de dicho plan. Sería útil saber, a ese respecto, cuántas instituciones privadas, ciudades y universidades respondieron al cuestionario del Defensor del Pueblo en materia de Igualdad. Tiene la impresión de que Finlandia no ha instituido medidas especiales temporales, y desearía saber si hay algún proyecto para incluir metas y objetivos obligatorios en el plan de igualdad. Se necesita un mecanismo de s</w:t>
      </w:r>
      <w:r>
        <w:t>u</w:t>
      </w:r>
      <w:r>
        <w:t>pervisión más sólido, y se debería considerar la imp</w:t>
      </w:r>
      <w:r>
        <w:t>o</w:t>
      </w:r>
      <w:r>
        <w:t>sición de sanciones. En el informe siguiente conve</w:t>
      </w:r>
      <w:r>
        <w:t>n</w:t>
      </w:r>
      <w:r>
        <w:t>dría incluir un análisis estadístico detallado de la r</w:t>
      </w:r>
      <w:r>
        <w:t>e</w:t>
      </w:r>
      <w:r>
        <w:t>percusión del plan de igualdad en los diversos sectores en los cuales se ha aplicado.</w:t>
      </w:r>
    </w:p>
    <w:p w:rsidR="00391B0E" w:rsidRDefault="00391B0E">
      <w:pPr>
        <w:pStyle w:val="DualTxt"/>
        <w:numPr>
          <w:ilvl w:val="0"/>
          <w:numId w:val="5"/>
        </w:numPr>
        <w:tabs>
          <w:tab w:val="clear" w:pos="960"/>
          <w:tab w:val="left" w:pos="475"/>
          <w:tab w:val="left" w:pos="965"/>
        </w:tabs>
      </w:pPr>
      <w:r>
        <w:t>Se acogería con agrado igualmente mayor info</w:t>
      </w:r>
      <w:r>
        <w:t>r</w:t>
      </w:r>
      <w:r>
        <w:t>mación sobre la asignación de recursos y prestaciones a las trabajadoras, en particular con referencia a la rec</w:t>
      </w:r>
      <w:r>
        <w:t>o</w:t>
      </w:r>
      <w:r>
        <w:t>mendación general No. 24 del Comité y a los derechos económicos, sociales y culturales recientemente inco</w:t>
      </w:r>
      <w:r>
        <w:t>r</w:t>
      </w:r>
      <w:r>
        <w:t>porados en la Constitución de Finlandia. La oradora se siente complacida por los renovados esfuerzos de l</w:t>
      </w:r>
      <w:r>
        <w:t>u</w:t>
      </w:r>
      <w:r>
        <w:t>char con el problema de la discriminación de paga, p</w:t>
      </w:r>
      <w:r>
        <w:t>e</w:t>
      </w:r>
      <w:r>
        <w:t>ro se pregunta si se debe realizar una investigación u</w:t>
      </w:r>
      <w:r>
        <w:t>l</w:t>
      </w:r>
      <w:r>
        <w:t xml:space="preserve">terior: sería preferible, en su opinión, tomar medidas concretas para resolver las diferencias de salario entre hombres y mujeres. </w:t>
      </w:r>
    </w:p>
    <w:p w:rsidR="00391B0E" w:rsidRDefault="00391B0E">
      <w:pPr>
        <w:pStyle w:val="DualTxt"/>
        <w:numPr>
          <w:ilvl w:val="0"/>
          <w:numId w:val="5"/>
        </w:numPr>
        <w:tabs>
          <w:tab w:val="clear" w:pos="960"/>
          <w:tab w:val="left" w:pos="475"/>
          <w:tab w:val="left" w:pos="965"/>
        </w:tabs>
      </w:pPr>
      <w:r>
        <w:t>La oradora desearía saber el estado en que se e</w:t>
      </w:r>
      <w:r>
        <w:t>n</w:t>
      </w:r>
      <w:r>
        <w:t>cuentra un programa que entraña la participación de los empleadores en los gastos en los casos en los cu</w:t>
      </w:r>
      <w:r>
        <w:t>a</w:t>
      </w:r>
      <w:r>
        <w:t>les ambos progenitores toman licencia de maternidad y de paternidad; considera que es una solución brilla</w:t>
      </w:r>
      <w:r>
        <w:t>n</w:t>
      </w:r>
      <w:r>
        <w:t>te del problema de la discriminación contra la muj</w:t>
      </w:r>
      <w:r>
        <w:t>e</w:t>
      </w:r>
      <w:r>
        <w:t>res en edad de procrear. Alienta al Gobierno de Finla</w:t>
      </w:r>
      <w:r>
        <w:t>n</w:t>
      </w:r>
      <w:r>
        <w:t>dia a que incorpore esa idea en las futuras medidas de polít</w:t>
      </w:r>
      <w:r>
        <w:t>i</w:t>
      </w:r>
      <w:r>
        <w:t xml:space="preserve">ca. </w:t>
      </w:r>
    </w:p>
    <w:p w:rsidR="00391B0E" w:rsidRDefault="00391B0E">
      <w:pPr>
        <w:pStyle w:val="DualTxt"/>
        <w:numPr>
          <w:ilvl w:val="0"/>
          <w:numId w:val="5"/>
        </w:numPr>
        <w:tabs>
          <w:tab w:val="clear" w:pos="960"/>
          <w:tab w:val="left" w:pos="475"/>
          <w:tab w:val="left" w:pos="965"/>
        </w:tabs>
      </w:pPr>
      <w:r>
        <w:rPr>
          <w:b/>
          <w:bCs/>
        </w:rPr>
        <w:t xml:space="preserve">El Sr. Melander </w:t>
      </w:r>
      <w:r>
        <w:t>dice que según una gráfica i</w:t>
      </w:r>
      <w:r>
        <w:t>n</w:t>
      </w:r>
      <w:r>
        <w:t xml:space="preserve">cluida en el folleto titulado </w:t>
      </w:r>
      <w:r>
        <w:rPr>
          <w:i/>
          <w:iCs/>
        </w:rPr>
        <w:t>Women and Men in Finland 1999</w:t>
      </w:r>
      <w:r>
        <w:t>, que fue distribuido por la delegación, el número de m</w:t>
      </w:r>
      <w:r>
        <w:t>u</w:t>
      </w:r>
      <w:r>
        <w:t>jeres en puestos educativos disminuye a medida que aumenta el nivel del puesto: tan sólo el 14% de los profesores universitarios de Finlandia son mujeres. S</w:t>
      </w:r>
      <w:r>
        <w:t>e</w:t>
      </w:r>
      <w:r>
        <w:t>ría útil saber en qué forma y sobre qué base se elige a los catedráticos. Al parecer, las mujeres ganan un 80% a 85% de lo que ganan los hombres. Desea saber ad</w:t>
      </w:r>
      <w:r>
        <w:t>e</w:t>
      </w:r>
      <w:r>
        <w:t>más si las catedráticas y las embajadoras ganan iguales sueldos y prestaciones que sus contrapartes varones y si las mujeres miembros del Parlamento, que comp</w:t>
      </w:r>
      <w:r>
        <w:t>o</w:t>
      </w:r>
      <w:r>
        <w:t>nen el 37% de los miembros de dicho órgano, perten</w:t>
      </w:r>
      <w:r>
        <w:t>e</w:t>
      </w:r>
      <w:r>
        <w:t xml:space="preserve">cen a determinado partido, y cuál de los partidos tiene una representación más equilibrada por género. </w:t>
      </w:r>
    </w:p>
    <w:p w:rsidR="00391B0E" w:rsidRDefault="00391B0E">
      <w:pPr>
        <w:pStyle w:val="DualTxt"/>
        <w:numPr>
          <w:ilvl w:val="0"/>
          <w:numId w:val="5"/>
        </w:numPr>
        <w:tabs>
          <w:tab w:val="clear" w:pos="960"/>
          <w:tab w:val="left" w:pos="475"/>
          <w:tab w:val="left" w:pos="965"/>
        </w:tabs>
      </w:pPr>
      <w:r>
        <w:t>El orador pregunta acerca de la situación de las pers</w:t>
      </w:r>
      <w:r>
        <w:t>o</w:t>
      </w:r>
      <w:r>
        <w:t xml:space="preserve">nas que buscan asilo que han sido rechazadas, y si en algunos casos se rechaza a los maridos pero no a sus esposas e hijos, o viceversa. Por último, se pregunta si el Gobierno tiene el propósito de traducir, publicar y distribuir las observaciones de conclusión del Comité. </w:t>
      </w:r>
    </w:p>
    <w:p w:rsidR="00391B0E" w:rsidRDefault="00391B0E">
      <w:pPr>
        <w:pStyle w:val="DualTxt"/>
        <w:numPr>
          <w:ilvl w:val="0"/>
          <w:numId w:val="5"/>
        </w:numPr>
        <w:tabs>
          <w:tab w:val="clear" w:pos="960"/>
          <w:tab w:val="left" w:pos="475"/>
          <w:tab w:val="left" w:pos="965"/>
        </w:tabs>
      </w:pPr>
      <w:r>
        <w:rPr>
          <w:b/>
          <w:bCs/>
        </w:rPr>
        <w:t>La Sra. Açar</w:t>
      </w:r>
      <w:r>
        <w:t>, al tomar nota del número relativ</w:t>
      </w:r>
      <w:r>
        <w:t>a</w:t>
      </w:r>
      <w:r>
        <w:t>mente reducido de mujeres en puestos públicos y en puestos de profesor universitario, insta al Gobierno a que considere medidas especiales temporales para re</w:t>
      </w:r>
      <w:r>
        <w:t>s</w:t>
      </w:r>
      <w:r>
        <w:t>tablecer el equilibrio. Habida cuenta de que las cifras indican una disminución del número de mujeres en puestos de catedrático la oradora se pregunta qué m</w:t>
      </w:r>
      <w:r>
        <w:t>e</w:t>
      </w:r>
      <w:r>
        <w:t>didas ha t</w:t>
      </w:r>
      <w:r>
        <w:t>o</w:t>
      </w:r>
      <w:r>
        <w:t>mado el Gobierno para atacar el problema. Aunque Finlandia, con toda razón, está orgullosa de la excele</w:t>
      </w:r>
      <w:r>
        <w:t>n</w:t>
      </w:r>
      <w:r>
        <w:t>cia de sus programas de estudios feministas, es hora de incorporar temas de interés para la mujer en los planes de estudios corrientes. La oradora desea saber qué adelantos, de haberlos, se han logrado a ese respe</w:t>
      </w:r>
      <w:r>
        <w:t>c</w:t>
      </w:r>
      <w:r>
        <w:t>to. El proceso de nombramiento “por invitación” es i</w:t>
      </w:r>
      <w:r>
        <w:t>n</w:t>
      </w:r>
      <w:r>
        <w:t>quietante, y se deben tomar medidas dinámicas para eliminar la red de compadrazgo tanto del sector públ</w:t>
      </w:r>
      <w:r>
        <w:t>i</w:t>
      </w:r>
      <w:r>
        <w:t>co c</w:t>
      </w:r>
      <w:r>
        <w:t>o</w:t>
      </w:r>
      <w:r>
        <w:t xml:space="preserve">mo en las universidades. </w:t>
      </w:r>
    </w:p>
    <w:p w:rsidR="00391B0E" w:rsidRDefault="00391B0E">
      <w:pPr>
        <w:pStyle w:val="DualTxt"/>
        <w:numPr>
          <w:ilvl w:val="0"/>
          <w:numId w:val="5"/>
        </w:numPr>
        <w:tabs>
          <w:tab w:val="clear" w:pos="960"/>
          <w:tab w:val="left" w:pos="475"/>
          <w:tab w:val="left" w:pos="965"/>
        </w:tabs>
      </w:pPr>
      <w:r>
        <w:t>La oradora no puede encontrar la respuesta al punto planteado en la pregunta 27 de la lista de temas relativos al enjuiciamiento, con arreglo al derecho de Finlandia, de ciudadanos finlandeses que participen en t</w:t>
      </w:r>
      <w:r>
        <w:t>u</w:t>
      </w:r>
      <w:r>
        <w:t xml:space="preserve">rismo con fines sexuales en el extranjero. </w:t>
      </w:r>
    </w:p>
    <w:p w:rsidR="00391B0E" w:rsidRDefault="00391B0E">
      <w:pPr>
        <w:pStyle w:val="DualTxt"/>
        <w:numPr>
          <w:ilvl w:val="0"/>
          <w:numId w:val="5"/>
        </w:numPr>
        <w:tabs>
          <w:tab w:val="clear" w:pos="960"/>
          <w:tab w:val="left" w:pos="475"/>
          <w:tab w:val="left" w:pos="965"/>
        </w:tabs>
      </w:pPr>
      <w:r>
        <w:rPr>
          <w:b/>
          <w:bCs/>
        </w:rPr>
        <w:t>La Sra. Ferrer</w:t>
      </w:r>
      <w:r>
        <w:t xml:space="preserve"> dice que la diferencia de paga e</w:t>
      </w:r>
      <w:r>
        <w:t>n</w:t>
      </w:r>
      <w:r>
        <w:t>tre hombres y mujeres es uno de los grandes problemas en Finlandia. Hay una preponderancia de mujeres en puestos a jornada parcial, puestos de plazo fijo y pr</w:t>
      </w:r>
      <w:r>
        <w:t>o</w:t>
      </w:r>
      <w:r>
        <w:t>gramas de puestos ocupados alternativamente que re</w:t>
      </w:r>
      <w:r>
        <w:t>s</w:t>
      </w:r>
      <w:r>
        <w:t>tringen sus posibilidades de desarrollo y las colocan en escalas de sueldos más bajas. El Gobierno debe prestar mayor atención a la segregación por género en el me</w:t>
      </w:r>
      <w:r>
        <w:t>r</w:t>
      </w:r>
      <w:r>
        <w:t>cado laboral y a sus consecuencias económicas. Al p</w:t>
      </w:r>
      <w:r>
        <w:t>a</w:t>
      </w:r>
      <w:r>
        <w:t>recer la segregación profesional comienza en las escu</w:t>
      </w:r>
      <w:r>
        <w:t>e</w:t>
      </w:r>
      <w:r>
        <w:t>las, donde las niñas y los niños eligen materias y ca</w:t>
      </w:r>
      <w:r>
        <w:t>m</w:t>
      </w:r>
      <w:r>
        <w:t>pos de estudio diferentes. Es interesante que en un e</w:t>
      </w:r>
      <w:r>
        <w:t>s</w:t>
      </w:r>
      <w:r>
        <w:t>tudio se ha demostrado que más del 40% de las muj</w:t>
      </w:r>
      <w:r>
        <w:t>e</w:t>
      </w:r>
      <w:r>
        <w:t>res finlandesas consideran que su género es una de</w:t>
      </w:r>
      <w:r>
        <w:t>s</w:t>
      </w:r>
      <w:r>
        <w:t>ventaja en el lugar de trabajo, y que la mitad de todas las jóv</w:t>
      </w:r>
      <w:r>
        <w:t>e</w:t>
      </w:r>
      <w:r>
        <w:t>nes estima que ha sido víctima de acoso sexual. Un debate público de esos temas en Finlandia adelant</w:t>
      </w:r>
      <w:r>
        <w:t>a</w:t>
      </w:r>
      <w:r>
        <w:t xml:space="preserve">ría mucho el respeto a la legislación existente. </w:t>
      </w:r>
    </w:p>
    <w:p w:rsidR="00391B0E" w:rsidRDefault="00391B0E">
      <w:pPr>
        <w:pStyle w:val="DualTxt"/>
        <w:numPr>
          <w:ilvl w:val="0"/>
          <w:numId w:val="5"/>
        </w:numPr>
        <w:tabs>
          <w:tab w:val="clear" w:pos="960"/>
          <w:tab w:val="left" w:pos="475"/>
          <w:tab w:val="left" w:pos="965"/>
        </w:tabs>
      </w:pPr>
      <w:r>
        <w:t>Puesto que la mayoría de los profesionales en los medios de comunicación de Finlandia son mujeres y que la mayor parte de la profesión de la enseñanza está constituida por mujeres, el Gobierno debe considerar trabajar con esos dos sectores para combatir la discr</w:t>
      </w:r>
      <w:r>
        <w:t>i</w:t>
      </w:r>
      <w:r>
        <w:t>minación. Eso es especialmente oportuno puesto que las imágenes y la publicidad que aparecen en los m</w:t>
      </w:r>
      <w:r>
        <w:t>e</w:t>
      </w:r>
      <w:r>
        <w:t>dios de información contienen muchos estereotipos que refuerzan las actitudes machistas y solicitan transa</w:t>
      </w:r>
      <w:r>
        <w:t>c</w:t>
      </w:r>
      <w:r>
        <w:t>ciones comerciales apelando al género. El Gobierno ha indicado que únicamente puede desempeñar una fu</w:t>
      </w:r>
      <w:r>
        <w:t>n</w:t>
      </w:r>
      <w:r>
        <w:t>ción indirecta en el logro de la igualdad; en opinión de la oradora, aunque otros actores pueden participar en ese proceso, se trata principalmente de una responsab</w:t>
      </w:r>
      <w:r>
        <w:t>i</w:t>
      </w:r>
      <w:r>
        <w:t xml:space="preserve">lidad del Gobierno. </w:t>
      </w:r>
    </w:p>
    <w:p w:rsidR="00391B0E" w:rsidRDefault="00391B0E">
      <w:pPr>
        <w:pStyle w:val="DualTxt"/>
        <w:numPr>
          <w:ilvl w:val="0"/>
          <w:numId w:val="5"/>
        </w:numPr>
        <w:tabs>
          <w:tab w:val="clear" w:pos="960"/>
          <w:tab w:val="left" w:pos="475"/>
          <w:tab w:val="left" w:pos="965"/>
        </w:tabs>
      </w:pPr>
      <w:r>
        <w:t>En el informe se proporciona amplia información sobre las poblaciones Roma y Sami, minorías nacion</w:t>
      </w:r>
      <w:r>
        <w:t>a</w:t>
      </w:r>
      <w:r>
        <w:t>les cuyo derecho a la igualdad y el desarrollo está pr</w:t>
      </w:r>
      <w:r>
        <w:t>o</w:t>
      </w:r>
      <w:r>
        <w:t>tegido por la legislación de Finlandia. La oradora desea saber si los miembros de esas minorías asisten a la Ju</w:t>
      </w:r>
      <w:r>
        <w:t>n</w:t>
      </w:r>
      <w:r>
        <w:t>ta de Asesoramiento establecida para eliminar la di</w:t>
      </w:r>
      <w:r>
        <w:t>s</w:t>
      </w:r>
      <w:r>
        <w:t>criminación en su contra, y cuántos miembros del Co</w:t>
      </w:r>
      <w:r>
        <w:t>n</w:t>
      </w:r>
      <w:r>
        <w:t>sejo son mujeres. Además, será útil saber si en el est</w:t>
      </w:r>
      <w:r>
        <w:t>u</w:t>
      </w:r>
      <w:r>
        <w:t>dio de 1998 sobre la salud y el empleo de las minorías Roma y Sami se incluye un capítulo separado dedicado a la mujer. Señala que no hay registros ni bases de d</w:t>
      </w:r>
      <w:r>
        <w:t>a</w:t>
      </w:r>
      <w:r>
        <w:t>tos sobre la situación de salud, educación y empleo de las mujeres Roma y Sami ni sobre su participación en la sociedad. Será útil recibir información sobre los r</w:t>
      </w:r>
      <w:r>
        <w:t>e</w:t>
      </w:r>
      <w:r>
        <w:t>sultados del programa de empleo y capacitación real</w:t>
      </w:r>
      <w:r>
        <w:t>i</w:t>
      </w:r>
      <w:r>
        <w:t xml:space="preserve">zado en 2000, y saber si el Gobierno tiene el propósito de continuar ese programa. </w:t>
      </w:r>
    </w:p>
    <w:p w:rsidR="00391B0E" w:rsidRDefault="00391B0E">
      <w:pPr>
        <w:pStyle w:val="DualTxt"/>
        <w:numPr>
          <w:ilvl w:val="0"/>
          <w:numId w:val="5"/>
        </w:numPr>
        <w:tabs>
          <w:tab w:val="clear" w:pos="960"/>
          <w:tab w:val="left" w:pos="475"/>
          <w:tab w:val="left" w:pos="965"/>
        </w:tabs>
      </w:pPr>
      <w:r>
        <w:t>La oradora desea saber igualmente si hay graves casos de discriminación contra los miembros de esas minorías en la sociedad de Finlandia, si existen soci</w:t>
      </w:r>
      <w:r>
        <w:t>e</w:t>
      </w:r>
      <w:r>
        <w:t xml:space="preserve">dades que promueven esa discriminación y si hay leyes que la prohíben. </w:t>
      </w:r>
      <w:r>
        <w:sym w:font="WP TypographicSymbols" w:char="0029"/>
      </w:r>
      <w:r>
        <w:t>Cómo se tratan el racismo y la xen</w:t>
      </w:r>
      <w:r>
        <w:t>o</w:t>
      </w:r>
      <w:r>
        <w:t>fobia en el Código Penal de Finlandia? Por último, s</w:t>
      </w:r>
      <w:r>
        <w:t>e</w:t>
      </w:r>
      <w:r>
        <w:t>ría útil saber si Finlandia es parte en el Convenio No. 64 de la Organización Internacional del Trabajo relat</w:t>
      </w:r>
      <w:r>
        <w:t>i</w:t>
      </w:r>
      <w:r>
        <w:t>va a la Reglamentación de los Contratos de Empleo Escritos de los Trabajadores Indígenas y si hay pr</w:t>
      </w:r>
      <w:r>
        <w:t>o</w:t>
      </w:r>
      <w:r>
        <w:t>gramas de</w:t>
      </w:r>
      <w:r>
        <w:t>s</w:t>
      </w:r>
      <w:r>
        <w:t xml:space="preserve">tinados a los jueces y a la policía con objeto de que tomen conocimiento de la situación de dichas minorías. </w:t>
      </w:r>
    </w:p>
    <w:p w:rsidR="00391B0E" w:rsidRDefault="00391B0E">
      <w:pPr>
        <w:pStyle w:val="DualTxt"/>
        <w:numPr>
          <w:ilvl w:val="0"/>
          <w:numId w:val="5"/>
        </w:numPr>
        <w:tabs>
          <w:tab w:val="clear" w:pos="960"/>
          <w:tab w:val="left" w:pos="475"/>
          <w:tab w:val="left" w:pos="965"/>
        </w:tabs>
      </w:pPr>
      <w:r>
        <w:rPr>
          <w:b/>
          <w:bCs/>
        </w:rPr>
        <w:t>La Sra. Hazelle</w:t>
      </w:r>
      <w:r>
        <w:t xml:space="preserve"> pide a la delegación que propo</w:t>
      </w:r>
      <w:r>
        <w:t>r</w:t>
      </w:r>
      <w:r>
        <w:t>cione más detalles sobre la situación de la incorpor</w:t>
      </w:r>
      <w:r>
        <w:t>a</w:t>
      </w:r>
      <w:r>
        <w:t>ción de los temas de género en la línea central de act</w:t>
      </w:r>
      <w:r>
        <w:t>i</w:t>
      </w:r>
      <w:r>
        <w:t>vidades en Finlandia, en particular en qué forma se cumple y si hay un Ministerio determinado que sea responsable por asegurar la incorporación de una per</w:t>
      </w:r>
      <w:r>
        <w:t>s</w:t>
      </w:r>
      <w:r>
        <w:t xml:space="preserve">pectiva de género en todos los programa y las políticas gubernamentales. </w:t>
      </w:r>
    </w:p>
    <w:p w:rsidR="00391B0E" w:rsidRDefault="00391B0E">
      <w:pPr>
        <w:pStyle w:val="DualTxt"/>
        <w:numPr>
          <w:ilvl w:val="0"/>
          <w:numId w:val="5"/>
        </w:numPr>
        <w:tabs>
          <w:tab w:val="clear" w:pos="960"/>
          <w:tab w:val="left" w:pos="475"/>
          <w:tab w:val="left" w:pos="965"/>
        </w:tabs>
      </w:pPr>
      <w:r>
        <w:rPr>
          <w:b/>
          <w:bCs/>
        </w:rPr>
        <w:t xml:space="preserve">La Sra. Gaspard </w:t>
      </w:r>
      <w:r>
        <w:t>expresa su satisfacción por la excelente calidad de los informes periódicos tercero y cuarto de Finlandia y de sus respuestas a la lista de t</w:t>
      </w:r>
      <w:r>
        <w:t>e</w:t>
      </w:r>
      <w:r>
        <w:t>mas y preguntas. Está bien impresionada por el decid</w:t>
      </w:r>
      <w:r>
        <w:t>i</w:t>
      </w:r>
      <w:r>
        <w:t>do compromiso del Gobierno de Finlandia y de la s</w:t>
      </w:r>
      <w:r>
        <w:t>o</w:t>
      </w:r>
      <w:r>
        <w:t>ciedad civil en favor de la igualdad de hombres y m</w:t>
      </w:r>
      <w:r>
        <w:t>u</w:t>
      </w:r>
      <w:r>
        <w:t>jeres, tanto de jure como de facto, como lo demuestra la evolución de la Constitución de Finlandia y su legi</w:t>
      </w:r>
      <w:r>
        <w:t>s</w:t>
      </w:r>
      <w:r>
        <w:t>lación y la introducción de iniciativas tales como pl</w:t>
      </w:r>
      <w:r>
        <w:t>a</w:t>
      </w:r>
      <w:r>
        <w:t xml:space="preserve">nes para la igualdad. </w:t>
      </w:r>
    </w:p>
    <w:p w:rsidR="00391B0E" w:rsidRDefault="00391B0E">
      <w:pPr>
        <w:pStyle w:val="DualTxt"/>
        <w:numPr>
          <w:ilvl w:val="0"/>
          <w:numId w:val="5"/>
        </w:numPr>
        <w:tabs>
          <w:tab w:val="clear" w:pos="960"/>
          <w:tab w:val="left" w:pos="475"/>
          <w:tab w:val="left" w:pos="965"/>
        </w:tabs>
      </w:pPr>
      <w:r>
        <w:t>Le complace además observar el compromiso del Gobierno con el desarrollo de los estudios feministas en las universidades, que desempeñan un importante papel para que el público tome conciencia de los oríg</w:t>
      </w:r>
      <w:r>
        <w:t>e</w:t>
      </w:r>
      <w:r>
        <w:t>nes y las causas de la discriminación contra la mujer. Se debe alentar a los varones jóvenes a que tomen cu</w:t>
      </w:r>
      <w:r>
        <w:t>r</w:t>
      </w:r>
      <w:r>
        <w:t>sos de esa índole habida cuenta de que la particip</w:t>
      </w:r>
      <w:r>
        <w:t>a</w:t>
      </w:r>
      <w:r>
        <w:t xml:space="preserve">ción de los hombres contribuye a menudo a superar el aislamiento a que esa disciplina está sometida. Sería interesante saber si se investiga la construcción de la masculinidad. </w:t>
      </w:r>
    </w:p>
    <w:p w:rsidR="00391B0E" w:rsidRDefault="00391B0E">
      <w:pPr>
        <w:pStyle w:val="DualTxt"/>
        <w:numPr>
          <w:ilvl w:val="0"/>
          <w:numId w:val="5"/>
        </w:numPr>
        <w:tabs>
          <w:tab w:val="clear" w:pos="960"/>
          <w:tab w:val="left" w:pos="475"/>
          <w:tab w:val="left" w:pos="965"/>
        </w:tabs>
      </w:pPr>
      <w:r>
        <w:t>La oradora acoge con agrado el gran número de muj</w:t>
      </w:r>
      <w:r>
        <w:t>e</w:t>
      </w:r>
      <w:r>
        <w:t>res que ocupan puestos de adopción de decisiones, al observar que si bien Finlandia fue el primer país del mundo en conceder a las mujeres el derecho al voto en 1906, las mujeres siguieron insuficientemente repr</w:t>
      </w:r>
      <w:r>
        <w:t>e</w:t>
      </w:r>
      <w:r>
        <w:t>sentadas en los órganos dotados mediante elecciones hasta el advenimiento del movimiento feminista en el decenio de 1970. Pregunta si la disposición del cupo del 40% que figura en la Ley de Igualdad se aplica a los órganos dotados mediante elecciones así como a los órganos constituidos por designación y cuántas mujeres finlandesas son miembros del Comité de las Regi</w:t>
      </w:r>
      <w:r>
        <w:t>o</w:t>
      </w:r>
      <w:r>
        <w:t>nes de la Unión Europea y de su Comité Económico y S</w:t>
      </w:r>
      <w:r>
        <w:t>o</w:t>
      </w:r>
      <w:r>
        <w:t xml:space="preserve">cial. </w:t>
      </w:r>
    </w:p>
    <w:p w:rsidR="00391B0E" w:rsidRDefault="00391B0E">
      <w:pPr>
        <w:pStyle w:val="DualTxt"/>
        <w:numPr>
          <w:ilvl w:val="0"/>
          <w:numId w:val="5"/>
        </w:numPr>
        <w:tabs>
          <w:tab w:val="clear" w:pos="960"/>
          <w:tab w:val="left" w:pos="475"/>
          <w:tab w:val="left" w:pos="965"/>
        </w:tabs>
      </w:pPr>
      <w:r>
        <w:t>Preocupa a la oradora que el servicio militar sea obligatorio para los hombres pero voluntario para las mujeres puesto que, mientras persista esa anómala s</w:t>
      </w:r>
      <w:r>
        <w:t>i</w:t>
      </w:r>
      <w:r>
        <w:t>tuación, las fuerzas armadas seguirán siendo un ento</w:t>
      </w:r>
      <w:r>
        <w:t>r</w:t>
      </w:r>
      <w:r>
        <w:t>no que refuerza los estereotipos de género. A ese re</w:t>
      </w:r>
      <w:r>
        <w:t>s</w:t>
      </w:r>
      <w:r>
        <w:t>pecto, señala que el Gobierno debe alentar a los m</w:t>
      </w:r>
      <w:r>
        <w:t>u</w:t>
      </w:r>
      <w:r>
        <w:t xml:space="preserve">chachos a que ingresen en profesiones en las cuales tradicionalmente predominan las mujeres, así como que guíe a las niñas a puestos en tecnología y ciencias. </w:t>
      </w:r>
    </w:p>
    <w:p w:rsidR="00391B0E" w:rsidRDefault="00391B0E">
      <w:pPr>
        <w:pStyle w:val="DualTxt"/>
        <w:numPr>
          <w:ilvl w:val="0"/>
          <w:numId w:val="5"/>
        </w:numPr>
        <w:tabs>
          <w:tab w:val="clear" w:pos="960"/>
          <w:tab w:val="left" w:pos="475"/>
          <w:tab w:val="left" w:pos="965"/>
        </w:tabs>
      </w:pPr>
      <w:r>
        <w:rPr>
          <w:b/>
          <w:bCs/>
        </w:rPr>
        <w:t xml:space="preserve">La Sra. Mäkinen </w:t>
      </w:r>
      <w:r>
        <w:t>(Finlandia) al responder a las preguntas formuladas por la Sra. Schöpp-Schilling, d</w:t>
      </w:r>
      <w:r>
        <w:t>i</w:t>
      </w:r>
      <w:r>
        <w:t>ce que es muy importante la inserción de disposiciones anteriores enmendadas sobre derechos fundamentales en el capítulo 2 de la nueva Constitución, con lo cual se da peso constitucional a dichas disposiciones. La Corte Suprema de Finlandia dispuso recientemente, en el primer caso constitucional que se le presentó, que el principio constitucional de la igualdad entre hombres y mujeres toma precedencia sobre las disposiciones constitucionales relativas a la libertad de religión y que, en consecuencia, la Iglesia Evangélica Luterana debe aplicar ese principio respecto del nombramiento de past</w:t>
      </w:r>
      <w:r>
        <w:t>o</w:t>
      </w:r>
      <w:r>
        <w:t xml:space="preserve">res. </w:t>
      </w:r>
    </w:p>
    <w:p w:rsidR="00391B0E" w:rsidRDefault="00391B0E">
      <w:pPr>
        <w:pStyle w:val="DualTxt"/>
        <w:numPr>
          <w:ilvl w:val="0"/>
          <w:numId w:val="5"/>
        </w:numPr>
        <w:tabs>
          <w:tab w:val="clear" w:pos="960"/>
          <w:tab w:val="left" w:pos="475"/>
          <w:tab w:val="left" w:pos="965"/>
        </w:tabs>
      </w:pPr>
      <w:r>
        <w:t>Lamentablemente, si bien la Ley de Igualdad afirma claramente que todo empleador que tenga más de 30 trabajadores debe preparar un plan de igualdad anualmente, no prevé la aplicación de sanciones a los empleadores que no cumplan, ni tampoco define no</w:t>
      </w:r>
      <w:r>
        <w:t>r</w:t>
      </w:r>
      <w:r>
        <w:t>mas mínimas para dichos planes. En su calidad de D</w:t>
      </w:r>
      <w:r>
        <w:t>e</w:t>
      </w:r>
      <w:r>
        <w:t>fensora del Pueblo en materia de Igualdad, puede util</w:t>
      </w:r>
      <w:r>
        <w:t>i</w:t>
      </w:r>
      <w:r>
        <w:t>zar a los medios de comunicación para presionar a los empleadores a fin de que cumplan sus obligaciones, aunque está de acuerdo en que es necesario fortalecer las disposiciones pertinentes de la Ley, establecer m</w:t>
      </w:r>
      <w:r>
        <w:t>e</w:t>
      </w:r>
      <w:r>
        <w:t>canismos para vigilar la aplicación de los planes de igualdad y tomar medidas ulteriores destinadas a el</w:t>
      </w:r>
      <w:r>
        <w:t>i</w:t>
      </w:r>
      <w:r>
        <w:t>minar la desproporción de salarios entre los hombres y las mujeres. Hay además necesidad de realizar un nu</w:t>
      </w:r>
      <w:r>
        <w:t>e</w:t>
      </w:r>
      <w:r>
        <w:t>vo estudio sobre la desproporción de la paga puesto que las organizaciones de empleadores han facilitado información estadística adicional. Si bien puede co</w:t>
      </w:r>
      <w:r>
        <w:t>n</w:t>
      </w:r>
      <w:r>
        <w:t>firmar que las madres solteras son muy activas en el mercado laboral, no cuenta con información sobre el efecto de la recesión del decenio de 1990 sobre las f</w:t>
      </w:r>
      <w:r>
        <w:t>a</w:t>
      </w:r>
      <w:r>
        <w:t>milias de bajos ingresos y las familias con hijos pequ</w:t>
      </w:r>
      <w:r>
        <w:t>e</w:t>
      </w:r>
      <w:r>
        <w:t xml:space="preserve">ños. </w:t>
      </w:r>
    </w:p>
    <w:p w:rsidR="00391B0E" w:rsidRDefault="00391B0E">
      <w:pPr>
        <w:pStyle w:val="DualTxt"/>
        <w:numPr>
          <w:ilvl w:val="0"/>
          <w:numId w:val="5"/>
        </w:numPr>
        <w:tabs>
          <w:tab w:val="clear" w:pos="960"/>
          <w:tab w:val="left" w:pos="475"/>
          <w:tab w:val="left" w:pos="965"/>
        </w:tabs>
      </w:pPr>
      <w:r>
        <w:t>Con referencia a la cuestión de la licencia para los pr</w:t>
      </w:r>
      <w:r>
        <w:t>o</w:t>
      </w:r>
      <w:r>
        <w:t>genitores, dice que la mayoría de los países que ratificaron la directriz pertinente de la Unión Europea eligieron conceder el derecho de tomar hasta tres meses de licencia de paternidad y de maternidad a cada uno de los progenitores. El Gobierno de Finlandia, sin e</w:t>
      </w:r>
      <w:r>
        <w:t>m</w:t>
      </w:r>
      <w:r>
        <w:t>bargo, estipuló que las madres y los padres deben dec</w:t>
      </w:r>
      <w:r>
        <w:t>i</w:t>
      </w:r>
      <w:r>
        <w:t>dir sobre la forma de compartir el derecho a seis meses de licencia. La experiencia ha demostrado que hay más posibilidades de que sean las mujeres las que tomen la licencia y no así los hombres, con el resultado de que en la mayoría de los casos el costo lo sufraga enter</w:t>
      </w:r>
      <w:r>
        <w:t>a</w:t>
      </w:r>
      <w:r>
        <w:t>mente el empleador de la madre. El Gobierno está d</w:t>
      </w:r>
      <w:r>
        <w:t>e</w:t>
      </w:r>
      <w:r>
        <w:t xml:space="preserve">cidido a introducir un sistema destinado a distribuir el costo más equitativamente. </w:t>
      </w:r>
    </w:p>
    <w:p w:rsidR="00391B0E" w:rsidRDefault="00391B0E">
      <w:pPr>
        <w:pStyle w:val="DualTxt"/>
        <w:numPr>
          <w:ilvl w:val="0"/>
          <w:numId w:val="5"/>
        </w:numPr>
        <w:tabs>
          <w:tab w:val="clear" w:pos="960"/>
          <w:tab w:val="left" w:pos="475"/>
          <w:tab w:val="left" w:pos="965"/>
        </w:tabs>
      </w:pPr>
      <w:r>
        <w:t>Al responder a la pregunta sobre la educación formulada por el Sr. Melander, dice que el acuerdo en virtud del cual las universidades pueden “invitar” a eminentes académicos a que se hagan cargo de cátedras universitarias sin dar a publicidad esos puestos es ev</w:t>
      </w:r>
      <w:r>
        <w:t>i</w:t>
      </w:r>
      <w:r>
        <w:t>dentemente discriminatoria en sus efectos. Ciertame</w:t>
      </w:r>
      <w:r>
        <w:t>n</w:t>
      </w:r>
      <w:r>
        <w:t>te, sólo el 25% de los profesores universitarios son m</w:t>
      </w:r>
      <w:r>
        <w:t>u</w:t>
      </w:r>
      <w:r>
        <w:t>jeres. Es difícil conciliar el argumento de las univers</w:t>
      </w:r>
      <w:r>
        <w:t>i</w:t>
      </w:r>
      <w:r>
        <w:t>dades de que simplemente designan a las personas m</w:t>
      </w:r>
      <w:r>
        <w:t>e</w:t>
      </w:r>
      <w:r>
        <w:t>jor calif</w:t>
      </w:r>
      <w:r>
        <w:t>i</w:t>
      </w:r>
      <w:r>
        <w:t>cadas con la realidad de que en la práctica las mujeres en Finlandia han obtenido más títulos univers</w:t>
      </w:r>
      <w:r>
        <w:t>i</w:t>
      </w:r>
      <w:r>
        <w:t xml:space="preserve">tarios que los hombres. </w:t>
      </w:r>
    </w:p>
    <w:p w:rsidR="00391B0E" w:rsidRDefault="00391B0E">
      <w:pPr>
        <w:pStyle w:val="DualTxt"/>
        <w:numPr>
          <w:ilvl w:val="0"/>
          <w:numId w:val="5"/>
        </w:numPr>
        <w:tabs>
          <w:tab w:val="clear" w:pos="960"/>
          <w:tab w:val="left" w:pos="475"/>
          <w:tab w:val="left" w:pos="965"/>
        </w:tabs>
      </w:pPr>
      <w:r>
        <w:t>En Finlandia persiste el “techo de cristal” tanto en el sector público como en el privado. Por ejemplo, aunque un 75% de los empleados en departamentos gubernamentales son mujeres, pocas mujeres ocupan puestos de adopción de decisiones y hay únicamente tres Ministras. Actualmente el Gobierno viene elab</w:t>
      </w:r>
      <w:r>
        <w:t>o</w:t>
      </w:r>
      <w:r>
        <w:t>rando m</w:t>
      </w:r>
      <w:r>
        <w:t>e</w:t>
      </w:r>
      <w:r>
        <w:t>didas para aumentar el número de mujeres en puestos de categoría superior en el servicio público. En cuanto a la representación de las mujeres en el Parl</w:t>
      </w:r>
      <w:r>
        <w:t>a</w:t>
      </w:r>
      <w:r>
        <w:t>mento, 10 de los 12 diputados del Partido Verde son mujeres y los Partidos Conservador y Social Demócr</w:t>
      </w:r>
      <w:r>
        <w:t>a</w:t>
      </w:r>
      <w:r>
        <w:t>ta prácticame</w:t>
      </w:r>
      <w:r>
        <w:t>n</w:t>
      </w:r>
      <w:r>
        <w:t>te han alcanzado la paridad, en tanto que el Partido de Centro, uno de los más grandes de Fi</w:t>
      </w:r>
      <w:r>
        <w:t>n</w:t>
      </w:r>
      <w:r>
        <w:t>landia, tiene p</w:t>
      </w:r>
      <w:r>
        <w:t>o</w:t>
      </w:r>
      <w:r>
        <w:t xml:space="preserve">cas mujeres miembros del Parlamento. </w:t>
      </w:r>
    </w:p>
    <w:p w:rsidR="00391B0E" w:rsidRDefault="00391B0E">
      <w:pPr>
        <w:pStyle w:val="DualTxt"/>
        <w:numPr>
          <w:ilvl w:val="0"/>
          <w:numId w:val="5"/>
        </w:numPr>
        <w:tabs>
          <w:tab w:val="clear" w:pos="960"/>
          <w:tab w:val="left" w:pos="475"/>
          <w:tab w:val="left" w:pos="965"/>
        </w:tabs>
      </w:pPr>
      <w:r>
        <w:t>Al igual que en el pasado, las observaciones y come</w:t>
      </w:r>
      <w:r>
        <w:t>n</w:t>
      </w:r>
      <w:r>
        <w:t>tarios del Comité respecto de la aplicación de la Co</w:t>
      </w:r>
      <w:r>
        <w:t>n</w:t>
      </w:r>
      <w:r>
        <w:t>vención en Finlandia se traducirán al finlandés y al sueco y se les dará la mayor difusión posible. Esa tarea será facilitada por la estrecha cooperación que mantiene el Gobierno con las organizaciones no gube</w:t>
      </w:r>
      <w:r>
        <w:t>r</w:t>
      </w:r>
      <w:r>
        <w:t xml:space="preserve">namentales de mujeres, que están representadas en el Consejo para la Igualdad. </w:t>
      </w:r>
    </w:p>
    <w:p w:rsidR="00391B0E" w:rsidRDefault="00391B0E">
      <w:pPr>
        <w:pStyle w:val="DualTxt"/>
        <w:numPr>
          <w:ilvl w:val="0"/>
          <w:numId w:val="5"/>
        </w:numPr>
        <w:tabs>
          <w:tab w:val="clear" w:pos="960"/>
          <w:tab w:val="left" w:pos="475"/>
          <w:tab w:val="left" w:pos="965"/>
        </w:tabs>
      </w:pPr>
      <w:r>
        <w:t>Los estudiantes pueden seguir estudios feministas en las nueve universidades de Finlandia, aunque el t</w:t>
      </w:r>
      <w:r>
        <w:t>e</w:t>
      </w:r>
      <w:r>
        <w:t>ma no siempre se presta a estudios de especialidad. El Ministerio de Educación viene financiando nueve ca</w:t>
      </w:r>
      <w:r>
        <w:t>r</w:t>
      </w:r>
      <w:r>
        <w:t>gos de catedráticos de estudios feministas por un p</w:t>
      </w:r>
      <w:r>
        <w:t>e</w:t>
      </w:r>
      <w:r>
        <w:t>ríodo de cinco años, tras el cual las universidades est</w:t>
      </w:r>
      <w:r>
        <w:t>a</w:t>
      </w:r>
      <w:r>
        <w:t>rán en la obligación de encontrar su propia financi</w:t>
      </w:r>
      <w:r>
        <w:t>a</w:t>
      </w:r>
      <w:r>
        <w:t xml:space="preserve">ción para esos puestos. Una de las instituciones ya lo ha hecho. </w:t>
      </w:r>
    </w:p>
    <w:p w:rsidR="00391B0E" w:rsidRDefault="00391B0E">
      <w:pPr>
        <w:pStyle w:val="DualTxt"/>
        <w:numPr>
          <w:ilvl w:val="0"/>
          <w:numId w:val="5"/>
        </w:numPr>
        <w:tabs>
          <w:tab w:val="clear" w:pos="960"/>
          <w:tab w:val="left" w:pos="475"/>
          <w:tab w:val="left" w:pos="965"/>
        </w:tabs>
      </w:pPr>
      <w:r>
        <w:t>Las embajadoras y las profesoras universitarias gozan de iguales honorarios que sus contrapartes var</w:t>
      </w:r>
      <w:r>
        <w:t>o</w:t>
      </w:r>
      <w:r>
        <w:t>nes. La diferencia de salarios observada por el Comité es consecuencia de factores tales como la menor ant</w:t>
      </w:r>
      <w:r>
        <w:t>i</w:t>
      </w:r>
      <w:r>
        <w:t>güedad de las mujeres y el hecho de que los hombres se inclinan a trabajar más horas extraordinarias. Con el prop</w:t>
      </w:r>
      <w:r>
        <w:t>ó</w:t>
      </w:r>
      <w:r>
        <w:t>sito de compensar la desproporción de salarios en el sector público, algunas empresas organizan estruct</w:t>
      </w:r>
      <w:r>
        <w:t>u</w:t>
      </w:r>
      <w:r>
        <w:t>ras salariales más objetivas basadas en evaluaciones de los puestos. Como resultado de ello, en algunos sect</w:t>
      </w:r>
      <w:r>
        <w:t>o</w:t>
      </w:r>
      <w:r>
        <w:t>res la remuneración de las mujeres ya ha experiment</w:t>
      </w:r>
      <w:r>
        <w:t>a</w:t>
      </w:r>
      <w:r>
        <w:t>do co</w:t>
      </w:r>
      <w:r>
        <w:t>n</w:t>
      </w:r>
      <w:r>
        <w:t>siderables aumentos, aunque el problema es complejo y el proceso, que entraña la participación de representa</w:t>
      </w:r>
      <w:r>
        <w:t>n</w:t>
      </w:r>
      <w:r>
        <w:t xml:space="preserve">tes de empleadores y de trabajadores, exige el decidido compromiso de ambas partes. </w:t>
      </w:r>
    </w:p>
    <w:p w:rsidR="00391B0E" w:rsidRDefault="00391B0E">
      <w:pPr>
        <w:pStyle w:val="DualTxt"/>
        <w:numPr>
          <w:ilvl w:val="0"/>
          <w:numId w:val="5"/>
        </w:numPr>
        <w:tabs>
          <w:tab w:val="clear" w:pos="960"/>
          <w:tab w:val="left" w:pos="475"/>
          <w:tab w:val="left" w:pos="965"/>
        </w:tabs>
      </w:pPr>
      <w:r>
        <w:t>La segregación profesional comienza en las e</w:t>
      </w:r>
      <w:r>
        <w:t>s</w:t>
      </w:r>
      <w:r>
        <w:t>cuelas, donde los niños encuentran a sus primeros m</w:t>
      </w:r>
      <w:r>
        <w:t>o</w:t>
      </w:r>
      <w:r>
        <w:t>delos de rol social. El Gobierno toma medidas para abordar la situación en el contexto del Plan de Acción Nacional sobre el Empleo. Es un problema difícil pue</w:t>
      </w:r>
      <w:r>
        <w:t>s</w:t>
      </w:r>
      <w:r>
        <w:t>to que se considera que la segregación es una de las consecue</w:t>
      </w:r>
      <w:r>
        <w:t>n</w:t>
      </w:r>
      <w:r>
        <w:t>cias de la elección individual libre y se cree que ha beneficiado a las mujeres en la medida en que los sect</w:t>
      </w:r>
      <w:r>
        <w:t>o</w:t>
      </w:r>
      <w:r>
        <w:t>res dominados por mujeres ofrecen buenas oportunid</w:t>
      </w:r>
      <w:r>
        <w:t>a</w:t>
      </w:r>
      <w:r>
        <w:t xml:space="preserve">des de trabajo para un mayor número de ellas. </w:t>
      </w:r>
    </w:p>
    <w:p w:rsidR="00391B0E" w:rsidRDefault="00391B0E">
      <w:pPr>
        <w:pStyle w:val="DualTxt"/>
        <w:numPr>
          <w:ilvl w:val="0"/>
          <w:numId w:val="5"/>
        </w:numPr>
        <w:tabs>
          <w:tab w:val="clear" w:pos="960"/>
          <w:tab w:val="left" w:pos="475"/>
          <w:tab w:val="left" w:pos="965"/>
        </w:tabs>
      </w:pPr>
      <w:r>
        <w:t>Actualmente se llevan a cabo entrevistas para el segundo barómetro de género, y se dispondrá de los r</w:t>
      </w:r>
      <w:r>
        <w:t>e</w:t>
      </w:r>
      <w:r>
        <w:t>sult</w:t>
      </w:r>
      <w:r>
        <w:t>a</w:t>
      </w:r>
      <w:r>
        <w:t>dos a comienzos de 2002. La oradora conviene en que una presentación ecuánime de las mujeres en los medios de comunicación contribuiría a cambiar las a</w:t>
      </w:r>
      <w:r>
        <w:t>c</w:t>
      </w:r>
      <w:r>
        <w:t>titudes. El Gobierno colabora estrechamente con los medios de comunicación con ese propósito, entre otras cosas, en colaboración con la Finnish Broadcasting Corporation en un proyecto especial sobre la difusión de noticias delicadas en función de género por radio y televisión. La responsabilidad del Gobierno por la apl</w:t>
      </w:r>
      <w:r>
        <w:t>i</w:t>
      </w:r>
      <w:r>
        <w:t xml:space="preserve">cación de la Convención en general se manifiesta en el decidido compromiso que ha contraído actualmente de incorporar en su programa más temas de igualdad de género que lo que se haya hecho jamás. </w:t>
      </w:r>
    </w:p>
    <w:p w:rsidR="00391B0E" w:rsidRDefault="00391B0E">
      <w:pPr>
        <w:pStyle w:val="DualTxt"/>
        <w:numPr>
          <w:ilvl w:val="0"/>
          <w:numId w:val="5"/>
        </w:numPr>
        <w:tabs>
          <w:tab w:val="clear" w:pos="960"/>
          <w:tab w:val="left" w:pos="475"/>
          <w:tab w:val="left" w:pos="965"/>
        </w:tabs>
      </w:pPr>
      <w:r>
        <w:t>Con referencia a la representación de las mujeres Roma y Sami, la oradora está en condiciones de afi</w:t>
      </w:r>
      <w:r>
        <w:t>r</w:t>
      </w:r>
      <w:r>
        <w:t>mar, en espera de mayor información en el informe s</w:t>
      </w:r>
      <w:r>
        <w:t>i</w:t>
      </w:r>
      <w:r>
        <w:t>guiente, que la Junta de Asesoramiento establecida en el marco del Ministerio de Asuntos Sociales y Salud está presidida por una mujer Roma, y que la dispos</w:t>
      </w:r>
      <w:r>
        <w:t>i</w:t>
      </w:r>
      <w:r>
        <w:t xml:space="preserve">ción sobre el cupo del 40% es igualmente aplicable a la Junta. </w:t>
      </w:r>
    </w:p>
    <w:p w:rsidR="00391B0E" w:rsidRDefault="00391B0E">
      <w:pPr>
        <w:pStyle w:val="DualTxt"/>
        <w:numPr>
          <w:ilvl w:val="0"/>
          <w:numId w:val="5"/>
        </w:numPr>
        <w:tabs>
          <w:tab w:val="clear" w:pos="960"/>
          <w:tab w:val="left" w:pos="475"/>
          <w:tab w:val="left" w:pos="965"/>
        </w:tabs>
      </w:pPr>
      <w:r>
        <w:t>El programa que tiene el Gobierno para incorp</w:t>
      </w:r>
      <w:r>
        <w:t>o</w:t>
      </w:r>
      <w:r>
        <w:t>rar el género en el cauce principal de sus actividades es un programa interministerial coordinado y administr</w:t>
      </w:r>
      <w:r>
        <w:t>a</w:t>
      </w:r>
      <w:r>
        <w:t>do por el Ministerio de Asuntos Sociales y Salud. Cada uno de los seis ministerios participantes ha elaborado instrumentos, estrategias y un proyecto concreto, un ejemplo de ello es la evaluación del efecto del género en la legislación laboral, sobre la inclusión de la intr</w:t>
      </w:r>
      <w:r>
        <w:t>o</w:t>
      </w:r>
      <w:r>
        <w:t>ducción del género en el cauce principal de sus activ</w:t>
      </w:r>
      <w:r>
        <w:t>i</w:t>
      </w:r>
      <w:r>
        <w:t xml:space="preserve">dades. Los resultados del programa se presentarán en breve en una conferencia de prensa en el Parlamento y serán publicados en las páginas del Ministerio en la Internet. </w:t>
      </w:r>
    </w:p>
    <w:p w:rsidR="00391B0E" w:rsidRDefault="00391B0E">
      <w:pPr>
        <w:pStyle w:val="DualTxt"/>
        <w:numPr>
          <w:ilvl w:val="0"/>
          <w:numId w:val="5"/>
        </w:numPr>
        <w:tabs>
          <w:tab w:val="clear" w:pos="960"/>
          <w:tab w:val="left" w:pos="475"/>
          <w:tab w:val="left" w:pos="965"/>
        </w:tabs>
      </w:pPr>
      <w:r>
        <w:t>La oradora no tiene datos respecto del alcance del int</w:t>
      </w:r>
      <w:r>
        <w:t>e</w:t>
      </w:r>
      <w:r>
        <w:t>rés de los hombres en seguir estudios feministas. A modo de información adicional sobre la disposición de cupos con arreglo a la Ley de Igualdad, informa al Comité de que la disposición no es obligatoria en los órganos dotados mediante elecciones , aunque algunos partidos políticos designan voluntariamente igual n</w:t>
      </w:r>
      <w:r>
        <w:t>ú</w:t>
      </w:r>
      <w:r>
        <w:t>mero de candidatos y candidatas a la elección. El si</w:t>
      </w:r>
      <w:r>
        <w:t>s</w:t>
      </w:r>
      <w:r>
        <w:t>tema de votación directa en las elecciones en Finlandia explica el motivo por el cual las mujeres han logrado resultados tan satisfactorios en las elecciones recientes. A raíz de la aplicación de la disposición sobre cupos en las juntas ejecutivas municipales tras las elecciones l</w:t>
      </w:r>
      <w:r>
        <w:t>o</w:t>
      </w:r>
      <w:r>
        <w:t>cales, la representación de las mujeres en esas juntas ha ascendido a casi el 50%. La disposición ha tenido m</w:t>
      </w:r>
      <w:r>
        <w:t>e</w:t>
      </w:r>
      <w:r>
        <w:t>nos efecto a nivel estatal, y se hacen esfuerzos por c</w:t>
      </w:r>
      <w:r>
        <w:t>o</w:t>
      </w:r>
      <w:r>
        <w:t xml:space="preserve">rregir esa situación reconociendo la importancia de la representación de la mujer en niveles más elevados de adopción de decisiones. </w:t>
      </w:r>
    </w:p>
    <w:p w:rsidR="00391B0E" w:rsidRDefault="00391B0E">
      <w:pPr>
        <w:pStyle w:val="DualTxt"/>
        <w:numPr>
          <w:ilvl w:val="0"/>
          <w:numId w:val="5"/>
        </w:numPr>
        <w:tabs>
          <w:tab w:val="clear" w:pos="960"/>
          <w:tab w:val="left" w:pos="475"/>
          <w:tab w:val="left" w:pos="965"/>
        </w:tabs>
      </w:pPr>
      <w:r>
        <w:t>A menudo surgen preguntas en Finlandia sobre el hecho de que el servicio militar sea obligatorio para los hombres pero voluntario para las mujeres. La Ley de Igualdad establece claramente que el requisito oblig</w:t>
      </w:r>
      <w:r>
        <w:t>a</w:t>
      </w:r>
      <w:r>
        <w:t>torio para los hombres no es equivalente a la discrim</w:t>
      </w:r>
      <w:r>
        <w:t>i</w:t>
      </w:r>
      <w:r>
        <w:t>nación por motivos de sexo. En consecuencia, corre</w:t>
      </w:r>
      <w:r>
        <w:t>s</w:t>
      </w:r>
      <w:r>
        <w:t>ponde que el Parlamento decida la cuestión de enme</w:t>
      </w:r>
      <w:r>
        <w:t>n</w:t>
      </w:r>
      <w:r>
        <w:t>dar el sistema obligatorio, aunque en la actualidad la cuestión no está entre las primeras de su programa. S</w:t>
      </w:r>
      <w:r>
        <w:t>o</w:t>
      </w:r>
      <w:r>
        <w:t>bre el tema del aliento que se da a las jóvenes para que busquen oportunidades de empleo en sectores domin</w:t>
      </w:r>
      <w:r>
        <w:t>a</w:t>
      </w:r>
      <w:r>
        <w:t>dos por los varones, la oradora remite al Comité al proyecto de capacitación de tres años de duración de</w:t>
      </w:r>
      <w:r>
        <w:t>s</w:t>
      </w:r>
      <w:r>
        <w:t>tinado a desarticular la segregación en el mercado l</w:t>
      </w:r>
      <w:r>
        <w:t>a</w:t>
      </w:r>
      <w:r>
        <w:t xml:space="preserve">boral al que se ha referido anteriormente. </w:t>
      </w:r>
    </w:p>
    <w:p w:rsidR="00391B0E" w:rsidRDefault="00391B0E">
      <w:pPr>
        <w:pStyle w:val="DualTxt"/>
        <w:numPr>
          <w:ilvl w:val="0"/>
          <w:numId w:val="5"/>
        </w:numPr>
        <w:tabs>
          <w:tab w:val="clear" w:pos="960"/>
          <w:tab w:val="left" w:pos="475"/>
          <w:tab w:val="left" w:pos="965"/>
        </w:tabs>
      </w:pPr>
      <w:r>
        <w:rPr>
          <w:b/>
          <w:bCs/>
        </w:rPr>
        <w:t>La Sra. Aalto</w:t>
      </w:r>
      <w:r>
        <w:t xml:space="preserve"> (Finlandia), en relación con el t</w:t>
      </w:r>
      <w:r>
        <w:t>e</w:t>
      </w:r>
      <w:r>
        <w:t>ma de la doble delincuencia, señala que la pregunta 27 del Comité se ha respondido de hecho en la pregunta 25 de las respuestas de Finlandia por escrito. A modo de una explicación más amplia, observa que entre las enmiendas a las disposiciones del capítulo 20 del C</w:t>
      </w:r>
      <w:r>
        <w:t>ó</w:t>
      </w:r>
      <w:r>
        <w:t>digo Penal sobre los delitos de índole sexual que entró en vigor en enero de 1999, la oferta de dinero a cambio de serv</w:t>
      </w:r>
      <w:r>
        <w:t>i</w:t>
      </w:r>
      <w:r>
        <w:t>cios sexuales prestados por una persona menor de 18 años de edad es en la actualidad un delito punible y el requisito de la doble delincuencia queda abolido cuando la víctima es un menor. En consecuencia, los ciudadanos finlandeses de quienes se sospeche hayan com</w:t>
      </w:r>
      <w:r>
        <w:t>e</w:t>
      </w:r>
      <w:r>
        <w:t>tido un delito de esa índole pueden ser procesados con arreglo a la legislación finlandesa aún en el caso de que el delito no fuera punible en el país extranjero del que se tratase. Sin embargo, puesto que es difícil pr</w:t>
      </w:r>
      <w:r>
        <w:t>e</w:t>
      </w:r>
      <w:r>
        <w:t>sentar pruebas en tales casos, hasta el momento sol</w:t>
      </w:r>
      <w:r>
        <w:t>a</w:t>
      </w:r>
      <w:r>
        <w:t>mente se han presentado acusaciones en dos casos, y las decisi</w:t>
      </w:r>
      <w:r>
        <w:t>o</w:t>
      </w:r>
      <w:r>
        <w:t xml:space="preserve">nes judiciales aún están pendientes. </w:t>
      </w:r>
    </w:p>
    <w:p w:rsidR="00391B0E" w:rsidRDefault="00391B0E">
      <w:pPr>
        <w:pStyle w:val="DualTxt"/>
        <w:numPr>
          <w:ilvl w:val="0"/>
          <w:numId w:val="5"/>
        </w:numPr>
        <w:tabs>
          <w:tab w:val="clear" w:pos="960"/>
          <w:tab w:val="left" w:pos="475"/>
          <w:tab w:val="left" w:pos="965"/>
        </w:tabs>
      </w:pPr>
      <w:r>
        <w:t>Con referencia al tema del racismo y las organ</w:t>
      </w:r>
      <w:r>
        <w:t>i</w:t>
      </w:r>
      <w:r>
        <w:t>zaciones racistas, la oradora señala que la agitación é</w:t>
      </w:r>
      <w:r>
        <w:t>t</w:t>
      </w:r>
      <w:r>
        <w:t>nica, i</w:t>
      </w:r>
      <w:r>
        <w:t>n</w:t>
      </w:r>
      <w:r>
        <w:t>cluida la agitación racista, constituye un delito de conformidad con la sección 8 del capítulo 11 del Código Penal, en tanto que todas las formas de discr</w:t>
      </w:r>
      <w:r>
        <w:t>i</w:t>
      </w:r>
      <w:r>
        <w:t>minación, inclusive la discriminación por motivos de raza, constituyen delitos penales con arreglo a la se</w:t>
      </w:r>
      <w:r>
        <w:t>c</w:t>
      </w:r>
      <w:r>
        <w:t>ción 9 del capítulo 11 del Código Penal. En base a d</w:t>
      </w:r>
      <w:r>
        <w:t>i</w:t>
      </w:r>
      <w:r>
        <w:t>chas dispos</w:t>
      </w:r>
      <w:r>
        <w:t>i</w:t>
      </w:r>
      <w:r>
        <w:t>ciones, el Gobierno presentó al Parlamento una pr</w:t>
      </w:r>
      <w:r>
        <w:t>o</w:t>
      </w:r>
      <w:r>
        <w:t>puesta con objeto de que la participación en una organización delictiva pase a ser un acto punible. En consecuencia, en ciertas condiciones en las cuales las organizaciones que cometan actos de discriminación étnica sean consideradas organizaciones delictivas, la participación en organizaciones racistas es, ciertame</w:t>
      </w:r>
      <w:r>
        <w:t>n</w:t>
      </w:r>
      <w:r>
        <w:t xml:space="preserve">te, un acto punible. </w:t>
      </w:r>
    </w:p>
    <w:p w:rsidR="00391B0E" w:rsidRDefault="00391B0E">
      <w:pPr>
        <w:pStyle w:val="DualTxt"/>
        <w:numPr>
          <w:ilvl w:val="0"/>
          <w:numId w:val="5"/>
        </w:numPr>
        <w:tabs>
          <w:tab w:val="clear" w:pos="960"/>
          <w:tab w:val="left" w:pos="475"/>
          <w:tab w:val="left" w:pos="965"/>
        </w:tabs>
      </w:pPr>
      <w:r>
        <w:rPr>
          <w:b/>
          <w:bCs/>
        </w:rPr>
        <w:t>El Sr. Ellisaari</w:t>
      </w:r>
      <w:r>
        <w:t xml:space="preserve"> (Finlandia), a modo de coment</w:t>
      </w:r>
      <w:r>
        <w:t>a</w:t>
      </w:r>
      <w:r>
        <w:t>rio pr</w:t>
      </w:r>
      <w:r>
        <w:t>e</w:t>
      </w:r>
      <w:r>
        <w:t>liminar sobre la cuestión de las personas que buscan asilo, dice que Finlandia ratificó el Convenio de Gin</w:t>
      </w:r>
      <w:r>
        <w:t>e</w:t>
      </w:r>
      <w:r>
        <w:t xml:space="preserve">bra de 1951 relativo al Estatuto de los Refugiados, y que actualmente hay unas 18.000 personas en busca de asilo en el país. No puede recordar ningún caso que haya entrañado el peligro de separar a las familias de quienes buscan asilo. </w:t>
      </w:r>
    </w:p>
    <w:p w:rsidR="00391B0E" w:rsidRDefault="00391B0E">
      <w:pPr>
        <w:pStyle w:val="DualTxt"/>
        <w:numPr>
          <w:ilvl w:val="0"/>
          <w:numId w:val="5"/>
        </w:numPr>
        <w:tabs>
          <w:tab w:val="clear" w:pos="960"/>
          <w:tab w:val="left" w:pos="475"/>
          <w:tab w:val="left" w:pos="965"/>
        </w:tabs>
      </w:pPr>
      <w:r>
        <w:t>Con referencia a la cuestión de la repercusión que ha tenido sobre la sociedad la descentralización del si</w:t>
      </w:r>
      <w:r>
        <w:t>s</w:t>
      </w:r>
      <w:r>
        <w:t>tema de seguridad social, el orador esboza los derechos sociales establecidos en la Constitución. El sistema de seguridad social abarca prestaciones monetarias y una amplia gama de servicios que han de prestar las 450 municipalidades, y no el Estado. En el marco de la ley, corresponde a las municipalidades una considerable l</w:t>
      </w:r>
      <w:r>
        <w:t>a</w:t>
      </w:r>
      <w:r>
        <w:t>titud para determinar el modo y el alcance del bienestar social que se ofrece. En algunos casos, varias munic</w:t>
      </w:r>
      <w:r>
        <w:t>i</w:t>
      </w:r>
      <w:r>
        <w:t>palidades prestan servicios en conjunto, o los adqui</w:t>
      </w:r>
      <w:r>
        <w:t>e</w:t>
      </w:r>
      <w:r>
        <w:t>ren de otras o del sector privado, o también de las o</w:t>
      </w:r>
      <w:r>
        <w:t>r</w:t>
      </w:r>
      <w:r>
        <w:t>ganizaciones no gubernamentales (ONG). La financi</w:t>
      </w:r>
      <w:r>
        <w:t>a</w:t>
      </w:r>
      <w:r>
        <w:t>ción procede en su mayor parte de los impuestos, co</w:t>
      </w:r>
      <w:r>
        <w:t>m</w:t>
      </w:r>
      <w:r>
        <w:t>plementados con subvenciones gubernamentales que en la actualidad representan un 24%. Un nuevo sistema de planificación del bienestar social y la atención de la s</w:t>
      </w:r>
      <w:r>
        <w:t>a</w:t>
      </w:r>
      <w:r>
        <w:t xml:space="preserve">lud, que tiene un programa de acción cuatrienal que abarca el período de 2000 a 2003, define los objetivos y metas y contiene directrices no obligatorias para las municipalidades que son responsables de su ejecución práctica. </w:t>
      </w:r>
    </w:p>
    <w:p w:rsidR="00391B0E" w:rsidRDefault="00391B0E">
      <w:pPr>
        <w:pStyle w:val="DualTxt"/>
        <w:numPr>
          <w:ilvl w:val="0"/>
          <w:numId w:val="5"/>
        </w:numPr>
        <w:tabs>
          <w:tab w:val="clear" w:pos="960"/>
          <w:tab w:val="left" w:pos="475"/>
          <w:tab w:val="left" w:pos="965"/>
        </w:tabs>
      </w:pPr>
      <w:r>
        <w:t>La sumamente delicada cuestión del turismo con fines sexuales es un tema multidimensional y mundial que es necesario abordar juntamente con otras esferas tales como la prevención de la venta y el tráfico de m</w:t>
      </w:r>
      <w:r>
        <w:t>u</w:t>
      </w:r>
      <w:r>
        <w:t>jeres y niños y la comercialización del sexo. El orador señala a la atención del Comité el proyecto STOP 1 iniciado por el Ministerio del Interior, mencionado en la pregu</w:t>
      </w:r>
      <w:r>
        <w:t>n</w:t>
      </w:r>
      <w:r>
        <w:t>ta 23 de las respuestas de Finlandia y descrito en el anexo de dicho documento. Se ha presentado otro proyecto de la Unión Europea, STOP 2, con el propós</w:t>
      </w:r>
      <w:r>
        <w:t>i</w:t>
      </w:r>
      <w:r>
        <w:t>to de continuar la labor iniciada; los objetivos de a</w:t>
      </w:r>
      <w:r>
        <w:t>m</w:t>
      </w:r>
      <w:r>
        <w:t>bos proyectos son prevenir la prostitución de menores, inclusive el turismo con fines sexuales, examinar el a</w:t>
      </w:r>
      <w:r>
        <w:t>l</w:t>
      </w:r>
      <w:r>
        <w:t xml:space="preserve">cance del fenómeno y fomentar la cooperación y la creación de redes entre las autoridades competentes tanto en el plano nacional como en el internacional. </w:t>
      </w:r>
    </w:p>
    <w:p w:rsidR="00391B0E" w:rsidRDefault="00391B0E">
      <w:pPr>
        <w:pStyle w:val="DualTxt"/>
        <w:rPr>
          <w:i/>
          <w:iCs/>
        </w:rPr>
      </w:pPr>
      <w:r>
        <w:rPr>
          <w:i/>
          <w:iCs/>
        </w:rPr>
        <w:t>Se levanta la sesión a las 13.05 horas.</w:t>
      </w:r>
    </w:p>
    <w:sectPr w:rsidR="00391B0E">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9T11:37:00Z" w:initials="Start">
    <w:p w:rsidR="004B583A" w:rsidRPr="004B583A" w:rsidRDefault="004B583A">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Pr="004B583A">
        <w:rPr>
          <w:lang w:val="en-US"/>
        </w:rPr>
        <w:t>&lt;&lt;ODS JOB NO&gt;&gt;N0122112S&lt;&lt;ODS JOB NO&gt;&gt;</w:t>
      </w:r>
    </w:p>
    <w:p w:rsidR="004B583A" w:rsidRPr="004B583A" w:rsidRDefault="004B583A">
      <w:pPr>
        <w:pStyle w:val="CommentText"/>
        <w:rPr>
          <w:lang w:val="en-US"/>
        </w:rPr>
      </w:pPr>
      <w:r w:rsidRPr="004B583A">
        <w:rPr>
          <w:lang w:val="en-US"/>
        </w:rPr>
        <w:t>&lt;&lt;ODS DOC SYMBOL1&gt;&gt;CEDAW/C/SR.494&lt;&lt;ODS DOC SYMBOL1&gt;&gt;</w:t>
      </w:r>
    </w:p>
    <w:p w:rsidR="004B583A" w:rsidRDefault="004B583A">
      <w:pPr>
        <w:pStyle w:val="CommentText"/>
        <w:rPr>
          <w:lang w:val="en-US"/>
        </w:rPr>
      </w:pPr>
      <w:r w:rsidRPr="004B583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5FA" w:rsidRDefault="00EA05FA" w:rsidP="00391B0E">
      <w:r>
        <w:separator/>
      </w:r>
    </w:p>
  </w:endnote>
  <w:endnote w:type="continuationSeparator" w:id="0">
    <w:p w:rsidR="00EA05FA" w:rsidRDefault="00EA05FA" w:rsidP="0039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P TypographicSymbols">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583A">
      <w:tblPrEx>
        <w:tblCellMar>
          <w:top w:w="0" w:type="dxa"/>
          <w:bottom w:w="0" w:type="dxa"/>
        </w:tblCellMar>
      </w:tblPrEx>
      <w:tc>
        <w:tcPr>
          <w:tcW w:w="5033" w:type="dxa"/>
          <w:vAlign w:val="bottom"/>
        </w:tcPr>
        <w:p w:rsidR="004B583A" w:rsidRDefault="004B583A">
          <w:pPr>
            <w:pStyle w:val="Footer"/>
          </w:pPr>
          <w:r>
            <w:rPr>
              <w:rStyle w:val="PageNumber"/>
            </w:rPr>
            <w:fldChar w:fldCharType="begin"/>
          </w:r>
          <w:r>
            <w:rPr>
              <w:rStyle w:val="PageNumber"/>
            </w:rPr>
            <w:instrText xml:space="preserve"> PAGE </w:instrText>
          </w:r>
          <w:r>
            <w:rPr>
              <w:rStyle w:val="PageNumber"/>
            </w:rPr>
            <w:fldChar w:fldCharType="separate"/>
          </w:r>
          <w:r w:rsidR="00C44AFC">
            <w:rPr>
              <w:rStyle w:val="PageNumber"/>
            </w:rPr>
            <w:t>2</w:t>
          </w:r>
          <w:r>
            <w:rPr>
              <w:rStyle w:val="PageNumber"/>
            </w:rPr>
            <w:fldChar w:fldCharType="end"/>
          </w:r>
        </w:p>
      </w:tc>
      <w:tc>
        <w:tcPr>
          <w:tcW w:w="5033" w:type="dxa"/>
          <w:vAlign w:val="bottom"/>
        </w:tcPr>
        <w:p w:rsidR="004B583A" w:rsidRDefault="004B583A">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0122112s.doc</w:t>
          </w:r>
          <w:r>
            <w:rPr>
              <w:b w:val="0"/>
              <w:sz w:val="14"/>
            </w:rPr>
            <w:fldChar w:fldCharType="end"/>
          </w:r>
        </w:p>
      </w:tc>
    </w:tr>
  </w:tbl>
  <w:p w:rsidR="004B583A" w:rsidRDefault="004B58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583A">
      <w:tblPrEx>
        <w:tblCellMar>
          <w:top w:w="0" w:type="dxa"/>
          <w:bottom w:w="0" w:type="dxa"/>
        </w:tblCellMar>
      </w:tblPrEx>
      <w:tc>
        <w:tcPr>
          <w:tcW w:w="5033" w:type="dxa"/>
          <w:vAlign w:val="bottom"/>
        </w:tcPr>
        <w:p w:rsidR="004B583A" w:rsidRDefault="004B583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0122112s.doc</w:t>
          </w:r>
          <w:r>
            <w:rPr>
              <w:b w:val="0"/>
              <w:sz w:val="14"/>
            </w:rPr>
            <w:fldChar w:fldCharType="end"/>
          </w:r>
        </w:p>
      </w:tc>
      <w:tc>
        <w:tcPr>
          <w:tcW w:w="5033" w:type="dxa"/>
          <w:vAlign w:val="bottom"/>
        </w:tcPr>
        <w:p w:rsidR="004B583A" w:rsidRDefault="004B583A">
          <w:pPr>
            <w:pStyle w:val="Footer"/>
            <w:jc w:val="right"/>
            <w:rPr>
              <w:bCs/>
              <w:sz w:val="14"/>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tc>
    </w:tr>
  </w:tbl>
  <w:p w:rsidR="004B583A" w:rsidRDefault="004B58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83A" w:rsidRDefault="004B583A">
    <w:pPr>
      <w:pStyle w:val="Footer"/>
      <w:pBdr>
        <w:top w:val="single" w:sz="2" w:space="1" w:color="auto"/>
      </w:pBdr>
      <w:rPr>
        <w:sz w:val="2"/>
      </w:rPr>
    </w:pPr>
  </w:p>
  <w:p w:rsidR="004B583A" w:rsidRDefault="004B583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B583A" w:rsidRDefault="004B583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B583A" w:rsidRDefault="004B583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B583A" w:rsidRDefault="004B583A">
    <w:pPr>
      <w:pStyle w:val="FootnoteText"/>
      <w:spacing w:line="120" w:lineRule="exact"/>
      <w:ind w:left="1267" w:right="1267" w:firstLine="0"/>
      <w:rPr>
        <w:sz w:val="10"/>
      </w:rPr>
    </w:pPr>
  </w:p>
  <w:p w:rsidR="004B583A" w:rsidRDefault="004B583A">
    <w:pPr>
      <w:pStyle w:val="Footer"/>
      <w:rPr>
        <w:b w:val="0"/>
        <w:sz w:val="20"/>
      </w:rPr>
    </w:pPr>
    <w:r>
      <w:rPr>
        <w:b w:val="0"/>
        <w:sz w:val="20"/>
      </w:rPr>
      <w:t>01-22112 (S)</w:t>
    </w:r>
  </w:p>
  <w:p w:rsidR="004B583A" w:rsidRPr="00EB1DEF" w:rsidRDefault="004B583A" w:rsidP="00EB1DEF">
    <w:pPr>
      <w:pStyle w:val="Footer"/>
      <w:spacing w:before="120" w:line="240" w:lineRule="exact"/>
      <w:rPr>
        <w:rFonts w:ascii="Barcode 3 of 9 by request" w:hAnsi="Barcode 3 of 9 by request"/>
        <w:b w:val="0"/>
        <w:sz w:val="24"/>
      </w:rPr>
    </w:pPr>
    <w:r w:rsidRPr="00EB1DEF">
      <w:rPr>
        <w:rFonts w:ascii="Barcode 3 of 9 by request" w:hAnsi="Barcode 3 of 9 by request"/>
        <w:b w:val="0"/>
        <w:sz w:val="24"/>
      </w:rPr>
      <w:t>*0122112*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5FA" w:rsidRDefault="00EA05FA" w:rsidP="00391B0E">
      <w:r>
        <w:separator/>
      </w:r>
    </w:p>
  </w:footnote>
  <w:footnote w:type="continuationSeparator" w:id="0">
    <w:p w:rsidR="00EA05FA" w:rsidRDefault="00EA05FA" w:rsidP="0039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83A" w:rsidRDefault="004B583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583A">
                  <w:tblPrEx>
                    <w:tblCellMar>
                      <w:top w:w="0" w:type="dxa"/>
                      <w:bottom w:w="0" w:type="dxa"/>
                    </w:tblCellMar>
                  </w:tblPrEx>
                  <w:trPr>
                    <w:trHeight w:hRule="exact" w:val="864"/>
                  </w:trPr>
                  <w:tc>
                    <w:tcPr>
                      <w:tcW w:w="4838" w:type="dxa"/>
                      <w:vAlign w:val="bottom"/>
                    </w:tcPr>
                    <w:p w:rsidR="004B583A" w:rsidRDefault="004B583A">
                      <w:pPr>
                        <w:pStyle w:val="Header"/>
                        <w:spacing w:after="80"/>
                        <w:rPr>
                          <w:b/>
                        </w:rPr>
                      </w:pPr>
                      <w:r>
                        <w:rPr>
                          <w:b/>
                        </w:rPr>
                        <w:t>CEDAW/C/SR.494</w:t>
                      </w:r>
                    </w:p>
                  </w:tc>
                  <w:tc>
                    <w:tcPr>
                      <w:tcW w:w="5048" w:type="dxa"/>
                      <w:vAlign w:val="bottom"/>
                    </w:tcPr>
                    <w:p w:rsidR="004B583A" w:rsidRDefault="004B583A">
                      <w:pPr>
                        <w:pStyle w:val="Header"/>
                      </w:pPr>
                    </w:p>
                  </w:tc>
                </w:tr>
              </w:tbl>
              <w:p w:rsidR="004B583A" w:rsidRDefault="004B583A">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83A" w:rsidRDefault="004B583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B583A">
                  <w:tblPrEx>
                    <w:tblCellMar>
                      <w:top w:w="0" w:type="dxa"/>
                      <w:bottom w:w="0" w:type="dxa"/>
                    </w:tblCellMar>
                  </w:tblPrEx>
                  <w:trPr>
                    <w:trHeight w:hRule="exact" w:val="864"/>
                  </w:trPr>
                  <w:tc>
                    <w:tcPr>
                      <w:tcW w:w="4838" w:type="dxa"/>
                      <w:vAlign w:val="bottom"/>
                    </w:tcPr>
                    <w:p w:rsidR="004B583A" w:rsidRDefault="004B583A">
                      <w:pPr>
                        <w:pStyle w:val="Header"/>
                      </w:pPr>
                    </w:p>
                  </w:tc>
                  <w:tc>
                    <w:tcPr>
                      <w:tcW w:w="5048" w:type="dxa"/>
                      <w:vAlign w:val="bottom"/>
                    </w:tcPr>
                    <w:p w:rsidR="004B583A" w:rsidRDefault="004B583A">
                      <w:pPr>
                        <w:pStyle w:val="Header"/>
                        <w:spacing w:after="80"/>
                        <w:jc w:val="right"/>
                        <w:rPr>
                          <w:b/>
                        </w:rPr>
                      </w:pPr>
                      <w:r>
                        <w:rPr>
                          <w:b/>
                        </w:rPr>
                        <w:t>CEDAW/C/SR.494</w:t>
                      </w:r>
                    </w:p>
                  </w:tc>
                </w:tr>
              </w:tbl>
              <w:p w:rsidR="004B583A" w:rsidRDefault="004B583A">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B583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B583A" w:rsidRDefault="004B583A">
          <w:pPr>
            <w:pStyle w:val="Header"/>
            <w:spacing w:after="120"/>
          </w:pPr>
        </w:p>
      </w:tc>
      <w:tc>
        <w:tcPr>
          <w:tcW w:w="2059" w:type="dxa"/>
          <w:tcBorders>
            <w:top w:val="nil"/>
            <w:left w:val="nil"/>
            <w:bottom w:val="single" w:sz="4" w:space="0" w:color="auto"/>
            <w:right w:val="nil"/>
          </w:tcBorders>
          <w:vAlign w:val="bottom"/>
        </w:tcPr>
        <w:p w:rsidR="004B583A" w:rsidRDefault="004B583A">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4B583A" w:rsidRDefault="004B583A">
          <w:pPr>
            <w:pStyle w:val="Header"/>
            <w:spacing w:after="120"/>
          </w:pPr>
        </w:p>
      </w:tc>
      <w:tc>
        <w:tcPr>
          <w:tcW w:w="6523" w:type="dxa"/>
          <w:gridSpan w:val="3"/>
          <w:tcBorders>
            <w:top w:val="nil"/>
            <w:left w:val="nil"/>
            <w:bottom w:val="single" w:sz="4" w:space="0" w:color="auto"/>
            <w:right w:val="nil"/>
          </w:tcBorders>
          <w:vAlign w:val="bottom"/>
        </w:tcPr>
        <w:p w:rsidR="004B583A" w:rsidRPr="004B583A" w:rsidRDefault="004B583A" w:rsidP="004B583A">
          <w:pPr>
            <w:spacing w:line="240" w:lineRule="auto"/>
            <w:jc w:val="right"/>
            <w:rPr>
              <w:position w:val="-4"/>
            </w:rPr>
          </w:pPr>
          <w:r>
            <w:rPr>
              <w:position w:val="-4"/>
              <w:sz w:val="40"/>
            </w:rPr>
            <w:t>CEDAW</w:t>
          </w:r>
          <w:r>
            <w:rPr>
              <w:position w:val="-4"/>
            </w:rPr>
            <w:t>/C/SR.494</w:t>
          </w:r>
        </w:p>
      </w:tc>
    </w:tr>
    <w:tr w:rsidR="004B583A">
      <w:tblPrEx>
        <w:tblCellMar>
          <w:top w:w="0" w:type="dxa"/>
          <w:bottom w:w="0" w:type="dxa"/>
        </w:tblCellMar>
      </w:tblPrEx>
      <w:trPr>
        <w:trHeight w:hRule="exact" w:val="2880"/>
      </w:trPr>
      <w:tc>
        <w:tcPr>
          <w:tcW w:w="1267" w:type="dxa"/>
          <w:tcBorders>
            <w:left w:val="nil"/>
            <w:bottom w:val="single" w:sz="12" w:space="0" w:color="auto"/>
            <w:right w:val="nil"/>
          </w:tcBorders>
        </w:tcPr>
        <w:p w:rsidR="004B583A" w:rsidRDefault="004B583A">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583A" w:rsidRDefault="004B583A">
          <w:pPr>
            <w:pStyle w:val="Header"/>
            <w:spacing w:before="109"/>
            <w:rPr>
              <w:lang w:val="es-ES"/>
            </w:rPr>
          </w:pPr>
        </w:p>
      </w:tc>
      <w:tc>
        <w:tcPr>
          <w:tcW w:w="5227" w:type="dxa"/>
          <w:gridSpan w:val="3"/>
          <w:tcBorders>
            <w:left w:val="nil"/>
            <w:bottom w:val="single" w:sz="12" w:space="0" w:color="auto"/>
            <w:right w:val="nil"/>
          </w:tcBorders>
        </w:tcPr>
        <w:p w:rsidR="004B583A" w:rsidRDefault="004B583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B583A" w:rsidRDefault="004B583A">
          <w:pPr>
            <w:pStyle w:val="Header"/>
            <w:spacing w:before="109"/>
            <w:rPr>
              <w:lang w:val="es-ES"/>
            </w:rPr>
          </w:pPr>
        </w:p>
      </w:tc>
      <w:tc>
        <w:tcPr>
          <w:tcW w:w="3180" w:type="dxa"/>
          <w:gridSpan w:val="2"/>
          <w:tcBorders>
            <w:left w:val="nil"/>
            <w:bottom w:val="single" w:sz="12" w:space="0" w:color="auto"/>
            <w:right w:val="nil"/>
          </w:tcBorders>
        </w:tcPr>
        <w:p w:rsidR="004B583A" w:rsidRDefault="004B583A">
          <w:pPr>
            <w:spacing w:before="240"/>
          </w:pPr>
          <w:r>
            <w:t>Distr. general</w:t>
          </w:r>
        </w:p>
        <w:p w:rsidR="004B583A" w:rsidRDefault="004B583A">
          <w:r>
            <w:t>26 de marzo de 2001</w:t>
          </w:r>
        </w:p>
        <w:p w:rsidR="004B583A" w:rsidRDefault="004B583A">
          <w:r>
            <w:t>Español</w:t>
          </w:r>
        </w:p>
        <w:p w:rsidR="004B583A" w:rsidRDefault="004B583A">
          <w:r>
            <w:t>Original: inglés</w:t>
          </w:r>
        </w:p>
      </w:tc>
    </w:tr>
  </w:tbl>
  <w:p w:rsidR="004B583A" w:rsidRDefault="004B583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82F31"/>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1">
    <w:nsid w:val="303B154D"/>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2">
    <w:nsid w:val="7C8963EF"/>
    <w:multiLevelType w:val="singleLevel"/>
    <w:tmpl w:val="B1685AC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spacing w:val="0"/>
          <w:w w:val="100"/>
        </w:rPr>
      </w:lvl>
    </w:lvlOverride>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3/06 8:42: PM"/>
    <w:docVar w:name="DocCategory" w:val="SROthers"/>
    <w:docVar w:name="DocType" w:val="Final"/>
    <w:docVar w:name="JobNo" w:val="0121833S"/>
    <w:docVar w:name="OandT" w:val="PB"/>
    <w:docVar w:name="sss1" w:val="CEDAW/C/SR.494"/>
    <w:docVar w:name="Symbol1" w:val="CEDAW/C/SR.494"/>
    <w:docVar w:name="Symbol2" w:val="-"/>
  </w:docVars>
  <w:rsids>
    <w:rsidRoot w:val="00FD16D8"/>
    <w:rsid w:val="00391B0E"/>
    <w:rsid w:val="004B583A"/>
    <w:rsid w:val="00B63403"/>
    <w:rsid w:val="00BC1EFD"/>
    <w:rsid w:val="00C44AFC"/>
    <w:rsid w:val="00EA05FA"/>
    <w:rsid w:val="00EB1DEF"/>
    <w:rsid w:val="00FD16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FD16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5663</Words>
  <Characters>29391</Characters>
  <Application>Microsoft Office Word</Application>
  <DocSecurity>4</DocSecurity>
  <Lines>699</Lines>
  <Paragraphs>72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34982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piedad</dc:creator>
  <cp:keywords/>
  <dc:description/>
  <cp:lastModifiedBy>GACM User</cp:lastModifiedBy>
  <cp:revision>10</cp:revision>
  <cp:lastPrinted>2006-06-29T10:08:00Z</cp:lastPrinted>
  <dcterms:created xsi:type="dcterms:W3CDTF">2006-06-29T10:07:00Z</dcterms:created>
  <dcterms:modified xsi:type="dcterms:W3CDTF">2006-06-29T10:38:00Z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0121833</vt:lpwstr>
  </property>
  <property fmtid="{D5CDD505-2E9C-101B-9397-08002B2CF9AE}" pid="3" name="Symbol2">
    <vt:lpwstr/>
  </property>
  <property fmtid="{D5CDD505-2E9C-101B-9397-08002B2CF9AE}" pid="4" name="Translator">
    <vt:lpwstr/>
  </property>
  <property fmtid="{D5CDD505-2E9C-101B-9397-08002B2CF9AE}" pid="5" name="Symbol1">
    <vt:lpwstr>CEDAW/C/SR.494</vt:lpwstr>
  </property>
  <property fmtid="{D5CDD505-2E9C-101B-9397-08002B2CF9AE}" pid="6" name="sss1">
    <vt:lpwstr>CEDAW/C/SR.494</vt:lpwstr>
  </property>
  <property fmtid="{D5CDD505-2E9C-101B-9397-08002B2CF9AE}" pid="7" name="Comment">
    <vt:lpwstr/>
  </property>
  <property fmtid="{D5CDD505-2E9C-101B-9397-08002B2CF9AE}" pid="8" name="DraftPages">
    <vt:lpwstr>8</vt:lpwstr>
  </property>
  <property fmtid="{D5CDD505-2E9C-101B-9397-08002B2CF9AE}" pid="9" name="Operator">
    <vt:lpwstr>mtdk</vt:lpwstr>
  </property>
</Properties>
</file>