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C3F11" w:rsidTr="002834B6">
        <w:trPr>
          <w:trHeight w:hRule="exact" w:val="851"/>
        </w:trPr>
        <w:tc>
          <w:tcPr>
            <w:tcW w:w="1276" w:type="dxa"/>
            <w:tcBorders>
              <w:bottom w:val="single" w:sz="4" w:space="0" w:color="auto"/>
            </w:tcBorders>
            <w:vAlign w:val="bottom"/>
          </w:tcPr>
          <w:p w:rsidR="00B56E9C" w:rsidRPr="002C3F11" w:rsidRDefault="00B56E9C" w:rsidP="002C3F11">
            <w:pPr>
              <w:spacing w:line="20" w:lineRule="exact"/>
              <w:rPr>
                <w:sz w:val="2"/>
              </w:rPr>
            </w:pPr>
          </w:p>
          <w:p w:rsidR="002C3F11" w:rsidRDefault="002C3F11"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3A1DC2" w:rsidRDefault="00EA247E" w:rsidP="006E5549">
            <w:pPr>
              <w:jc w:val="right"/>
              <w:rPr>
                <w:lang w:val="fr-CH"/>
              </w:rPr>
            </w:pPr>
            <w:r w:rsidRPr="003A1DC2">
              <w:rPr>
                <w:sz w:val="40"/>
                <w:lang w:val="fr-CH"/>
              </w:rPr>
              <w:t>CAT</w:t>
            </w:r>
            <w:r w:rsidR="005960D2" w:rsidRPr="003A1DC2">
              <w:rPr>
                <w:lang w:val="fr-CH"/>
              </w:rPr>
              <w:t>/C/</w:t>
            </w:r>
            <w:r w:rsidR="00D848E9" w:rsidRPr="003A1DC2">
              <w:rPr>
                <w:lang w:val="fr-CH"/>
              </w:rPr>
              <w:t>POL</w:t>
            </w:r>
            <w:r w:rsidRPr="003A1DC2">
              <w:rPr>
                <w:lang w:val="fr-CH"/>
              </w:rPr>
              <w:t>/QPR/</w:t>
            </w:r>
            <w:r w:rsidR="00D848E9" w:rsidRPr="003A1DC2">
              <w:rPr>
                <w:lang w:val="fr-CH"/>
              </w:rPr>
              <w:t>7</w:t>
            </w:r>
          </w:p>
        </w:tc>
      </w:tr>
      <w:tr w:rsidR="00B56E9C" w:rsidTr="00B6553F">
        <w:trPr>
          <w:cantSplit/>
          <w:trHeight w:hRule="exact" w:val="2835"/>
        </w:trPr>
        <w:tc>
          <w:tcPr>
            <w:tcW w:w="1276" w:type="dxa"/>
            <w:tcBorders>
              <w:top w:val="single" w:sz="4" w:space="0" w:color="auto"/>
              <w:bottom w:val="single" w:sz="12" w:space="0" w:color="auto"/>
            </w:tcBorders>
          </w:tcPr>
          <w:p w:rsidR="00C15C5A" w:rsidRPr="00C15C5A" w:rsidRDefault="00C15C5A" w:rsidP="00C15C5A">
            <w:pPr>
              <w:spacing w:line="20" w:lineRule="exact"/>
              <w:rPr>
                <w:sz w:val="2"/>
              </w:rPr>
            </w:pPr>
            <w:r>
              <w:rPr>
                <w:rStyle w:val="CommentReference"/>
              </w:rPr>
              <w:commentReference w:id="0"/>
            </w:r>
          </w:p>
          <w:p w:rsidR="00B56E9C" w:rsidRDefault="002C3F11" w:rsidP="00B6553F">
            <w:pPr>
              <w:spacing w:before="120"/>
            </w:pPr>
            <w:r>
              <w:rPr>
                <w:noProof/>
                <w:lang w:val="en-US" w:eastAsia="zh-CN"/>
              </w:rPr>
              <w:drawing>
                <wp:inline distT="0" distB="0" distL="0" distR="0" wp14:anchorId="2B4108F6" wp14:editId="79019756">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A247E" w:rsidP="00EA247E">
            <w:pPr>
              <w:spacing w:before="240" w:line="240" w:lineRule="exact"/>
            </w:pPr>
            <w:r>
              <w:t xml:space="preserve">Distr.: </w:t>
            </w:r>
            <w:r w:rsidR="006E5549">
              <w:t xml:space="preserve">General </w:t>
            </w:r>
          </w:p>
          <w:p w:rsidR="00EA247E" w:rsidRDefault="00040128" w:rsidP="005960D2">
            <w:pPr>
              <w:pStyle w:val="Heading5"/>
            </w:pPr>
            <w:r>
              <w:t xml:space="preserve">12 January </w:t>
            </w:r>
            <w:r w:rsidR="00EA247E">
              <w:t>201</w:t>
            </w:r>
            <w:r>
              <w:t>6</w:t>
            </w:r>
          </w:p>
          <w:p w:rsidR="00EA247E" w:rsidRDefault="00EA247E" w:rsidP="00EA247E">
            <w:pPr>
              <w:spacing w:line="240" w:lineRule="exact"/>
            </w:pPr>
          </w:p>
          <w:p w:rsidR="00EA247E" w:rsidRDefault="00EA247E" w:rsidP="00EA247E">
            <w:pPr>
              <w:spacing w:line="240" w:lineRule="exact"/>
            </w:pPr>
            <w:r>
              <w:t>Original: English</w:t>
            </w:r>
          </w:p>
          <w:p w:rsidR="005960D2" w:rsidRDefault="005960D2" w:rsidP="00EA247E">
            <w:pPr>
              <w:spacing w:line="240" w:lineRule="exact"/>
            </w:pPr>
            <w:r>
              <w:t>English, French and Spanish only</w:t>
            </w:r>
          </w:p>
        </w:tc>
      </w:tr>
    </w:tbl>
    <w:p w:rsidR="00EA247E" w:rsidRDefault="00EA247E" w:rsidP="00EF34AD">
      <w:pPr>
        <w:suppressAutoHyphens w:val="0"/>
        <w:spacing w:before="80" w:line="240" w:lineRule="auto"/>
        <w:rPr>
          <w:b/>
          <w:sz w:val="24"/>
          <w:szCs w:val="24"/>
          <w:lang w:val="en-US"/>
        </w:rPr>
      </w:pPr>
      <w:r>
        <w:rPr>
          <w:b/>
          <w:sz w:val="24"/>
          <w:szCs w:val="24"/>
          <w:lang w:val="en-US"/>
        </w:rPr>
        <w:t>Committee against Torture</w:t>
      </w:r>
    </w:p>
    <w:p w:rsidR="00442A83" w:rsidRDefault="00EA247E" w:rsidP="00214D6D">
      <w:pPr>
        <w:pStyle w:val="HChG"/>
        <w:spacing w:before="240" w:after="220"/>
      </w:pPr>
      <w:r>
        <w:tab/>
      </w:r>
      <w:r>
        <w:tab/>
        <w:t>List of issues p</w:t>
      </w:r>
      <w:r w:rsidR="00D848E9">
        <w:t>rior to submission of the seventh periodic report of Poland</w:t>
      </w:r>
      <w:r w:rsidR="00F32106" w:rsidRPr="002C3F11">
        <w:rPr>
          <w:b w:val="0"/>
          <w:bCs/>
          <w:sz w:val="20"/>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A247E" w:rsidTr="00173EEB">
        <w:trPr>
          <w:trHeight w:hRule="exact" w:val="240"/>
          <w:jc w:val="center"/>
        </w:trPr>
        <w:tc>
          <w:tcPr>
            <w:tcW w:w="7654" w:type="dxa"/>
            <w:tcBorders>
              <w:top w:val="single" w:sz="4" w:space="0" w:color="auto"/>
            </w:tcBorders>
            <w:shd w:val="clear" w:color="auto" w:fill="auto"/>
          </w:tcPr>
          <w:p w:rsidR="00EA247E" w:rsidRDefault="00EA247E" w:rsidP="00173EEB">
            <w:pPr>
              <w:suppressAutoHyphens w:val="0"/>
              <w:spacing w:line="240" w:lineRule="auto"/>
            </w:pPr>
          </w:p>
        </w:tc>
      </w:tr>
      <w:tr w:rsidR="00EA247E" w:rsidTr="00173EEB">
        <w:trPr>
          <w:jc w:val="center"/>
        </w:trPr>
        <w:tc>
          <w:tcPr>
            <w:tcW w:w="7654" w:type="dxa"/>
            <w:tcBorders>
              <w:bottom w:val="nil"/>
            </w:tcBorders>
            <w:shd w:val="clear" w:color="auto" w:fill="auto"/>
            <w:tcMar>
              <w:left w:w="142" w:type="dxa"/>
              <w:right w:w="142" w:type="dxa"/>
            </w:tcMar>
          </w:tcPr>
          <w:p w:rsidR="00EA247E" w:rsidRDefault="00EA247E" w:rsidP="00173EEB">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EA247E" w:rsidTr="00173EEB">
        <w:trPr>
          <w:trHeight w:hRule="exact" w:val="20"/>
          <w:jc w:val="center"/>
        </w:trPr>
        <w:tc>
          <w:tcPr>
            <w:tcW w:w="7654" w:type="dxa"/>
            <w:tcBorders>
              <w:bottom w:val="single" w:sz="4" w:space="0" w:color="auto"/>
            </w:tcBorders>
            <w:shd w:val="clear" w:color="auto" w:fill="auto"/>
          </w:tcPr>
          <w:p w:rsidR="00EA247E" w:rsidRDefault="00EA247E" w:rsidP="00173EEB">
            <w:pPr>
              <w:suppressAutoHyphens w:val="0"/>
              <w:spacing w:line="240" w:lineRule="auto"/>
            </w:pPr>
          </w:p>
        </w:tc>
      </w:tr>
    </w:tbl>
    <w:p w:rsidR="00EA247E" w:rsidRPr="00A414FE" w:rsidRDefault="00EA247E" w:rsidP="00EF34AD">
      <w:pPr>
        <w:pStyle w:val="H23G"/>
        <w:spacing w:before="200" w:after="100"/>
        <w:rPr>
          <w:sz w:val="24"/>
          <w:szCs w:val="24"/>
        </w:rPr>
      </w:pPr>
      <w:r>
        <w:tab/>
      </w:r>
      <w:r>
        <w:tab/>
      </w:r>
      <w:r w:rsidRPr="00A414FE">
        <w:rPr>
          <w:sz w:val="24"/>
          <w:szCs w:val="24"/>
        </w:rPr>
        <w:t xml:space="preserve">Specific </w:t>
      </w:r>
      <w:r w:rsidR="00040128">
        <w:rPr>
          <w:sz w:val="24"/>
          <w:szCs w:val="24"/>
        </w:rPr>
        <w:t>i</w:t>
      </w:r>
      <w:r w:rsidRPr="00A414FE">
        <w:rPr>
          <w:sz w:val="24"/>
          <w:szCs w:val="24"/>
        </w:rPr>
        <w:t>nformation on the implementation of articles 1</w:t>
      </w:r>
      <w:r w:rsidR="00040128">
        <w:rPr>
          <w:sz w:val="24"/>
          <w:szCs w:val="24"/>
        </w:rPr>
        <w:t>-</w:t>
      </w:r>
      <w:r w:rsidRPr="00A414FE">
        <w:rPr>
          <w:sz w:val="24"/>
          <w:szCs w:val="24"/>
        </w:rPr>
        <w:t>16 of the Convention, including with regard to the Committee’s previous recommendations</w:t>
      </w:r>
    </w:p>
    <w:p w:rsidR="00D848E9" w:rsidRPr="00F45BF4" w:rsidRDefault="00EA247E" w:rsidP="00E9042B">
      <w:pPr>
        <w:pStyle w:val="H23G"/>
        <w:spacing w:before="200" w:after="80"/>
        <w:rPr>
          <w:rFonts w:eastAsia="Malgun Gothic"/>
        </w:rPr>
      </w:pPr>
      <w:r>
        <w:tab/>
      </w:r>
      <w:r>
        <w:tab/>
      </w:r>
      <w:r w:rsidR="00D848E9" w:rsidRPr="00F45BF4">
        <w:rPr>
          <w:rFonts w:eastAsia="Malgun Gothic"/>
        </w:rPr>
        <w:t>Articles 1 and 4</w:t>
      </w:r>
    </w:p>
    <w:p w:rsidR="00D848E9" w:rsidRDefault="00EF34AD" w:rsidP="00EF34AD">
      <w:pPr>
        <w:pStyle w:val="SingleTxtG"/>
        <w:rPr>
          <w:rFonts w:eastAsia="Malgun Gothic"/>
          <w:lang w:eastAsia="es-ES"/>
        </w:rPr>
      </w:pPr>
      <w:r>
        <w:rPr>
          <w:rFonts w:eastAsia="Malgun Gothic"/>
          <w:lang w:eastAsia="es-ES"/>
        </w:rPr>
        <w:t>1.</w:t>
      </w:r>
      <w:r>
        <w:rPr>
          <w:rFonts w:eastAsia="Malgun Gothic"/>
          <w:lang w:eastAsia="es-ES"/>
        </w:rPr>
        <w:tab/>
      </w:r>
      <w:r w:rsidR="00D848E9" w:rsidRPr="00F45BF4">
        <w:rPr>
          <w:rFonts w:eastAsia="Malgun Gothic"/>
          <w:lang w:eastAsia="es-ES"/>
        </w:rPr>
        <w:t xml:space="preserve">With reference </w:t>
      </w:r>
      <w:r w:rsidR="00D848E9">
        <w:rPr>
          <w:rFonts w:eastAsia="Malgun Gothic"/>
          <w:lang w:eastAsia="es-ES"/>
        </w:rPr>
        <w:t>to the Committee’s previous concluding observat</w:t>
      </w:r>
      <w:bookmarkStart w:id="1" w:name="_GoBack"/>
      <w:bookmarkEnd w:id="1"/>
      <w:r w:rsidR="00D848E9">
        <w:rPr>
          <w:rFonts w:eastAsia="Malgun Gothic"/>
          <w:lang w:eastAsia="es-ES"/>
        </w:rPr>
        <w:t>ions (</w:t>
      </w:r>
      <w:r w:rsidR="00EC360E">
        <w:rPr>
          <w:rFonts w:eastAsia="Malgun Gothic"/>
          <w:lang w:eastAsia="es-ES"/>
        </w:rPr>
        <w:t xml:space="preserve">see </w:t>
      </w:r>
      <w:r w:rsidR="00EC360E" w:rsidRPr="00EC360E">
        <w:rPr>
          <w:rFonts w:eastAsia="Malgun Gothic"/>
          <w:lang w:eastAsia="es-ES"/>
        </w:rPr>
        <w:t>CAT/C/POL/CO/5-6</w:t>
      </w:r>
      <w:r w:rsidR="00EC360E">
        <w:rPr>
          <w:rFonts w:eastAsia="Malgun Gothic"/>
          <w:lang w:eastAsia="es-ES"/>
        </w:rPr>
        <w:t xml:space="preserve">, </w:t>
      </w:r>
      <w:r w:rsidR="00D848E9">
        <w:rPr>
          <w:rFonts w:eastAsia="Malgun Gothic"/>
          <w:lang w:eastAsia="es-ES"/>
        </w:rPr>
        <w:t>para. 7)</w:t>
      </w:r>
      <w:r w:rsidR="006749D2">
        <w:rPr>
          <w:rFonts w:eastAsia="Malgun Gothic"/>
          <w:lang w:eastAsia="es-ES"/>
        </w:rPr>
        <w:t>,</w:t>
      </w:r>
      <w:r w:rsidR="00D848E9" w:rsidRPr="006749D2">
        <w:rPr>
          <w:rStyle w:val="FootnoteReference"/>
          <w:rFonts w:eastAsia="Malgun Gothic"/>
        </w:rPr>
        <w:footnoteReference w:id="3"/>
      </w:r>
      <w:r w:rsidR="00D848E9">
        <w:rPr>
          <w:rFonts w:eastAsia="Malgun Gothic"/>
          <w:lang w:eastAsia="es-ES"/>
        </w:rPr>
        <w:t xml:space="preserve"> please provide detailed information on the measures taken to adopt a definition of torture in domestic penal law consistent with article 1 of the Convention. Please indicate the measures adopted by the State party to include torture as a separate and specific crime in its legislation and to ensure that such crimes are punished with appropriate</w:t>
      </w:r>
      <w:r w:rsidR="00D848E9" w:rsidRPr="00156419">
        <w:rPr>
          <w:rFonts w:eastAsia="Malgun Gothic"/>
          <w:i/>
          <w:lang w:eastAsia="es-ES"/>
        </w:rPr>
        <w:t xml:space="preserve"> </w:t>
      </w:r>
      <w:r w:rsidR="00D848E9" w:rsidRPr="00F53C21">
        <w:rPr>
          <w:rFonts w:eastAsia="Malgun Gothic"/>
          <w:lang w:eastAsia="es-ES"/>
        </w:rPr>
        <w:t>sentences</w:t>
      </w:r>
      <w:r w:rsidR="00D848E9">
        <w:rPr>
          <w:rFonts w:eastAsia="Malgun Gothic"/>
          <w:lang w:eastAsia="es-ES"/>
        </w:rPr>
        <w:t xml:space="preserve">, which take into account their seriousness, in accordance with the provisions of the Convention. </w:t>
      </w:r>
    </w:p>
    <w:p w:rsidR="00D848E9" w:rsidRPr="00EF34AD" w:rsidRDefault="005F5170" w:rsidP="00E9042B">
      <w:pPr>
        <w:pStyle w:val="H23G"/>
        <w:spacing w:before="160" w:after="80"/>
        <w:rPr>
          <w:rFonts w:eastAsia="Malgun Gothic"/>
          <w:b w:val="0"/>
          <w:bCs/>
          <w:lang w:eastAsia="es-ES"/>
        </w:rPr>
      </w:pPr>
      <w:r>
        <w:rPr>
          <w:rFonts w:eastAsia="Malgun Gothic"/>
          <w:lang w:eastAsia="es-ES"/>
        </w:rPr>
        <w:tab/>
      </w:r>
      <w:r>
        <w:rPr>
          <w:rFonts w:eastAsia="Malgun Gothic"/>
          <w:lang w:eastAsia="es-ES"/>
        </w:rPr>
        <w:tab/>
      </w:r>
      <w:r w:rsidR="00D848E9">
        <w:rPr>
          <w:rFonts w:eastAsia="Malgun Gothic"/>
          <w:lang w:eastAsia="es-ES"/>
        </w:rPr>
        <w:t>Article 2</w:t>
      </w:r>
      <w:r w:rsidR="00D848E9" w:rsidRPr="00EF34AD">
        <w:rPr>
          <w:rStyle w:val="FootnoteReference"/>
          <w:rFonts w:eastAsia="Malgun Gothic"/>
          <w:b w:val="0"/>
          <w:bCs/>
        </w:rPr>
        <w:footnoteReference w:id="4"/>
      </w:r>
    </w:p>
    <w:p w:rsidR="00D848E9" w:rsidRDefault="00EF34AD" w:rsidP="00EF34AD">
      <w:pPr>
        <w:pStyle w:val="SingleTxtG"/>
        <w:rPr>
          <w:rFonts w:eastAsia="Malgun Gothic"/>
          <w:lang w:eastAsia="es-ES"/>
        </w:rPr>
      </w:pPr>
      <w:r>
        <w:rPr>
          <w:rFonts w:eastAsia="Malgun Gothic"/>
          <w:lang w:eastAsia="es-ES"/>
        </w:rPr>
        <w:t>2.</w:t>
      </w:r>
      <w:r>
        <w:rPr>
          <w:rFonts w:eastAsia="Malgun Gothic"/>
          <w:lang w:eastAsia="es-ES"/>
        </w:rPr>
        <w:tab/>
      </w:r>
      <w:r w:rsidR="00D848E9">
        <w:rPr>
          <w:rFonts w:eastAsia="Malgun Gothic"/>
          <w:lang w:eastAsia="es-ES"/>
        </w:rPr>
        <w:t xml:space="preserve">In </w:t>
      </w:r>
      <w:r w:rsidR="0038424A">
        <w:rPr>
          <w:rFonts w:eastAsia="Malgun Gothic"/>
          <w:lang w:eastAsia="es-ES"/>
        </w:rPr>
        <w:t xml:space="preserve">the </w:t>
      </w:r>
      <w:r w:rsidR="00D848E9">
        <w:rPr>
          <w:rFonts w:eastAsia="Malgun Gothic"/>
          <w:lang w:eastAsia="es-ES"/>
        </w:rPr>
        <w:t>light of the Committee’s previous concluding observations (para. 8) and the State party’s follow-up replies</w:t>
      </w:r>
      <w:r w:rsidR="00DD6ABB">
        <w:rPr>
          <w:rFonts w:eastAsia="Malgun Gothic"/>
          <w:lang w:eastAsia="es-ES"/>
        </w:rPr>
        <w:t>,</w:t>
      </w:r>
      <w:r w:rsidR="00D848E9" w:rsidRPr="006749D2">
        <w:rPr>
          <w:rStyle w:val="FootnoteReference"/>
          <w:rFonts w:eastAsia="Malgun Gothic"/>
        </w:rPr>
        <w:footnoteReference w:id="5"/>
      </w:r>
      <w:r w:rsidR="00D848E9">
        <w:rPr>
          <w:rFonts w:eastAsia="Malgun Gothic"/>
          <w:lang w:eastAsia="es-ES"/>
        </w:rPr>
        <w:t xml:space="preserve"> please provide information on the steps taken and </w:t>
      </w:r>
      <w:r w:rsidR="00D848E9">
        <w:rPr>
          <w:rFonts w:eastAsia="Malgun Gothic"/>
          <w:lang w:eastAsia="es-ES"/>
        </w:rPr>
        <w:lastRenderedPageBreak/>
        <w:t>procedures in place to ensure</w:t>
      </w:r>
      <w:r w:rsidR="00D848E9" w:rsidRPr="008D6229">
        <w:rPr>
          <w:rFonts w:eastAsia="Malgun Gothic"/>
          <w:lang w:eastAsia="es-ES"/>
        </w:rPr>
        <w:t>, in law and in practice,</w:t>
      </w:r>
      <w:r w:rsidR="00D848E9">
        <w:rPr>
          <w:rFonts w:eastAsia="Malgun Gothic"/>
          <w:lang w:eastAsia="es-ES"/>
        </w:rPr>
        <w:t xml:space="preserve"> that all persons deprived of their liberty are guaranteed:</w:t>
      </w:r>
    </w:p>
    <w:p w:rsidR="00D848E9" w:rsidRDefault="005F5170" w:rsidP="00A50477">
      <w:pPr>
        <w:pStyle w:val="SingleTxtG"/>
        <w:rPr>
          <w:rFonts w:eastAsia="Malgun Gothic"/>
          <w:lang w:eastAsia="es-ES"/>
        </w:rPr>
      </w:pPr>
      <w:r>
        <w:rPr>
          <w:rFonts w:eastAsia="Malgun Gothic"/>
          <w:lang w:eastAsia="es-ES"/>
        </w:rPr>
        <w:tab/>
      </w:r>
      <w:r w:rsidR="00D848E9">
        <w:rPr>
          <w:rFonts w:eastAsia="Malgun Gothic"/>
          <w:lang w:eastAsia="es-ES"/>
        </w:rPr>
        <w:t>(a)</w:t>
      </w:r>
      <w:r w:rsidR="00D848E9">
        <w:rPr>
          <w:rFonts w:eastAsia="Malgun Gothic"/>
          <w:lang w:eastAsia="es-ES"/>
        </w:rPr>
        <w:tab/>
        <w:t xml:space="preserve">Access to a lawyer without undue delay, </w:t>
      </w:r>
      <w:r w:rsidR="00A50477">
        <w:rPr>
          <w:rFonts w:eastAsia="Malgun Gothic"/>
          <w:lang w:eastAsia="es-ES"/>
        </w:rPr>
        <w:t>and</w:t>
      </w:r>
      <w:r w:rsidR="00D848E9">
        <w:rPr>
          <w:rFonts w:eastAsia="Malgun Gothic"/>
          <w:lang w:eastAsia="es-ES"/>
        </w:rPr>
        <w:t xml:space="preserve"> the right to meet in private and communicate with the lawyer representing them</w:t>
      </w:r>
      <w:r w:rsidR="00DD6ABB">
        <w:rPr>
          <w:rFonts w:eastAsia="Malgun Gothic"/>
          <w:lang w:eastAsia="es-ES"/>
        </w:rPr>
        <w:t>;</w:t>
      </w:r>
      <w:r w:rsidR="00D848E9" w:rsidRPr="006749D2">
        <w:rPr>
          <w:rStyle w:val="FootnoteReference"/>
          <w:rFonts w:eastAsia="Malgun Gothic"/>
        </w:rPr>
        <w:footnoteReference w:id="6"/>
      </w:r>
    </w:p>
    <w:p w:rsidR="00D848E9" w:rsidRDefault="005F5170" w:rsidP="005F5170">
      <w:pPr>
        <w:pStyle w:val="SingleTxtG"/>
        <w:rPr>
          <w:rFonts w:eastAsia="Malgun Gothic"/>
          <w:lang w:eastAsia="es-ES"/>
        </w:rPr>
      </w:pPr>
      <w:r>
        <w:rPr>
          <w:rFonts w:eastAsia="Malgun Gothic"/>
          <w:lang w:eastAsia="es-ES"/>
        </w:rPr>
        <w:tab/>
      </w:r>
      <w:r w:rsidR="00D848E9">
        <w:rPr>
          <w:rFonts w:eastAsia="Malgun Gothic"/>
          <w:lang w:eastAsia="es-ES"/>
        </w:rPr>
        <w:t>(b)</w:t>
      </w:r>
      <w:r w:rsidR="00D848E9">
        <w:rPr>
          <w:rFonts w:eastAsia="Malgun Gothic"/>
          <w:lang w:eastAsia="es-ES"/>
        </w:rPr>
        <w:tab/>
        <w:t>The right to be informed of the reasons for arrest and of the charges against them, and the right to inform a family member of their arrest within a short period of time following their apprehension.</w:t>
      </w:r>
    </w:p>
    <w:p w:rsidR="00D848E9" w:rsidRDefault="00EF34AD" w:rsidP="00EF34AD">
      <w:pPr>
        <w:pStyle w:val="SingleTxtG"/>
        <w:rPr>
          <w:rFonts w:eastAsia="Malgun Gothic"/>
          <w:lang w:eastAsia="es-ES"/>
        </w:rPr>
      </w:pPr>
      <w:r>
        <w:rPr>
          <w:rFonts w:eastAsia="Malgun Gothic"/>
          <w:lang w:eastAsia="es-ES"/>
        </w:rPr>
        <w:t>3.</w:t>
      </w:r>
      <w:r>
        <w:rPr>
          <w:rFonts w:eastAsia="Malgun Gothic"/>
          <w:lang w:eastAsia="es-ES"/>
        </w:rPr>
        <w:tab/>
      </w:r>
      <w:r w:rsidR="00D848E9">
        <w:rPr>
          <w:rFonts w:eastAsia="Malgun Gothic"/>
          <w:lang w:eastAsia="es-ES"/>
        </w:rPr>
        <w:t>In its follow-up replies, the State party confirmed the need for a comprehensive solution for ensuring legal assistance for the most disadvantaged.</w:t>
      </w:r>
      <w:r w:rsidR="00D848E9" w:rsidRPr="006749D2">
        <w:rPr>
          <w:rStyle w:val="FootnoteReference"/>
          <w:rFonts w:eastAsia="Malgun Gothic"/>
        </w:rPr>
        <w:footnoteReference w:id="7"/>
      </w:r>
      <w:r w:rsidR="00D848E9">
        <w:rPr>
          <w:rFonts w:eastAsia="Malgun Gothic"/>
          <w:lang w:eastAsia="es-ES"/>
        </w:rPr>
        <w:t xml:space="preserve"> Has the State party developed such a system of free legal aid?</w:t>
      </w:r>
    </w:p>
    <w:p w:rsidR="00D848E9" w:rsidRDefault="00EF34AD" w:rsidP="00EF34AD">
      <w:pPr>
        <w:pStyle w:val="SingleTxtG"/>
        <w:rPr>
          <w:rFonts w:eastAsia="Malgun Gothic"/>
          <w:lang w:eastAsia="es-ES"/>
        </w:rPr>
      </w:pPr>
      <w:r>
        <w:rPr>
          <w:rFonts w:eastAsia="Malgun Gothic"/>
          <w:lang w:eastAsia="es-ES"/>
        </w:rPr>
        <w:t>4.</w:t>
      </w:r>
      <w:r>
        <w:rPr>
          <w:rFonts w:eastAsia="Malgun Gothic"/>
          <w:lang w:eastAsia="es-ES"/>
        </w:rPr>
        <w:tab/>
      </w:r>
      <w:r w:rsidR="00D848E9">
        <w:rPr>
          <w:rFonts w:eastAsia="Malgun Gothic"/>
          <w:lang w:eastAsia="es-ES"/>
        </w:rPr>
        <w:t xml:space="preserve">Further to the Committee’s previous concluding observations (para. 16), please provide information on the material, human and budgetary resources allocated for the effective functioning of the Human Rights Defender </w:t>
      </w:r>
      <w:r w:rsidR="00AD72B8">
        <w:rPr>
          <w:rFonts w:eastAsia="Malgun Gothic"/>
          <w:lang w:eastAsia="es-ES"/>
        </w:rPr>
        <w:t>and on</w:t>
      </w:r>
      <w:r w:rsidR="00D848E9">
        <w:rPr>
          <w:rFonts w:eastAsia="Malgun Gothic"/>
          <w:lang w:eastAsia="es-ES"/>
        </w:rPr>
        <w:t xml:space="preserve"> any additional resources granted to that institution to c</w:t>
      </w:r>
      <w:r w:rsidR="00514A37">
        <w:rPr>
          <w:rFonts w:eastAsia="Malgun Gothic"/>
          <w:lang w:eastAsia="es-ES"/>
        </w:rPr>
        <w:t>arry out</w:t>
      </w:r>
      <w:r w:rsidR="00D848E9">
        <w:rPr>
          <w:rFonts w:eastAsia="Malgun Gothic"/>
          <w:lang w:eastAsia="es-ES"/>
        </w:rPr>
        <w:t xml:space="preserve"> its mandate as the national preventive mechanism under the Optional Protocol to the Convention. Please provide information on the activities and achievements of the Human Rights Defender with respect to the prevention of torture and ill-treatment during the period under review. This information should include statistics on the number and types of complaints received by the Human Rights Defender in its capacity as </w:t>
      </w:r>
      <w:r w:rsidR="00514A37">
        <w:rPr>
          <w:rFonts w:eastAsia="Malgun Gothic"/>
          <w:lang w:eastAsia="es-ES"/>
        </w:rPr>
        <w:t xml:space="preserve">the </w:t>
      </w:r>
      <w:r w:rsidR="00D848E9">
        <w:rPr>
          <w:rFonts w:eastAsia="Malgun Gothic"/>
          <w:lang w:eastAsia="es-ES"/>
        </w:rPr>
        <w:t>national human rights institution, as well as the outcome of any complaints of torture and ill-treatment.</w:t>
      </w:r>
    </w:p>
    <w:p w:rsidR="00D848E9" w:rsidRDefault="00EF34AD" w:rsidP="00EF34AD">
      <w:pPr>
        <w:pStyle w:val="SingleTxtG"/>
        <w:rPr>
          <w:rFonts w:eastAsia="Malgun Gothic"/>
          <w:lang w:eastAsia="es-ES"/>
        </w:rPr>
      </w:pPr>
      <w:r>
        <w:rPr>
          <w:rFonts w:eastAsia="Malgun Gothic"/>
          <w:lang w:eastAsia="es-ES"/>
        </w:rPr>
        <w:t>5.</w:t>
      </w:r>
      <w:r>
        <w:rPr>
          <w:rFonts w:eastAsia="Malgun Gothic"/>
          <w:lang w:eastAsia="es-ES"/>
        </w:rPr>
        <w:tab/>
      </w:r>
      <w:r w:rsidR="00D848E9">
        <w:rPr>
          <w:rFonts w:eastAsia="Malgun Gothic"/>
          <w:lang w:eastAsia="es-ES"/>
        </w:rPr>
        <w:t xml:space="preserve">In the light of the Committee’s previous concluding observations (para. 22), please provide updated information on the legislative, administrative and other measures taken to eliminate all forms of violence against women, including domestic violence and marital rape. Please also provide updated information on the protection and support services available to victims of gender-based violence in the State party. Please describe the results of the National Programme for the Prevention of Domestic Violence </w:t>
      </w:r>
      <w:r w:rsidR="00FB29B0">
        <w:rPr>
          <w:rFonts w:eastAsia="Malgun Gothic"/>
          <w:lang w:eastAsia="es-ES"/>
        </w:rPr>
        <w:t xml:space="preserve">for the period </w:t>
      </w:r>
      <w:r w:rsidR="00D848E9">
        <w:rPr>
          <w:rFonts w:eastAsia="Malgun Gothic"/>
          <w:lang w:eastAsia="es-ES"/>
        </w:rPr>
        <w:t>2006-2016. Please also provide statistical data, disaggregated by age and ethnicity or nationality of the victims, on the number of complaints, investigations, prosecutions, convictions and sentences handed down in cases of gender-based violence since the consideration of the combined fifth and sixth periodic reports of Poland in 2013.</w:t>
      </w:r>
      <w:r w:rsidR="00D848E9" w:rsidRPr="006749D2">
        <w:rPr>
          <w:rStyle w:val="FootnoteReference"/>
          <w:rFonts w:eastAsia="Malgun Gothic"/>
        </w:rPr>
        <w:footnoteReference w:id="8"/>
      </w:r>
    </w:p>
    <w:p w:rsidR="00D848E9" w:rsidRDefault="00EF34AD" w:rsidP="00EF34AD">
      <w:pPr>
        <w:pStyle w:val="SingleTxtG"/>
        <w:rPr>
          <w:rFonts w:eastAsia="Malgun Gothic"/>
          <w:lang w:eastAsia="es-ES"/>
        </w:rPr>
      </w:pPr>
      <w:r>
        <w:rPr>
          <w:rFonts w:eastAsia="Malgun Gothic"/>
          <w:lang w:eastAsia="es-ES"/>
        </w:rPr>
        <w:t>6.</w:t>
      </w:r>
      <w:r>
        <w:rPr>
          <w:rFonts w:eastAsia="Malgun Gothic"/>
          <w:lang w:eastAsia="es-ES"/>
        </w:rPr>
        <w:tab/>
      </w:r>
      <w:r w:rsidR="00D848E9">
        <w:rPr>
          <w:rFonts w:eastAsia="Malgun Gothic"/>
          <w:lang w:eastAsia="es-ES"/>
        </w:rPr>
        <w:t xml:space="preserve">With regard to the Committee’s previous concluding observations (para. 24), please provide updated information, disaggregated by </w:t>
      </w:r>
      <w:r w:rsidR="00514A37">
        <w:rPr>
          <w:rFonts w:eastAsia="Malgun Gothic"/>
          <w:lang w:eastAsia="es-ES"/>
        </w:rPr>
        <w:t xml:space="preserve">the </w:t>
      </w:r>
      <w:r w:rsidR="00D848E9">
        <w:rPr>
          <w:rFonts w:eastAsia="Malgun Gothic"/>
          <w:lang w:eastAsia="es-ES"/>
        </w:rPr>
        <w:t xml:space="preserve">age, sex and ethnicity or nationality of the victims, on the number of complaints, investigations, prosecutions, convictions and sentences imposed </w:t>
      </w:r>
      <w:r w:rsidR="00FB29B0">
        <w:rPr>
          <w:rFonts w:eastAsia="Malgun Gothic"/>
          <w:lang w:eastAsia="es-ES"/>
        </w:rPr>
        <w:t>i</w:t>
      </w:r>
      <w:r w:rsidR="00D848E9">
        <w:rPr>
          <w:rFonts w:eastAsia="Malgun Gothic"/>
          <w:lang w:eastAsia="es-ES"/>
        </w:rPr>
        <w:t>n cases of human trafficking since the consideration of the State party’s previous periodic report.</w:t>
      </w:r>
      <w:r w:rsidR="00D848E9" w:rsidRPr="006749D2">
        <w:rPr>
          <w:rStyle w:val="FootnoteReference"/>
          <w:rFonts w:eastAsia="Malgun Gothic"/>
        </w:rPr>
        <w:footnoteReference w:id="9"/>
      </w:r>
      <w:r w:rsidR="00D848E9">
        <w:rPr>
          <w:rFonts w:eastAsia="Malgun Gothic"/>
          <w:lang w:eastAsia="es-ES"/>
        </w:rPr>
        <w:t xml:space="preserve"> Please also provide additional information on:</w:t>
      </w:r>
    </w:p>
    <w:p w:rsidR="00D848E9" w:rsidRDefault="00D848E9" w:rsidP="00EF34AD">
      <w:pPr>
        <w:pStyle w:val="SingleTxtG"/>
        <w:ind w:firstLine="567"/>
        <w:rPr>
          <w:rFonts w:eastAsia="Malgun Gothic"/>
          <w:lang w:eastAsia="es-ES"/>
        </w:rPr>
      </w:pPr>
      <w:r>
        <w:rPr>
          <w:rFonts w:eastAsia="Malgun Gothic"/>
          <w:lang w:eastAsia="es-ES"/>
        </w:rPr>
        <w:t>(a)</w:t>
      </w:r>
      <w:r>
        <w:rPr>
          <w:rFonts w:eastAsia="Malgun Gothic"/>
          <w:lang w:eastAsia="es-ES"/>
        </w:rPr>
        <w:tab/>
        <w:t>Any new legislation or measures that ha</w:t>
      </w:r>
      <w:r w:rsidR="00FB29B0">
        <w:rPr>
          <w:rFonts w:eastAsia="Malgun Gothic"/>
          <w:lang w:eastAsia="es-ES"/>
        </w:rPr>
        <w:t>ve</w:t>
      </w:r>
      <w:r>
        <w:rPr>
          <w:rFonts w:eastAsia="Malgun Gothic"/>
          <w:lang w:eastAsia="es-ES"/>
        </w:rPr>
        <w:t xml:space="preserve"> been adopted to prevent, combat and criminalize trafficking in persons;</w:t>
      </w:r>
      <w:r w:rsidRPr="006749D2">
        <w:rPr>
          <w:rStyle w:val="FootnoteReference"/>
          <w:rFonts w:eastAsia="Malgun Gothic"/>
        </w:rPr>
        <w:footnoteReference w:id="10"/>
      </w:r>
    </w:p>
    <w:p w:rsidR="00D848E9" w:rsidRDefault="00D848E9" w:rsidP="00EF34AD">
      <w:pPr>
        <w:pStyle w:val="SingleTxtG"/>
        <w:ind w:firstLine="567"/>
        <w:rPr>
          <w:rFonts w:eastAsia="Malgun Gothic"/>
          <w:lang w:eastAsia="es-ES"/>
        </w:rPr>
      </w:pPr>
      <w:r>
        <w:rPr>
          <w:rFonts w:eastAsia="Malgun Gothic"/>
          <w:lang w:eastAsia="es-ES"/>
        </w:rPr>
        <w:t>(b)</w:t>
      </w:r>
      <w:r>
        <w:rPr>
          <w:rFonts w:eastAsia="Malgun Gothic"/>
          <w:lang w:eastAsia="es-ES"/>
        </w:rPr>
        <w:tab/>
        <w:t>The measures adopted to ensure that victims of human trafficking have access to effective remedies and reparation;</w:t>
      </w:r>
    </w:p>
    <w:p w:rsidR="00D848E9" w:rsidRDefault="00D848E9" w:rsidP="00EF34AD">
      <w:pPr>
        <w:pStyle w:val="SingleTxtG"/>
        <w:ind w:firstLine="567"/>
        <w:rPr>
          <w:rFonts w:eastAsia="Malgun Gothic"/>
          <w:lang w:eastAsia="es-ES"/>
        </w:rPr>
      </w:pPr>
      <w:r>
        <w:rPr>
          <w:rFonts w:eastAsia="Malgun Gothic"/>
          <w:lang w:eastAsia="es-ES"/>
        </w:rPr>
        <w:t>(c)</w:t>
      </w:r>
      <w:r>
        <w:rPr>
          <w:rFonts w:eastAsia="Malgun Gothic"/>
          <w:lang w:eastAsia="es-ES"/>
        </w:rPr>
        <w:tab/>
        <w:t>The signature of bilateral or subregional agreements with the countries concerned, including neighbouring countries, to prevent and combat human trafficking.</w:t>
      </w:r>
    </w:p>
    <w:p w:rsidR="00D848E9" w:rsidRDefault="005D4533" w:rsidP="005D4533">
      <w:pPr>
        <w:pStyle w:val="H23G"/>
        <w:rPr>
          <w:rFonts w:eastAsia="Malgun Gothic"/>
          <w:lang w:eastAsia="es-ES"/>
        </w:rPr>
      </w:pPr>
      <w:r>
        <w:rPr>
          <w:rFonts w:eastAsia="Malgun Gothic"/>
          <w:lang w:eastAsia="es-ES"/>
        </w:rPr>
        <w:lastRenderedPageBreak/>
        <w:tab/>
      </w:r>
      <w:r>
        <w:rPr>
          <w:rFonts w:eastAsia="Malgun Gothic"/>
          <w:lang w:eastAsia="es-ES"/>
        </w:rPr>
        <w:tab/>
      </w:r>
      <w:r w:rsidR="00D848E9">
        <w:rPr>
          <w:rFonts w:eastAsia="Malgun Gothic"/>
          <w:lang w:eastAsia="es-ES"/>
        </w:rPr>
        <w:t>Article 3</w:t>
      </w:r>
    </w:p>
    <w:p w:rsidR="00D848E9" w:rsidRDefault="00EF34AD" w:rsidP="00EF34AD">
      <w:pPr>
        <w:pStyle w:val="SingleTxtG"/>
        <w:rPr>
          <w:rFonts w:eastAsia="Malgun Gothic"/>
          <w:lang w:eastAsia="es-ES"/>
        </w:rPr>
      </w:pPr>
      <w:r>
        <w:rPr>
          <w:rFonts w:eastAsia="Malgun Gothic"/>
          <w:lang w:eastAsia="es-ES"/>
        </w:rPr>
        <w:t>7.</w:t>
      </w:r>
      <w:r>
        <w:rPr>
          <w:rFonts w:eastAsia="Malgun Gothic"/>
          <w:lang w:eastAsia="es-ES"/>
        </w:rPr>
        <w:tab/>
      </w:r>
      <w:r w:rsidR="00D848E9">
        <w:rPr>
          <w:rFonts w:eastAsia="Malgun Gothic"/>
          <w:lang w:eastAsia="es-ES"/>
        </w:rPr>
        <w:t xml:space="preserve">With reference to the Committee’s previous concluding observations (paras. 12 and 14), please provide information on the measures </w:t>
      </w:r>
      <w:r w:rsidR="00FB29B0">
        <w:rPr>
          <w:rFonts w:eastAsia="Malgun Gothic"/>
          <w:lang w:eastAsia="es-ES"/>
        </w:rPr>
        <w:t>that</w:t>
      </w:r>
      <w:r w:rsidR="00D848E9">
        <w:rPr>
          <w:rFonts w:eastAsia="Malgun Gothic"/>
          <w:lang w:eastAsia="es-ES"/>
        </w:rPr>
        <w:t xml:space="preserve"> have been taken to revise national legislation on refugees and asylum seekers to fulfil all obligations under article 3 of the Convention. Please also provide detailed information on the measures adopted to ensure that the specific needs of vulnerable persons seeking asylum in Poland, including victims of torture and/or trauma and disabled persons, are taken into full consideration and addressed in a timely manner.</w:t>
      </w:r>
    </w:p>
    <w:p w:rsidR="00D848E9" w:rsidRDefault="00EF34AD" w:rsidP="00EF34AD">
      <w:pPr>
        <w:pStyle w:val="SingleTxtG"/>
        <w:rPr>
          <w:rFonts w:eastAsia="Malgun Gothic"/>
          <w:lang w:eastAsia="es-ES"/>
        </w:rPr>
      </w:pPr>
      <w:r>
        <w:rPr>
          <w:rFonts w:eastAsia="Malgun Gothic"/>
          <w:lang w:eastAsia="es-ES"/>
        </w:rPr>
        <w:t>8.</w:t>
      </w:r>
      <w:r>
        <w:rPr>
          <w:rFonts w:eastAsia="Malgun Gothic"/>
          <w:lang w:eastAsia="es-ES"/>
        </w:rPr>
        <w:tab/>
      </w:r>
      <w:r w:rsidR="00D848E9">
        <w:rPr>
          <w:rFonts w:eastAsia="Malgun Gothic"/>
          <w:lang w:eastAsia="es-ES"/>
        </w:rPr>
        <w:t>In the light of the Committee’s previous concluding observations (para. 13), and the State party’s follow-up replies</w:t>
      </w:r>
      <w:r w:rsidR="00DD6ABB">
        <w:rPr>
          <w:rFonts w:eastAsia="Malgun Gothic"/>
          <w:lang w:eastAsia="es-ES"/>
        </w:rPr>
        <w:t>,</w:t>
      </w:r>
      <w:r w:rsidR="00D848E9" w:rsidRPr="006749D2">
        <w:rPr>
          <w:rStyle w:val="FootnoteReference"/>
          <w:rFonts w:eastAsia="Malgun Gothic"/>
        </w:rPr>
        <w:footnoteReference w:id="11"/>
      </w:r>
      <w:r w:rsidR="00DD6ABB">
        <w:rPr>
          <w:rFonts w:eastAsia="Malgun Gothic"/>
          <w:lang w:eastAsia="es-ES"/>
        </w:rPr>
        <w:t xml:space="preserve"> </w:t>
      </w:r>
      <w:r w:rsidR="00D848E9">
        <w:rPr>
          <w:rFonts w:eastAsia="Malgun Gothic"/>
          <w:lang w:eastAsia="es-ES"/>
        </w:rPr>
        <w:t xml:space="preserve">please provide information on how the State party will ensure that detention of asylum-seekers is used </w:t>
      </w:r>
      <w:r w:rsidR="00514A37" w:rsidRPr="00514A37">
        <w:rPr>
          <w:rFonts w:eastAsia="Malgun Gothic"/>
          <w:lang w:eastAsia="es-ES"/>
        </w:rPr>
        <w:t xml:space="preserve">only </w:t>
      </w:r>
      <w:r w:rsidR="00D848E9">
        <w:rPr>
          <w:rFonts w:eastAsia="Malgun Gothic"/>
          <w:lang w:eastAsia="es-ES"/>
        </w:rPr>
        <w:t>as a last resort, and where necessary, for as short a period as possible</w:t>
      </w:r>
      <w:r w:rsidR="00514A37">
        <w:rPr>
          <w:rFonts w:eastAsia="Malgun Gothic"/>
          <w:lang w:eastAsia="es-ES"/>
        </w:rPr>
        <w:t>,</w:t>
      </w:r>
      <w:r w:rsidR="00D848E9">
        <w:rPr>
          <w:rFonts w:eastAsia="Malgun Gothic"/>
          <w:lang w:eastAsia="es-ES"/>
        </w:rPr>
        <w:t xml:space="preserve"> and further implement alternatives to detention in practice.</w:t>
      </w:r>
      <w:r w:rsidR="00D848E9" w:rsidRPr="006749D2">
        <w:rPr>
          <w:rStyle w:val="FootnoteReference"/>
          <w:rFonts w:eastAsia="Malgun Gothic"/>
        </w:rPr>
        <w:footnoteReference w:id="12"/>
      </w:r>
      <w:r w:rsidR="00D848E9">
        <w:rPr>
          <w:rFonts w:eastAsia="Malgun Gothic"/>
          <w:lang w:eastAsia="es-ES"/>
        </w:rPr>
        <w:t xml:space="preserve"> Please provide information on steps taken to ensure adequate conditions in detention facilities for asylum seekers. What measures have been taken to ensure that asylum seekers are not deported before the completion of their case?</w:t>
      </w:r>
      <w:r w:rsidR="00D848E9" w:rsidRPr="008266A6">
        <w:rPr>
          <w:rFonts w:eastAsia="Malgun Gothic"/>
          <w:lang w:eastAsia="es-ES"/>
        </w:rPr>
        <w:t xml:space="preserve"> </w:t>
      </w:r>
    </w:p>
    <w:p w:rsidR="00D848E9" w:rsidRDefault="00EF34AD" w:rsidP="00EF34AD">
      <w:pPr>
        <w:pStyle w:val="SingleTxtG"/>
        <w:rPr>
          <w:rFonts w:eastAsia="Malgun Gothic"/>
          <w:lang w:eastAsia="es-ES"/>
        </w:rPr>
      </w:pPr>
      <w:r>
        <w:rPr>
          <w:rFonts w:eastAsia="Malgun Gothic"/>
          <w:lang w:eastAsia="es-ES"/>
        </w:rPr>
        <w:t>9.</w:t>
      </w:r>
      <w:r>
        <w:rPr>
          <w:rFonts w:eastAsia="Malgun Gothic"/>
          <w:lang w:eastAsia="es-ES"/>
        </w:rPr>
        <w:tab/>
      </w:r>
      <w:r w:rsidR="00D848E9">
        <w:rPr>
          <w:rFonts w:eastAsia="Malgun Gothic"/>
          <w:lang w:eastAsia="es-ES"/>
        </w:rPr>
        <w:t xml:space="preserve">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w:t>
      </w:r>
      <w:r w:rsidR="00514A37">
        <w:rPr>
          <w:rFonts w:eastAsia="Malgun Gothic"/>
          <w:lang w:eastAsia="es-ES"/>
        </w:rPr>
        <w:t>disaggregated</w:t>
      </w:r>
      <w:r w:rsidR="00D848E9">
        <w:rPr>
          <w:rFonts w:eastAsia="Malgun Gothic"/>
          <w:lang w:eastAsia="es-ES"/>
        </w:rPr>
        <w:t xml:space="preserve"> by sex, age and country of origin, on the number of persons who have been returned, extradited or expelled since the consideration of the previous periodic report. Please provide details on the grounds on which they were sent back, including the list of countries to which individuals were returned. Please provide updated information on the type of appeal mechanisms that may exist, on whether any appeals have been made and</w:t>
      </w:r>
      <w:r w:rsidR="002B1A0C">
        <w:rPr>
          <w:rFonts w:eastAsia="Malgun Gothic"/>
          <w:lang w:eastAsia="es-ES"/>
        </w:rPr>
        <w:t>,</w:t>
      </w:r>
      <w:r w:rsidR="00D848E9">
        <w:rPr>
          <w:rFonts w:eastAsia="Malgun Gothic"/>
          <w:lang w:eastAsia="es-ES"/>
        </w:rPr>
        <w:t xml:space="preserve"> if so, </w:t>
      </w:r>
      <w:r w:rsidR="00514A37">
        <w:rPr>
          <w:rFonts w:eastAsia="Malgun Gothic"/>
          <w:lang w:eastAsia="es-ES"/>
        </w:rPr>
        <w:t xml:space="preserve">what </w:t>
      </w:r>
      <w:r w:rsidR="00D848E9">
        <w:rPr>
          <w:rFonts w:eastAsia="Malgun Gothic"/>
          <w:lang w:eastAsia="es-ES"/>
        </w:rPr>
        <w:t>the outcome</w:t>
      </w:r>
      <w:r w:rsidR="00514A37">
        <w:rPr>
          <w:rFonts w:eastAsia="Malgun Gothic"/>
          <w:lang w:eastAsia="es-ES"/>
        </w:rPr>
        <w:t xml:space="preserve"> of those appeals were</w:t>
      </w:r>
      <w:r w:rsidR="00D848E9">
        <w:rPr>
          <w:rFonts w:eastAsia="Malgun Gothic"/>
          <w:lang w:eastAsia="es-ES"/>
        </w:rPr>
        <w:t>.</w:t>
      </w:r>
    </w:p>
    <w:p w:rsidR="00D848E9" w:rsidRDefault="00EF34AD" w:rsidP="00EF34AD">
      <w:pPr>
        <w:pStyle w:val="SingleTxtG"/>
        <w:rPr>
          <w:rFonts w:eastAsia="Malgun Gothic"/>
          <w:lang w:eastAsia="es-ES"/>
        </w:rPr>
      </w:pPr>
      <w:r>
        <w:rPr>
          <w:rFonts w:eastAsia="Malgun Gothic"/>
          <w:lang w:eastAsia="es-ES"/>
        </w:rPr>
        <w:t>10.</w:t>
      </w:r>
      <w:r>
        <w:rPr>
          <w:rFonts w:eastAsia="Malgun Gothic"/>
          <w:lang w:eastAsia="es-ES"/>
        </w:rPr>
        <w:tab/>
      </w:r>
      <w:r w:rsidR="00D848E9">
        <w:rPr>
          <w:rFonts w:eastAsia="Malgun Gothic"/>
          <w:lang w:eastAsia="es-ES"/>
        </w:rPr>
        <w:t xml:space="preserve">Please indicate the number of cases of refoulement, extradition and expulsion carried out by the State party during the reporting period </w:t>
      </w:r>
      <w:r w:rsidR="00514A37">
        <w:rPr>
          <w:rFonts w:eastAsia="Malgun Gothic"/>
          <w:lang w:eastAsia="es-ES"/>
        </w:rPr>
        <w:t xml:space="preserve">on the basis of </w:t>
      </w:r>
      <w:r w:rsidR="00D848E9">
        <w:rPr>
          <w:rFonts w:eastAsia="Malgun Gothic"/>
          <w:lang w:eastAsia="es-ES"/>
        </w:rPr>
        <w:t>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rsidR="00D848E9" w:rsidRDefault="00EF34AD" w:rsidP="00EF34AD">
      <w:pPr>
        <w:pStyle w:val="SingleTxtG"/>
        <w:rPr>
          <w:rFonts w:eastAsia="Malgun Gothic"/>
          <w:lang w:eastAsia="es-ES"/>
        </w:rPr>
      </w:pPr>
      <w:r>
        <w:rPr>
          <w:rFonts w:eastAsia="Malgun Gothic"/>
          <w:lang w:eastAsia="es-ES"/>
        </w:rPr>
        <w:t>11.</w:t>
      </w:r>
      <w:r>
        <w:rPr>
          <w:rFonts w:eastAsia="Malgun Gothic"/>
          <w:lang w:eastAsia="es-ES"/>
        </w:rPr>
        <w:tab/>
      </w:r>
      <w:r w:rsidR="00D848E9">
        <w:rPr>
          <w:rFonts w:eastAsia="Malgun Gothic"/>
          <w:lang w:eastAsia="es-ES"/>
        </w:rPr>
        <w:t xml:space="preserve">Please detail what steps have been taken to improve the implementation of the existing </w:t>
      </w:r>
      <w:r w:rsidR="00EF4899">
        <w:rPr>
          <w:rFonts w:eastAsia="Malgun Gothic"/>
          <w:lang w:eastAsia="es-ES"/>
        </w:rPr>
        <w:t>s</w:t>
      </w:r>
      <w:r w:rsidR="00D848E9">
        <w:rPr>
          <w:rFonts w:eastAsia="Malgun Gothic"/>
          <w:lang w:eastAsia="es-ES"/>
        </w:rPr>
        <w:t xml:space="preserve">tandard </w:t>
      </w:r>
      <w:r w:rsidR="00EF4899">
        <w:rPr>
          <w:rFonts w:eastAsia="Malgun Gothic"/>
          <w:lang w:eastAsia="es-ES"/>
        </w:rPr>
        <w:t>o</w:t>
      </w:r>
      <w:r w:rsidR="00D848E9">
        <w:rPr>
          <w:rFonts w:eastAsia="Malgun Gothic"/>
          <w:lang w:eastAsia="es-ES"/>
        </w:rPr>
        <w:t xml:space="preserve">perating </w:t>
      </w:r>
      <w:r w:rsidR="00EF4899">
        <w:rPr>
          <w:rFonts w:eastAsia="Malgun Gothic"/>
          <w:lang w:eastAsia="es-ES"/>
        </w:rPr>
        <w:t>p</w:t>
      </w:r>
      <w:r w:rsidR="00D848E9">
        <w:rPr>
          <w:rFonts w:eastAsia="Malgun Gothic"/>
          <w:lang w:eastAsia="es-ES"/>
        </w:rPr>
        <w:t xml:space="preserve">rocedures </w:t>
      </w:r>
      <w:r w:rsidR="00D848E9" w:rsidRPr="002A3FE4">
        <w:rPr>
          <w:rFonts w:eastAsia="Malgun Gothic"/>
          <w:lang w:eastAsia="es-ES"/>
        </w:rPr>
        <w:t xml:space="preserve">on the </w:t>
      </w:r>
      <w:r w:rsidR="00EF4899">
        <w:rPr>
          <w:rFonts w:eastAsia="Malgun Gothic"/>
          <w:lang w:eastAsia="es-ES"/>
        </w:rPr>
        <w:t>p</w:t>
      </w:r>
      <w:r w:rsidR="00D848E9" w:rsidRPr="002A3FE4">
        <w:rPr>
          <w:rFonts w:eastAsia="Malgun Gothic"/>
          <w:lang w:eastAsia="es-ES"/>
        </w:rPr>
        <w:t xml:space="preserve">revention and </w:t>
      </w:r>
      <w:r w:rsidR="00EF4899">
        <w:rPr>
          <w:rFonts w:eastAsia="Malgun Gothic"/>
          <w:lang w:eastAsia="es-ES"/>
        </w:rPr>
        <w:t>r</w:t>
      </w:r>
      <w:r w:rsidR="00D848E9" w:rsidRPr="002A3FE4">
        <w:rPr>
          <w:rFonts w:eastAsia="Malgun Gothic"/>
          <w:lang w:eastAsia="es-ES"/>
        </w:rPr>
        <w:t xml:space="preserve">esponse to </w:t>
      </w:r>
      <w:r w:rsidR="00EF4899">
        <w:rPr>
          <w:rFonts w:eastAsia="Malgun Gothic"/>
          <w:lang w:eastAsia="es-ES"/>
        </w:rPr>
        <w:t>s</w:t>
      </w:r>
      <w:r w:rsidR="00D848E9" w:rsidRPr="002A3FE4">
        <w:rPr>
          <w:rFonts w:eastAsia="Malgun Gothic"/>
          <w:lang w:eastAsia="es-ES"/>
        </w:rPr>
        <w:t xml:space="preserve">exual and </w:t>
      </w:r>
      <w:r w:rsidR="00EF4899">
        <w:rPr>
          <w:rFonts w:eastAsia="Malgun Gothic"/>
          <w:lang w:eastAsia="es-ES"/>
        </w:rPr>
        <w:t>g</w:t>
      </w:r>
      <w:r w:rsidR="00D848E9" w:rsidRPr="002A3FE4">
        <w:rPr>
          <w:rFonts w:eastAsia="Malgun Gothic"/>
          <w:lang w:eastAsia="es-ES"/>
        </w:rPr>
        <w:t xml:space="preserve">ender-based </w:t>
      </w:r>
      <w:r w:rsidR="00EF4899">
        <w:rPr>
          <w:rFonts w:eastAsia="Malgun Gothic"/>
          <w:lang w:eastAsia="es-ES"/>
        </w:rPr>
        <w:t>v</w:t>
      </w:r>
      <w:r w:rsidR="00D848E9" w:rsidRPr="002A3FE4">
        <w:rPr>
          <w:rFonts w:eastAsia="Malgun Gothic"/>
          <w:lang w:eastAsia="es-ES"/>
        </w:rPr>
        <w:t>iolence</w:t>
      </w:r>
      <w:r w:rsidR="00D848E9">
        <w:rPr>
          <w:rFonts w:eastAsia="Malgun Gothic"/>
          <w:lang w:eastAsia="es-ES"/>
        </w:rPr>
        <w:t>, with specific attention paid to measures intended to reduce violence and child marriages among asylum-seeking and refugee children. In that regard, please provide information on the measures taken to ensure that child refugees and asylum seekers who are victims of sexual or gender</w:t>
      </w:r>
      <w:r w:rsidR="00EF4899">
        <w:rPr>
          <w:rFonts w:eastAsia="Malgun Gothic"/>
          <w:lang w:eastAsia="es-ES"/>
        </w:rPr>
        <w:t>-</w:t>
      </w:r>
      <w:r w:rsidR="00D848E9">
        <w:rPr>
          <w:rFonts w:eastAsia="Malgun Gothic"/>
          <w:lang w:eastAsia="es-ES"/>
        </w:rPr>
        <w:t>based violence have the ability to file complaints</w:t>
      </w:r>
      <w:r w:rsidR="00EF4899">
        <w:rPr>
          <w:rFonts w:eastAsia="Malgun Gothic"/>
          <w:lang w:eastAsia="es-ES"/>
        </w:rPr>
        <w:t xml:space="preserve"> that are </w:t>
      </w:r>
      <w:r w:rsidR="00EF4899" w:rsidRPr="00EF4899">
        <w:rPr>
          <w:rFonts w:eastAsia="Malgun Gothic"/>
          <w:lang w:eastAsia="es-ES"/>
        </w:rPr>
        <w:t>promptly and impartially investigated</w:t>
      </w:r>
      <w:r w:rsidR="00D848E9">
        <w:rPr>
          <w:rFonts w:eastAsia="Malgun Gothic"/>
          <w:lang w:eastAsia="es-ES"/>
        </w:rPr>
        <w:t xml:space="preserve">, </w:t>
      </w:r>
      <w:r w:rsidR="00EF4899">
        <w:rPr>
          <w:rFonts w:eastAsia="Malgun Gothic"/>
          <w:lang w:eastAsia="es-ES"/>
        </w:rPr>
        <w:t xml:space="preserve">to </w:t>
      </w:r>
      <w:r w:rsidR="00D848E9">
        <w:rPr>
          <w:rFonts w:eastAsia="Malgun Gothic"/>
          <w:lang w:eastAsia="es-ES"/>
        </w:rPr>
        <w:t xml:space="preserve">receive protection and </w:t>
      </w:r>
      <w:r w:rsidR="00EF4899">
        <w:rPr>
          <w:rFonts w:eastAsia="Malgun Gothic"/>
          <w:lang w:eastAsia="es-ES"/>
        </w:rPr>
        <w:t xml:space="preserve">to </w:t>
      </w:r>
      <w:r w:rsidR="00D848E9">
        <w:rPr>
          <w:rFonts w:eastAsia="Malgun Gothic"/>
          <w:lang w:eastAsia="es-ES"/>
        </w:rPr>
        <w:t>receive compensation, including rehabilitation.</w:t>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Articles 5</w:t>
      </w:r>
      <w:r w:rsidR="00EF4899">
        <w:rPr>
          <w:rFonts w:eastAsia="Malgun Gothic"/>
          <w:lang w:eastAsia="es-ES"/>
        </w:rPr>
        <w:t>-</w:t>
      </w:r>
      <w:r w:rsidR="00D848E9">
        <w:rPr>
          <w:rFonts w:eastAsia="Malgun Gothic"/>
          <w:lang w:eastAsia="es-ES"/>
        </w:rPr>
        <w:t>9</w:t>
      </w:r>
    </w:p>
    <w:p w:rsidR="00D848E9" w:rsidRDefault="00EF34AD" w:rsidP="00EF34AD">
      <w:pPr>
        <w:pStyle w:val="SingleTxtG"/>
        <w:rPr>
          <w:rFonts w:eastAsia="Malgun Gothic"/>
          <w:lang w:eastAsia="es-ES"/>
        </w:rPr>
      </w:pPr>
      <w:r>
        <w:rPr>
          <w:rFonts w:eastAsia="Malgun Gothic"/>
          <w:lang w:eastAsia="es-ES"/>
        </w:rPr>
        <w:t>12.</w:t>
      </w:r>
      <w:r>
        <w:rPr>
          <w:rFonts w:eastAsia="Malgun Gothic"/>
          <w:lang w:eastAsia="es-ES"/>
        </w:rPr>
        <w:tab/>
      </w:r>
      <w:r w:rsidR="00D848E9">
        <w:rPr>
          <w:rFonts w:eastAsia="Malgun Gothic"/>
          <w:lang w:eastAsia="es-ES"/>
        </w:rPr>
        <w:t>Please indicate the legislative or other measures that have been taken to implement article 5 of the Convention. Are acts of torture considered universal crimes under national law, wherever they occur and whatever the nationality of the perpetrator or victim? Please provide relevant examples of any prosecutions in that regard.</w:t>
      </w:r>
    </w:p>
    <w:p w:rsidR="00D848E9" w:rsidRDefault="00EF34AD" w:rsidP="00EF34AD">
      <w:pPr>
        <w:pStyle w:val="SingleTxtG"/>
        <w:rPr>
          <w:rFonts w:eastAsia="Malgun Gothic"/>
          <w:lang w:eastAsia="es-ES"/>
        </w:rPr>
      </w:pPr>
      <w:r>
        <w:rPr>
          <w:rFonts w:eastAsia="Malgun Gothic"/>
          <w:lang w:eastAsia="es-ES"/>
        </w:rPr>
        <w:t>13.</w:t>
      </w:r>
      <w:r>
        <w:rPr>
          <w:rFonts w:eastAsia="Malgun Gothic"/>
          <w:lang w:eastAsia="es-ES"/>
        </w:rPr>
        <w:tab/>
      </w:r>
      <w:r w:rsidR="00D848E9">
        <w:rPr>
          <w:rFonts w:eastAsia="Malgun Gothic"/>
          <w:lang w:eastAsia="es-ES"/>
        </w:rPr>
        <w:t>Please inform the Committee of any extradition treaties concluded with other States parties and whether the offences referred to in article 4 of the Convention are included as extraditable offences in such treaties.</w:t>
      </w:r>
    </w:p>
    <w:p w:rsidR="00D848E9" w:rsidRDefault="00EF34AD" w:rsidP="00EF34AD">
      <w:pPr>
        <w:pStyle w:val="SingleTxtG"/>
        <w:rPr>
          <w:rFonts w:eastAsia="Malgun Gothic"/>
          <w:lang w:eastAsia="es-ES"/>
        </w:rPr>
      </w:pPr>
      <w:r>
        <w:rPr>
          <w:rFonts w:eastAsia="Malgun Gothic"/>
          <w:lang w:eastAsia="es-ES"/>
        </w:rPr>
        <w:t>14.</w:t>
      </w:r>
      <w:r>
        <w:rPr>
          <w:rFonts w:eastAsia="Malgun Gothic"/>
          <w:lang w:eastAsia="es-ES"/>
        </w:rPr>
        <w:tab/>
      </w:r>
      <w:r w:rsidR="00D848E9">
        <w:rPr>
          <w:rFonts w:eastAsia="Malgun Gothic"/>
          <w:lang w:eastAsia="es-ES"/>
        </w:rPr>
        <w:t>Please clarify what mutual judicial assistance treaties or agreements Poland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rsidR="00D848E9" w:rsidRPr="00CB2F04"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sidRPr="00CB2F04">
        <w:rPr>
          <w:rFonts w:eastAsia="Malgun Gothic"/>
          <w:lang w:eastAsia="es-ES"/>
        </w:rPr>
        <w:t>Article 10</w:t>
      </w:r>
    </w:p>
    <w:p w:rsidR="00D848E9" w:rsidRDefault="00EF34AD" w:rsidP="00EF34AD">
      <w:pPr>
        <w:pStyle w:val="SingleTxtG"/>
        <w:rPr>
          <w:rFonts w:eastAsia="Malgun Gothic"/>
          <w:lang w:eastAsia="es-ES"/>
        </w:rPr>
      </w:pPr>
      <w:r>
        <w:rPr>
          <w:rFonts w:eastAsia="Malgun Gothic"/>
          <w:lang w:eastAsia="es-ES"/>
        </w:rPr>
        <w:t>15.</w:t>
      </w:r>
      <w:r>
        <w:rPr>
          <w:rFonts w:eastAsia="Malgun Gothic"/>
          <w:lang w:eastAsia="es-ES"/>
        </w:rPr>
        <w:tab/>
      </w:r>
      <w:r w:rsidR="00D848E9">
        <w:rPr>
          <w:rFonts w:eastAsia="Malgun Gothic"/>
          <w:lang w:eastAsia="es-ES"/>
        </w:rPr>
        <w:t xml:space="preserve">With reference to the previous concluding observations (para. 17), please provide up-to-date information on educational programmes developed by the State party to ensure that all law enforcement officials, prison staff and border guards are fully aware of the provisions of the Convention, that breaches will not be tolerated and will be investigated, and that any offenders will be prosecuted. Please indicate whether the State party has developed a methodology to assess the effectiveness of training and educational programmes on the reduction of cases of torture and ill-treatment and, if so, please provide information on the methodology. </w:t>
      </w:r>
    </w:p>
    <w:p w:rsidR="00D848E9" w:rsidRDefault="00EF34AD" w:rsidP="00EF34AD">
      <w:pPr>
        <w:pStyle w:val="SingleTxtG"/>
        <w:rPr>
          <w:rFonts w:eastAsia="Malgun Gothic"/>
          <w:lang w:eastAsia="es-ES"/>
        </w:rPr>
      </w:pPr>
      <w:r>
        <w:rPr>
          <w:rFonts w:eastAsia="Malgun Gothic"/>
          <w:lang w:eastAsia="es-ES"/>
        </w:rPr>
        <w:t>16.</w:t>
      </w:r>
      <w:r>
        <w:rPr>
          <w:rFonts w:eastAsia="Malgun Gothic"/>
          <w:lang w:eastAsia="es-ES"/>
        </w:rPr>
        <w:tab/>
      </w:r>
      <w:r w:rsidR="00D848E9">
        <w:rPr>
          <w:rFonts w:eastAsia="Malgun Gothic"/>
          <w:lang w:eastAsia="es-ES"/>
        </w:rPr>
        <w:t xml:space="preserve">Bearing in mind the Committee’s previous </w:t>
      </w:r>
      <w:r w:rsidR="00514A37">
        <w:rPr>
          <w:rFonts w:eastAsia="Malgun Gothic"/>
          <w:lang w:eastAsia="es-ES"/>
        </w:rPr>
        <w:t xml:space="preserve">concluding observations </w:t>
      </w:r>
      <w:r w:rsidR="00D848E9">
        <w:rPr>
          <w:rFonts w:eastAsia="Malgun Gothic"/>
          <w:lang w:eastAsia="es-ES"/>
        </w:rPr>
        <w:t>(para. 15), please detail the training methodology and programmes used when instructing prison guards and other security forces in the use of electrical discharge weapons for direct contact, or any other less</w:t>
      </w:r>
      <w:r w:rsidR="008869B0">
        <w:rPr>
          <w:rFonts w:eastAsia="Malgun Gothic"/>
          <w:lang w:eastAsia="es-ES"/>
        </w:rPr>
        <w:t>-</w:t>
      </w:r>
      <w:r w:rsidR="00D848E9">
        <w:rPr>
          <w:rFonts w:eastAsia="Malgun Gothic"/>
          <w:lang w:eastAsia="es-ES"/>
        </w:rPr>
        <w:t>than</w:t>
      </w:r>
      <w:r w:rsidR="008869B0">
        <w:rPr>
          <w:rFonts w:eastAsia="Malgun Gothic"/>
          <w:lang w:eastAsia="es-ES"/>
        </w:rPr>
        <w:t>-</w:t>
      </w:r>
      <w:r w:rsidR="00D848E9">
        <w:rPr>
          <w:rFonts w:eastAsia="Malgun Gothic"/>
          <w:lang w:eastAsia="es-ES"/>
        </w:rPr>
        <w:t>lethal device or implement used by security forces. Please detail any incidents that have occurred as a result of using such devices, and provide information detailing the outcomes of any investigations into said incidents.</w:t>
      </w:r>
    </w:p>
    <w:p w:rsidR="00D848E9" w:rsidRDefault="00EF34AD" w:rsidP="00EF34AD">
      <w:pPr>
        <w:pStyle w:val="SingleTxtG"/>
        <w:rPr>
          <w:rFonts w:eastAsia="Malgun Gothic"/>
          <w:lang w:eastAsia="es-ES"/>
        </w:rPr>
      </w:pPr>
      <w:r>
        <w:rPr>
          <w:rFonts w:eastAsia="Malgun Gothic"/>
          <w:lang w:eastAsia="es-ES"/>
        </w:rPr>
        <w:t>17.</w:t>
      </w:r>
      <w:r>
        <w:rPr>
          <w:rFonts w:eastAsia="Malgun Gothic"/>
          <w:lang w:eastAsia="es-ES"/>
        </w:rPr>
        <w:tab/>
      </w:r>
      <w:r w:rsidR="00D848E9">
        <w:rPr>
          <w:rFonts w:eastAsia="Malgun Gothic"/>
          <w:lang w:eastAsia="es-ES"/>
        </w:rPr>
        <w:t xml:space="preserve">Please provide detailed information on the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(Istanbul Protocol)? </w:t>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Article 11</w:t>
      </w:r>
    </w:p>
    <w:p w:rsidR="00D848E9" w:rsidRDefault="00EF34AD" w:rsidP="00EF34AD">
      <w:pPr>
        <w:pStyle w:val="SingleTxtG"/>
        <w:rPr>
          <w:rFonts w:eastAsia="Malgun Gothic"/>
          <w:lang w:eastAsia="es-ES"/>
        </w:rPr>
      </w:pPr>
      <w:r>
        <w:rPr>
          <w:rFonts w:eastAsia="Malgun Gothic"/>
          <w:lang w:eastAsia="es-ES"/>
        </w:rPr>
        <w:t>18.</w:t>
      </w:r>
      <w:r>
        <w:rPr>
          <w:rFonts w:eastAsia="Malgun Gothic"/>
          <w:lang w:eastAsia="es-ES"/>
        </w:rPr>
        <w:tab/>
      </w:r>
      <w:r w:rsidR="00D848E9">
        <w:rPr>
          <w:rFonts w:eastAsia="Malgun Gothic"/>
          <w:lang w:eastAsia="es-ES"/>
        </w:rPr>
        <w:t>Please describe the procedures in place for ensuring compliance with article 11 of the Convention and provide information on any rules, instructions, methods and practices or arrangements for custody that may have been introduced since the consideration of the previous periodic report. Please also indicate the frequency with which these are reviewed.</w:t>
      </w:r>
    </w:p>
    <w:p w:rsidR="00D848E9" w:rsidRDefault="00EF34AD" w:rsidP="00EF34AD">
      <w:pPr>
        <w:pStyle w:val="SingleTxtG"/>
        <w:rPr>
          <w:rFonts w:eastAsia="Malgun Gothic"/>
          <w:lang w:eastAsia="es-ES"/>
        </w:rPr>
      </w:pPr>
      <w:r>
        <w:rPr>
          <w:rFonts w:eastAsia="Malgun Gothic"/>
          <w:lang w:eastAsia="es-ES"/>
        </w:rPr>
        <w:t>19.</w:t>
      </w:r>
      <w:r>
        <w:rPr>
          <w:rFonts w:eastAsia="Malgun Gothic"/>
          <w:lang w:eastAsia="es-ES"/>
        </w:rPr>
        <w:tab/>
      </w:r>
      <w:r w:rsidR="00D848E9">
        <w:rPr>
          <w:rFonts w:eastAsia="Malgun Gothic"/>
          <w:lang w:eastAsia="es-ES"/>
        </w:rPr>
        <w:t>In the light of the previous concluding observations (para. 19), please describe the measures taken by the State party to reduce prison overcrowding, including alternatives to imprisonment, both before and after trial.</w:t>
      </w:r>
      <w:r w:rsidR="00D848E9" w:rsidRPr="006749D2">
        <w:rPr>
          <w:rStyle w:val="FootnoteReference"/>
          <w:rFonts w:eastAsia="Malgun Gothic"/>
        </w:rPr>
        <w:footnoteReference w:id="13"/>
      </w:r>
      <w:r w:rsidR="00D848E9">
        <w:rPr>
          <w:rFonts w:eastAsia="Malgun Gothic"/>
          <w:lang w:eastAsia="es-ES"/>
        </w:rPr>
        <w:t xml:space="preserve"> Please provide statistical data, disaggregated by sex, age</w:t>
      </w:r>
      <w:r w:rsidR="00E44E27">
        <w:rPr>
          <w:rFonts w:eastAsia="Malgun Gothic"/>
          <w:lang w:eastAsia="es-ES"/>
        </w:rPr>
        <w:t xml:space="preserve"> and</w:t>
      </w:r>
      <w:r w:rsidR="00D848E9">
        <w:rPr>
          <w:rFonts w:eastAsia="Malgun Gothic"/>
          <w:lang w:eastAsia="es-ES"/>
        </w:rPr>
        <w:t xml:space="preserve"> ethnic origin or nationality, on the number of pretrial detainees and convicted prisoners and the occupancy rate of all places of detention. Please inform the Committee on the measures taken to address concerns regarding prolonged pretrial detention (para. 9). </w:t>
      </w:r>
    </w:p>
    <w:p w:rsidR="00D848E9" w:rsidRPr="00BD1160" w:rsidRDefault="00EF34AD" w:rsidP="00EF34AD">
      <w:pPr>
        <w:pStyle w:val="SingleTxtG"/>
        <w:rPr>
          <w:rFonts w:eastAsia="Malgun Gothic"/>
          <w:lang w:eastAsia="es-ES"/>
        </w:rPr>
      </w:pPr>
      <w:r w:rsidRPr="00BD1160">
        <w:rPr>
          <w:rFonts w:eastAsia="Malgun Gothic"/>
          <w:lang w:eastAsia="es-ES"/>
        </w:rPr>
        <w:t>20.</w:t>
      </w:r>
      <w:r w:rsidRPr="00BD1160">
        <w:rPr>
          <w:rFonts w:eastAsia="Malgun Gothic"/>
          <w:lang w:eastAsia="es-ES"/>
        </w:rPr>
        <w:tab/>
      </w:r>
      <w:r w:rsidR="00D848E9" w:rsidRPr="00EF15FA">
        <w:rPr>
          <w:rFonts w:eastAsia="Malgun Gothic"/>
          <w:lang w:eastAsia="es-ES"/>
        </w:rPr>
        <w:t xml:space="preserve">Please provide information on efforts by the State party to meet the special needs of </w:t>
      </w:r>
      <w:r w:rsidR="00D848E9" w:rsidRPr="00EF4A09">
        <w:rPr>
          <w:rFonts w:eastAsia="Malgun Gothic"/>
          <w:lang w:eastAsia="es-ES"/>
        </w:rPr>
        <w:t>minors</w:t>
      </w:r>
      <w:r w:rsidR="00DD6ABB">
        <w:rPr>
          <w:rFonts w:eastAsia="Malgun Gothic"/>
          <w:lang w:eastAsia="es-ES"/>
        </w:rPr>
        <w:t>,</w:t>
      </w:r>
      <w:r w:rsidR="00D848E9" w:rsidRPr="006749D2">
        <w:rPr>
          <w:rStyle w:val="FootnoteReference"/>
          <w:rFonts w:eastAsia="Malgun Gothic"/>
        </w:rPr>
        <w:footnoteReference w:id="14"/>
      </w:r>
      <w:r w:rsidR="00D848E9" w:rsidRPr="00EF4A09">
        <w:rPr>
          <w:rFonts w:eastAsia="Malgun Gothic"/>
          <w:lang w:eastAsia="es-ES"/>
        </w:rPr>
        <w:t xml:space="preserve"> women and persons with disabilities in detention.</w:t>
      </w:r>
      <w:r w:rsidR="00D848E9">
        <w:rPr>
          <w:rFonts w:eastAsia="Malgun Gothic"/>
          <w:i/>
          <w:lang w:eastAsia="es-ES"/>
        </w:rPr>
        <w:t xml:space="preserve"> </w:t>
      </w:r>
      <w:r w:rsidR="00D848E9">
        <w:rPr>
          <w:rFonts w:eastAsia="Malgun Gothic"/>
          <w:lang w:eastAsia="es-ES"/>
        </w:rPr>
        <w:t>Please clarify the current policy regarding the use of solitary confinement and the application of means of restraint to prisoners. Please also provide information on the concrete measures taken by the State party to address concerns regarding the excessive resort to strip searches in prisons.</w:t>
      </w:r>
      <w:r w:rsidR="00D848E9" w:rsidRPr="0074515E">
        <w:rPr>
          <w:rFonts w:eastAsia="Malgun Gothic"/>
          <w:lang w:eastAsia="es-ES"/>
        </w:rPr>
        <w:t xml:space="preserve"> </w:t>
      </w:r>
      <w:r w:rsidR="00D848E9">
        <w:rPr>
          <w:rFonts w:eastAsia="Malgun Gothic"/>
          <w:lang w:eastAsia="es-ES"/>
        </w:rPr>
        <w:t>Please detail the nature of indefinite detention within the State party, and how it is applied to convicts who have completed their sentences.</w:t>
      </w:r>
    </w:p>
    <w:p w:rsidR="00D848E9" w:rsidRPr="00EF34AD" w:rsidRDefault="00EF34AD" w:rsidP="00EF34AD">
      <w:pPr>
        <w:pStyle w:val="SingleTxtG"/>
        <w:rPr>
          <w:rFonts w:eastAsia="Malgun Gothic"/>
          <w:iCs/>
          <w:lang w:eastAsia="es-ES"/>
        </w:rPr>
      </w:pPr>
      <w:r w:rsidRPr="00EF34AD">
        <w:rPr>
          <w:rFonts w:eastAsia="Malgun Gothic"/>
          <w:iCs/>
          <w:lang w:eastAsia="es-ES"/>
        </w:rPr>
        <w:t>21.</w:t>
      </w:r>
      <w:r w:rsidRPr="00EF34AD">
        <w:rPr>
          <w:rFonts w:eastAsia="Malgun Gothic"/>
          <w:iCs/>
          <w:lang w:eastAsia="es-ES"/>
        </w:rPr>
        <w:tab/>
      </w:r>
      <w:r w:rsidR="00D848E9">
        <w:rPr>
          <w:rFonts w:eastAsia="Malgun Gothic"/>
          <w:lang w:eastAsia="es-ES"/>
        </w:rPr>
        <w:t xml:space="preserve">In paragraph 20 of its previous concluding observations, the Committee expressed concern at the prevalence of violence among prison inmates. </w:t>
      </w:r>
      <w:r w:rsidR="00D848E9" w:rsidRPr="00045C88">
        <w:rPr>
          <w:rFonts w:eastAsia="Malgun Gothic"/>
          <w:lang w:eastAsia="es-ES"/>
        </w:rPr>
        <w:t>Please provide information about the frequency of inter-prisoner violence, including any cases involving possible negligence on the part of law enforcement personnel, the number of complaints made in this regard</w:t>
      </w:r>
      <w:r w:rsidR="00D848E9">
        <w:rPr>
          <w:rFonts w:eastAsia="Malgun Gothic"/>
          <w:lang w:eastAsia="es-ES"/>
        </w:rPr>
        <w:t xml:space="preserve"> and their outcome</w:t>
      </w:r>
      <w:r w:rsidR="00D848E9" w:rsidRPr="00045C88">
        <w:rPr>
          <w:rFonts w:eastAsia="Malgun Gothic"/>
          <w:lang w:eastAsia="es-ES"/>
        </w:rPr>
        <w:t>. What preventive measures have been taken?</w:t>
      </w:r>
    </w:p>
    <w:p w:rsidR="00D848E9" w:rsidRDefault="00EF34AD" w:rsidP="00EF34AD">
      <w:pPr>
        <w:pStyle w:val="SingleTxtG"/>
        <w:rPr>
          <w:rFonts w:eastAsia="Malgun Gothic"/>
          <w:lang w:eastAsia="es-ES"/>
        </w:rPr>
      </w:pPr>
      <w:r>
        <w:rPr>
          <w:rFonts w:eastAsia="Malgun Gothic"/>
          <w:lang w:eastAsia="es-ES"/>
        </w:rPr>
        <w:t>22.</w:t>
      </w:r>
      <w:r>
        <w:rPr>
          <w:rFonts w:eastAsia="Malgun Gothic"/>
          <w:lang w:eastAsia="es-ES"/>
        </w:rPr>
        <w:tab/>
      </w:r>
      <w:r w:rsidR="00D848E9" w:rsidRPr="008C674A">
        <w:rPr>
          <w:rFonts w:eastAsia="Malgun Gothic"/>
          <w:lang w:eastAsia="es-ES"/>
        </w:rPr>
        <w:t xml:space="preserve">Please provide disaggregated statistical data regarding deaths in custody during the period under consideration, broken down by place of detention, </w:t>
      </w:r>
      <w:r w:rsidR="00EE1D83">
        <w:rPr>
          <w:rFonts w:eastAsia="Malgun Gothic"/>
          <w:lang w:eastAsia="es-ES"/>
        </w:rPr>
        <w:t xml:space="preserve">the </w:t>
      </w:r>
      <w:r w:rsidR="00D848E9" w:rsidRPr="008C674A">
        <w:rPr>
          <w:rFonts w:eastAsia="Malgun Gothic"/>
          <w:lang w:eastAsia="es-ES"/>
        </w:rPr>
        <w:t xml:space="preserve">sex, age and ethnicity or nationality of the deceased and cause of death. Please provide detailed information on the results of the investigations into </w:t>
      </w:r>
      <w:r w:rsidR="00EE1D83">
        <w:rPr>
          <w:rFonts w:eastAsia="Malgun Gothic"/>
          <w:lang w:eastAsia="es-ES"/>
        </w:rPr>
        <w:t>such</w:t>
      </w:r>
      <w:r w:rsidR="00EE1D83" w:rsidRPr="008C674A">
        <w:rPr>
          <w:rFonts w:eastAsia="Malgun Gothic"/>
          <w:lang w:eastAsia="es-ES"/>
        </w:rPr>
        <w:t xml:space="preserve"> </w:t>
      </w:r>
      <w:r w:rsidR="00D848E9" w:rsidRPr="008C674A">
        <w:rPr>
          <w:rFonts w:eastAsia="Malgun Gothic"/>
          <w:lang w:eastAsia="es-ES"/>
        </w:rPr>
        <w:t>deaths and on the measures taken to prevent the reoccurrence of similar cases. Please indicate whether, in any of the cases, relatives received compensation.</w:t>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Articles 12 and 13</w:t>
      </w:r>
    </w:p>
    <w:p w:rsidR="00D848E9" w:rsidRDefault="00EF34AD" w:rsidP="00EF34AD">
      <w:pPr>
        <w:pStyle w:val="SingleTxtG"/>
        <w:rPr>
          <w:rFonts w:eastAsia="Malgun Gothic"/>
          <w:lang w:eastAsia="es-ES"/>
        </w:rPr>
      </w:pPr>
      <w:r>
        <w:rPr>
          <w:rFonts w:eastAsia="Malgun Gothic"/>
          <w:lang w:eastAsia="es-ES"/>
        </w:rPr>
        <w:t>23.</w:t>
      </w:r>
      <w:r>
        <w:rPr>
          <w:rFonts w:eastAsia="Malgun Gothic"/>
          <w:lang w:eastAsia="es-ES"/>
        </w:rPr>
        <w:tab/>
      </w:r>
      <w:r w:rsidR="00D848E9">
        <w:rPr>
          <w:rFonts w:eastAsia="Malgun Gothic"/>
          <w:lang w:eastAsia="es-ES"/>
        </w:rPr>
        <w:t>As requested in the Committee’s previous concluding observations (paras. 11, 18</w:t>
      </w:r>
      <w:r w:rsidR="005C36A9">
        <w:rPr>
          <w:rFonts w:eastAsia="Malgun Gothic"/>
          <w:lang w:eastAsia="es-ES"/>
        </w:rPr>
        <w:t> </w:t>
      </w:r>
      <w:r w:rsidR="00D848E9">
        <w:rPr>
          <w:rFonts w:eastAsia="Malgun Gothic"/>
          <w:lang w:eastAsia="es-ES"/>
        </w:rPr>
        <w:t xml:space="preserve">(e) and 26), please provide updated statistical data, disaggregated by sex, age, ethnic origin or nationality and place of detention, on complaints of acts of torture and ill-treatment recorded during the reporting period. Please include information on investigations, disciplinary and criminal proceedings, convictions and the criminal or disciplinary sanctions applied. In this regard, please provide examples of relevant cases and/or judicial decisions. </w:t>
      </w:r>
    </w:p>
    <w:p w:rsidR="00D848E9" w:rsidRDefault="00EF34AD" w:rsidP="00EF34AD">
      <w:pPr>
        <w:pStyle w:val="SingleTxtG"/>
        <w:rPr>
          <w:rFonts w:eastAsia="Malgun Gothic"/>
          <w:lang w:eastAsia="es-ES"/>
        </w:rPr>
      </w:pPr>
      <w:r>
        <w:rPr>
          <w:rFonts w:eastAsia="Malgun Gothic"/>
          <w:lang w:eastAsia="es-ES"/>
        </w:rPr>
        <w:t>24.</w:t>
      </w:r>
      <w:r>
        <w:rPr>
          <w:rFonts w:eastAsia="Malgun Gothic"/>
          <w:lang w:eastAsia="es-ES"/>
        </w:rPr>
        <w:tab/>
      </w:r>
      <w:r w:rsidR="00D848E9">
        <w:rPr>
          <w:rFonts w:eastAsia="Malgun Gothic"/>
          <w:lang w:eastAsia="es-ES"/>
        </w:rPr>
        <w:t>In the light of the Committee’s previous concluding observations (para. 18) and the State party’s follow-up replies</w:t>
      </w:r>
      <w:r w:rsidR="00DD6ABB">
        <w:rPr>
          <w:rFonts w:eastAsia="Malgun Gothic"/>
          <w:lang w:eastAsia="es-ES"/>
        </w:rPr>
        <w:t>,</w:t>
      </w:r>
      <w:r w:rsidR="00D848E9" w:rsidRPr="006749D2">
        <w:rPr>
          <w:rStyle w:val="FootnoteReference"/>
          <w:rFonts w:eastAsia="Malgun Gothic"/>
        </w:rPr>
        <w:footnoteReference w:id="15"/>
      </w:r>
      <w:r w:rsidR="00D848E9">
        <w:rPr>
          <w:rFonts w:eastAsia="Malgun Gothic"/>
          <w:lang w:eastAsia="es-ES"/>
        </w:rPr>
        <w:t xml:space="preserve"> please indicate whether the State party plans to set up an independent and impartial body to investigate allegations of acts of torture and ill-treatment by members of the security forces and prison personnel</w:t>
      </w:r>
      <w:r w:rsidR="00A30391">
        <w:rPr>
          <w:rFonts w:eastAsia="Malgun Gothic"/>
          <w:lang w:eastAsia="es-ES"/>
        </w:rPr>
        <w:t>.</w:t>
      </w:r>
      <w:r w:rsidR="00D848E9">
        <w:rPr>
          <w:rFonts w:eastAsia="Malgun Gothic"/>
          <w:lang w:eastAsia="es-ES"/>
        </w:rPr>
        <w:t xml:space="preserve"> Please also provide information on the measures taken to establish an effective complaints mechanism for persons deprived of their liberty (para. 11).</w:t>
      </w:r>
    </w:p>
    <w:p w:rsidR="00D848E9" w:rsidRDefault="00EF34AD" w:rsidP="00EF34AD">
      <w:pPr>
        <w:pStyle w:val="SingleTxtG"/>
        <w:rPr>
          <w:rFonts w:eastAsia="Malgun Gothic"/>
          <w:lang w:eastAsia="es-ES"/>
        </w:rPr>
      </w:pPr>
      <w:r>
        <w:rPr>
          <w:rFonts w:eastAsia="Malgun Gothic"/>
          <w:lang w:eastAsia="es-ES"/>
        </w:rPr>
        <w:t>25.</w:t>
      </w:r>
      <w:r>
        <w:rPr>
          <w:rFonts w:eastAsia="Malgun Gothic"/>
          <w:lang w:eastAsia="es-ES"/>
        </w:rPr>
        <w:tab/>
      </w:r>
      <w:r w:rsidR="00D848E9">
        <w:rPr>
          <w:rFonts w:eastAsia="Malgun Gothic"/>
          <w:lang w:eastAsia="es-ES"/>
        </w:rPr>
        <w:t>Taking note of the Committee’s previous concluding observations (para. 10) and the State party’s follow-up replies</w:t>
      </w:r>
      <w:r w:rsidR="00DD6ABB">
        <w:rPr>
          <w:rFonts w:eastAsia="Malgun Gothic"/>
          <w:lang w:eastAsia="es-ES"/>
        </w:rPr>
        <w:t>,</w:t>
      </w:r>
      <w:r w:rsidR="00D848E9" w:rsidRPr="006749D2">
        <w:rPr>
          <w:rStyle w:val="FootnoteReference"/>
          <w:rFonts w:eastAsia="Malgun Gothic"/>
        </w:rPr>
        <w:footnoteReference w:id="16"/>
      </w:r>
      <w:r w:rsidR="00D848E9">
        <w:rPr>
          <w:rFonts w:eastAsia="Malgun Gothic"/>
          <w:lang w:eastAsia="es-ES"/>
        </w:rPr>
        <w:t xml:space="preserve"> please indicate whether the State party has completed the investigation into </w:t>
      </w:r>
      <w:r w:rsidR="005C36A9">
        <w:rPr>
          <w:rFonts w:eastAsia="Malgun Gothic"/>
          <w:lang w:eastAsia="es-ES"/>
        </w:rPr>
        <w:t xml:space="preserve">the </w:t>
      </w:r>
      <w:r w:rsidR="00D848E9">
        <w:rPr>
          <w:rFonts w:eastAsia="Malgun Gothic"/>
          <w:lang w:eastAsia="es-ES"/>
        </w:rPr>
        <w:t xml:space="preserve">complicity </w:t>
      </w:r>
      <w:r w:rsidR="005C36A9">
        <w:rPr>
          <w:rFonts w:eastAsia="Malgun Gothic"/>
          <w:lang w:eastAsia="es-ES"/>
        </w:rPr>
        <w:t xml:space="preserve">of Poland </w:t>
      </w:r>
      <w:r w:rsidR="00D848E9">
        <w:rPr>
          <w:rFonts w:eastAsia="Malgun Gothic"/>
          <w:lang w:eastAsia="es-ES"/>
        </w:rPr>
        <w:t>in rendition and secret detention programmes</w:t>
      </w:r>
      <w:r w:rsidR="005C36A9">
        <w:rPr>
          <w:rFonts w:eastAsia="Malgun Gothic"/>
          <w:lang w:eastAsia="es-ES"/>
        </w:rPr>
        <w:t xml:space="preserve"> of </w:t>
      </w:r>
      <w:r w:rsidR="00017E9B" w:rsidRPr="00017E9B">
        <w:rPr>
          <w:rFonts w:eastAsia="Malgun Gothic"/>
          <w:lang w:eastAsia="es-ES"/>
        </w:rPr>
        <w:t>the Central Intelligence Agency</w:t>
      </w:r>
      <w:r w:rsidR="00017E9B">
        <w:rPr>
          <w:rFonts w:eastAsia="Malgun Gothic"/>
          <w:lang w:eastAsia="es-ES"/>
        </w:rPr>
        <w:t xml:space="preserve"> of the </w:t>
      </w:r>
      <w:r w:rsidR="00017E9B" w:rsidRPr="00017E9B">
        <w:rPr>
          <w:rFonts w:eastAsia="Malgun Gothic"/>
          <w:lang w:eastAsia="es-ES"/>
        </w:rPr>
        <w:t>United States of America</w:t>
      </w:r>
      <w:r w:rsidR="00D848E9">
        <w:rPr>
          <w:rFonts w:eastAsia="Malgun Gothic"/>
          <w:lang w:eastAsia="es-ES"/>
        </w:rPr>
        <w:t xml:space="preserve"> between 2001 and 2008, which involved torture and ill-treatment of persons suspected of involvement in terrorism-related crimes. If so, please indicate the results of th</w:t>
      </w:r>
      <w:r w:rsidR="00EE1D83">
        <w:rPr>
          <w:rFonts w:eastAsia="Malgun Gothic"/>
          <w:lang w:eastAsia="es-ES"/>
        </w:rPr>
        <w:t>e</w:t>
      </w:r>
      <w:r w:rsidR="00D848E9">
        <w:rPr>
          <w:rFonts w:eastAsia="Malgun Gothic"/>
          <w:lang w:eastAsia="es-ES"/>
        </w:rPr>
        <w:t xml:space="preserve"> investigation. Please also indicate the measures taken to ensure that those responsible are prosecuted, and that all victims are able to access a remedy and obtain redress.</w:t>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Article 14</w:t>
      </w:r>
    </w:p>
    <w:p w:rsidR="00D848E9" w:rsidRDefault="00EF34AD" w:rsidP="00EF34AD">
      <w:pPr>
        <w:pStyle w:val="SingleTxtG"/>
        <w:rPr>
          <w:rFonts w:eastAsia="Malgun Gothic"/>
          <w:lang w:eastAsia="es-ES"/>
        </w:rPr>
      </w:pPr>
      <w:r>
        <w:rPr>
          <w:rFonts w:eastAsia="Malgun Gothic"/>
          <w:lang w:eastAsia="es-ES"/>
        </w:rPr>
        <w:t>26.</w:t>
      </w:r>
      <w:r>
        <w:rPr>
          <w:rFonts w:eastAsia="Malgun Gothic"/>
          <w:lang w:eastAsia="es-ES"/>
        </w:rPr>
        <w:tab/>
      </w:r>
      <w:r w:rsidR="00D848E9">
        <w:rPr>
          <w:rFonts w:eastAsia="Malgun Gothic"/>
          <w:lang w:eastAsia="es-ES"/>
        </w:rPr>
        <w:t>With reference to the previous concluding observations (paras. 21 and 26) and the State party’s follow-up replies</w:t>
      </w:r>
      <w:r w:rsidR="00DD6ABB">
        <w:rPr>
          <w:rFonts w:eastAsia="Malgun Gothic"/>
          <w:lang w:eastAsia="es-ES"/>
        </w:rPr>
        <w:t>,</w:t>
      </w:r>
      <w:r w:rsidR="00D848E9" w:rsidRPr="006749D2">
        <w:rPr>
          <w:rStyle w:val="FootnoteReference"/>
          <w:rFonts w:eastAsia="Malgun Gothic"/>
        </w:rPr>
        <w:footnoteReference w:id="17"/>
      </w:r>
      <w:r w:rsidR="00D848E9">
        <w:rPr>
          <w:rFonts w:eastAsia="Malgun Gothic"/>
          <w:lang w:eastAsia="es-ES"/>
        </w:rPr>
        <w:t xml:space="preserve"> please provide information on redress and compensation measures, including the means of rehabilitation ordered by the courts and actually provided to the victims of torture or their families since the consideration of the previous periodic report. This information should include the number of requests made, the number granted, and the amounts ordered and those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Article 15</w:t>
      </w:r>
    </w:p>
    <w:p w:rsidR="00D848E9" w:rsidRDefault="00EF34AD" w:rsidP="00EF34AD">
      <w:pPr>
        <w:pStyle w:val="SingleTxtG"/>
        <w:rPr>
          <w:rFonts w:eastAsia="Malgun Gothic"/>
          <w:lang w:eastAsia="es-ES"/>
        </w:rPr>
      </w:pPr>
      <w:r>
        <w:rPr>
          <w:rFonts w:eastAsia="Malgun Gothic"/>
          <w:lang w:eastAsia="es-ES"/>
        </w:rPr>
        <w:t>27.</w:t>
      </w:r>
      <w:r>
        <w:rPr>
          <w:rFonts w:eastAsia="Malgun Gothic"/>
          <w:lang w:eastAsia="es-ES"/>
        </w:rPr>
        <w:tab/>
      </w:r>
      <w:r w:rsidR="00D848E9">
        <w:rPr>
          <w:rFonts w:eastAsia="Malgun Gothic"/>
          <w:lang w:eastAsia="es-ES"/>
        </w:rPr>
        <w:t>Please provide examples of any cases that have been dismissed by the courts due to the introduction of evidence or testimony obtained through torture or ill-treatment.</w:t>
      </w:r>
    </w:p>
    <w:p w:rsidR="00D848E9" w:rsidRPr="00573CEC"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sidRPr="00573CEC">
        <w:rPr>
          <w:rFonts w:eastAsia="Malgun Gothic"/>
          <w:lang w:eastAsia="es-ES"/>
        </w:rPr>
        <w:t>Article 16</w:t>
      </w:r>
    </w:p>
    <w:p w:rsidR="00D848E9" w:rsidRDefault="00EF34AD" w:rsidP="00EF34AD">
      <w:pPr>
        <w:pStyle w:val="SingleTxtG"/>
        <w:rPr>
          <w:rFonts w:eastAsia="Malgun Gothic"/>
          <w:lang w:eastAsia="es-ES"/>
        </w:rPr>
      </w:pPr>
      <w:r>
        <w:rPr>
          <w:rFonts w:eastAsia="Malgun Gothic"/>
          <w:lang w:eastAsia="es-ES"/>
        </w:rPr>
        <w:t>28.</w:t>
      </w:r>
      <w:r>
        <w:rPr>
          <w:rFonts w:eastAsia="Malgun Gothic"/>
          <w:lang w:eastAsia="es-ES"/>
        </w:rPr>
        <w:tab/>
      </w:r>
      <w:r w:rsidR="004D18D2">
        <w:rPr>
          <w:rFonts w:eastAsia="Malgun Gothic"/>
          <w:lang w:eastAsia="es-ES"/>
        </w:rPr>
        <w:t>With respect to</w:t>
      </w:r>
      <w:r w:rsidR="00D848E9">
        <w:rPr>
          <w:rFonts w:eastAsia="Malgun Gothic"/>
          <w:lang w:eastAsia="es-ES"/>
        </w:rPr>
        <w:t xml:space="preserve"> the previous concluding observations (para. 23), please inform the Committee </w:t>
      </w:r>
      <w:r w:rsidR="00EE1D83">
        <w:rPr>
          <w:rFonts w:eastAsia="Malgun Gothic"/>
          <w:lang w:eastAsia="es-ES"/>
        </w:rPr>
        <w:t>about</w:t>
      </w:r>
      <w:r w:rsidR="00D848E9">
        <w:rPr>
          <w:rFonts w:eastAsia="Malgun Gothic"/>
          <w:lang w:eastAsia="es-ES"/>
        </w:rPr>
        <w:t xml:space="preserve"> measures taken</w:t>
      </w:r>
      <w:r w:rsidR="002153BC">
        <w:rPr>
          <w:rFonts w:eastAsia="Malgun Gothic"/>
          <w:lang w:eastAsia="es-ES"/>
        </w:rPr>
        <w:t xml:space="preserve"> </w:t>
      </w:r>
      <w:r w:rsidR="00D848E9">
        <w:rPr>
          <w:rFonts w:eastAsia="Malgun Gothic"/>
          <w:lang w:eastAsia="es-ES"/>
        </w:rPr>
        <w:t>to ensure that women, especially victims of rape, who voluntarily decide to terminate their pregnancy have access to safe, legal abortions.</w:t>
      </w:r>
      <w:r w:rsidR="00D848E9" w:rsidRPr="006749D2">
        <w:rPr>
          <w:rStyle w:val="FootnoteReference"/>
          <w:rFonts w:eastAsia="Malgun Gothic"/>
        </w:rPr>
        <w:footnoteReference w:id="18"/>
      </w:r>
    </w:p>
    <w:p w:rsidR="00A31324" w:rsidRDefault="00EF34AD" w:rsidP="00EF34AD">
      <w:pPr>
        <w:pStyle w:val="SingleTxtG"/>
        <w:rPr>
          <w:rFonts w:eastAsia="Malgun Gothic"/>
          <w:lang w:eastAsia="es-ES"/>
        </w:rPr>
      </w:pPr>
      <w:r>
        <w:rPr>
          <w:rFonts w:eastAsia="Malgun Gothic"/>
          <w:lang w:eastAsia="es-ES"/>
        </w:rPr>
        <w:t>29.</w:t>
      </w:r>
      <w:r>
        <w:rPr>
          <w:rFonts w:eastAsia="Malgun Gothic"/>
          <w:lang w:eastAsia="es-ES"/>
        </w:rPr>
        <w:tab/>
      </w:r>
      <w:r w:rsidR="00D848E9">
        <w:rPr>
          <w:rFonts w:eastAsia="Malgun Gothic"/>
          <w:lang w:eastAsia="es-ES"/>
        </w:rPr>
        <w:t xml:space="preserve">With </w:t>
      </w:r>
      <w:r w:rsidR="00EE1D83">
        <w:rPr>
          <w:rFonts w:eastAsia="Malgun Gothic"/>
          <w:lang w:eastAsia="es-ES"/>
        </w:rPr>
        <w:t xml:space="preserve">respect </w:t>
      </w:r>
      <w:r w:rsidR="00D848E9">
        <w:rPr>
          <w:rFonts w:eastAsia="Malgun Gothic"/>
          <w:lang w:eastAsia="es-ES"/>
        </w:rPr>
        <w:t>to the previous concluding observations (para. 25), please provide information on the measures taken to ensure that all crimes and acts of violence that target persons on the basis of their sexual orientation, disability or age are properly and promptly investigated and prosecuted.</w:t>
      </w:r>
      <w:r w:rsidR="00D848E9" w:rsidRPr="006749D2">
        <w:rPr>
          <w:rStyle w:val="FootnoteReference"/>
          <w:rFonts w:eastAsia="Malgun Gothic"/>
        </w:rPr>
        <w:footnoteReference w:id="19"/>
      </w:r>
      <w:r w:rsidR="00D848E9">
        <w:rPr>
          <w:rFonts w:eastAsia="Malgun Gothic"/>
          <w:lang w:eastAsia="es-ES"/>
        </w:rPr>
        <w:t xml:space="preserve"> </w:t>
      </w:r>
    </w:p>
    <w:p w:rsidR="00D848E9" w:rsidRDefault="00EF34AD" w:rsidP="00EF34AD">
      <w:pPr>
        <w:pStyle w:val="SingleTxtG"/>
        <w:rPr>
          <w:rFonts w:eastAsia="Malgun Gothic"/>
          <w:lang w:eastAsia="es-ES"/>
        </w:rPr>
      </w:pPr>
      <w:r>
        <w:rPr>
          <w:rFonts w:eastAsia="Malgun Gothic"/>
          <w:lang w:eastAsia="es-ES"/>
        </w:rPr>
        <w:t>30.</w:t>
      </w:r>
      <w:r>
        <w:rPr>
          <w:rFonts w:eastAsia="Malgun Gothic"/>
          <w:lang w:eastAsia="es-ES"/>
        </w:rPr>
        <w:tab/>
      </w:r>
      <w:r w:rsidR="00D848E9">
        <w:rPr>
          <w:rFonts w:eastAsia="Malgun Gothic"/>
          <w:lang w:eastAsia="es-ES"/>
        </w:rPr>
        <w:t>What measures have been taken to combat racially motivated crimes against persons of Arab, Asian and African origin and violence against persons belonging to the Roma community? Please also comment on reports about persistent manifestations of anti-Semitism, including physical attacks.</w:t>
      </w:r>
      <w:r w:rsidR="00D848E9" w:rsidRPr="006749D2">
        <w:rPr>
          <w:rStyle w:val="FootnoteReference"/>
          <w:rFonts w:eastAsia="Malgun Gothic"/>
        </w:rPr>
        <w:footnoteReference w:id="20"/>
      </w:r>
    </w:p>
    <w:p w:rsidR="00D848E9" w:rsidRDefault="005D4533" w:rsidP="005D4533">
      <w:pPr>
        <w:pStyle w:val="H23G"/>
        <w:rPr>
          <w:rFonts w:eastAsia="Malgun Gothic"/>
          <w:lang w:eastAsia="es-ES"/>
        </w:rPr>
      </w:pPr>
      <w:r>
        <w:rPr>
          <w:rFonts w:eastAsia="Malgun Gothic"/>
          <w:lang w:eastAsia="es-ES"/>
        </w:rPr>
        <w:tab/>
      </w:r>
      <w:r>
        <w:rPr>
          <w:rFonts w:eastAsia="Malgun Gothic"/>
          <w:lang w:eastAsia="es-ES"/>
        </w:rPr>
        <w:tab/>
      </w:r>
      <w:r w:rsidR="00D848E9">
        <w:rPr>
          <w:rFonts w:eastAsia="Malgun Gothic"/>
          <w:lang w:eastAsia="es-ES"/>
        </w:rPr>
        <w:t>Other issues</w:t>
      </w:r>
    </w:p>
    <w:p w:rsidR="00D848E9" w:rsidRDefault="00EF34AD" w:rsidP="00EF34AD">
      <w:pPr>
        <w:pStyle w:val="SingleTxtG"/>
        <w:rPr>
          <w:rFonts w:eastAsia="Malgun Gothic"/>
          <w:lang w:eastAsia="es-ES"/>
        </w:rPr>
      </w:pPr>
      <w:r>
        <w:rPr>
          <w:rFonts w:eastAsia="Malgun Gothic"/>
          <w:lang w:eastAsia="es-ES"/>
        </w:rPr>
        <w:t>31.</w:t>
      </w:r>
      <w:r>
        <w:rPr>
          <w:rFonts w:eastAsia="Malgun Gothic"/>
          <w:lang w:eastAsia="es-ES"/>
        </w:rPr>
        <w:tab/>
      </w:r>
      <w:r w:rsidR="00D848E9">
        <w:rPr>
          <w:rFonts w:eastAsia="Malgun Gothic"/>
          <w:lang w:eastAsia="es-ES"/>
        </w:rPr>
        <w:t>Please provide updated information on the measures taken by the State party to respond to any threats of terrorism</w:t>
      </w:r>
      <w:r w:rsidR="00217F2F">
        <w:rPr>
          <w:rFonts w:eastAsia="Malgun Gothic"/>
          <w:lang w:eastAsia="es-ES"/>
        </w:rPr>
        <w:t>,</w:t>
      </w:r>
      <w:r w:rsidR="00D848E9">
        <w:rPr>
          <w:rFonts w:eastAsia="Malgun Gothic"/>
          <w:lang w:eastAsia="es-ES"/>
        </w:rPr>
        <w:t xml:space="preserve"> and describe if and how th</w:t>
      </w:r>
      <w:r w:rsidR="00217F2F">
        <w:rPr>
          <w:rFonts w:eastAsia="Malgun Gothic"/>
          <w:lang w:eastAsia="es-ES"/>
        </w:rPr>
        <w:t>o</w:t>
      </w:r>
      <w:r w:rsidR="00D848E9">
        <w:rPr>
          <w:rFonts w:eastAsia="Malgun Gothic"/>
          <w:lang w:eastAsia="es-ES"/>
        </w:rPr>
        <w:t>se anti-terrorism measures have affected human rights safeguards in law and in practice</w:t>
      </w:r>
      <w:r w:rsidR="00217F2F">
        <w:rPr>
          <w:rFonts w:eastAsia="Malgun Gothic"/>
          <w:lang w:eastAsia="es-ES"/>
        </w:rPr>
        <w:t>. Please explain</w:t>
      </w:r>
      <w:r w:rsidR="00D848E9">
        <w:rPr>
          <w:rFonts w:eastAsia="Malgun Gothic"/>
          <w:lang w:eastAsia="es-ES"/>
        </w:rPr>
        <w:t xml:space="preserve"> how </w:t>
      </w:r>
      <w:r w:rsidR="00217F2F">
        <w:rPr>
          <w:rFonts w:eastAsia="Malgun Gothic"/>
          <w:lang w:eastAsia="es-ES"/>
        </w:rPr>
        <w:t>the State party</w:t>
      </w:r>
      <w:r w:rsidR="00D848E9">
        <w:rPr>
          <w:rFonts w:eastAsia="Malgun Gothic"/>
          <w:lang w:eastAsia="es-ES"/>
        </w:rPr>
        <w:t xml:space="preserve"> has ensured that those measures comply with all its obligations under international law, especially the Convention, in accordance with </w:t>
      </w:r>
      <w:r w:rsidR="0098022F">
        <w:rPr>
          <w:rFonts w:eastAsia="Malgun Gothic"/>
          <w:lang w:eastAsia="es-ES"/>
        </w:rPr>
        <w:t xml:space="preserve">the </w:t>
      </w:r>
      <w:r w:rsidR="00D848E9">
        <w:rPr>
          <w:rFonts w:eastAsia="Malgun Gothic"/>
          <w:lang w:eastAsia="es-ES"/>
        </w:rPr>
        <w:t xml:space="preserve">relevant Security Council resolutions, in particular </w:t>
      </w:r>
      <w:r w:rsidR="00EE1D83">
        <w:rPr>
          <w:rFonts w:eastAsia="Malgun Gothic"/>
          <w:lang w:eastAsia="es-ES"/>
        </w:rPr>
        <w:t xml:space="preserve">resolution </w:t>
      </w:r>
      <w:r w:rsidR="00D848E9">
        <w:rPr>
          <w:rFonts w:eastAsia="Malgun Gothic"/>
          <w:lang w:eastAsia="es-ES"/>
        </w:rPr>
        <w:t xml:space="preserve">1624 (2005). Please </w:t>
      </w:r>
      <w:r w:rsidR="0098022F">
        <w:rPr>
          <w:rFonts w:eastAsia="Malgun Gothic"/>
          <w:lang w:eastAsia="es-ES"/>
        </w:rPr>
        <w:t xml:space="preserve">provide information on </w:t>
      </w:r>
      <w:r w:rsidR="00D848E9">
        <w:rPr>
          <w:rFonts w:eastAsia="Malgun Gothic"/>
          <w:lang w:eastAsia="es-ES"/>
        </w:rPr>
        <w:t xml:space="preserve">the relevant training given to law enforcement officers; the number of persons convicted under such legislation; the legal safeguards and remedies available to persons subjected to anti-terrorist measures in law and in practice; whether there </w:t>
      </w:r>
      <w:r w:rsidR="0098022F">
        <w:rPr>
          <w:rFonts w:eastAsia="Malgun Gothic"/>
          <w:lang w:eastAsia="es-ES"/>
        </w:rPr>
        <w:t>have been</w:t>
      </w:r>
      <w:r w:rsidR="00D848E9">
        <w:rPr>
          <w:rFonts w:eastAsia="Malgun Gothic"/>
          <w:lang w:eastAsia="es-ES"/>
        </w:rPr>
        <w:t xml:space="preserve"> complaints of non-observance of international standards; and the outcome of th</w:t>
      </w:r>
      <w:r w:rsidR="0098022F">
        <w:rPr>
          <w:rFonts w:eastAsia="Malgun Gothic"/>
          <w:lang w:eastAsia="es-ES"/>
        </w:rPr>
        <w:t>o</w:t>
      </w:r>
      <w:r w:rsidR="00D848E9">
        <w:rPr>
          <w:rFonts w:eastAsia="Malgun Gothic"/>
          <w:lang w:eastAsia="es-ES"/>
        </w:rPr>
        <w:t xml:space="preserve">se complaints. </w:t>
      </w:r>
    </w:p>
    <w:p w:rsidR="00D848E9" w:rsidRPr="004C58C9" w:rsidRDefault="00D848E9" w:rsidP="005D4533">
      <w:pPr>
        <w:pStyle w:val="H23G"/>
        <w:rPr>
          <w:rFonts w:eastAsia="Malgun Gothic"/>
        </w:rPr>
      </w:pPr>
      <w:r w:rsidRPr="00F45BF4">
        <w:rPr>
          <w:rFonts w:eastAsia="Malgun Gothic"/>
        </w:rPr>
        <w:tab/>
      </w:r>
      <w:r w:rsidRPr="00F45BF4">
        <w:rPr>
          <w:rFonts w:eastAsia="Malgun Gothic"/>
        </w:rPr>
        <w:tab/>
      </w:r>
      <w:r w:rsidRPr="004C58C9">
        <w:rPr>
          <w:rFonts w:eastAsia="Malgun Gothic"/>
        </w:rPr>
        <w:t xml:space="preserve">General information on other measures and developments relating </w:t>
      </w:r>
      <w:r w:rsidR="00243693">
        <w:rPr>
          <w:rFonts w:eastAsia="Malgun Gothic"/>
        </w:rPr>
        <w:br/>
      </w:r>
      <w:r w:rsidRPr="004C58C9">
        <w:rPr>
          <w:rFonts w:eastAsia="Malgun Gothic"/>
        </w:rPr>
        <w:t>to the implementation of the Convention in the State party</w:t>
      </w:r>
    </w:p>
    <w:p w:rsidR="00D848E9" w:rsidRPr="00F45BF4" w:rsidRDefault="00EF34AD" w:rsidP="00EF34AD">
      <w:pPr>
        <w:pStyle w:val="SingleTxtG"/>
        <w:rPr>
          <w:rFonts w:eastAsia="Malgun Gothic"/>
          <w:lang w:eastAsia="es-ES"/>
        </w:rPr>
      </w:pPr>
      <w:r w:rsidRPr="00F45BF4">
        <w:rPr>
          <w:rFonts w:eastAsia="Malgun Gothic"/>
          <w:lang w:eastAsia="es-ES"/>
        </w:rPr>
        <w:t>32.</w:t>
      </w:r>
      <w:r w:rsidRPr="00F45BF4">
        <w:rPr>
          <w:rFonts w:eastAsia="Malgun Gothic"/>
          <w:lang w:eastAsia="es-ES"/>
        </w:rPr>
        <w:tab/>
      </w:r>
      <w:r w:rsidR="00D848E9" w:rsidRPr="00F45BF4">
        <w:rPr>
          <w:rFonts w:eastAsia="Malgun Gothic"/>
          <w:lang w:eastAsia="es-ES"/>
        </w:rPr>
        <w:t xml:space="preserve">Please provide detailed information on any other relevant legislative, administrative, judicial or other measures taken since the consideration of the previous report </w:t>
      </w:r>
      <w:r w:rsidR="00DE423F">
        <w:rPr>
          <w:rFonts w:eastAsia="Malgun Gothic"/>
          <w:lang w:eastAsia="es-ES"/>
        </w:rPr>
        <w:t>to</w:t>
      </w:r>
      <w:r w:rsidR="00DE423F" w:rsidRPr="00F45BF4">
        <w:rPr>
          <w:rFonts w:eastAsia="Malgun Gothic"/>
          <w:lang w:eastAsia="es-ES"/>
        </w:rPr>
        <w:t xml:space="preserve"> </w:t>
      </w:r>
      <w:r w:rsidR="00D848E9" w:rsidRPr="00F45BF4">
        <w:rPr>
          <w:rFonts w:eastAsia="Malgun Gothic"/>
          <w:lang w:eastAsia="es-ES"/>
        </w:rPr>
        <w:t xml:space="preserve">implement the provisions of the Convention or the Committee’s recommendations. </w:t>
      </w:r>
      <w:r w:rsidR="00DE423F">
        <w:rPr>
          <w:rFonts w:eastAsia="Malgun Gothic"/>
          <w:lang w:eastAsia="es-ES"/>
        </w:rPr>
        <w:t>Such measures</w:t>
      </w:r>
      <w:r w:rsidR="00DE423F" w:rsidRPr="00F45BF4">
        <w:rPr>
          <w:rFonts w:eastAsia="Malgun Gothic"/>
          <w:lang w:eastAsia="es-ES"/>
        </w:rPr>
        <w:t xml:space="preserve"> </w:t>
      </w:r>
      <w:r w:rsidR="00D848E9" w:rsidRPr="00F45BF4">
        <w:rPr>
          <w:rFonts w:eastAsia="Malgun Gothic"/>
          <w:lang w:eastAsia="es-ES"/>
        </w:rPr>
        <w:t>may include institutional developments, plans or programmes</w:t>
      </w:r>
      <w:r w:rsidR="00DE423F">
        <w:rPr>
          <w:rFonts w:eastAsia="Malgun Gothic"/>
          <w:lang w:eastAsia="es-ES"/>
        </w:rPr>
        <w:t>. Please indicate the</w:t>
      </w:r>
      <w:r w:rsidR="00D848E9" w:rsidRPr="00F45BF4">
        <w:rPr>
          <w:rFonts w:eastAsia="Malgun Gothic"/>
          <w:lang w:eastAsia="es-ES"/>
        </w:rPr>
        <w:t xml:space="preserve"> resources allocated and statistical data</w:t>
      </w:r>
      <w:r w:rsidR="00DE423F">
        <w:rPr>
          <w:rFonts w:eastAsia="Malgun Gothic"/>
          <w:lang w:eastAsia="es-ES"/>
        </w:rPr>
        <w:t>. Please also provide</w:t>
      </w:r>
      <w:r w:rsidR="00D848E9" w:rsidRPr="00F45BF4">
        <w:rPr>
          <w:rFonts w:eastAsia="Malgun Gothic"/>
          <w:lang w:eastAsia="es-ES"/>
        </w:rPr>
        <w:t xml:space="preserve"> any other information that the State party considers relevant.</w:t>
      </w:r>
    </w:p>
    <w:p w:rsidR="00D848E9" w:rsidRPr="00EF34AD" w:rsidRDefault="00D848E9" w:rsidP="00D848E9">
      <w:pPr>
        <w:suppressAutoHyphens w:val="0"/>
        <w:spacing w:before="240" w:line="240" w:lineRule="auto"/>
        <w:ind w:left="1134" w:right="1134"/>
        <w:jc w:val="center"/>
        <w:rPr>
          <w:rFonts w:asciiTheme="majorBidi" w:hAnsiTheme="majorBidi" w:cstheme="majorBidi"/>
        </w:rPr>
      </w:pPr>
      <w:r w:rsidRPr="0064422C">
        <w:rPr>
          <w:sz w:val="24"/>
          <w:szCs w:val="24"/>
          <w:u w:val="single"/>
        </w:rPr>
        <w:tab/>
      </w:r>
      <w:r w:rsidRPr="0064422C">
        <w:rPr>
          <w:sz w:val="24"/>
          <w:szCs w:val="24"/>
          <w:u w:val="single"/>
        </w:rPr>
        <w:tab/>
      </w:r>
      <w:r w:rsidRPr="0064422C">
        <w:rPr>
          <w:sz w:val="24"/>
          <w:szCs w:val="24"/>
          <w:u w:val="single"/>
        </w:rPr>
        <w:tab/>
      </w:r>
    </w:p>
    <w:sectPr w:rsidR="00D848E9" w:rsidRPr="00EF34AD" w:rsidSect="00C15C5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2T11:07:00Z" w:initials="Start">
    <w:p w:rsidR="00C15C5A" w:rsidRDefault="00C15C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NO&gt;&gt;N1600408E&lt;&lt;ODS JOB NO&gt;&gt;</w:t>
      </w:r>
    </w:p>
    <w:p w:rsidR="00C15C5A" w:rsidRDefault="00C15C5A">
      <w:pPr>
        <w:pStyle w:val="CommentText"/>
      </w:pPr>
      <w:r>
        <w:t>&lt;&lt;ODS DOC SYMBOL1&gt;&gt;CAT/C/POL/QPR/7&lt;&lt;ODS DOC SYMBOL1&gt;&gt;</w:t>
      </w:r>
    </w:p>
    <w:p w:rsidR="00C15C5A" w:rsidRDefault="00C15C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4B9" w:rsidRDefault="00DE74B9"/>
  </w:endnote>
  <w:endnote w:type="continuationSeparator" w:id="0">
    <w:p w:rsidR="00DE74B9" w:rsidRDefault="00DE74B9"/>
  </w:endnote>
  <w:endnote w:type="continuationNotice" w:id="1">
    <w:p w:rsidR="00DE74B9" w:rsidRDefault="00DE74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EA247E" w:rsidP="00EA247E">
    <w:pPr>
      <w:pStyle w:val="Footer"/>
      <w:tabs>
        <w:tab w:val="right" w:pos="9638"/>
      </w:tabs>
    </w:pPr>
    <w:r w:rsidRPr="00EA247E">
      <w:rPr>
        <w:b/>
        <w:sz w:val="18"/>
      </w:rPr>
      <w:fldChar w:fldCharType="begin"/>
    </w:r>
    <w:r w:rsidRPr="00EA247E">
      <w:rPr>
        <w:b/>
        <w:sz w:val="18"/>
      </w:rPr>
      <w:instrText xml:space="preserve"> PAGE  \* MERGEFORMAT </w:instrText>
    </w:r>
    <w:r w:rsidRPr="00EA247E">
      <w:rPr>
        <w:b/>
        <w:sz w:val="18"/>
      </w:rPr>
      <w:fldChar w:fldCharType="separate"/>
    </w:r>
    <w:r w:rsidR="00F12660">
      <w:rPr>
        <w:b/>
        <w:noProof/>
        <w:sz w:val="18"/>
      </w:rPr>
      <w:t>2</w:t>
    </w:r>
    <w:r w:rsidRPr="00EA24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EA247E" w:rsidP="00EA247E">
    <w:pPr>
      <w:pStyle w:val="Footer"/>
      <w:tabs>
        <w:tab w:val="right" w:pos="9638"/>
      </w:tabs>
      <w:rPr>
        <w:b/>
        <w:sz w:val="18"/>
      </w:rPr>
    </w:pPr>
    <w:r>
      <w:tab/>
    </w:r>
    <w:r w:rsidRPr="00EA247E">
      <w:rPr>
        <w:b/>
        <w:sz w:val="18"/>
      </w:rPr>
      <w:fldChar w:fldCharType="begin"/>
    </w:r>
    <w:r w:rsidRPr="00EA247E">
      <w:rPr>
        <w:b/>
        <w:sz w:val="18"/>
      </w:rPr>
      <w:instrText xml:space="preserve"> PAGE  \* MERGEFORMAT </w:instrText>
    </w:r>
    <w:r w:rsidRPr="00EA247E">
      <w:rPr>
        <w:b/>
        <w:sz w:val="18"/>
      </w:rPr>
      <w:fldChar w:fldCharType="separate"/>
    </w:r>
    <w:r w:rsidR="00F12660">
      <w:rPr>
        <w:b/>
        <w:noProof/>
        <w:sz w:val="18"/>
      </w:rPr>
      <w:t>3</w:t>
    </w:r>
    <w:r w:rsidRPr="00EA24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15C5A" w:rsidTr="00C15C5A">
      <w:tc>
        <w:tcPr>
          <w:tcW w:w="3758" w:type="dxa"/>
          <w:shd w:val="clear" w:color="auto" w:fill="auto"/>
        </w:tcPr>
        <w:p w:rsidR="00C15C5A" w:rsidRDefault="00C15C5A" w:rsidP="00C15C5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AT/C/POL/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OL/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GE.16-00339(E)</w:t>
          </w:r>
        </w:p>
        <w:p w:rsidR="00C15C5A" w:rsidRPr="00C15C5A" w:rsidRDefault="00C15C5A" w:rsidP="00C15C5A">
          <w:pPr>
            <w:pStyle w:val="Footer"/>
            <w:rPr>
              <w:rFonts w:ascii="Barcode 3 of 9 by request" w:hAnsi="Barcode 3 of 9 by request"/>
              <w:sz w:val="24"/>
            </w:rPr>
          </w:pPr>
          <w:r>
            <w:rPr>
              <w:rFonts w:ascii="Barcode 3 of 9 by request" w:hAnsi="Barcode 3 of 9 by request"/>
              <w:sz w:val="24"/>
            </w:rPr>
            <w:t>*1600339*</w:t>
          </w:r>
        </w:p>
      </w:tc>
      <w:tc>
        <w:tcPr>
          <w:tcW w:w="4928" w:type="dxa"/>
          <w:shd w:val="clear" w:color="auto" w:fill="auto"/>
        </w:tcPr>
        <w:p w:rsidR="00C15C5A" w:rsidRDefault="00C15C5A" w:rsidP="00C15C5A">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15C5A" w:rsidRPr="00C15C5A" w:rsidRDefault="00C15C5A" w:rsidP="00C15C5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4B9" w:rsidRPr="000B175B" w:rsidRDefault="00DE74B9" w:rsidP="000B175B">
      <w:pPr>
        <w:tabs>
          <w:tab w:val="right" w:pos="2155"/>
        </w:tabs>
        <w:spacing w:after="80"/>
        <w:ind w:left="680"/>
        <w:rPr>
          <w:u w:val="single"/>
        </w:rPr>
      </w:pPr>
      <w:r>
        <w:rPr>
          <w:u w:val="single"/>
        </w:rPr>
        <w:tab/>
      </w:r>
    </w:p>
  </w:footnote>
  <w:footnote w:type="continuationSeparator" w:id="0">
    <w:p w:rsidR="00DE74B9" w:rsidRPr="00FC68B7" w:rsidRDefault="00DE74B9" w:rsidP="00FC68B7">
      <w:pPr>
        <w:tabs>
          <w:tab w:val="left" w:pos="2155"/>
        </w:tabs>
        <w:spacing w:after="80"/>
        <w:ind w:left="680"/>
        <w:rPr>
          <w:u w:val="single"/>
        </w:rPr>
      </w:pPr>
      <w:r>
        <w:rPr>
          <w:u w:val="single"/>
        </w:rPr>
        <w:tab/>
      </w:r>
    </w:p>
  </w:footnote>
  <w:footnote w:type="continuationNotice" w:id="1">
    <w:p w:rsidR="00DE74B9" w:rsidRDefault="00DE74B9"/>
  </w:footnote>
  <w:footnote w:id="2">
    <w:p w:rsidR="00F32106" w:rsidRPr="003A1DC2" w:rsidRDefault="00F32106" w:rsidP="00243693">
      <w:pPr>
        <w:pStyle w:val="FootnoteText"/>
      </w:pPr>
      <w:r>
        <w:tab/>
      </w:r>
      <w:r w:rsidRPr="00F32106">
        <w:rPr>
          <w:sz w:val="20"/>
        </w:rPr>
        <w:t>*</w:t>
      </w:r>
      <w:r>
        <w:rPr>
          <w:sz w:val="20"/>
        </w:rPr>
        <w:tab/>
      </w:r>
      <w:r w:rsidR="00F13439">
        <w:t>Adopted by the Committee at its fifty-sixth session (9 November-9 December 2015).</w:t>
      </w:r>
    </w:p>
  </w:footnote>
  <w:footnote w:id="3">
    <w:p w:rsidR="00D848E9" w:rsidRPr="00DA3B49" w:rsidRDefault="003A1DC2" w:rsidP="00EF34AD">
      <w:pPr>
        <w:pStyle w:val="FootnoteText"/>
      </w:pPr>
      <w:r>
        <w:tab/>
      </w:r>
      <w:r w:rsidR="00D848E9" w:rsidRPr="006749D2">
        <w:rPr>
          <w:rStyle w:val="FootnoteReference"/>
        </w:rPr>
        <w:footnoteRef/>
      </w:r>
      <w:r w:rsidR="00D848E9" w:rsidRPr="00DA3B49">
        <w:t xml:space="preserve"> </w:t>
      </w:r>
      <w:r>
        <w:tab/>
      </w:r>
      <w:r w:rsidR="00EC360E" w:rsidRPr="00EC360E">
        <w:rPr>
          <w:lang w:val="en-GB"/>
        </w:rPr>
        <w:t>Unless otherwise indicated,</w:t>
      </w:r>
      <w:r w:rsidR="00EC360E">
        <w:rPr>
          <w:lang w:val="en-GB"/>
        </w:rPr>
        <w:t xml:space="preserve"> </w:t>
      </w:r>
      <w:r w:rsidR="00EC360E">
        <w:t>p</w:t>
      </w:r>
      <w:r w:rsidR="00D848E9" w:rsidRPr="00DA3B49">
        <w:t>aragraph nu</w:t>
      </w:r>
      <w:r w:rsidR="00D848E9">
        <w:t xml:space="preserve">mbers in </w:t>
      </w:r>
      <w:r w:rsidR="00EC360E">
        <w:t xml:space="preserve">parentheses </w:t>
      </w:r>
      <w:r w:rsidR="00D848E9">
        <w:t xml:space="preserve">refer to </w:t>
      </w:r>
      <w:r w:rsidR="00514A37">
        <w:t xml:space="preserve">the </w:t>
      </w:r>
      <w:r w:rsidR="00D848E9">
        <w:t>previous concluding observations adopted by the Committee.</w:t>
      </w:r>
    </w:p>
  </w:footnote>
  <w:footnote w:id="4">
    <w:p w:rsidR="00D848E9" w:rsidRPr="000E4D0F" w:rsidRDefault="005F5170" w:rsidP="00A50477">
      <w:pPr>
        <w:pStyle w:val="FootnoteText"/>
      </w:pPr>
      <w:r>
        <w:tab/>
      </w:r>
      <w:r w:rsidR="00D848E9" w:rsidRPr="006749D2">
        <w:rPr>
          <w:rStyle w:val="FootnoteReference"/>
        </w:rPr>
        <w:footnoteRef/>
      </w:r>
      <w:r>
        <w:tab/>
      </w:r>
      <w:r w:rsidR="00D848E9">
        <w:t xml:space="preserve">The issues raised under article 2 could also </w:t>
      </w:r>
      <w:r w:rsidR="009F6BFE">
        <w:t xml:space="preserve">touch on issues raised under other </w:t>
      </w:r>
      <w:r w:rsidR="00D848E9">
        <w:t xml:space="preserve">articles of the Convention, including article 16. As </w:t>
      </w:r>
      <w:r w:rsidR="009F6BFE">
        <w:t xml:space="preserve">stated in </w:t>
      </w:r>
      <w:r w:rsidR="00D848E9">
        <w:t>paragraph 3</w:t>
      </w:r>
      <w:r w:rsidR="009F6BFE">
        <w:t xml:space="preserve"> of the Committee’s general comment No. 2 (2007) </w:t>
      </w:r>
      <w:r w:rsidR="009F6BFE" w:rsidRPr="009F6BFE">
        <w:rPr>
          <w:lang w:val="en-GB"/>
        </w:rPr>
        <w:t>on the implementation of article 2 by States parties</w:t>
      </w:r>
      <w:r w:rsidR="009F6BFE">
        <w:rPr>
          <w:lang w:val="en-GB"/>
        </w:rPr>
        <w:t>,</w:t>
      </w:r>
      <w:r w:rsidR="00D848E9">
        <w:t xml:space="preserve"> </w:t>
      </w:r>
      <w:r w:rsidR="009F6BFE">
        <w:t>t</w:t>
      </w:r>
      <w:r w:rsidR="00D848E9">
        <w:t>he obligation to prevent torture in article 2 is wide-ranging. The obligation</w:t>
      </w:r>
      <w:r w:rsidR="00514A37">
        <w:t>s</w:t>
      </w:r>
      <w:r w:rsidR="00D848E9">
        <w:t xml:space="preserve"> to prevent torture and other cruel, inhuman or degrading treatment or punishment under article 16 </w:t>
      </w:r>
      <w:r w:rsidR="009F6BFE">
        <w:t>(</w:t>
      </w:r>
      <w:r w:rsidR="00D848E9">
        <w:t>1</w:t>
      </w:r>
      <w:r w:rsidR="009F6BFE">
        <w:t>)</w:t>
      </w:r>
      <w:r w:rsidR="00D848E9">
        <w:t xml:space="preserve">, are indivisible, interdependent and interrelated. The obligation to prevent </w:t>
      </w:r>
      <w:r w:rsidR="009F6BFE">
        <w:t xml:space="preserve">such </w:t>
      </w:r>
      <w:r w:rsidR="00D848E9">
        <w:t xml:space="preserve">ill-treatment in practice overlaps with and is largely congruent with the obligation to prevent torture. In practice, the definitional threshold between ill-treatment and torture is often not clear. See </w:t>
      </w:r>
      <w:r w:rsidR="009F6BFE">
        <w:t>also</w:t>
      </w:r>
      <w:r w:rsidR="00D848E9">
        <w:t xml:space="preserve"> </w:t>
      </w:r>
      <w:r w:rsidR="009F6BFE">
        <w:t>c</w:t>
      </w:r>
      <w:r w:rsidR="00D848E9">
        <w:t xml:space="preserve">hapter V of the same </w:t>
      </w:r>
      <w:r w:rsidR="009F6BFE">
        <w:t>g</w:t>
      </w:r>
      <w:r w:rsidR="00D848E9">
        <w:t xml:space="preserve">eneral </w:t>
      </w:r>
      <w:r w:rsidR="009F6BFE">
        <w:t>c</w:t>
      </w:r>
      <w:r w:rsidR="00D848E9">
        <w:t>omment.</w:t>
      </w:r>
    </w:p>
  </w:footnote>
  <w:footnote w:id="5">
    <w:p w:rsidR="00D848E9" w:rsidRPr="00106791" w:rsidRDefault="005F5170">
      <w:pPr>
        <w:pStyle w:val="FootnoteText"/>
      </w:pPr>
      <w:r>
        <w:tab/>
      </w:r>
      <w:r w:rsidR="00D848E9" w:rsidRPr="006749D2">
        <w:rPr>
          <w:rStyle w:val="FootnoteReference"/>
        </w:rPr>
        <w:footnoteRef/>
      </w:r>
      <w:r>
        <w:tab/>
      </w:r>
      <w:r w:rsidR="00FD5A97">
        <w:t xml:space="preserve">See </w:t>
      </w:r>
      <w:r w:rsidR="00D848E9">
        <w:t>CAT/C/POL/CO/5-6/Add.1, paras. 1-7.</w:t>
      </w:r>
    </w:p>
  </w:footnote>
  <w:footnote w:id="6">
    <w:p w:rsidR="00D848E9" w:rsidRPr="00272A42" w:rsidRDefault="005F5170" w:rsidP="00EF34AD">
      <w:pPr>
        <w:pStyle w:val="FootnoteText"/>
      </w:pPr>
      <w:r>
        <w:tab/>
      </w:r>
      <w:r w:rsidR="00D848E9" w:rsidRPr="006749D2">
        <w:rPr>
          <w:rStyle w:val="FootnoteReference"/>
        </w:rPr>
        <w:footnoteRef/>
      </w:r>
      <w:r>
        <w:tab/>
      </w:r>
      <w:r w:rsidR="00FD5A97">
        <w:t>Ibid.</w:t>
      </w:r>
      <w:r w:rsidR="00D848E9">
        <w:rPr>
          <w:rFonts w:eastAsia="Malgun Gothic"/>
          <w:lang w:eastAsia="es-ES"/>
        </w:rPr>
        <w:t xml:space="preserve">, paras. 1 and 2; </w:t>
      </w:r>
      <w:r w:rsidR="00A539A1">
        <w:rPr>
          <w:rFonts w:eastAsia="Malgun Gothic"/>
          <w:lang w:eastAsia="es-ES"/>
        </w:rPr>
        <w:t xml:space="preserve">see also </w:t>
      </w:r>
      <w:r w:rsidR="00D848E9">
        <w:rPr>
          <w:rFonts w:eastAsia="Malgun Gothic"/>
          <w:lang w:eastAsia="es-ES"/>
        </w:rPr>
        <w:t>CCPR/C/POL/CO/6, para. 20.</w:t>
      </w:r>
    </w:p>
  </w:footnote>
  <w:footnote w:id="7">
    <w:p w:rsidR="00D848E9" w:rsidRPr="00A0188C" w:rsidRDefault="005D4533" w:rsidP="00EF34AD">
      <w:pPr>
        <w:pStyle w:val="FootnoteText"/>
      </w:pPr>
      <w:r>
        <w:tab/>
      </w:r>
      <w:r w:rsidR="00D848E9" w:rsidRPr="006749D2">
        <w:rPr>
          <w:rStyle w:val="FootnoteReference"/>
        </w:rPr>
        <w:footnoteRef/>
      </w:r>
      <w:r>
        <w:tab/>
      </w:r>
      <w:r w:rsidR="00FD5A97">
        <w:t xml:space="preserve">See </w:t>
      </w:r>
      <w:r w:rsidR="00D848E9" w:rsidRPr="000529BA">
        <w:rPr>
          <w:rFonts w:eastAsia="Malgun Gothic"/>
          <w:lang w:eastAsia="es-ES"/>
        </w:rPr>
        <w:t>CAT/C/POL/CO/5-6/Add.1</w:t>
      </w:r>
      <w:r w:rsidR="00D848E9">
        <w:rPr>
          <w:rFonts w:eastAsia="Malgun Gothic"/>
          <w:lang w:eastAsia="es-ES"/>
        </w:rPr>
        <w:t xml:space="preserve">, para. </w:t>
      </w:r>
      <w:r w:rsidR="00D848E9" w:rsidRPr="00D96E4B">
        <w:rPr>
          <w:rFonts w:eastAsia="Malgun Gothic"/>
          <w:lang w:eastAsia="es-ES"/>
        </w:rPr>
        <w:t>7.</w:t>
      </w:r>
    </w:p>
  </w:footnote>
  <w:footnote w:id="8">
    <w:p w:rsidR="00D848E9" w:rsidRPr="00EF34AD" w:rsidRDefault="005D4533" w:rsidP="00EF34AD">
      <w:pPr>
        <w:pStyle w:val="FootnoteText"/>
      </w:pPr>
      <w:r w:rsidRPr="00A0188C">
        <w:tab/>
      </w:r>
      <w:r w:rsidR="00D848E9" w:rsidRPr="006749D2">
        <w:rPr>
          <w:rStyle w:val="FootnoteReference"/>
        </w:rPr>
        <w:footnoteRef/>
      </w:r>
      <w:r w:rsidRPr="00EF34AD">
        <w:tab/>
      </w:r>
      <w:r w:rsidR="00FD5A97" w:rsidRPr="00EF34AD">
        <w:t xml:space="preserve">See </w:t>
      </w:r>
      <w:r w:rsidR="00D848E9" w:rsidRPr="00EF34AD">
        <w:t xml:space="preserve">CCPR/C/POL/CO/6, paras. </w:t>
      </w:r>
      <w:r w:rsidR="00D848E9">
        <w:t>3</w:t>
      </w:r>
      <w:r w:rsidR="00FB29B0">
        <w:t> </w:t>
      </w:r>
      <w:r w:rsidR="00D848E9">
        <w:t>(a) and 10</w:t>
      </w:r>
      <w:r w:rsidR="00514A37">
        <w:t xml:space="preserve"> and</w:t>
      </w:r>
      <w:r w:rsidR="00D848E9">
        <w:t xml:space="preserve"> CEDAW/C/POL/CO/7-8, paras. </w:t>
      </w:r>
      <w:r w:rsidR="00D848E9" w:rsidRPr="00EF34AD">
        <w:t>24-25.</w:t>
      </w:r>
    </w:p>
  </w:footnote>
  <w:footnote w:id="9">
    <w:p w:rsidR="00D848E9" w:rsidRPr="00EF34AD" w:rsidRDefault="005D4533" w:rsidP="00EF34AD">
      <w:pPr>
        <w:pStyle w:val="FootnoteText"/>
      </w:pPr>
      <w:r w:rsidRPr="00EF34AD">
        <w:tab/>
      </w:r>
      <w:r w:rsidR="00D848E9" w:rsidRPr="006749D2">
        <w:rPr>
          <w:rStyle w:val="FootnoteReference"/>
        </w:rPr>
        <w:footnoteRef/>
      </w:r>
      <w:r w:rsidRPr="00EF34AD">
        <w:tab/>
      </w:r>
      <w:r w:rsidR="00FD5A97" w:rsidRPr="00EF34AD">
        <w:t xml:space="preserve">See </w:t>
      </w:r>
      <w:r w:rsidR="00D848E9" w:rsidRPr="00EF34AD">
        <w:t>CEDAW/C/POL/CO/7-8, paras. 26-27.</w:t>
      </w:r>
    </w:p>
  </w:footnote>
  <w:footnote w:id="10">
    <w:p w:rsidR="00D848E9" w:rsidRPr="00272A42" w:rsidRDefault="005D4533" w:rsidP="00EF34AD">
      <w:pPr>
        <w:pStyle w:val="FootnoteText"/>
      </w:pPr>
      <w:r w:rsidRPr="00EF34AD">
        <w:tab/>
      </w:r>
      <w:r w:rsidR="00D848E9" w:rsidRPr="006749D2">
        <w:rPr>
          <w:rStyle w:val="FootnoteReference"/>
        </w:rPr>
        <w:footnoteRef/>
      </w:r>
      <w:r w:rsidRPr="00EF34AD">
        <w:tab/>
      </w:r>
      <w:r w:rsidR="00FD5A97" w:rsidRPr="00EF34AD">
        <w:t xml:space="preserve">See </w:t>
      </w:r>
      <w:r w:rsidR="00D848E9" w:rsidRPr="00EF34AD">
        <w:t xml:space="preserve">CCPR/C/POL/CO/6, paras. </w:t>
      </w:r>
      <w:r w:rsidR="00D848E9">
        <w:t>3</w:t>
      </w:r>
      <w:r w:rsidR="00FB29B0">
        <w:t> </w:t>
      </w:r>
      <w:r w:rsidR="00D848E9">
        <w:t>(d) and 14.</w:t>
      </w:r>
    </w:p>
  </w:footnote>
  <w:footnote w:id="11">
    <w:p w:rsidR="00D848E9" w:rsidRPr="00A0188C" w:rsidRDefault="005D4533">
      <w:pPr>
        <w:pStyle w:val="FootnoteText"/>
      </w:pPr>
      <w:r>
        <w:tab/>
      </w:r>
      <w:r w:rsidR="00D848E9" w:rsidRPr="006749D2">
        <w:rPr>
          <w:rStyle w:val="FootnoteReference"/>
        </w:rPr>
        <w:footnoteRef/>
      </w:r>
      <w:r>
        <w:tab/>
      </w:r>
      <w:r w:rsidR="00FD5A97">
        <w:t xml:space="preserve">See </w:t>
      </w:r>
      <w:r w:rsidR="00D848E9" w:rsidRPr="000529BA">
        <w:rPr>
          <w:rFonts w:eastAsia="Malgun Gothic"/>
          <w:lang w:eastAsia="es-ES"/>
        </w:rPr>
        <w:t>CAT/C/POL/CO/5-6/Add.1</w:t>
      </w:r>
      <w:r w:rsidR="00D848E9">
        <w:rPr>
          <w:rFonts w:eastAsia="Malgun Gothic"/>
          <w:lang w:eastAsia="es-ES"/>
        </w:rPr>
        <w:t xml:space="preserve">, paras. </w:t>
      </w:r>
      <w:r w:rsidR="00D848E9" w:rsidRPr="00D96E4B">
        <w:rPr>
          <w:rFonts w:eastAsia="Malgun Gothic"/>
          <w:lang w:eastAsia="es-ES"/>
        </w:rPr>
        <w:t>9-18.</w:t>
      </w:r>
    </w:p>
  </w:footnote>
  <w:footnote w:id="12">
    <w:p w:rsidR="00D848E9" w:rsidRPr="00A0188C" w:rsidRDefault="005D4533" w:rsidP="00EF34AD">
      <w:pPr>
        <w:pStyle w:val="FootnoteText"/>
      </w:pPr>
      <w:r w:rsidRPr="00A0188C">
        <w:tab/>
      </w:r>
      <w:r w:rsidR="00D848E9" w:rsidRPr="006749D2">
        <w:rPr>
          <w:rStyle w:val="FootnoteReference"/>
        </w:rPr>
        <w:footnoteRef/>
      </w:r>
      <w:r w:rsidRPr="00A50477">
        <w:tab/>
      </w:r>
      <w:r w:rsidR="00FD5A97" w:rsidRPr="00EF34AD">
        <w:t>S</w:t>
      </w:r>
      <w:r w:rsidR="00FD5A97">
        <w:t xml:space="preserve">ee </w:t>
      </w:r>
      <w:r w:rsidR="00D848E9" w:rsidRPr="0045553E">
        <w:t xml:space="preserve">CCPR/C/POL/CO/6, para. </w:t>
      </w:r>
      <w:r w:rsidR="00D848E9" w:rsidRPr="00D96E4B">
        <w:t>13.</w:t>
      </w:r>
    </w:p>
  </w:footnote>
  <w:footnote w:id="13">
    <w:p w:rsidR="00D848E9" w:rsidRPr="00A0188C" w:rsidRDefault="005D4533" w:rsidP="00EF34AD">
      <w:pPr>
        <w:pStyle w:val="FootnoteText"/>
      </w:pPr>
      <w:r w:rsidRPr="00A0188C">
        <w:tab/>
      </w:r>
      <w:r w:rsidR="00D848E9" w:rsidRPr="006749D2">
        <w:rPr>
          <w:rStyle w:val="FootnoteReference"/>
        </w:rPr>
        <w:footnoteRef/>
      </w:r>
      <w:r w:rsidRPr="00EF34AD">
        <w:tab/>
      </w:r>
      <w:r w:rsidR="00FD5A97">
        <w:t>Ibid.</w:t>
      </w:r>
      <w:r w:rsidR="00D848E9" w:rsidRPr="00EF34AD">
        <w:t xml:space="preserve">, paras. </w:t>
      </w:r>
      <w:r w:rsidR="00D848E9" w:rsidRPr="00D96E4B">
        <w:t>16-17.</w:t>
      </w:r>
    </w:p>
  </w:footnote>
  <w:footnote w:id="14">
    <w:p w:rsidR="00D848E9" w:rsidRPr="00EF34AD" w:rsidRDefault="005D4533" w:rsidP="00A50477">
      <w:pPr>
        <w:pStyle w:val="FootnoteText"/>
      </w:pPr>
      <w:r w:rsidRPr="00A0188C">
        <w:tab/>
      </w:r>
      <w:r w:rsidR="00D848E9" w:rsidRPr="006749D2">
        <w:rPr>
          <w:rStyle w:val="FootnoteReference"/>
        </w:rPr>
        <w:footnoteRef/>
      </w:r>
      <w:r w:rsidRPr="00D96E4B">
        <w:tab/>
      </w:r>
      <w:r w:rsidR="00FD5A97" w:rsidRPr="00EF34AD">
        <w:t>Ibid.</w:t>
      </w:r>
      <w:r w:rsidR="00D848E9" w:rsidRPr="00D96E4B">
        <w:t>, para. 24</w:t>
      </w:r>
      <w:r w:rsidR="00243693" w:rsidRPr="00EF34AD">
        <w:t>.</w:t>
      </w:r>
    </w:p>
  </w:footnote>
  <w:footnote w:id="15">
    <w:p w:rsidR="00D848E9" w:rsidRPr="00272A42" w:rsidRDefault="005D4533" w:rsidP="00EF34AD">
      <w:pPr>
        <w:pStyle w:val="FootnoteText"/>
      </w:pPr>
      <w:r w:rsidRPr="00A0188C">
        <w:tab/>
      </w:r>
      <w:r w:rsidR="00D848E9" w:rsidRPr="006749D2">
        <w:rPr>
          <w:rStyle w:val="FootnoteReference"/>
        </w:rPr>
        <w:footnoteRef/>
      </w:r>
      <w:r w:rsidRPr="004D18D2">
        <w:tab/>
      </w:r>
      <w:r w:rsidR="005C36A9">
        <w:t xml:space="preserve">See </w:t>
      </w:r>
      <w:r w:rsidR="005C36A9" w:rsidRPr="005C36A9">
        <w:rPr>
          <w:lang w:val="en-GB"/>
        </w:rPr>
        <w:t>CAT/C/POL/CO/5-6/Add.1</w:t>
      </w:r>
      <w:r w:rsidR="00D848E9" w:rsidRPr="004D18D2">
        <w:t xml:space="preserve">, paras. </w:t>
      </w:r>
      <w:r w:rsidR="00D848E9">
        <w:t>19</w:t>
      </w:r>
      <w:r w:rsidR="00FD5A97">
        <w:t>-</w:t>
      </w:r>
      <w:r w:rsidR="00D848E9">
        <w:t>46.</w:t>
      </w:r>
    </w:p>
  </w:footnote>
  <w:footnote w:id="16">
    <w:p w:rsidR="00D848E9" w:rsidRPr="00A0188C" w:rsidRDefault="005D4533" w:rsidP="00EF34AD">
      <w:pPr>
        <w:pStyle w:val="FootnoteText"/>
      </w:pPr>
      <w:r>
        <w:tab/>
      </w:r>
      <w:r w:rsidR="00D848E9" w:rsidRPr="006749D2">
        <w:rPr>
          <w:rStyle w:val="FootnoteReference"/>
        </w:rPr>
        <w:footnoteRef/>
      </w:r>
      <w:r>
        <w:tab/>
      </w:r>
      <w:r w:rsidR="005C36A9">
        <w:t>Ibid.</w:t>
      </w:r>
      <w:r w:rsidR="00D848E9">
        <w:rPr>
          <w:rFonts w:eastAsia="Malgun Gothic"/>
          <w:lang w:eastAsia="es-ES"/>
        </w:rPr>
        <w:t xml:space="preserve">, paras. </w:t>
      </w:r>
      <w:r w:rsidR="00D848E9" w:rsidRPr="004D18D2">
        <w:rPr>
          <w:rFonts w:eastAsia="Malgun Gothic"/>
          <w:lang w:eastAsia="es-ES"/>
        </w:rPr>
        <w:t>36-37</w:t>
      </w:r>
      <w:r w:rsidR="00017E9B" w:rsidRPr="00EF34AD">
        <w:rPr>
          <w:rFonts w:eastAsia="Malgun Gothic"/>
          <w:lang w:eastAsia="es-ES"/>
        </w:rPr>
        <w:t xml:space="preserve">; see also </w:t>
      </w:r>
      <w:r w:rsidR="00D848E9" w:rsidRPr="004D18D2">
        <w:t xml:space="preserve">CCPR/C/POL/CO/6, para. </w:t>
      </w:r>
      <w:r w:rsidR="00D848E9" w:rsidRPr="00D96E4B">
        <w:t>15</w:t>
      </w:r>
      <w:r w:rsidR="00D848E9" w:rsidRPr="00A0188C">
        <w:t>.</w:t>
      </w:r>
    </w:p>
  </w:footnote>
  <w:footnote w:id="17">
    <w:p w:rsidR="00D848E9" w:rsidRPr="00EF34AD" w:rsidRDefault="005D4533" w:rsidP="00EF34AD">
      <w:pPr>
        <w:pStyle w:val="FootnoteText"/>
      </w:pPr>
      <w:r w:rsidRPr="00A0188C">
        <w:tab/>
      </w:r>
      <w:r w:rsidR="00D848E9" w:rsidRPr="006749D2">
        <w:rPr>
          <w:rStyle w:val="FootnoteReference"/>
        </w:rPr>
        <w:footnoteRef/>
      </w:r>
      <w:r w:rsidRPr="00EF34AD">
        <w:tab/>
      </w:r>
      <w:r w:rsidR="00FD5A97" w:rsidRPr="00EF34AD">
        <w:t xml:space="preserve">See </w:t>
      </w:r>
      <w:r w:rsidR="00017E9B" w:rsidRPr="00017E9B">
        <w:rPr>
          <w:lang w:val="en-GB"/>
        </w:rPr>
        <w:t>CAT/C/POL/CO/5-6/Add.1</w:t>
      </w:r>
      <w:r w:rsidR="00D848E9" w:rsidRPr="00EF34AD">
        <w:t>, para. 47.</w:t>
      </w:r>
    </w:p>
  </w:footnote>
  <w:footnote w:id="18">
    <w:p w:rsidR="00D848E9" w:rsidRPr="00EF34AD" w:rsidRDefault="005D4533" w:rsidP="00EF34AD">
      <w:pPr>
        <w:pStyle w:val="FootnoteText"/>
        <w:rPr>
          <w:lang w:val="es-ES"/>
        </w:rPr>
      </w:pPr>
      <w:r w:rsidRPr="00EF34AD">
        <w:tab/>
      </w:r>
      <w:r w:rsidR="00D848E9" w:rsidRPr="006749D2">
        <w:rPr>
          <w:rStyle w:val="FootnoteReference"/>
        </w:rPr>
        <w:footnoteRef/>
      </w:r>
      <w:r w:rsidRPr="00EF34AD">
        <w:tab/>
      </w:r>
      <w:r w:rsidR="004D18D2" w:rsidRPr="00EF34AD">
        <w:t xml:space="preserve">See </w:t>
      </w:r>
      <w:r w:rsidR="00D848E9" w:rsidRPr="00EF34AD">
        <w:t xml:space="preserve">CCPR/C/POL/CO/6, para. </w:t>
      </w:r>
      <w:r w:rsidR="00D848E9" w:rsidRPr="00EF34AD">
        <w:rPr>
          <w:lang w:val="es-ES"/>
        </w:rPr>
        <w:t>12.</w:t>
      </w:r>
    </w:p>
  </w:footnote>
  <w:footnote w:id="19">
    <w:p w:rsidR="00D848E9" w:rsidRPr="00A878E1" w:rsidRDefault="00D848E9" w:rsidP="00EF34AD">
      <w:pPr>
        <w:pStyle w:val="FootnoteText"/>
        <w:rPr>
          <w:lang w:val="es-ES"/>
        </w:rPr>
      </w:pPr>
      <w:r w:rsidRPr="00EF34AD">
        <w:rPr>
          <w:lang w:val="es-ES"/>
        </w:rPr>
        <w:tab/>
      </w:r>
      <w:r w:rsidRPr="006749D2">
        <w:rPr>
          <w:rStyle w:val="FootnoteReference"/>
        </w:rPr>
        <w:footnoteRef/>
      </w:r>
      <w:r w:rsidR="005D4533" w:rsidRPr="00EF34AD">
        <w:rPr>
          <w:lang w:val="es-ES"/>
        </w:rPr>
        <w:tab/>
      </w:r>
      <w:r w:rsidR="00FD5A97">
        <w:rPr>
          <w:lang w:val="es-ES"/>
        </w:rPr>
        <w:t>Ibid.</w:t>
      </w:r>
      <w:r w:rsidRPr="00EF34AD">
        <w:rPr>
          <w:lang w:val="es-ES"/>
        </w:rPr>
        <w:t xml:space="preserve">, para. </w:t>
      </w:r>
      <w:r w:rsidRPr="00272A42">
        <w:rPr>
          <w:lang w:val="es-US"/>
        </w:rPr>
        <w:t>8.</w:t>
      </w:r>
    </w:p>
  </w:footnote>
  <w:footnote w:id="20">
    <w:p w:rsidR="00D848E9" w:rsidRPr="00A878E1" w:rsidRDefault="005D4533" w:rsidP="00EF34AD">
      <w:pPr>
        <w:pStyle w:val="FootnoteText"/>
        <w:rPr>
          <w:lang w:val="es-ES"/>
        </w:rPr>
      </w:pPr>
      <w:r w:rsidRPr="002C3F11">
        <w:rPr>
          <w:lang w:val="es-ES"/>
        </w:rPr>
        <w:tab/>
      </w:r>
      <w:r w:rsidR="00D848E9" w:rsidRPr="006749D2">
        <w:rPr>
          <w:rStyle w:val="FootnoteReference"/>
        </w:rPr>
        <w:footnoteRef/>
      </w:r>
      <w:r>
        <w:rPr>
          <w:lang w:val="es-US"/>
        </w:rPr>
        <w:tab/>
      </w:r>
      <w:r w:rsidR="00FD5A97">
        <w:rPr>
          <w:lang w:val="es-US"/>
        </w:rPr>
        <w:t>Ibid.</w:t>
      </w:r>
      <w:r w:rsidR="00D848E9" w:rsidRPr="00272A42">
        <w:rPr>
          <w:lang w:val="es-US"/>
        </w:rPr>
        <w:t xml:space="preserve">, para. </w:t>
      </w:r>
      <w:r w:rsidR="00D848E9">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3A1DC2" w:rsidRDefault="00D848E9">
    <w:pPr>
      <w:pStyle w:val="Header"/>
      <w:rPr>
        <w:lang w:val="fr-CH"/>
      </w:rPr>
    </w:pPr>
    <w:r w:rsidRPr="003A1DC2">
      <w:rPr>
        <w:lang w:val="fr-CH"/>
      </w:rPr>
      <w:t>CAT/C/POL/QPR/7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3A1DC2" w:rsidRDefault="00D848E9" w:rsidP="00EA247E">
    <w:pPr>
      <w:pStyle w:val="Header"/>
      <w:jc w:val="right"/>
      <w:rPr>
        <w:lang w:val="fr-CH"/>
      </w:rPr>
    </w:pPr>
    <w:r w:rsidRPr="003A1DC2">
      <w:rPr>
        <w:lang w:val="fr-CH"/>
      </w:rPr>
      <w:t>CAT/C/POL</w:t>
    </w:r>
    <w:r w:rsidR="00EA247E" w:rsidRPr="003A1DC2">
      <w:rPr>
        <w:lang w:val="fr-CH"/>
      </w:rPr>
      <w:t>/QPR/</w:t>
    </w:r>
    <w:r w:rsidRPr="003A1DC2">
      <w:rPr>
        <w:lang w:val="fr-CH"/>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353FDE"/>
    <w:multiLevelType w:val="hybridMultilevel"/>
    <w:tmpl w:val="90F0D9A8"/>
    <w:lvl w:ilvl="0" w:tplc="636ECF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56012D74"/>
    <w:multiLevelType w:val="hybridMultilevel"/>
    <w:tmpl w:val="F732F38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7E"/>
    <w:rsid w:val="00000AA8"/>
    <w:rsid w:val="0000248A"/>
    <w:rsid w:val="0000683F"/>
    <w:rsid w:val="0001202C"/>
    <w:rsid w:val="00015BE1"/>
    <w:rsid w:val="00017E9B"/>
    <w:rsid w:val="00040128"/>
    <w:rsid w:val="00050F6B"/>
    <w:rsid w:val="00057E97"/>
    <w:rsid w:val="00072C8C"/>
    <w:rsid w:val="000733B5"/>
    <w:rsid w:val="00081815"/>
    <w:rsid w:val="000931C0"/>
    <w:rsid w:val="00094B47"/>
    <w:rsid w:val="0009708D"/>
    <w:rsid w:val="000B175B"/>
    <w:rsid w:val="000B3A0F"/>
    <w:rsid w:val="000B4EF7"/>
    <w:rsid w:val="000C2C03"/>
    <w:rsid w:val="000C2D2E"/>
    <w:rsid w:val="000C508A"/>
    <w:rsid w:val="000E0415"/>
    <w:rsid w:val="001103AA"/>
    <w:rsid w:val="001450BD"/>
    <w:rsid w:val="00153179"/>
    <w:rsid w:val="00165F3A"/>
    <w:rsid w:val="00173EEB"/>
    <w:rsid w:val="00183227"/>
    <w:rsid w:val="00197B02"/>
    <w:rsid w:val="001A4D4B"/>
    <w:rsid w:val="001B1FE3"/>
    <w:rsid w:val="001B2409"/>
    <w:rsid w:val="001B4B04"/>
    <w:rsid w:val="001C6663"/>
    <w:rsid w:val="001C7895"/>
    <w:rsid w:val="001D0C8C"/>
    <w:rsid w:val="001D26DF"/>
    <w:rsid w:val="001D3A03"/>
    <w:rsid w:val="00202DA8"/>
    <w:rsid w:val="00211E0B"/>
    <w:rsid w:val="00214D6D"/>
    <w:rsid w:val="002153BC"/>
    <w:rsid w:val="00216F00"/>
    <w:rsid w:val="00217F2F"/>
    <w:rsid w:val="00231505"/>
    <w:rsid w:val="002339B7"/>
    <w:rsid w:val="00234A6E"/>
    <w:rsid w:val="00243693"/>
    <w:rsid w:val="00267CF0"/>
    <w:rsid w:val="00267F5F"/>
    <w:rsid w:val="00281A27"/>
    <w:rsid w:val="002834B6"/>
    <w:rsid w:val="00286B4D"/>
    <w:rsid w:val="002955D6"/>
    <w:rsid w:val="00297799"/>
    <w:rsid w:val="002B1A0C"/>
    <w:rsid w:val="002B3C39"/>
    <w:rsid w:val="002B466B"/>
    <w:rsid w:val="002C3F11"/>
    <w:rsid w:val="002F175C"/>
    <w:rsid w:val="002F1A00"/>
    <w:rsid w:val="002F4A6E"/>
    <w:rsid w:val="00310E1D"/>
    <w:rsid w:val="003229D8"/>
    <w:rsid w:val="00330D4D"/>
    <w:rsid w:val="003405B4"/>
    <w:rsid w:val="00340892"/>
    <w:rsid w:val="00352709"/>
    <w:rsid w:val="00371178"/>
    <w:rsid w:val="0038424A"/>
    <w:rsid w:val="003A1DC2"/>
    <w:rsid w:val="003A3ED3"/>
    <w:rsid w:val="003A6810"/>
    <w:rsid w:val="003C2CC4"/>
    <w:rsid w:val="003D4B23"/>
    <w:rsid w:val="00410C89"/>
    <w:rsid w:val="00416EAF"/>
    <w:rsid w:val="00426B9B"/>
    <w:rsid w:val="00432121"/>
    <w:rsid w:val="004325CB"/>
    <w:rsid w:val="00442A83"/>
    <w:rsid w:val="004437F2"/>
    <w:rsid w:val="0045495B"/>
    <w:rsid w:val="0045553E"/>
    <w:rsid w:val="00475072"/>
    <w:rsid w:val="004829C7"/>
    <w:rsid w:val="00486D8E"/>
    <w:rsid w:val="004B4C23"/>
    <w:rsid w:val="004B7802"/>
    <w:rsid w:val="004D0D0F"/>
    <w:rsid w:val="004D18D2"/>
    <w:rsid w:val="004F46E8"/>
    <w:rsid w:val="005045AB"/>
    <w:rsid w:val="00514A37"/>
    <w:rsid w:val="0052136D"/>
    <w:rsid w:val="0052775E"/>
    <w:rsid w:val="005420F2"/>
    <w:rsid w:val="005628B6"/>
    <w:rsid w:val="005960D2"/>
    <w:rsid w:val="005B3DB3"/>
    <w:rsid w:val="005C36A9"/>
    <w:rsid w:val="005C49FF"/>
    <w:rsid w:val="005D0FDF"/>
    <w:rsid w:val="005D4533"/>
    <w:rsid w:val="005F5170"/>
    <w:rsid w:val="005F7B75"/>
    <w:rsid w:val="006001EE"/>
    <w:rsid w:val="00605042"/>
    <w:rsid w:val="00611FC4"/>
    <w:rsid w:val="006176FB"/>
    <w:rsid w:val="00640B26"/>
    <w:rsid w:val="00643C08"/>
    <w:rsid w:val="00652D0A"/>
    <w:rsid w:val="006548CD"/>
    <w:rsid w:val="00662BB6"/>
    <w:rsid w:val="006749D2"/>
    <w:rsid w:val="00684C21"/>
    <w:rsid w:val="0069130A"/>
    <w:rsid w:val="006B2B77"/>
    <w:rsid w:val="006B6574"/>
    <w:rsid w:val="006C19AB"/>
    <w:rsid w:val="006D37AF"/>
    <w:rsid w:val="006D51D0"/>
    <w:rsid w:val="006E5549"/>
    <w:rsid w:val="006E564B"/>
    <w:rsid w:val="006E7191"/>
    <w:rsid w:val="006F280A"/>
    <w:rsid w:val="006F5689"/>
    <w:rsid w:val="00703577"/>
    <w:rsid w:val="0071521A"/>
    <w:rsid w:val="0072632A"/>
    <w:rsid w:val="007327D5"/>
    <w:rsid w:val="00733BED"/>
    <w:rsid w:val="007439B8"/>
    <w:rsid w:val="00750EEC"/>
    <w:rsid w:val="007629C8"/>
    <w:rsid w:val="00781AF2"/>
    <w:rsid w:val="007B6BA5"/>
    <w:rsid w:val="007B7F39"/>
    <w:rsid w:val="007C3390"/>
    <w:rsid w:val="007C36FB"/>
    <w:rsid w:val="007C4F4B"/>
    <w:rsid w:val="007C5AF8"/>
    <w:rsid w:val="007C7C18"/>
    <w:rsid w:val="007E52FF"/>
    <w:rsid w:val="007F6611"/>
    <w:rsid w:val="00812A3B"/>
    <w:rsid w:val="00815B56"/>
    <w:rsid w:val="008242D7"/>
    <w:rsid w:val="008257B1"/>
    <w:rsid w:val="00843086"/>
    <w:rsid w:val="00843767"/>
    <w:rsid w:val="00846D25"/>
    <w:rsid w:val="00860EE0"/>
    <w:rsid w:val="008679D9"/>
    <w:rsid w:val="00872563"/>
    <w:rsid w:val="008869B0"/>
    <w:rsid w:val="008979B1"/>
    <w:rsid w:val="008A6B25"/>
    <w:rsid w:val="008A6C4F"/>
    <w:rsid w:val="008B2335"/>
    <w:rsid w:val="008E0678"/>
    <w:rsid w:val="008E4285"/>
    <w:rsid w:val="0090681C"/>
    <w:rsid w:val="009223CA"/>
    <w:rsid w:val="00940F93"/>
    <w:rsid w:val="00945D3C"/>
    <w:rsid w:val="00967E69"/>
    <w:rsid w:val="009760F3"/>
    <w:rsid w:val="0098022F"/>
    <w:rsid w:val="009A0E8D"/>
    <w:rsid w:val="009A4336"/>
    <w:rsid w:val="009B26E7"/>
    <w:rsid w:val="009F28F0"/>
    <w:rsid w:val="009F6BFE"/>
    <w:rsid w:val="00A00A3F"/>
    <w:rsid w:val="00A01489"/>
    <w:rsid w:val="00A0188C"/>
    <w:rsid w:val="00A069A6"/>
    <w:rsid w:val="00A15847"/>
    <w:rsid w:val="00A30391"/>
    <w:rsid w:val="00A31324"/>
    <w:rsid w:val="00A338F1"/>
    <w:rsid w:val="00A50477"/>
    <w:rsid w:val="00A50DDC"/>
    <w:rsid w:val="00A5214F"/>
    <w:rsid w:val="00A539A1"/>
    <w:rsid w:val="00A618E1"/>
    <w:rsid w:val="00A64B93"/>
    <w:rsid w:val="00A72F22"/>
    <w:rsid w:val="00A7360F"/>
    <w:rsid w:val="00A748A6"/>
    <w:rsid w:val="00A769F4"/>
    <w:rsid w:val="00A776B4"/>
    <w:rsid w:val="00A94361"/>
    <w:rsid w:val="00A94975"/>
    <w:rsid w:val="00AA293C"/>
    <w:rsid w:val="00AC0FCB"/>
    <w:rsid w:val="00AD72B8"/>
    <w:rsid w:val="00B16151"/>
    <w:rsid w:val="00B30179"/>
    <w:rsid w:val="00B502F4"/>
    <w:rsid w:val="00B54F31"/>
    <w:rsid w:val="00B56E4A"/>
    <w:rsid w:val="00B56E9C"/>
    <w:rsid w:val="00B6020D"/>
    <w:rsid w:val="00B64B1F"/>
    <w:rsid w:val="00B6553F"/>
    <w:rsid w:val="00B7747C"/>
    <w:rsid w:val="00B77D05"/>
    <w:rsid w:val="00B800B2"/>
    <w:rsid w:val="00B81206"/>
    <w:rsid w:val="00B81E12"/>
    <w:rsid w:val="00B92937"/>
    <w:rsid w:val="00B97EE2"/>
    <w:rsid w:val="00BC0BCE"/>
    <w:rsid w:val="00BC74E9"/>
    <w:rsid w:val="00BF68A8"/>
    <w:rsid w:val="00BF77B0"/>
    <w:rsid w:val="00C11A03"/>
    <w:rsid w:val="00C15C5A"/>
    <w:rsid w:val="00C37E0F"/>
    <w:rsid w:val="00C42634"/>
    <w:rsid w:val="00C463DD"/>
    <w:rsid w:val="00C4724C"/>
    <w:rsid w:val="00C57F35"/>
    <w:rsid w:val="00C629A0"/>
    <w:rsid w:val="00C745C3"/>
    <w:rsid w:val="00C86A96"/>
    <w:rsid w:val="00CE4A8F"/>
    <w:rsid w:val="00D2031B"/>
    <w:rsid w:val="00D21697"/>
    <w:rsid w:val="00D25FE2"/>
    <w:rsid w:val="00D413FB"/>
    <w:rsid w:val="00D43252"/>
    <w:rsid w:val="00D47706"/>
    <w:rsid w:val="00D47EEA"/>
    <w:rsid w:val="00D848E9"/>
    <w:rsid w:val="00D93CC8"/>
    <w:rsid w:val="00D95303"/>
    <w:rsid w:val="00D96E4B"/>
    <w:rsid w:val="00D978C6"/>
    <w:rsid w:val="00DA3106"/>
    <w:rsid w:val="00DA3C1C"/>
    <w:rsid w:val="00DC1764"/>
    <w:rsid w:val="00DD6ABB"/>
    <w:rsid w:val="00DE423F"/>
    <w:rsid w:val="00DE74B9"/>
    <w:rsid w:val="00DF16C8"/>
    <w:rsid w:val="00E27346"/>
    <w:rsid w:val="00E32EFC"/>
    <w:rsid w:val="00E44E27"/>
    <w:rsid w:val="00E62B6D"/>
    <w:rsid w:val="00E71BC8"/>
    <w:rsid w:val="00E7260F"/>
    <w:rsid w:val="00E75513"/>
    <w:rsid w:val="00E9042B"/>
    <w:rsid w:val="00E96630"/>
    <w:rsid w:val="00EA247E"/>
    <w:rsid w:val="00EC120D"/>
    <w:rsid w:val="00EC360E"/>
    <w:rsid w:val="00ED7A2A"/>
    <w:rsid w:val="00EE1D83"/>
    <w:rsid w:val="00EF1D7F"/>
    <w:rsid w:val="00EF34AD"/>
    <w:rsid w:val="00EF4899"/>
    <w:rsid w:val="00F12660"/>
    <w:rsid w:val="00F1289E"/>
    <w:rsid w:val="00F13439"/>
    <w:rsid w:val="00F32106"/>
    <w:rsid w:val="00F34539"/>
    <w:rsid w:val="00F430BF"/>
    <w:rsid w:val="00F93781"/>
    <w:rsid w:val="00FA5869"/>
    <w:rsid w:val="00FB29B0"/>
    <w:rsid w:val="00FB613B"/>
    <w:rsid w:val="00FC68B7"/>
    <w:rsid w:val="00FD5A97"/>
    <w:rsid w:val="00FE106A"/>
    <w:rsid w:val="00FE4AE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6749D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749D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1">
    <w:name w:val="Footnote Text Char1"/>
    <w:aliases w:val="5_G Char1"/>
    <w:link w:val="FootnoteText"/>
    <w:locked/>
    <w:rsid w:val="00EA247E"/>
    <w:rPr>
      <w:rFonts w:eastAsia="SimSun"/>
      <w:sz w:val="18"/>
      <w:lang w:val="en-US"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D848E9"/>
    <w:rPr>
      <w:sz w:val="18"/>
      <w:lang w:eastAsia="en-US"/>
    </w:rPr>
  </w:style>
  <w:style w:type="character" w:customStyle="1" w:styleId="H23GChar">
    <w:name w:val="_ H_2/3_G Char"/>
    <w:link w:val="H23G"/>
    <w:locked/>
    <w:rsid w:val="00D848E9"/>
    <w:rPr>
      <w:b/>
      <w:lang w:eastAsia="en-US"/>
    </w:rPr>
  </w:style>
  <w:style w:type="character" w:styleId="CommentReference">
    <w:name w:val="annotation reference"/>
    <w:basedOn w:val="DefaultParagraphFont"/>
    <w:rsid w:val="002C3F11"/>
    <w:rPr>
      <w:sz w:val="16"/>
      <w:szCs w:val="16"/>
    </w:rPr>
  </w:style>
  <w:style w:type="paragraph" w:styleId="CommentText">
    <w:name w:val="annotation text"/>
    <w:basedOn w:val="Normal"/>
    <w:link w:val="CommentTextChar"/>
    <w:rsid w:val="002C3F11"/>
  </w:style>
  <w:style w:type="character" w:customStyle="1" w:styleId="CommentTextChar">
    <w:name w:val="Comment Text Char"/>
    <w:basedOn w:val="DefaultParagraphFont"/>
    <w:link w:val="CommentText"/>
    <w:rsid w:val="002C3F11"/>
    <w:rPr>
      <w:lang w:eastAsia="en-US"/>
    </w:rPr>
  </w:style>
  <w:style w:type="paragraph" w:styleId="CommentSubject">
    <w:name w:val="annotation subject"/>
    <w:basedOn w:val="CommentText"/>
    <w:next w:val="CommentText"/>
    <w:link w:val="CommentSubjectChar"/>
    <w:rsid w:val="002C3F11"/>
    <w:rPr>
      <w:b/>
      <w:bCs/>
    </w:rPr>
  </w:style>
  <w:style w:type="character" w:customStyle="1" w:styleId="CommentSubjectChar">
    <w:name w:val="Comment Subject Char"/>
    <w:basedOn w:val="CommentTextChar"/>
    <w:link w:val="CommentSubject"/>
    <w:rsid w:val="002C3F11"/>
    <w:rPr>
      <w:b/>
      <w:bCs/>
      <w:lang w:eastAsia="en-US"/>
    </w:rPr>
  </w:style>
  <w:style w:type="paragraph" w:styleId="BalloonText">
    <w:name w:val="Balloon Text"/>
    <w:basedOn w:val="Normal"/>
    <w:link w:val="BalloonTextChar"/>
    <w:rsid w:val="002C3F1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C3F1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6749D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749D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1">
    <w:name w:val="Footnote Text Char1"/>
    <w:aliases w:val="5_G Char1"/>
    <w:link w:val="FootnoteText"/>
    <w:locked/>
    <w:rsid w:val="00EA247E"/>
    <w:rPr>
      <w:rFonts w:eastAsia="SimSun"/>
      <w:sz w:val="18"/>
      <w:lang w:val="en-US"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D848E9"/>
    <w:rPr>
      <w:sz w:val="18"/>
      <w:lang w:eastAsia="en-US"/>
    </w:rPr>
  </w:style>
  <w:style w:type="character" w:customStyle="1" w:styleId="H23GChar">
    <w:name w:val="_ H_2/3_G Char"/>
    <w:link w:val="H23G"/>
    <w:locked/>
    <w:rsid w:val="00D848E9"/>
    <w:rPr>
      <w:b/>
      <w:lang w:eastAsia="en-US"/>
    </w:rPr>
  </w:style>
  <w:style w:type="character" w:styleId="CommentReference">
    <w:name w:val="annotation reference"/>
    <w:basedOn w:val="DefaultParagraphFont"/>
    <w:rsid w:val="002C3F11"/>
    <w:rPr>
      <w:sz w:val="16"/>
      <w:szCs w:val="16"/>
    </w:rPr>
  </w:style>
  <w:style w:type="paragraph" w:styleId="CommentText">
    <w:name w:val="annotation text"/>
    <w:basedOn w:val="Normal"/>
    <w:link w:val="CommentTextChar"/>
    <w:rsid w:val="002C3F11"/>
  </w:style>
  <w:style w:type="character" w:customStyle="1" w:styleId="CommentTextChar">
    <w:name w:val="Comment Text Char"/>
    <w:basedOn w:val="DefaultParagraphFont"/>
    <w:link w:val="CommentText"/>
    <w:rsid w:val="002C3F11"/>
    <w:rPr>
      <w:lang w:eastAsia="en-US"/>
    </w:rPr>
  </w:style>
  <w:style w:type="paragraph" w:styleId="CommentSubject">
    <w:name w:val="annotation subject"/>
    <w:basedOn w:val="CommentText"/>
    <w:next w:val="CommentText"/>
    <w:link w:val="CommentSubjectChar"/>
    <w:rsid w:val="002C3F11"/>
    <w:rPr>
      <w:b/>
      <w:bCs/>
    </w:rPr>
  </w:style>
  <w:style w:type="character" w:customStyle="1" w:styleId="CommentSubjectChar">
    <w:name w:val="Comment Subject Char"/>
    <w:basedOn w:val="CommentTextChar"/>
    <w:link w:val="CommentSubject"/>
    <w:rsid w:val="002C3F11"/>
    <w:rPr>
      <w:b/>
      <w:bCs/>
      <w:lang w:eastAsia="en-US"/>
    </w:rPr>
  </w:style>
  <w:style w:type="paragraph" w:styleId="BalloonText">
    <w:name w:val="Balloon Text"/>
    <w:basedOn w:val="Normal"/>
    <w:link w:val="BalloonTextChar"/>
    <w:rsid w:val="002C3F1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C3F1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A0DC5-8EB8-4E6D-B323-4CC195CBD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6</Pages>
  <Words>2683</Words>
  <Characters>15298</Characters>
  <Application>Microsoft Office Word</Application>
  <DocSecurity>0</DocSecurity>
  <Lines>127</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2</cp:revision>
  <cp:lastPrinted>2015-10-06T09:36:00Z</cp:lastPrinted>
  <dcterms:created xsi:type="dcterms:W3CDTF">2016-01-12T10:07:00Z</dcterms:created>
  <dcterms:modified xsi:type="dcterms:W3CDTF">2016-01-12T10:07:00Z</dcterms:modified>
</cp:coreProperties>
</file>