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E03887" w:rsidP="00E03887">
            <w:pPr>
              <w:suppressAutoHyphens w:val="0"/>
              <w:spacing w:after="20"/>
              <w:jc w:val="right"/>
            </w:pPr>
            <w:r w:rsidRPr="00E03887">
              <w:rPr>
                <w:sz w:val="40"/>
              </w:rPr>
              <w:t>CAT</w:t>
            </w:r>
            <w:r>
              <w:t>/C/SR.1035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E03887" w:rsidRDefault="00E03887" w:rsidP="00E03887">
            <w:pPr>
              <w:suppressAutoHyphens w:val="0"/>
              <w:spacing w:before="240" w:line="240" w:lineRule="exact"/>
            </w:pPr>
            <w:r>
              <w:t>Distr.: General</w:t>
            </w:r>
          </w:p>
          <w:p w:rsidR="00E03887" w:rsidRDefault="00224CC5" w:rsidP="00E03887">
            <w:pPr>
              <w:suppressAutoHyphens w:val="0"/>
            </w:pPr>
            <w:r>
              <w:t>23</w:t>
            </w:r>
            <w:r w:rsidR="00E03887">
              <w:t xml:space="preserve"> May 2012</w:t>
            </w:r>
          </w:p>
          <w:p w:rsidR="00E03887" w:rsidRDefault="00E03887" w:rsidP="00E03887">
            <w:pPr>
              <w:suppressAutoHyphens w:val="0"/>
            </w:pPr>
            <w:r>
              <w:t>English</w:t>
            </w:r>
          </w:p>
          <w:p w:rsidR="00B56E9C" w:rsidRDefault="00E03887" w:rsidP="00E03887">
            <w:pPr>
              <w:suppressAutoHyphens w:val="0"/>
            </w:pPr>
            <w:r>
              <w:t>Original: French</w:t>
            </w:r>
          </w:p>
        </w:tc>
      </w:tr>
    </w:tbl>
    <w:p w:rsidR="003B46EB" w:rsidRDefault="003B46EB" w:rsidP="003B46EB">
      <w:pPr>
        <w:spacing w:before="120"/>
        <w:rPr>
          <w:b/>
          <w:sz w:val="24"/>
        </w:rPr>
      </w:pPr>
      <w:r>
        <w:rPr>
          <w:b/>
          <w:sz w:val="24"/>
        </w:rPr>
        <w:t>Committee against Torture</w:t>
      </w:r>
    </w:p>
    <w:p w:rsidR="003B46EB" w:rsidRDefault="003B46EB" w:rsidP="003B46EB">
      <w:pPr>
        <w:spacing w:after="120"/>
        <w:rPr>
          <w:b/>
        </w:rPr>
      </w:pPr>
      <w:r>
        <w:rPr>
          <w:b/>
        </w:rPr>
        <w:t>Forty-seventh session</w:t>
      </w:r>
    </w:p>
    <w:p w:rsidR="003B46EB" w:rsidRDefault="003B46EB" w:rsidP="003B46EB">
      <w:pPr>
        <w:rPr>
          <w:b/>
        </w:rPr>
      </w:pPr>
      <w:r>
        <w:rPr>
          <w:b/>
        </w:rPr>
        <w:t xml:space="preserve">Summary record of the </w:t>
      </w:r>
      <w:r w:rsidR="001620A2">
        <w:rPr>
          <w:b/>
        </w:rPr>
        <w:t>1035th</w:t>
      </w:r>
      <w:r>
        <w:rPr>
          <w:b/>
        </w:rPr>
        <w:t xml:space="preserve"> meeting</w:t>
      </w:r>
    </w:p>
    <w:p w:rsidR="003B46EB" w:rsidRDefault="003B46EB" w:rsidP="003B46EB">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1620A2">
        <w:t>Thursday, 10 November 2011, at 3 p.m.</w:t>
      </w:r>
    </w:p>
    <w:p w:rsidR="003B46EB" w:rsidRDefault="003B46EB" w:rsidP="003B46EB">
      <w:pPr>
        <w:tabs>
          <w:tab w:val="right" w:pos="992"/>
          <w:tab w:val="left" w:pos="1276"/>
          <w:tab w:val="right" w:leader="dot" w:pos="8504"/>
        </w:tabs>
        <w:spacing w:after="120"/>
      </w:pPr>
      <w:r>
        <w:rPr>
          <w:i/>
        </w:rPr>
        <w:tab/>
        <w:t>Chairperson</w:t>
      </w:r>
      <w:r w:rsidR="001620A2">
        <w:t>:</w:t>
      </w:r>
      <w:r w:rsidR="001620A2">
        <w:tab/>
        <w:t>Ms. Gaer (Vice-Chairperson)</w:t>
      </w:r>
    </w:p>
    <w:p w:rsidR="003B46EB" w:rsidRDefault="003B46EB" w:rsidP="003B46EB">
      <w:pPr>
        <w:tabs>
          <w:tab w:val="right" w:pos="992"/>
          <w:tab w:val="left" w:pos="1276"/>
          <w:tab w:val="right" w:leader="dot" w:pos="8504"/>
        </w:tabs>
        <w:spacing w:before="360" w:after="240"/>
        <w:rPr>
          <w:sz w:val="28"/>
        </w:rPr>
      </w:pPr>
      <w:r>
        <w:rPr>
          <w:sz w:val="28"/>
        </w:rPr>
        <w:t>Contents</w:t>
      </w:r>
    </w:p>
    <w:p w:rsidR="00E03887" w:rsidRDefault="001620A2" w:rsidP="00224CC5">
      <w:pPr>
        <w:pStyle w:val="SingleTxtG"/>
        <w:jc w:val="left"/>
      </w:pPr>
      <w:r>
        <w:t>Consideration of reports submitted by States parties under article 19 of the Convention (</w:t>
      </w:r>
      <w:r>
        <w:rPr>
          <w:i/>
        </w:rPr>
        <w:t>continued</w:t>
      </w:r>
      <w:r>
        <w:t>)</w:t>
      </w:r>
    </w:p>
    <w:p w:rsidR="001620A2" w:rsidRPr="001620A2" w:rsidRDefault="001620A2" w:rsidP="00224CC5">
      <w:pPr>
        <w:pStyle w:val="SingleTxtG"/>
        <w:jc w:val="left"/>
      </w:pPr>
      <w:r>
        <w:tab/>
      </w:r>
      <w:r>
        <w:rPr>
          <w:i/>
        </w:rPr>
        <w:t xml:space="preserve">Combined fourth and fifth periodic reports of </w:t>
      </w:r>
      <w:smartTag w:uri="urn:schemas-microsoft-com:office:smarttags" w:element="country-region">
        <w:smartTag w:uri="urn:schemas-microsoft-com:office:smarttags" w:element="place">
          <w:r>
            <w:rPr>
              <w:i/>
            </w:rPr>
            <w:t>Bulgaria</w:t>
          </w:r>
        </w:smartTag>
      </w:smartTag>
      <w:r>
        <w:rPr>
          <w:i/>
        </w:rPr>
        <w:t xml:space="preserve"> </w:t>
      </w:r>
      <w:r>
        <w:t>(continued)</w:t>
      </w:r>
    </w:p>
    <w:p w:rsidR="001620A2" w:rsidRDefault="001620A2" w:rsidP="001620A2">
      <w:pPr>
        <w:pStyle w:val="SingleTxtG"/>
        <w:rPr>
          <w:i/>
        </w:rPr>
      </w:pPr>
      <w:r>
        <w:br w:type="page"/>
      </w:r>
      <w:r>
        <w:rPr>
          <w:i/>
        </w:rPr>
        <w:t>The meeting was called to order at 3.05 p.m.</w:t>
      </w:r>
    </w:p>
    <w:p w:rsidR="001620A2" w:rsidRDefault="001620A2" w:rsidP="001620A2">
      <w:pPr>
        <w:pStyle w:val="H23G"/>
        <w:rPr>
          <w:b w:val="0"/>
        </w:rPr>
      </w:pPr>
      <w:r>
        <w:tab/>
      </w:r>
      <w:r>
        <w:tab/>
        <w:t xml:space="preserve">Consideration of reports submitted by States parties under article 19 of the Convention </w:t>
      </w:r>
      <w:r w:rsidRPr="001620A2">
        <w:rPr>
          <w:b w:val="0"/>
        </w:rPr>
        <w:t>(</w:t>
      </w:r>
      <w:r w:rsidRPr="001620A2">
        <w:rPr>
          <w:b w:val="0"/>
          <w:i/>
        </w:rPr>
        <w:t>continued</w:t>
      </w:r>
      <w:r w:rsidRPr="001620A2">
        <w:rPr>
          <w:b w:val="0"/>
        </w:rPr>
        <w:t>)</w:t>
      </w:r>
    </w:p>
    <w:p w:rsidR="001620A2" w:rsidRPr="001620A2" w:rsidRDefault="001620A2" w:rsidP="001620A2">
      <w:pPr>
        <w:pStyle w:val="SingleTxtG"/>
        <w:ind w:left="1701"/>
        <w:jc w:val="left"/>
      </w:pPr>
      <w:r>
        <w:rPr>
          <w:i/>
        </w:rPr>
        <w:t xml:space="preserve">Combined fourth and fifth periodic reports of </w:t>
      </w:r>
      <w:smartTag w:uri="urn:schemas-microsoft-com:office:smarttags" w:element="place">
        <w:smartTag w:uri="urn:schemas-microsoft-com:office:smarttags" w:element="country-region">
          <w:r>
            <w:rPr>
              <w:i/>
            </w:rPr>
            <w:t>Bulgaria</w:t>
          </w:r>
        </w:smartTag>
      </w:smartTag>
      <w:r>
        <w:rPr>
          <w:i/>
        </w:rPr>
        <w:t xml:space="preserve"> </w:t>
      </w:r>
      <w:r>
        <w:t>(continued)</w:t>
      </w:r>
      <w:r w:rsidR="00224CC5">
        <w:br/>
      </w:r>
      <w:r>
        <w:t>(CAT/C/BGR/4-5; CAT/C/BGR/Q/4-5 and Add.l; HRI/CORE/l/Add.81)</w:t>
      </w:r>
    </w:p>
    <w:p w:rsidR="001620A2" w:rsidRDefault="001620A2" w:rsidP="001620A2">
      <w:pPr>
        <w:pStyle w:val="SingleTxtG"/>
      </w:pPr>
      <w:r>
        <w:t>1.</w:t>
      </w:r>
      <w:r>
        <w:tab/>
      </w:r>
      <w:r w:rsidRPr="001620A2">
        <w:rPr>
          <w:i/>
        </w:rPr>
        <w:t xml:space="preserve">At the invitation of the Chairperson, the delegation of </w:t>
      </w:r>
      <w:smartTag w:uri="urn:schemas-microsoft-com:office:smarttags" w:element="country-region">
        <w:smartTag w:uri="urn:schemas-microsoft-com:office:smarttags" w:element="place">
          <w:r w:rsidRPr="001620A2">
            <w:rPr>
              <w:i/>
            </w:rPr>
            <w:t>Bulgaria</w:t>
          </w:r>
        </w:smartTag>
      </w:smartTag>
      <w:r w:rsidRPr="001620A2">
        <w:rPr>
          <w:i/>
        </w:rPr>
        <w:t xml:space="preserve"> took places at the Committee table.</w:t>
      </w:r>
    </w:p>
    <w:p w:rsidR="001620A2" w:rsidRDefault="001620A2" w:rsidP="001620A2">
      <w:pPr>
        <w:pStyle w:val="SingleTxtG"/>
      </w:pPr>
      <w:r>
        <w:t>2.</w:t>
      </w:r>
      <w:r>
        <w:tab/>
      </w:r>
      <w:r w:rsidRPr="001620A2">
        <w:rPr>
          <w:b/>
        </w:rPr>
        <w:t>Mr. Tzantchev</w:t>
      </w:r>
      <w:r>
        <w:t xml:space="preserve"> (</w:t>
      </w:r>
      <w:smartTag w:uri="urn:schemas-microsoft-com:office:smarttags" w:element="country-region">
        <w:smartTag w:uri="urn:schemas-microsoft-com:office:smarttags" w:element="place">
          <w:r>
            <w:t>Bulgaria</w:t>
          </w:r>
        </w:smartTag>
      </w:smartTag>
      <w:r>
        <w:t>), referring to Bulgarian legislation on torture, said that the Criminal Code established the offences and punishment of all the acts targeted by the first article of the Convention. Among the relevant provisions of the Criminal Code was article 287 addressing bodily injury, which punished a public officia</w:t>
      </w:r>
      <w:r w:rsidR="006B441A">
        <w:t>l</w:t>
      </w:r>
      <w:r w:rsidR="00746E2D">
        <w:t>’</w:t>
      </w:r>
      <w:r>
        <w:t>s use of unlawful means of coercion to obtain information or a confession; article 143, which addressed coercion more generally; and article 131, which provided that aggravating circumstances could be found when bodily injury</w:t>
      </w:r>
      <w:r w:rsidR="006B441A" w:rsidRPr="006B441A">
        <w:rPr>
          <w:lang w:val="en-US"/>
        </w:rPr>
        <w:t xml:space="preserve"> </w:t>
      </w:r>
      <w:r>
        <w:t>was inflicted by a public official in the performance of his or her duties. The procedural guarantees relating to the prohibition of torture were established in the</w:t>
      </w:r>
      <w:r w:rsidR="006B441A">
        <w:t xml:space="preserve"> </w:t>
      </w:r>
      <w:r>
        <w:t xml:space="preserve">Code of Criminal Procedure, as well as in the Enforcement of Penalties </w:t>
      </w:r>
      <w:r w:rsidR="006B441A">
        <w:t xml:space="preserve">and Detention </w:t>
      </w:r>
      <w:r>
        <w:t xml:space="preserve">Act and in secondary legislation. Article 9 of Guideline No. Iz-2451 </w:t>
      </w:r>
      <w:r w:rsidR="00E7012D">
        <w:t>o</w:t>
      </w:r>
      <w:r>
        <w:t xml:space="preserve">f the Minister of the Interior on the procedure followed by police when detaining persons in Ministry of the Interior establishments, </w:t>
      </w:r>
      <w:r w:rsidR="00E7012D">
        <w:t xml:space="preserve">regarding the furnishing and internal rules of </w:t>
      </w:r>
      <w:r w:rsidR="009A734D">
        <w:t>premises for the accommodation of detainees and provided that</w:t>
      </w:r>
      <w:r>
        <w:t xml:space="preserve"> </w:t>
      </w:r>
      <w:r w:rsidR="00746E2D">
        <w:t>“</w:t>
      </w:r>
      <w:r>
        <w:t>the actions of police</w:t>
      </w:r>
      <w:r w:rsidR="009A734D">
        <w:t xml:space="preserve"> </w:t>
      </w:r>
      <w:r>
        <w:t>authorities shall exclude the commission, provocation or toleration of any act of</w:t>
      </w:r>
      <w:r w:rsidR="009A734D">
        <w:t xml:space="preserve"> </w:t>
      </w:r>
      <w:r>
        <w:t>torture, inhuman or degrading treatment or punishment whatsoever</w:t>
      </w:r>
      <w:r w:rsidR="009A734D">
        <w:t xml:space="preserve"> </w:t>
      </w:r>
      <w:r>
        <w:t>...</w:t>
      </w:r>
      <w:r w:rsidR="00746E2D">
        <w:t>”</w:t>
      </w:r>
      <w:r w:rsidR="009A734D">
        <w:t>.</w:t>
      </w:r>
    </w:p>
    <w:p w:rsidR="001620A2" w:rsidRDefault="009A734D" w:rsidP="001620A2">
      <w:pPr>
        <w:pStyle w:val="SingleTxtG"/>
      </w:pPr>
      <w:r>
        <w:t>3.</w:t>
      </w:r>
      <w:r>
        <w:tab/>
      </w:r>
      <w:r w:rsidR="001620A2">
        <w:t>A working group from the Ministry of Justice was currently drawing up a</w:t>
      </w:r>
      <w:r>
        <w:t xml:space="preserve"> </w:t>
      </w:r>
      <w:r w:rsidR="001620A2">
        <w:t>new draft Criminal Code. The Committee</w:t>
      </w:r>
      <w:r w:rsidR="00746E2D">
        <w:t>’</w:t>
      </w:r>
      <w:r w:rsidR="001620A2">
        <w:t>s observations regarding the</w:t>
      </w:r>
      <w:r>
        <w:t xml:space="preserve"> </w:t>
      </w:r>
      <w:r w:rsidR="001620A2">
        <w:t>definition of torture would be duly considered when drafting the section of the</w:t>
      </w:r>
      <w:r>
        <w:t xml:space="preserve"> </w:t>
      </w:r>
      <w:r w:rsidR="001620A2">
        <w:t>Code that could provide such a definition.</w:t>
      </w:r>
    </w:p>
    <w:p w:rsidR="001620A2" w:rsidRDefault="001620A2" w:rsidP="001620A2">
      <w:pPr>
        <w:pStyle w:val="SingleTxtG"/>
      </w:pPr>
      <w:r>
        <w:t>4.</w:t>
      </w:r>
      <w:r>
        <w:tab/>
      </w:r>
      <w:r w:rsidR="009A734D">
        <w:t>Regarding</w:t>
      </w:r>
      <w:r>
        <w:t xml:space="preserve"> the situation of stateless persons, the relevant</w:t>
      </w:r>
      <w:r w:rsidR="009A734D">
        <w:t xml:space="preserve"> </w:t>
      </w:r>
      <w:r>
        <w:t>authorities were considering the matter and</w:t>
      </w:r>
      <w:r w:rsidR="009A734D">
        <w:t xml:space="preserve"> a decision was expected shortly</w:t>
      </w:r>
      <w:r>
        <w:t>.</w:t>
      </w:r>
    </w:p>
    <w:p w:rsidR="001620A2" w:rsidRDefault="001620A2" w:rsidP="001620A2">
      <w:pPr>
        <w:pStyle w:val="SingleTxtG"/>
      </w:pPr>
      <w:r>
        <w:t>5.</w:t>
      </w:r>
      <w:r>
        <w:tab/>
      </w:r>
      <w:r w:rsidR="009A734D">
        <w:t>Lastly,</w:t>
      </w:r>
      <w:r>
        <w:t xml:space="preserve">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xml:space="preserve"> stipulated</w:t>
      </w:r>
      <w:r w:rsidR="009A734D">
        <w:t xml:space="preserve"> </w:t>
      </w:r>
      <w:r>
        <w:t>that the laws and provisions relating to human rights could not be abolished or</w:t>
      </w:r>
      <w:r w:rsidR="009A734D">
        <w:t xml:space="preserve"> </w:t>
      </w:r>
      <w:r>
        <w:t>suspended, whatever the circumstances, which adequately ensured</w:t>
      </w:r>
      <w:r w:rsidR="009A734D">
        <w:t xml:space="preserve"> </w:t>
      </w:r>
      <w:r>
        <w:t>observation of article 2, paragraphs 2 and 3, of the Convention.</w:t>
      </w:r>
    </w:p>
    <w:p w:rsidR="001620A2" w:rsidRDefault="001620A2" w:rsidP="001620A2">
      <w:pPr>
        <w:pStyle w:val="SingleTxtG"/>
      </w:pPr>
      <w:r>
        <w:t xml:space="preserve">6. </w:t>
      </w:r>
      <w:r w:rsidR="009A734D">
        <w:tab/>
      </w:r>
      <w:r w:rsidRPr="009A734D">
        <w:rPr>
          <w:b/>
        </w:rPr>
        <w:t>Mr. Petrov</w:t>
      </w:r>
      <w:r>
        <w:t xml:space="preserve"> (Bulgaria), </w:t>
      </w:r>
      <w:r w:rsidR="009A734D">
        <w:t xml:space="preserve">replying </w:t>
      </w:r>
      <w:r>
        <w:t>to questions about detainees</w:t>
      </w:r>
      <w:r w:rsidR="00746E2D">
        <w:t>’</w:t>
      </w:r>
      <w:r>
        <w:t xml:space="preserve"> access to a</w:t>
      </w:r>
      <w:r w:rsidR="009A734D">
        <w:t xml:space="preserve"> </w:t>
      </w:r>
      <w:r>
        <w:t>lawyer, said that in April 2011 the Prosecutor General had published a directive</w:t>
      </w:r>
      <w:r w:rsidR="009A734D">
        <w:t xml:space="preserve"> </w:t>
      </w:r>
      <w:r>
        <w:t>that detainees must be allowed to meet with a lawyer in private within two</w:t>
      </w:r>
      <w:r w:rsidR="009A734D">
        <w:t xml:space="preserve"> </w:t>
      </w:r>
      <w:r>
        <w:t>hours of their arrest. The directive also stipulated that the lawyer must be allowed</w:t>
      </w:r>
      <w:r w:rsidR="009A734D">
        <w:t xml:space="preserve"> </w:t>
      </w:r>
      <w:r>
        <w:t>to meet the detainee within 30 minutes of arrival at the place where he or she was</w:t>
      </w:r>
      <w:r w:rsidR="009A734D">
        <w:t xml:space="preserve"> </w:t>
      </w:r>
      <w:r>
        <w:t>being held, such as a police station.</w:t>
      </w:r>
    </w:p>
    <w:p w:rsidR="001620A2" w:rsidRDefault="001620A2" w:rsidP="001620A2">
      <w:pPr>
        <w:pStyle w:val="SingleTxtG"/>
      </w:pPr>
      <w:r>
        <w:t>7.</w:t>
      </w:r>
      <w:r w:rsidR="000831D8">
        <w:tab/>
      </w:r>
      <w:r w:rsidRPr="000831D8">
        <w:rPr>
          <w:b/>
        </w:rPr>
        <w:t>Ms. Makeva-Naydenova</w:t>
      </w:r>
      <w:r w:rsidR="000831D8">
        <w:t xml:space="preserve"> (</w:t>
      </w:r>
      <w:smartTag w:uri="urn:schemas-microsoft-com:office:smarttags" w:element="country-region">
        <w:smartTag w:uri="urn:schemas-microsoft-com:office:smarttags" w:element="place">
          <w:r w:rsidR="000831D8">
            <w:t>Bulgaria</w:t>
          </w:r>
        </w:smartTag>
      </w:smartTag>
      <w:r w:rsidR="000831D8">
        <w:t>) said that a scheme</w:t>
      </w:r>
      <w:r>
        <w:t xml:space="preserve"> for civilian oversight</w:t>
      </w:r>
      <w:r w:rsidR="000831D8">
        <w:t xml:space="preserve"> </w:t>
      </w:r>
      <w:r>
        <w:t>of the police force had been operating since 2005 and had been the subject of a</w:t>
      </w:r>
      <w:r w:rsidR="000831D8">
        <w:t xml:space="preserve"> </w:t>
      </w:r>
      <w:r>
        <w:t xml:space="preserve">report by </w:t>
      </w:r>
      <w:r w:rsidR="000831D8">
        <w:t xml:space="preserve">the </w:t>
      </w:r>
      <w:r>
        <w:t>NGO Open Society Institute, to which the</w:t>
      </w:r>
      <w:r w:rsidR="000831D8">
        <w:t xml:space="preserve"> </w:t>
      </w:r>
      <w:r>
        <w:t>Bulgarian Helsinki Committee</w:t>
      </w:r>
      <w:r w:rsidR="000831D8">
        <w:t xml:space="preserve"> </w:t>
      </w:r>
      <w:r>
        <w:t xml:space="preserve">had referred </w:t>
      </w:r>
      <w:r w:rsidR="000831D8">
        <w:t xml:space="preserve">in a report to the Committee. Regarding </w:t>
      </w:r>
      <w:r>
        <w:t xml:space="preserve">the statements </w:t>
      </w:r>
      <w:r w:rsidR="000831D8">
        <w:t xml:space="preserve">made </w:t>
      </w:r>
      <w:r>
        <w:t>in that</w:t>
      </w:r>
      <w:r w:rsidR="000831D8">
        <w:t xml:space="preserve"> </w:t>
      </w:r>
      <w:r>
        <w:t>report, she emphasized that the project had the full support of the Ministry of the</w:t>
      </w:r>
      <w:r w:rsidR="000831D8">
        <w:t xml:space="preserve"> </w:t>
      </w:r>
      <w:r>
        <w:t>Interior and that the authorities had been working for a number of years to</w:t>
      </w:r>
      <w:r w:rsidR="000831D8">
        <w:t xml:space="preserve"> </w:t>
      </w:r>
      <w:r>
        <w:t>implement the Bulgarian Helsinki Committee</w:t>
      </w:r>
      <w:r w:rsidR="00746E2D">
        <w:t>’</w:t>
      </w:r>
      <w:r>
        <w:t>s recommendation regarding access</w:t>
      </w:r>
      <w:r w:rsidR="000831D8">
        <w:t xml:space="preserve"> </w:t>
      </w:r>
      <w:r>
        <w:t xml:space="preserve">to a lawyer for persons under arrest. Steps had been taken to address the gaps </w:t>
      </w:r>
      <w:r w:rsidR="000831D8">
        <w:t>identified during the scheme</w:t>
      </w:r>
      <w:r w:rsidR="00746E2D">
        <w:t>’</w:t>
      </w:r>
      <w:r w:rsidR="000831D8">
        <w:t>s implementation</w:t>
      </w:r>
      <w:r>
        <w:t>, notably the introduction of</w:t>
      </w:r>
      <w:r w:rsidR="000831D8">
        <w:t xml:space="preserve"> </w:t>
      </w:r>
      <w:r>
        <w:t>disciplinary measures for failing to observe the provisions regulating the right of access to a lawyer, or requiring a daily supply of information on the number of persons that had requested the services of a legal counsel and the response to those requests. Furthermore, the recommendations outlined in the Open Society</w:t>
      </w:r>
      <w:r w:rsidR="000831D8">
        <w:t xml:space="preserve"> </w:t>
      </w:r>
      <w:r>
        <w:t>Institute</w:t>
      </w:r>
      <w:r w:rsidR="00746E2D">
        <w:t>’</w:t>
      </w:r>
      <w:r>
        <w:t>s report had been examined in detail in order to plan their implementation.</w:t>
      </w:r>
      <w:r w:rsidR="000831D8">
        <w:t xml:space="preserve"> Also, </w:t>
      </w:r>
      <w:r>
        <w:t>the NGO responsible under the project for monitoring the maintenance of</w:t>
      </w:r>
      <w:r w:rsidR="00880232">
        <w:t xml:space="preserve"> </w:t>
      </w:r>
      <w:r>
        <w:t>records had indicated that the recommendations made in that regard had been taken</w:t>
      </w:r>
      <w:r w:rsidR="00880232">
        <w:t xml:space="preserve"> </w:t>
      </w:r>
      <w:r>
        <w:t xml:space="preserve">into consideration and that the records were now </w:t>
      </w:r>
      <w:r w:rsidR="00880232">
        <w:t>adequately</w:t>
      </w:r>
      <w:r>
        <w:t xml:space="preserve"> maintained and</w:t>
      </w:r>
      <w:r w:rsidR="00880232">
        <w:t xml:space="preserve"> </w:t>
      </w:r>
      <w:r>
        <w:t>accessible.</w:t>
      </w:r>
    </w:p>
    <w:p w:rsidR="001620A2" w:rsidRDefault="001620A2" w:rsidP="001620A2">
      <w:pPr>
        <w:pStyle w:val="SingleTxtG"/>
      </w:pPr>
      <w:r>
        <w:t>8.</w:t>
      </w:r>
      <w:r w:rsidR="00880232">
        <w:tab/>
      </w:r>
      <w:r>
        <w:t xml:space="preserve">The independence of the Ministry of the Interior </w:t>
      </w:r>
      <w:r w:rsidR="00880232">
        <w:t xml:space="preserve">Inspectorate </w:t>
      </w:r>
      <w:r>
        <w:t xml:space="preserve">was guaranteed by law. It was not subordinate to any agency and its </w:t>
      </w:r>
      <w:r w:rsidR="00880232">
        <w:t>i</w:t>
      </w:r>
      <w:r>
        <w:t xml:space="preserve">nquiries were fully independent. The </w:t>
      </w:r>
      <w:r w:rsidR="00880232">
        <w:t>Insp</w:t>
      </w:r>
      <w:r>
        <w:t>ectorate ensured that any complaint of</w:t>
      </w:r>
      <w:r w:rsidR="00880232">
        <w:t xml:space="preserve"> </w:t>
      </w:r>
      <w:r>
        <w:t>violence made against a police officer was investigated and that the findings</w:t>
      </w:r>
      <w:r w:rsidR="00880232">
        <w:t xml:space="preserve"> were publicized</w:t>
      </w:r>
      <w:r>
        <w:t>. Once it had been established that human rights had been</w:t>
      </w:r>
      <w:r w:rsidR="00880232">
        <w:t xml:space="preserve"> </w:t>
      </w:r>
      <w:r>
        <w:t>violated</w:t>
      </w:r>
      <w:r w:rsidR="00880232">
        <w:t xml:space="preserve"> </w:t>
      </w:r>
      <w:r>
        <w:t>or that a police officer had failed in his or her duty, disciplinary measures were taken</w:t>
      </w:r>
      <w:r w:rsidR="00880232">
        <w:t>. Indeed</w:t>
      </w:r>
      <w:r>
        <w:t>, contrary to the statements of the Bulgarian</w:t>
      </w:r>
      <w:r w:rsidR="0073651A">
        <w:t xml:space="preserve"> </w:t>
      </w:r>
      <w:r>
        <w:t>Helsinki Committee, data on police officers who had been subjected to</w:t>
      </w:r>
      <w:r w:rsidR="0073651A">
        <w:t xml:space="preserve"> </w:t>
      </w:r>
      <w:r>
        <w:t>disciplinary measures</w:t>
      </w:r>
      <w:r w:rsidR="0073651A">
        <w:t xml:space="preserve"> </w:t>
      </w:r>
      <w:r>
        <w:t xml:space="preserve">had been submitted to the Committee. In that </w:t>
      </w:r>
      <w:r w:rsidR="0073651A">
        <w:t>regard,</w:t>
      </w:r>
      <w:r>
        <w:t xml:space="preserve"> between 2005 and 2011, the Inspectorate had investigated 37 complaints </w:t>
      </w:r>
      <w:r w:rsidR="0073651A">
        <w:t>against</w:t>
      </w:r>
      <w:r>
        <w:t xml:space="preserve"> police officers</w:t>
      </w:r>
      <w:r w:rsidR="0073651A">
        <w:t>,</w:t>
      </w:r>
      <w:r>
        <w:t xml:space="preserve"> and disciplinary measures had been taken against 35 police officers,</w:t>
      </w:r>
      <w:r w:rsidR="0073651A">
        <w:t xml:space="preserve"> and</w:t>
      </w:r>
      <w:r>
        <w:t xml:space="preserve"> 2 of </w:t>
      </w:r>
      <w:r w:rsidR="0073651A">
        <w:t>them</w:t>
      </w:r>
      <w:r>
        <w:t xml:space="preserve"> had been </w:t>
      </w:r>
      <w:r w:rsidR="0073651A">
        <w:t xml:space="preserve">relieved of </w:t>
      </w:r>
      <w:r>
        <w:t>their</w:t>
      </w:r>
      <w:r w:rsidR="0073651A">
        <w:t xml:space="preserve"> </w:t>
      </w:r>
      <w:r>
        <w:t>duties</w:t>
      </w:r>
      <w:r w:rsidR="0073651A">
        <w:t>.</w:t>
      </w:r>
      <w:r>
        <w:t xml:space="preserve"> </w:t>
      </w:r>
      <w:r w:rsidR="0073651A">
        <w:t>In four</w:t>
      </w:r>
      <w:r>
        <w:t xml:space="preserve"> cases the results of the investigation had been forwarded to the</w:t>
      </w:r>
      <w:r w:rsidR="0073651A">
        <w:t xml:space="preserve"> </w:t>
      </w:r>
      <w:r>
        <w:t>relevant prosecutor.</w:t>
      </w:r>
    </w:p>
    <w:p w:rsidR="001620A2" w:rsidRDefault="001620A2" w:rsidP="001620A2">
      <w:pPr>
        <w:pStyle w:val="SingleTxtG"/>
      </w:pPr>
      <w:r>
        <w:t>9.</w:t>
      </w:r>
      <w:r w:rsidR="0073651A">
        <w:tab/>
      </w:r>
      <w:r w:rsidRPr="0073651A">
        <w:rPr>
          <w:b/>
        </w:rPr>
        <w:t>Ms. Nikolova</w:t>
      </w:r>
      <w:r w:rsidR="0073651A">
        <w:t xml:space="preserve"> (</w:t>
      </w:r>
      <w:smartTag w:uri="urn:schemas-microsoft-com:office:smarttags" w:element="country-region">
        <w:smartTag w:uri="urn:schemas-microsoft-com:office:smarttags" w:element="place">
          <w:r w:rsidR="0073651A">
            <w:t>Bulgaria</w:t>
          </w:r>
        </w:smartTag>
      </w:smartTag>
      <w:r w:rsidR="0073651A">
        <w:t>) said that her legislation felt</w:t>
      </w:r>
      <w:r>
        <w:t xml:space="preserve"> that</w:t>
      </w:r>
      <w:r w:rsidR="0073651A">
        <w:t xml:space="preserve"> </w:t>
      </w:r>
      <w:r>
        <w:t>victims of crime, particularly of torture or ill-treatment, had the right to effective</w:t>
      </w:r>
      <w:r w:rsidR="0073651A">
        <w:t xml:space="preserve"> </w:t>
      </w:r>
      <w:r>
        <w:t xml:space="preserve">remedies, including fair compensation at a level set by the courts. </w:t>
      </w:r>
      <w:r w:rsidR="0073651A">
        <w:t xml:space="preserve">A torture victim could file </w:t>
      </w:r>
      <w:r>
        <w:t>a civil claim for compensation as part of criminal</w:t>
      </w:r>
      <w:r w:rsidR="0073651A">
        <w:t xml:space="preserve"> </w:t>
      </w:r>
      <w:r>
        <w:t xml:space="preserve">proceedings, and if the </w:t>
      </w:r>
      <w:r w:rsidR="0073651A">
        <w:t>parties</w:t>
      </w:r>
      <w:r>
        <w:t xml:space="preserve"> or members of </w:t>
      </w:r>
      <w:r w:rsidR="0073651A">
        <w:t>their family</w:t>
      </w:r>
      <w:r>
        <w:t xml:space="preserve"> had suffered</w:t>
      </w:r>
      <w:r w:rsidR="0073651A">
        <w:t xml:space="preserve"> </w:t>
      </w:r>
      <w:r>
        <w:t xml:space="preserve">damage as a result of the criminal offence before the court, they could </w:t>
      </w:r>
      <w:r w:rsidR="0073651A">
        <w:t xml:space="preserve">file </w:t>
      </w:r>
      <w:r>
        <w:t>a</w:t>
      </w:r>
      <w:r w:rsidR="0073651A">
        <w:t xml:space="preserve"> </w:t>
      </w:r>
      <w:r>
        <w:t>civil claim for compensation</w:t>
      </w:r>
      <w:r w:rsidR="0073651A">
        <w:t xml:space="preserve"> and be constituted as </w:t>
      </w:r>
      <w:r>
        <w:t xml:space="preserve">complainants. </w:t>
      </w:r>
      <w:r w:rsidRPr="00E177C6">
        <w:t xml:space="preserve">If </w:t>
      </w:r>
      <w:r w:rsidR="00E177C6">
        <w:t xml:space="preserve">the aggrieved party sustained serious personal injury but failed to initiate either </w:t>
      </w:r>
      <w:r w:rsidR="00F31B7E">
        <w:t xml:space="preserve">of the </w:t>
      </w:r>
      <w:r w:rsidR="00E177C6">
        <w:t>procedures described, he or she</w:t>
      </w:r>
      <w:r>
        <w:t xml:space="preserve"> could request compensation under the Assistance and Financial Compensation </w:t>
      </w:r>
      <w:r w:rsidR="00E177C6">
        <w:t>to Crime Victims Act</w:t>
      </w:r>
      <w:r>
        <w:t>. Victims of crimes covered by the Convention were also able to initiate proceedings under the State and Municipal Liability for Damages Act,</w:t>
      </w:r>
      <w:r w:rsidR="00E177C6">
        <w:t xml:space="preserve"> </w:t>
      </w:r>
      <w:r>
        <w:t xml:space="preserve">which </w:t>
      </w:r>
      <w:r w:rsidR="00E177C6">
        <w:t xml:space="preserve">imposed liability on </w:t>
      </w:r>
      <w:r>
        <w:t xml:space="preserve">the law enforcement authorities </w:t>
      </w:r>
      <w:r w:rsidR="008B2551">
        <w:t>liable for harmful actions</w:t>
      </w:r>
      <w:r>
        <w:t>. In</w:t>
      </w:r>
      <w:r w:rsidR="00F46E8D">
        <w:t xml:space="preserve"> </w:t>
      </w:r>
      <w:r>
        <w:t>that case, the</w:t>
      </w:r>
      <w:r w:rsidR="00F46E8D">
        <w:t xml:space="preserve"> compensation </w:t>
      </w:r>
      <w:r>
        <w:t>conditions were those defined by the State and</w:t>
      </w:r>
      <w:r w:rsidR="00F46E8D">
        <w:t xml:space="preserve"> </w:t>
      </w:r>
      <w:r>
        <w:t>Municipal Liability for Damages Act. It should also be noted that in conformity</w:t>
      </w:r>
      <w:r w:rsidR="00F46E8D">
        <w:t xml:space="preserve"> </w:t>
      </w:r>
      <w:r>
        <w:t>with the Mediation Act, the National Association of Mediators</w:t>
      </w:r>
      <w:r w:rsidR="00F46E8D">
        <w:t xml:space="preserve"> </w:t>
      </w:r>
      <w:r>
        <w:t xml:space="preserve">had </w:t>
      </w:r>
      <w:r w:rsidR="00F46E8D">
        <w:t>come up with</w:t>
      </w:r>
      <w:r>
        <w:t xml:space="preserve"> various proposals and draft</w:t>
      </w:r>
      <w:r w:rsidR="00F46E8D">
        <w:t xml:space="preserve">s for amendments to the Criminal </w:t>
      </w:r>
      <w:r>
        <w:t>Code and the Code of Criminal Procedure</w:t>
      </w:r>
      <w:r w:rsidR="00F46E8D">
        <w:t>,</w:t>
      </w:r>
      <w:r>
        <w:t xml:space="preserve"> </w:t>
      </w:r>
      <w:r w:rsidR="00F46E8D">
        <w:t xml:space="preserve">aimed at making </w:t>
      </w:r>
      <w:r>
        <w:t>mediation an effective institution</w:t>
      </w:r>
      <w:r w:rsidR="00F46E8D">
        <w:t xml:space="preserve"> </w:t>
      </w:r>
      <w:r>
        <w:t xml:space="preserve">that </w:t>
      </w:r>
      <w:r w:rsidR="00F46E8D">
        <w:t>w</w:t>
      </w:r>
      <w:r>
        <w:t xml:space="preserve">ould contribute to the swift and fair compensation of aggrieved </w:t>
      </w:r>
      <w:r w:rsidR="00F46E8D">
        <w:t xml:space="preserve">parties </w:t>
      </w:r>
      <w:r>
        <w:t>including, where possible, victims of torture.</w:t>
      </w:r>
    </w:p>
    <w:p w:rsidR="001620A2" w:rsidRDefault="001620A2" w:rsidP="001620A2">
      <w:pPr>
        <w:pStyle w:val="SingleTxtG"/>
      </w:pPr>
      <w:r>
        <w:t>10.</w:t>
      </w:r>
      <w:r w:rsidR="00F46E8D">
        <w:tab/>
      </w:r>
      <w:r w:rsidRPr="00F46E8D">
        <w:rPr>
          <w:b/>
        </w:rPr>
        <w:t>Ms. Petrova</w:t>
      </w:r>
      <w:r>
        <w:t xml:space="preserve"> (</w:t>
      </w:r>
      <w:smartTag w:uri="urn:schemas-microsoft-com:office:smarttags" w:element="place">
        <w:smartTag w:uri="urn:schemas-microsoft-com:office:smarttags" w:element="country-region">
          <w:r>
            <w:t>Bulgaria</w:t>
          </w:r>
        </w:smartTag>
      </w:smartTag>
      <w:r>
        <w:t>) said that the</w:t>
      </w:r>
      <w:r w:rsidR="00F46E8D" w:rsidRPr="00F46E8D">
        <w:t xml:space="preserve"> </w:t>
      </w:r>
      <w:r w:rsidR="00F46E8D">
        <w:t xml:space="preserve">prison overcrowding problem </w:t>
      </w:r>
      <w:r>
        <w:t>remained a complex one that was difficult to resolve. The authorities had adopted a</w:t>
      </w:r>
      <w:r w:rsidR="00F46E8D">
        <w:t xml:space="preserve"> </w:t>
      </w:r>
      <w:r>
        <w:t>programme</w:t>
      </w:r>
      <w:r w:rsidR="00F46E8D">
        <w:t xml:space="preserve"> </w:t>
      </w:r>
      <w:r w:rsidR="007A3816">
        <w:t xml:space="preserve">for 2008–2015 to improve prison conditions; it had been updated </w:t>
      </w:r>
      <w:r>
        <w:t>through two additional action plans adopted in 2010. The programme</w:t>
      </w:r>
      <w:r w:rsidR="007A3816">
        <w:t xml:space="preserve"> </w:t>
      </w:r>
      <w:r>
        <w:t>allocated 20 million leva to prison system improvements and, while it was true that</w:t>
      </w:r>
      <w:r w:rsidR="007A3816">
        <w:t xml:space="preserve"> </w:t>
      </w:r>
      <w:r>
        <w:t>much remained to be done, good progress had been made. Furthermore, between</w:t>
      </w:r>
      <w:r w:rsidR="007A3816">
        <w:t xml:space="preserve"> </w:t>
      </w:r>
      <w:r>
        <w:t xml:space="preserve">2008 and 2010, Lovech, </w:t>
      </w:r>
      <w:smartTag w:uri="urn:schemas-microsoft-com:office:smarttags" w:element="City">
        <w:r>
          <w:t>Vratsa</w:t>
        </w:r>
      </w:smartTag>
      <w:r>
        <w:t xml:space="preserve">, Burgas and </w:t>
      </w:r>
      <w:smartTag w:uri="urn:schemas-microsoft-com:office:smarttags" w:element="City">
        <w:smartTag w:uri="urn:schemas-microsoft-com:office:smarttags" w:element="place">
          <w:r>
            <w:t>Pleven</w:t>
          </w:r>
        </w:smartTag>
      </w:smartTag>
      <w:r>
        <w:t xml:space="preserve"> prisons had been renovated and</w:t>
      </w:r>
      <w:r w:rsidR="007A3816">
        <w:t xml:space="preserve"> </w:t>
      </w:r>
      <w:r>
        <w:t xml:space="preserve">modernized. In 2012, a new closed facility, </w:t>
      </w:r>
      <w:r w:rsidR="007A3816">
        <w:t xml:space="preserve">with a capacity of 450, would start </w:t>
      </w:r>
      <w:r>
        <w:t xml:space="preserve">receiving inmates to reduce the pressure on </w:t>
      </w:r>
      <w:smartTag w:uri="urn:schemas-microsoft-com:office:smarttags" w:element="City">
        <w:r>
          <w:t>Vratsa</w:t>
        </w:r>
      </w:smartTag>
      <w:r>
        <w:t xml:space="preserve"> prison, and in 2013 the opening of a new facility would ease overcrowding in </w:t>
      </w:r>
      <w:smartTag w:uri="urn:schemas-microsoft-com:office:smarttags" w:element="City">
        <w:smartTag w:uri="urn:schemas-microsoft-com:office:smarttags" w:element="place">
          <w:r>
            <w:t>Varna</w:t>
          </w:r>
        </w:smartTag>
      </w:smartTag>
      <w:r>
        <w:t xml:space="preserve"> prison. The authorities were also trying to resolve the problem by making</w:t>
      </w:r>
      <w:r w:rsidR="007A3816">
        <w:t xml:space="preserve"> </w:t>
      </w:r>
      <w:r>
        <w:t xml:space="preserve">increased use of </w:t>
      </w:r>
      <w:r w:rsidR="007A3816">
        <w:t>conditional release</w:t>
      </w:r>
      <w:r>
        <w:t>, pardons and other alternatives to</w:t>
      </w:r>
      <w:r w:rsidR="007A3816">
        <w:t xml:space="preserve"> </w:t>
      </w:r>
      <w:r>
        <w:t xml:space="preserve">imprisonment. </w:t>
      </w:r>
      <w:r w:rsidR="007A3816">
        <w:t>The year 2011 had seen 1,014 prisoners granted</w:t>
      </w:r>
      <w:r>
        <w:t xml:space="preserve"> conditional release and 45</w:t>
      </w:r>
      <w:r w:rsidR="007A3816">
        <w:t xml:space="preserve"> </w:t>
      </w:r>
      <w:r>
        <w:t>pardoned.</w:t>
      </w:r>
    </w:p>
    <w:p w:rsidR="001620A2" w:rsidRDefault="001620A2" w:rsidP="001620A2">
      <w:pPr>
        <w:pStyle w:val="SingleTxtG"/>
      </w:pPr>
      <w:r>
        <w:t>11.</w:t>
      </w:r>
      <w:r w:rsidR="007A3816">
        <w:tab/>
      </w:r>
      <w:r w:rsidRPr="007A3816">
        <w:rPr>
          <w:b/>
        </w:rPr>
        <w:t>Mr. Petrov</w:t>
      </w:r>
      <w:r>
        <w:t xml:space="preserve"> (</w:t>
      </w:r>
      <w:smartTag w:uri="urn:schemas-microsoft-com:office:smarttags" w:element="place">
        <w:smartTag w:uri="urn:schemas-microsoft-com:office:smarttags" w:element="country-region">
          <w:r>
            <w:t>Bulgaria</w:t>
          </w:r>
        </w:smartTag>
      </w:smartTag>
      <w:r>
        <w:t xml:space="preserve">) said that the main alternative to prison applied by the courts was probation. The number of persons who had </w:t>
      </w:r>
      <w:r w:rsidR="007A3816">
        <w:t>been granted</w:t>
      </w:r>
      <w:r>
        <w:t xml:space="preserve"> probation had increased substantially, rising from 2,000 in 2005 to 16,000 in 2009.</w:t>
      </w:r>
      <w:r w:rsidR="007A3816">
        <w:t xml:space="preserve"> </w:t>
      </w:r>
      <w:r>
        <w:t xml:space="preserve">Approximately 52 per cent of those found guilty during that period had been </w:t>
      </w:r>
      <w:r w:rsidR="007A3816">
        <w:t>placed on</w:t>
      </w:r>
      <w:r>
        <w:t xml:space="preserve"> probation, which had proved to be a very effective means of reducing</w:t>
      </w:r>
      <w:r w:rsidR="0048167A">
        <w:t xml:space="preserve"> </w:t>
      </w:r>
      <w:r>
        <w:t>the prison population.</w:t>
      </w:r>
    </w:p>
    <w:p w:rsidR="001620A2" w:rsidRDefault="001620A2" w:rsidP="001620A2">
      <w:pPr>
        <w:pStyle w:val="SingleTxtG"/>
      </w:pPr>
      <w:r>
        <w:t>12.</w:t>
      </w:r>
      <w:r>
        <w:tab/>
      </w:r>
      <w:r w:rsidRPr="0048167A">
        <w:rPr>
          <w:b/>
        </w:rPr>
        <w:t>Ms. Petrova</w:t>
      </w:r>
      <w:r>
        <w:t xml:space="preserve"> (</w:t>
      </w:r>
      <w:smartTag w:uri="urn:schemas-microsoft-com:office:smarttags" w:element="country-region">
        <w:smartTag w:uri="urn:schemas-microsoft-com:office:smarttags" w:element="place">
          <w:r>
            <w:t>Bulgaria</w:t>
          </w:r>
        </w:smartTag>
      </w:smartTag>
      <w:r>
        <w:t xml:space="preserve">) said that in 2010, </w:t>
      </w:r>
      <w:r w:rsidR="0048167A">
        <w:t>some</w:t>
      </w:r>
      <w:r>
        <w:t xml:space="preserve"> 10,000 persons had been</w:t>
      </w:r>
      <w:r w:rsidR="0048167A">
        <w:t xml:space="preserve"> placed on </w:t>
      </w:r>
      <w:r>
        <w:t xml:space="preserve">probation, </w:t>
      </w:r>
      <w:r w:rsidR="0048167A">
        <w:t>thus preventing worse overcrowding</w:t>
      </w:r>
      <w:r>
        <w:t xml:space="preserve"> in prisons</w:t>
      </w:r>
      <w:r w:rsidR="0048167A">
        <w:t>.</w:t>
      </w:r>
    </w:p>
    <w:p w:rsidR="006A4C7A" w:rsidRDefault="006A4C7A" w:rsidP="001620A2">
      <w:pPr>
        <w:pStyle w:val="SingleTxtG"/>
      </w:pPr>
      <w:r>
        <w:t>13.</w:t>
      </w:r>
      <w:r>
        <w:tab/>
        <w:t xml:space="preserve">Incommunicado detention of prisoners was a disciplinary measure </w:t>
      </w:r>
      <w:r w:rsidR="001620A2">
        <w:t xml:space="preserve">decided on by a court in cases where a prisoner </w:t>
      </w:r>
      <w:r>
        <w:t>posed</w:t>
      </w:r>
      <w:r w:rsidR="001620A2">
        <w:t xml:space="preserve"> a risk to the lives and safety of other detainees or prison staff</w:t>
      </w:r>
      <w:r>
        <w:t>,</w:t>
      </w:r>
      <w:r w:rsidR="001620A2">
        <w:t xml:space="preserve"> and could last from two weeks to two months. The conditions for incommunicado detention were </w:t>
      </w:r>
      <w:r>
        <w:t>determined</w:t>
      </w:r>
      <w:r w:rsidR="001620A2">
        <w:t xml:space="preserve"> by legislation</w:t>
      </w:r>
      <w:r>
        <w:t xml:space="preserve"> compliant with </w:t>
      </w:r>
      <w:r w:rsidR="001620A2">
        <w:t xml:space="preserve">international norms: </w:t>
      </w:r>
      <w:r>
        <w:t xml:space="preserve">those in such detention were separated from </w:t>
      </w:r>
      <w:r w:rsidR="001620A2">
        <w:t xml:space="preserve">other detainees but were not deprived of mail, physical exercise or </w:t>
      </w:r>
      <w:r w:rsidR="00F31B7E">
        <w:t>a</w:t>
      </w:r>
      <w:r w:rsidR="001620A2">
        <w:t xml:space="preserve"> daily walk.</w:t>
      </w:r>
      <w:r>
        <w:t xml:space="preserve"> </w:t>
      </w:r>
      <w:r w:rsidR="001620A2">
        <w:t xml:space="preserve">Incommunicado detention was, in practice, a measure rarely applied. </w:t>
      </w:r>
    </w:p>
    <w:p w:rsidR="001620A2" w:rsidRDefault="001620A2" w:rsidP="001620A2">
      <w:pPr>
        <w:pStyle w:val="SingleTxtG"/>
      </w:pPr>
      <w:r>
        <w:t>14.</w:t>
      </w:r>
      <w:r w:rsidR="006A4C7A">
        <w:tab/>
      </w:r>
      <w:r>
        <w:t>Manag</w:t>
      </w:r>
      <w:r w:rsidR="00D4734E">
        <w:t>ement of</w:t>
      </w:r>
      <w:r>
        <w:t xml:space="preserve"> prison staff was complicated and, </w:t>
      </w:r>
      <w:r w:rsidR="00D4734E">
        <w:t>owing to a dearth of</w:t>
      </w:r>
      <w:r>
        <w:t xml:space="preserve"> candidates, it was difficult to fill positions. With regard to</w:t>
      </w:r>
      <w:r w:rsidR="00D4734E">
        <w:t xml:space="preserve"> inter-prisoner </w:t>
      </w:r>
      <w:r>
        <w:t>violence, all incidents, including verbal abuse, were recorded by staff, which no doubt</w:t>
      </w:r>
      <w:r w:rsidR="00D4734E">
        <w:t xml:space="preserve"> </w:t>
      </w:r>
      <w:r>
        <w:t xml:space="preserve">explained the </w:t>
      </w:r>
      <w:r w:rsidR="00D4734E">
        <w:t xml:space="preserve">high figures published. Prison governors were required to justify </w:t>
      </w:r>
      <w:r>
        <w:t>the disciplinary measures they imposed.</w:t>
      </w:r>
    </w:p>
    <w:p w:rsidR="001620A2" w:rsidRDefault="001620A2" w:rsidP="001620A2">
      <w:pPr>
        <w:pStyle w:val="SingleTxtG"/>
      </w:pPr>
      <w:r>
        <w:t>15.</w:t>
      </w:r>
      <w:r w:rsidR="005002BB">
        <w:tab/>
      </w:r>
      <w:r w:rsidRPr="005002BB">
        <w:rPr>
          <w:b/>
        </w:rPr>
        <w:t>Ms. Makeva-Naydenova</w:t>
      </w:r>
      <w:r>
        <w:t xml:space="preserve"> (</w:t>
      </w:r>
      <w:smartTag w:uri="urn:schemas-microsoft-com:office:smarttags" w:element="country-region">
        <w:smartTag w:uri="urn:schemas-microsoft-com:office:smarttags" w:element="place">
          <w:r>
            <w:t>Bulgaria</w:t>
          </w:r>
        </w:smartTag>
      </w:smartTag>
      <w:r>
        <w:t>) said that metal bars had long been</w:t>
      </w:r>
      <w:r w:rsidR="005002BB">
        <w:t xml:space="preserve"> </w:t>
      </w:r>
      <w:r>
        <w:t xml:space="preserve">removed from police stations and it was </w:t>
      </w:r>
      <w:r w:rsidR="005002BB">
        <w:t xml:space="preserve">now </w:t>
      </w:r>
      <w:r>
        <w:t>illegal to handcuff</w:t>
      </w:r>
      <w:r w:rsidR="005002BB">
        <w:t xml:space="preserve"> </w:t>
      </w:r>
      <w:r>
        <w:t>prisoners to them.</w:t>
      </w:r>
    </w:p>
    <w:p w:rsidR="001620A2" w:rsidRDefault="001620A2" w:rsidP="001620A2">
      <w:pPr>
        <w:pStyle w:val="SingleTxtG"/>
      </w:pPr>
      <w:r>
        <w:t>16.</w:t>
      </w:r>
      <w:r w:rsidR="005002BB">
        <w:tab/>
      </w:r>
      <w:r>
        <w:t xml:space="preserve">The Ministry of the Interior had taken concrete steps against police misconduct by introducing a special system to record complaints of violence, making investigations obligatory and requiring that evidence collected during internal investigations </w:t>
      </w:r>
      <w:r w:rsidR="005002BB">
        <w:t xml:space="preserve">were </w:t>
      </w:r>
      <w:r>
        <w:t>transmitted to the prosecutor. Once an offence had been established, the perpetrators, and sometimes their immediate superiors,</w:t>
      </w:r>
      <w:r w:rsidR="005002BB">
        <w:t xml:space="preserve"> </w:t>
      </w:r>
      <w:r>
        <w:t>were penalized. Regarding</w:t>
      </w:r>
      <w:r w:rsidR="005002BB">
        <w:t xml:space="preserve"> the independence of</w:t>
      </w:r>
      <w:r>
        <w:t xml:space="preserve"> investigations, the Code of</w:t>
      </w:r>
      <w:r w:rsidR="005002BB">
        <w:t xml:space="preserve"> </w:t>
      </w:r>
      <w:r>
        <w:t>Criminal Procedure stipulated that accusations against police officers were to be investigated by magistrates and not by the police. All</w:t>
      </w:r>
      <w:r w:rsidR="005002BB">
        <w:t xml:space="preserve"> police officers received training in</w:t>
      </w:r>
      <w:r>
        <w:t xml:space="preserve"> </w:t>
      </w:r>
      <w:r w:rsidR="00746E2D">
        <w:t xml:space="preserve">the </w:t>
      </w:r>
      <w:r>
        <w:t>regulations governing the use of force and firearms</w:t>
      </w:r>
      <w:r w:rsidR="005002BB">
        <w:t>,</w:t>
      </w:r>
      <w:r>
        <w:t xml:space="preserve"> based</w:t>
      </w:r>
      <w:r w:rsidR="005002BB">
        <w:t xml:space="preserve"> </w:t>
      </w:r>
      <w:r>
        <w:t>on international standards. Primary and secondary legislation stipulated that police officers could</w:t>
      </w:r>
      <w:r w:rsidR="005002BB">
        <w:t xml:space="preserve"> </w:t>
      </w:r>
      <w:r>
        <w:t xml:space="preserve">use firearms </w:t>
      </w:r>
      <w:r w:rsidR="005002BB">
        <w:t xml:space="preserve">only </w:t>
      </w:r>
      <w:r>
        <w:t>in exceptional circumstances and as a last resort.</w:t>
      </w:r>
    </w:p>
    <w:p w:rsidR="005002BB" w:rsidRDefault="001620A2" w:rsidP="001620A2">
      <w:pPr>
        <w:pStyle w:val="SingleTxtG"/>
      </w:pPr>
      <w:r>
        <w:t>17.</w:t>
      </w:r>
      <w:r>
        <w:tab/>
      </w:r>
      <w:r w:rsidRPr="005002BB">
        <w:rPr>
          <w:b/>
        </w:rPr>
        <w:t>Mr. Tzantchev</w:t>
      </w:r>
      <w:r>
        <w:t xml:space="preserve"> (</w:t>
      </w:r>
      <w:smartTag w:uri="urn:schemas-microsoft-com:office:smarttags" w:element="country-region">
        <w:smartTag w:uri="urn:schemas-microsoft-com:office:smarttags" w:element="place">
          <w:r>
            <w:t>Bulgaria</w:t>
          </w:r>
        </w:smartTag>
      </w:smartTag>
      <w:r>
        <w:t>) said that training for new prison staff focused in</w:t>
      </w:r>
      <w:r w:rsidR="005002BB">
        <w:t xml:space="preserve"> </w:t>
      </w:r>
      <w:r>
        <w:t>particular on detecting signs of ill-treatment and drug use, and included the</w:t>
      </w:r>
      <w:r w:rsidR="005002BB">
        <w:t xml:space="preserve"> </w:t>
      </w:r>
      <w:r>
        <w:t>participation of doctors. In addition, any death of a prisoner was immediately</w:t>
      </w:r>
      <w:r w:rsidR="005002BB">
        <w:t xml:space="preserve"> </w:t>
      </w:r>
      <w:r>
        <w:t>brought to the attention of the prosecutor.</w:t>
      </w:r>
    </w:p>
    <w:p w:rsidR="001620A2" w:rsidRDefault="001620A2" w:rsidP="001620A2">
      <w:pPr>
        <w:pStyle w:val="SingleTxtG"/>
      </w:pPr>
      <w:r>
        <w:t>18.</w:t>
      </w:r>
      <w:r>
        <w:tab/>
      </w:r>
      <w:r w:rsidRPr="005002BB">
        <w:rPr>
          <w:b/>
        </w:rPr>
        <w:t>Mr. Petkov</w:t>
      </w:r>
      <w:r>
        <w:t xml:space="preserve"> (Bulgaria), referring to the accident at </w:t>
      </w:r>
      <w:r w:rsidR="005002BB">
        <w:t xml:space="preserve">Katunitsa that had cost a young man his life </w:t>
      </w:r>
      <w:r>
        <w:t>and given rise to hate speech, said that criminal</w:t>
      </w:r>
      <w:r w:rsidR="005002BB">
        <w:t xml:space="preserve"> </w:t>
      </w:r>
      <w:r>
        <w:t>proceedings were under way. A suspect was b</w:t>
      </w:r>
      <w:r w:rsidR="005002BB">
        <w:t xml:space="preserve">eing held and charges had been </w:t>
      </w:r>
      <w:r>
        <w:t xml:space="preserve">brought against him. Unfortunately, some people had tried to exploit the incident for political ends, but such attempts had been </w:t>
      </w:r>
      <w:r w:rsidR="005002BB">
        <w:t xml:space="preserve">categorically </w:t>
      </w:r>
      <w:r>
        <w:t xml:space="preserve">condemned by the Government and civil society. An inquiry had been opened to ensure that such violent excesses did not </w:t>
      </w:r>
      <w:r w:rsidR="005002BB">
        <w:t>re</w:t>
      </w:r>
      <w:r>
        <w:t>cur, particularly with regard to incitement to hatred, racial violence and ethnic intolerance. The scope of legislation on</w:t>
      </w:r>
      <w:r w:rsidR="005002BB">
        <w:t xml:space="preserve"> </w:t>
      </w:r>
      <w:r>
        <w:t xml:space="preserve">incitement to hatred had been expanded and the dissemination of speech </w:t>
      </w:r>
      <w:r w:rsidR="005002BB">
        <w:t xml:space="preserve">inciting </w:t>
      </w:r>
      <w:r>
        <w:t>hatred or discrimination, particularly through the media, was punishable by 1 to 4 years in prison and a minimum fine of equivalent</w:t>
      </w:r>
      <w:r w:rsidR="005002BB">
        <w:t xml:space="preserve"> to</w:t>
      </w:r>
      <w:r>
        <w:t xml:space="preserve"> €2,500. Several of the hundred or so people who had </w:t>
      </w:r>
      <w:r w:rsidR="005002BB">
        <w:t xml:space="preserve">demonstrated </w:t>
      </w:r>
      <w:r>
        <w:t>following the</w:t>
      </w:r>
      <w:r w:rsidR="005002BB">
        <w:t xml:space="preserve"> accident had been convicted </w:t>
      </w:r>
      <w:r>
        <w:t>and</w:t>
      </w:r>
      <w:r w:rsidR="005002BB">
        <w:t xml:space="preserve"> </w:t>
      </w:r>
      <w:r>
        <w:t>the police, while observing legal guarantees of the freedom of assembly and</w:t>
      </w:r>
      <w:r w:rsidR="005002BB">
        <w:t xml:space="preserve"> </w:t>
      </w:r>
      <w:r>
        <w:t>association, had intervened, notably among the Roma community, to prevent</w:t>
      </w:r>
      <w:r w:rsidR="005002BB">
        <w:t xml:space="preserve"> </w:t>
      </w:r>
      <w:r>
        <w:t>tensions from escalating. The Government had also launched a Roma integration</w:t>
      </w:r>
      <w:r w:rsidR="005002BB">
        <w:t xml:space="preserve"> </w:t>
      </w:r>
      <w:r>
        <w:t>framework</w:t>
      </w:r>
      <w:r w:rsidR="005002BB">
        <w:t xml:space="preserve"> plan</w:t>
      </w:r>
      <w:r>
        <w:t xml:space="preserve"> for 2010</w:t>
      </w:r>
      <w:r w:rsidR="005002BB">
        <w:t>–</w:t>
      </w:r>
      <w:r>
        <w:t xml:space="preserve">2020 </w:t>
      </w:r>
      <w:r w:rsidR="005002BB">
        <w:t>focusing</w:t>
      </w:r>
      <w:r>
        <w:t xml:space="preserve"> on education, health and housing.</w:t>
      </w:r>
    </w:p>
    <w:p w:rsidR="00A61D82" w:rsidRDefault="001620A2" w:rsidP="001620A2">
      <w:pPr>
        <w:pStyle w:val="SingleTxtG"/>
      </w:pPr>
      <w:r>
        <w:t>19.</w:t>
      </w:r>
      <w:r w:rsidR="005002BB">
        <w:tab/>
      </w:r>
      <w:r>
        <w:t xml:space="preserve">The </w:t>
      </w:r>
      <w:r w:rsidR="005002BB">
        <w:t>O</w:t>
      </w:r>
      <w:r>
        <w:t xml:space="preserve">mbudsman was elected by the National Assembly and </w:t>
      </w:r>
      <w:r w:rsidR="005002BB">
        <w:t xml:space="preserve">operated </w:t>
      </w:r>
      <w:r>
        <w:t>independently and in conformity with the Constitution, domestic legislation</w:t>
      </w:r>
      <w:r w:rsidR="005002BB">
        <w:t xml:space="preserve"> </w:t>
      </w:r>
      <w:r>
        <w:t xml:space="preserve">and the international treaties to which </w:t>
      </w:r>
      <w:smartTag w:uri="urn:schemas-microsoft-com:office:smarttags" w:element="country-region">
        <w:smartTag w:uri="urn:schemas-microsoft-com:office:smarttags" w:element="place">
          <w:r>
            <w:t>Bulgaria</w:t>
          </w:r>
        </w:smartTag>
      </w:smartTag>
      <w:r>
        <w:t xml:space="preserve"> was party. </w:t>
      </w:r>
      <w:r w:rsidR="005002BB">
        <w:t xml:space="preserve">The Office of the Ombudsman was responsible for </w:t>
      </w:r>
      <w:r>
        <w:t xml:space="preserve">protecting the best interests of the child, monitoring </w:t>
      </w:r>
      <w:r w:rsidR="005002BB">
        <w:t xml:space="preserve">respect for </w:t>
      </w:r>
      <w:r>
        <w:t>fundamental rights and offering certain groups protection from intolerance and</w:t>
      </w:r>
      <w:r w:rsidR="005002BB">
        <w:t xml:space="preserve"> </w:t>
      </w:r>
      <w:r>
        <w:t xml:space="preserve">discrimination. </w:t>
      </w:r>
      <w:r w:rsidR="005002BB">
        <w:t xml:space="preserve">It could also appeal to the </w:t>
      </w:r>
      <w:smartTag w:uri="urn:schemas-microsoft-com:office:smarttags" w:element="Street">
        <w:smartTag w:uri="urn:schemas-microsoft-com:office:smarttags" w:element="address">
          <w:r w:rsidR="005002BB">
            <w:t>Constitutional Court</w:t>
          </w:r>
        </w:smartTag>
      </w:smartTag>
      <w:r w:rsidR="005002BB">
        <w:t xml:space="preserve"> and visit </w:t>
      </w:r>
      <w:r w:rsidR="00A61D82">
        <w:t xml:space="preserve">places of </w:t>
      </w:r>
      <w:r>
        <w:t xml:space="preserve">detention. </w:t>
      </w:r>
      <w:r w:rsidR="00A61D82">
        <w:t>Having filed a</w:t>
      </w:r>
      <w:r>
        <w:t xml:space="preserve"> request for accreditation as a national human rights institution in accordance with the Paris Principles</w:t>
      </w:r>
      <w:r w:rsidR="00A61D82">
        <w:t>,</w:t>
      </w:r>
      <w:r>
        <w:t xml:space="preserve"> </w:t>
      </w:r>
      <w:r w:rsidR="00A61D82">
        <w:t>the Office was a</w:t>
      </w:r>
      <w:r>
        <w:t>waiting the decision of</w:t>
      </w:r>
      <w:r w:rsidR="00A61D82">
        <w:t xml:space="preserve"> </w:t>
      </w:r>
      <w:r>
        <w:t xml:space="preserve">the International Coordinating Committee of National Human Rights Institutions. </w:t>
      </w:r>
    </w:p>
    <w:p w:rsidR="001620A2" w:rsidRDefault="00A61D82" w:rsidP="001620A2">
      <w:pPr>
        <w:pStyle w:val="SingleTxtG"/>
      </w:pPr>
      <w:r>
        <w:t>20.</w:t>
      </w:r>
      <w:r>
        <w:tab/>
      </w:r>
      <w:r w:rsidR="001620A2" w:rsidRPr="00A61D82">
        <w:rPr>
          <w:b/>
        </w:rPr>
        <w:t>Mr. Petrov</w:t>
      </w:r>
      <w:r w:rsidR="001620A2">
        <w:t xml:space="preserve"> (</w:t>
      </w:r>
      <w:smartTag w:uri="urn:schemas-microsoft-com:office:smarttags" w:element="place">
        <w:smartTag w:uri="urn:schemas-microsoft-com:office:smarttags" w:element="country-region">
          <w:r w:rsidR="001620A2">
            <w:t>Bulgaria</w:t>
          </w:r>
        </w:smartTag>
      </w:smartTag>
      <w:r w:rsidR="001620A2">
        <w:t xml:space="preserve">) </w:t>
      </w:r>
      <w:r w:rsidR="00247485">
        <w:t xml:space="preserve">said that he would attempt to provide </w:t>
      </w:r>
      <w:r w:rsidR="001620A2">
        <w:t>an insight into the structure o</w:t>
      </w:r>
      <w:r w:rsidR="00247485">
        <w:t>f</w:t>
      </w:r>
      <w:r w:rsidR="001620A2">
        <w:t xml:space="preserve"> the Bulgarian judicial system</w:t>
      </w:r>
      <w:r w:rsidR="00247485">
        <w:t xml:space="preserve">. Its </w:t>
      </w:r>
      <w:r w:rsidR="001620A2">
        <w:t>independence had been strengthened, particularly by the</w:t>
      </w:r>
      <w:r w:rsidR="00247485">
        <w:t xml:space="preserve"> establishment </w:t>
      </w:r>
      <w:r w:rsidR="001620A2">
        <w:t>in 2007 of the Inspectorate of the Supreme Judicial Council</w:t>
      </w:r>
      <w:r w:rsidR="00247485">
        <w:t>,</w:t>
      </w:r>
      <w:r w:rsidR="001620A2">
        <w:t xml:space="preserve"> mandated to monitor magistrates</w:t>
      </w:r>
      <w:r w:rsidR="00746E2D">
        <w:t>’</w:t>
      </w:r>
      <w:r w:rsidR="001620A2">
        <w:t xml:space="preserve"> performance without </w:t>
      </w:r>
      <w:r w:rsidR="00247485">
        <w:t xml:space="preserve">affecting </w:t>
      </w:r>
      <w:r w:rsidR="001620A2">
        <w:t xml:space="preserve">their independence. The </w:t>
      </w:r>
      <w:r w:rsidR="00247485">
        <w:t>I</w:t>
      </w:r>
      <w:r w:rsidR="001620A2">
        <w:t>nspectorate acted on its own initiative or at the request of citizens or the authorities, rendering it a valuable tool for civil society.</w:t>
      </w:r>
    </w:p>
    <w:p w:rsidR="001620A2" w:rsidRDefault="001620A2" w:rsidP="001620A2">
      <w:pPr>
        <w:pStyle w:val="SingleTxtG"/>
      </w:pPr>
      <w:r>
        <w:t>21.</w:t>
      </w:r>
      <w:r w:rsidR="00247485">
        <w:tab/>
      </w:r>
      <w:r>
        <w:t>Magistrates, judges and prosecutors were not immune from justice; they</w:t>
      </w:r>
      <w:r w:rsidR="00247485">
        <w:t xml:space="preserve"> </w:t>
      </w:r>
      <w:r>
        <w:t xml:space="preserve">could be charged for offences without the approval of the Supreme Judicial Council or the National Assembly. </w:t>
      </w:r>
      <w:r w:rsidR="00247485">
        <w:t>Apart from</w:t>
      </w:r>
      <w:r>
        <w:t xml:space="preserve"> the establishment of the Inspectorate, </w:t>
      </w:r>
      <w:r w:rsidR="00247485">
        <w:t>worthy of note was the strengthening in 2008 of</w:t>
      </w:r>
      <w:r>
        <w:t xml:space="preserve"> the powers of the Ministry of</w:t>
      </w:r>
      <w:r w:rsidR="00247485">
        <w:t xml:space="preserve"> </w:t>
      </w:r>
      <w:r>
        <w:t>Justice</w:t>
      </w:r>
      <w:r w:rsidR="00247485">
        <w:t xml:space="preserve">, </w:t>
      </w:r>
      <w:r>
        <w:t xml:space="preserve">which had from </w:t>
      </w:r>
      <w:r w:rsidR="00247485">
        <w:t>then on</w:t>
      </w:r>
      <w:r>
        <w:t xml:space="preserve"> administered the budget and managed</w:t>
      </w:r>
      <w:r w:rsidR="00764F85">
        <w:t xml:space="preserve"> </w:t>
      </w:r>
      <w:r>
        <w:t>the judicia</w:t>
      </w:r>
      <w:r w:rsidR="00764F85">
        <w:t>ry</w:t>
      </w:r>
      <w:r w:rsidR="00746E2D">
        <w:t>’</w:t>
      </w:r>
      <w:r w:rsidR="00764F85">
        <w:t>s</w:t>
      </w:r>
      <w:r>
        <w:t xml:space="preserve"> assets, and could </w:t>
      </w:r>
      <w:r w:rsidR="00764F85">
        <w:t xml:space="preserve">propose the </w:t>
      </w:r>
      <w:r>
        <w:t>appointment, promotion or dismissal</w:t>
      </w:r>
      <w:r w:rsidR="00764F85">
        <w:t xml:space="preserve"> of magistrates</w:t>
      </w:r>
      <w:r>
        <w:t>. In 2011, the most recent amendment to the</w:t>
      </w:r>
      <w:r w:rsidR="007816B3">
        <w:t xml:space="preserve"> </w:t>
      </w:r>
      <w:r>
        <w:t>Judiciary Act</w:t>
      </w:r>
      <w:r w:rsidR="007816B3">
        <w:t xml:space="preserve"> </w:t>
      </w:r>
      <w:r>
        <w:t>had established the principle of open recruitment and competitive</w:t>
      </w:r>
      <w:r w:rsidR="007816B3">
        <w:t xml:space="preserve"> </w:t>
      </w:r>
      <w:r>
        <w:t xml:space="preserve">promotion; any lawyer could submit an application, which was assessed by </w:t>
      </w:r>
      <w:r w:rsidR="007816B3">
        <w:t xml:space="preserve">a </w:t>
      </w:r>
      <w:r>
        <w:t>committee before being forwarded to the Supreme Judicial Council. Furthermore,</w:t>
      </w:r>
      <w:r w:rsidR="007816B3">
        <w:t xml:space="preserve"> </w:t>
      </w:r>
      <w:r>
        <w:t xml:space="preserve">all the </w:t>
      </w:r>
      <w:r w:rsidR="007816B3">
        <w:t>C</w:t>
      </w:r>
      <w:r>
        <w:t>ouncil</w:t>
      </w:r>
      <w:r w:rsidR="00746E2D">
        <w:t>’</w:t>
      </w:r>
      <w:r>
        <w:t xml:space="preserve">s decisions were subject to effective checks by the </w:t>
      </w:r>
      <w:smartTag w:uri="urn:schemas-microsoft-com:office:smarttags" w:element="Street">
        <w:smartTag w:uri="urn:schemas-microsoft-com:office:smarttags" w:element="address">
          <w:r>
            <w:t>Supreme</w:t>
          </w:r>
          <w:r w:rsidR="007816B3">
            <w:t xml:space="preserve"> </w:t>
          </w:r>
          <w:r>
            <w:t>Administrative Court</w:t>
          </w:r>
        </w:smartTag>
      </w:smartTag>
      <w:r>
        <w:t>.</w:t>
      </w:r>
    </w:p>
    <w:p w:rsidR="001620A2" w:rsidRDefault="001620A2" w:rsidP="001620A2">
      <w:pPr>
        <w:pStyle w:val="SingleTxtG"/>
      </w:pPr>
      <w:r>
        <w:t>22.</w:t>
      </w:r>
      <w:r w:rsidR="00163133">
        <w:tab/>
      </w:r>
      <w:r>
        <w:t>Regarding the admissibility of confessions obtained through torture, article</w:t>
      </w:r>
      <w:r w:rsidR="00B172C1">
        <w:t xml:space="preserve"> </w:t>
      </w:r>
      <w:r>
        <w:t>116 of the Code of Criminal Procedure stipulated that neither charges nor</w:t>
      </w:r>
      <w:r w:rsidR="00B172C1">
        <w:t xml:space="preserve"> </w:t>
      </w:r>
      <w:r>
        <w:t xml:space="preserve">convictions could be based on the statements of the defendant alone. Despite the absence of statistics, </w:t>
      </w:r>
      <w:r w:rsidR="00B172C1">
        <w:t>it was a fact</w:t>
      </w:r>
      <w:r>
        <w:t xml:space="preserve"> that the Bulgarian courts observed</w:t>
      </w:r>
      <w:r w:rsidR="00B172C1">
        <w:t xml:space="preserve"> </w:t>
      </w:r>
      <w:r>
        <w:t>article 15 of the Convention. Indeed, the Supreme Court had acquitted a former</w:t>
      </w:r>
      <w:r w:rsidR="00B172C1">
        <w:t xml:space="preserve"> </w:t>
      </w:r>
      <w:r>
        <w:t>Prime Minister accused of conspiracy at the end of the 1990s</w:t>
      </w:r>
      <w:r w:rsidR="00B172C1">
        <w:t>,</w:t>
      </w:r>
      <w:r>
        <w:t xml:space="preserve"> once it</w:t>
      </w:r>
      <w:r w:rsidR="00B172C1">
        <w:t xml:space="preserve"> had been established that he had been the victim of violence on the premises of the Ministry of the Interior.</w:t>
      </w:r>
    </w:p>
    <w:p w:rsidR="00B64B1F" w:rsidRDefault="001620A2" w:rsidP="001620A2">
      <w:pPr>
        <w:pStyle w:val="SingleTxtG"/>
      </w:pPr>
      <w:r>
        <w:t>23</w:t>
      </w:r>
      <w:r w:rsidR="00B172C1">
        <w:t>.</w:t>
      </w:r>
      <w:r w:rsidR="00B172C1">
        <w:tab/>
      </w:r>
      <w:r w:rsidRPr="00B172C1">
        <w:rPr>
          <w:b/>
        </w:rPr>
        <w:t>Ms. Makeva-Naydenova</w:t>
      </w:r>
      <w:r>
        <w:t xml:space="preserve"> </w:t>
      </w:r>
      <w:r w:rsidR="00B172C1">
        <w:t>(</w:t>
      </w:r>
      <w:smartTag w:uri="urn:schemas-microsoft-com:office:smarttags" w:element="country-region">
        <w:smartTag w:uri="urn:schemas-microsoft-com:office:smarttags" w:element="place">
          <w:r>
            <w:t>Bulgaria</w:t>
          </w:r>
        </w:smartTag>
      </w:smartTag>
      <w:r>
        <w:t>) said that the 2005 Protection</w:t>
      </w:r>
      <w:r w:rsidR="00B172C1">
        <w:t xml:space="preserve"> </w:t>
      </w:r>
      <w:r>
        <w:t xml:space="preserve">against Domestic Violence </w:t>
      </w:r>
      <w:r w:rsidR="00B172C1">
        <w:t xml:space="preserve">Act </w:t>
      </w:r>
      <w:r>
        <w:t xml:space="preserve">fully conformed to all relevant and applicable international norms and had </w:t>
      </w:r>
      <w:r w:rsidR="00B172C1">
        <w:t>made for significant advances, notably owing</w:t>
      </w:r>
      <w:r>
        <w:t xml:space="preserve"> to the</w:t>
      </w:r>
      <w:r w:rsidR="00B172C1">
        <w:t xml:space="preserve"> </w:t>
      </w:r>
      <w:r>
        <w:t>reversal of the burden of proof in favour of the victim and the recognition of all</w:t>
      </w:r>
      <w:r w:rsidR="00B172C1">
        <w:t xml:space="preserve"> </w:t>
      </w:r>
      <w:r>
        <w:t xml:space="preserve">forms of domestic abuse, including psychological abuse. In 2009, the </w:t>
      </w:r>
      <w:r w:rsidR="00B172C1">
        <w:t>Act had been</w:t>
      </w:r>
      <w:r>
        <w:t xml:space="preserve"> amended to establish the offence of emotional abuse, particularly </w:t>
      </w:r>
      <w:r w:rsidR="00B172C1">
        <w:t xml:space="preserve">as </w:t>
      </w:r>
      <w:r>
        <w:t>perpetrated against children within the family. Each court held a special register in which</w:t>
      </w:r>
      <w:r w:rsidR="00975BD1">
        <w:t xml:space="preserve"> </w:t>
      </w:r>
      <w:r>
        <w:t xml:space="preserve">all cases of domestic abuse were recorded. In 2009, </w:t>
      </w:r>
      <w:r w:rsidR="00B172C1">
        <w:t xml:space="preserve">the courts had issued </w:t>
      </w:r>
      <w:r>
        <w:t xml:space="preserve">1,271 protection orders, </w:t>
      </w:r>
      <w:r w:rsidR="00B172C1">
        <w:t>lasting</w:t>
      </w:r>
      <w:r>
        <w:t xml:space="preserve"> from 3 to 18 months, compared</w:t>
      </w:r>
      <w:r w:rsidR="00B172C1">
        <w:t xml:space="preserve"> </w:t>
      </w:r>
      <w:r>
        <w:t xml:space="preserve">to 1,408 in 2010. The </w:t>
      </w:r>
      <w:r w:rsidR="00B172C1">
        <w:t xml:space="preserve">Act </w:t>
      </w:r>
      <w:r>
        <w:t>stipulated that a protection order could be awarded on</w:t>
      </w:r>
      <w:r w:rsidR="00B172C1">
        <w:t xml:space="preserve"> </w:t>
      </w:r>
      <w:r>
        <w:t>the sole basis of a victim</w:t>
      </w:r>
      <w:r w:rsidR="00746E2D">
        <w:t>’</w:t>
      </w:r>
      <w:r>
        <w:t xml:space="preserve">s statement, without </w:t>
      </w:r>
      <w:r w:rsidR="00B172C1">
        <w:t>need of</w:t>
      </w:r>
      <w:r>
        <w:t xml:space="preserve"> further proof.</w:t>
      </w:r>
    </w:p>
    <w:p w:rsidR="0047095F" w:rsidRDefault="0047095F" w:rsidP="0047095F">
      <w:pPr>
        <w:pStyle w:val="SingleTxtG"/>
      </w:pPr>
      <w:r w:rsidRPr="00CD0CDD">
        <w:t>24.</w:t>
      </w:r>
      <w:r>
        <w:tab/>
      </w:r>
      <w:r w:rsidRPr="00CD0CDD">
        <w:rPr>
          <w:b/>
        </w:rPr>
        <w:t>Ms. Nikolova</w:t>
      </w:r>
      <w:r>
        <w:rPr>
          <w:b/>
        </w:rPr>
        <w:t xml:space="preserve"> </w:t>
      </w:r>
      <w:r w:rsidRPr="00CD0CDD">
        <w:t>(</w:t>
      </w:r>
      <w:smartTag w:uri="urn:schemas-microsoft-com:office:smarttags" w:element="place">
        <w:smartTag w:uri="urn:schemas-microsoft-com:office:smarttags" w:element="country-region">
          <w:r w:rsidRPr="00CD0CDD">
            <w:t>Bulgaria</w:t>
          </w:r>
        </w:smartTag>
      </w:smartTag>
      <w:r w:rsidRPr="00CD0CDD">
        <w:t xml:space="preserve">) said that the </w:t>
      </w:r>
      <w:r>
        <w:t>a</w:t>
      </w:r>
      <w:r w:rsidRPr="00CD0CDD">
        <w:t xml:space="preserve">ction </w:t>
      </w:r>
      <w:r>
        <w:t>pl</w:t>
      </w:r>
      <w:r w:rsidRPr="00CD0CDD">
        <w:t>an</w:t>
      </w:r>
      <w:r>
        <w:t>,</w:t>
      </w:r>
      <w:r w:rsidRPr="00CD0CDD">
        <w:t xml:space="preserve"> fo</w:t>
      </w:r>
      <w:r>
        <w:t xml:space="preserve">r Vision </w:t>
      </w:r>
      <w:r w:rsidRPr="00CD0CDD">
        <w:t>Children</w:t>
      </w:r>
      <w:r w:rsidR="00746E2D">
        <w:t>’</w:t>
      </w:r>
      <w:r w:rsidRPr="00CD0CDD">
        <w:t>s</w:t>
      </w:r>
      <w:r>
        <w:t xml:space="preserve"> </w:t>
      </w:r>
      <w:r w:rsidRPr="00CD0CDD">
        <w:t>Deinstitutionalization</w:t>
      </w:r>
      <w:r>
        <w:t>,</w:t>
      </w:r>
      <w:r w:rsidRPr="00CD0CDD">
        <w:t xml:space="preserve"> was based on a new approach to child placement and to children</w:t>
      </w:r>
      <w:r w:rsidR="00746E2D">
        <w:t>’</w:t>
      </w:r>
      <w:r w:rsidRPr="00CD0CDD">
        <w:t xml:space="preserve">s care and services. </w:t>
      </w:r>
      <w:smartTag w:uri="urn:schemas-microsoft-com:office:smarttags" w:element="place">
        <w:smartTag w:uri="urn:schemas-microsoft-com:office:smarttags" w:element="country-region">
          <w:r w:rsidRPr="00CD0CDD">
            <w:t>Bulgaria</w:t>
          </w:r>
        </w:smartTag>
      </w:smartTag>
      <w:r w:rsidRPr="00CD0CDD">
        <w:t xml:space="preserve"> would </w:t>
      </w:r>
      <w:r>
        <w:t xml:space="preserve">endeavour </w:t>
      </w:r>
      <w:r w:rsidRPr="00CD0CDD">
        <w:t>in future to favour family-</w:t>
      </w:r>
      <w:r>
        <w:t xml:space="preserve">type </w:t>
      </w:r>
      <w:r w:rsidRPr="00CD0CDD">
        <w:t xml:space="preserve">environments when placing children, </w:t>
      </w:r>
      <w:r>
        <w:t xml:space="preserve">focusing on </w:t>
      </w:r>
      <w:r w:rsidRPr="00CD0CDD">
        <w:t>i</w:t>
      </w:r>
      <w:r>
        <w:t>n</w:t>
      </w:r>
      <w:r w:rsidRPr="00CD0CDD">
        <w:t>dividual evaluation of</w:t>
      </w:r>
      <w:r>
        <w:t xml:space="preserve"> </w:t>
      </w:r>
      <w:r w:rsidRPr="00CD0CDD">
        <w:t>children</w:t>
      </w:r>
      <w:r w:rsidR="00746E2D">
        <w:t>’</w:t>
      </w:r>
      <w:r w:rsidRPr="00CD0CDD">
        <w:t>s needs and helping them to integrate into society in adulthood. The first</w:t>
      </w:r>
      <w:r>
        <w:t xml:space="preserve"> </w:t>
      </w:r>
      <w:r w:rsidRPr="00CD0CDD">
        <w:t>project implemented under the action plan focused on placing children with</w:t>
      </w:r>
      <w:r>
        <w:t xml:space="preserve"> </w:t>
      </w:r>
      <w:r w:rsidRPr="00CD0CDD">
        <w:t>disabilities in foster families, whereas before they had been systematically</w:t>
      </w:r>
      <w:r>
        <w:t xml:space="preserve"> </w:t>
      </w:r>
      <w:r w:rsidRPr="00CD0CDD">
        <w:t xml:space="preserve">placed in institutions. </w:t>
      </w:r>
      <w:smartTag w:uri="urn:schemas-microsoft-com:office:smarttags" w:element="country-region">
        <w:smartTag w:uri="urn:schemas-microsoft-com:office:smarttags" w:element="place">
          <w:r w:rsidRPr="00CD0CDD">
            <w:t>Bulgaria</w:t>
          </w:r>
        </w:smartTag>
      </w:smartTag>
      <w:r w:rsidRPr="00CD0CDD">
        <w:t xml:space="preserve"> also aimed to place the great majority of children with disabilities in larger cities, where they would </w:t>
      </w:r>
      <w:r>
        <w:t xml:space="preserve">have </w:t>
      </w:r>
      <w:r w:rsidRPr="00CD0CDD">
        <w:t xml:space="preserve">better access </w:t>
      </w:r>
      <w:r>
        <w:t>to high</w:t>
      </w:r>
      <w:r w:rsidR="00746E2D">
        <w:t>-</w:t>
      </w:r>
      <w:r>
        <w:t>q</w:t>
      </w:r>
      <w:r w:rsidRPr="00CD0CDD">
        <w:t>uality</w:t>
      </w:r>
      <w:r>
        <w:t xml:space="preserve"> </w:t>
      </w:r>
      <w:r w:rsidRPr="00CD0CDD">
        <w:t>care and services.</w:t>
      </w:r>
    </w:p>
    <w:p w:rsidR="0047095F" w:rsidRDefault="0047095F" w:rsidP="0047095F">
      <w:pPr>
        <w:pStyle w:val="SingleTxtG"/>
      </w:pPr>
      <w:r w:rsidRPr="00CD0CDD">
        <w:t>25.</w:t>
      </w:r>
      <w:r>
        <w:tab/>
      </w:r>
      <w:r w:rsidRPr="00CD0CDD">
        <w:rPr>
          <w:b/>
        </w:rPr>
        <w:t>Ms. Andreeva</w:t>
      </w:r>
      <w:r>
        <w:rPr>
          <w:b/>
        </w:rPr>
        <w:t xml:space="preserve"> </w:t>
      </w:r>
      <w:r w:rsidRPr="00CD0CDD">
        <w:t>(Bulgaria) said that the National Strategy on Migration, Asylum and Integration 2011</w:t>
      </w:r>
      <w:r>
        <w:t>–</w:t>
      </w:r>
      <w:r w:rsidRPr="00CD0CDD">
        <w:t xml:space="preserve">2020 aimed </w:t>
      </w:r>
      <w:r>
        <w:t xml:space="preserve">to </w:t>
      </w:r>
      <w:r w:rsidRPr="00CD0CDD">
        <w:t>strengthen</w:t>
      </w:r>
      <w:r>
        <w:t xml:space="preserve"> </w:t>
      </w:r>
      <w:r w:rsidRPr="00CD0CDD">
        <w:t>cooperation</w:t>
      </w:r>
      <w:r>
        <w:t xml:space="preserve"> </w:t>
      </w:r>
      <w:r w:rsidRPr="00CD0CDD">
        <w:t>between the State Agency for Refugees, the Ministry of Foreign Affairs and the</w:t>
      </w:r>
      <w:r>
        <w:t xml:space="preserve"> </w:t>
      </w:r>
      <w:r w:rsidRPr="00CD0CDD">
        <w:t>Border Police in order to accelerate the processing of asylum applications,</w:t>
      </w:r>
      <w:r>
        <w:t xml:space="preserve"> </w:t>
      </w:r>
      <w:r w:rsidRPr="00CD0CDD">
        <w:t xml:space="preserve">introduce more transparent asylum procedures and </w:t>
      </w:r>
      <w:r>
        <w:t>put</w:t>
      </w:r>
      <w:r w:rsidRPr="00CD0CDD">
        <w:t xml:space="preserve"> an end to the detention of</w:t>
      </w:r>
      <w:r>
        <w:t xml:space="preserve"> </w:t>
      </w:r>
      <w:r w:rsidRPr="00CD0CDD">
        <w:t>asylum seekers in closed centres. She emphasized that all asylum seekers</w:t>
      </w:r>
      <w:r>
        <w:t xml:space="preserve"> received </w:t>
      </w:r>
      <w:r w:rsidRPr="00CD0CDD">
        <w:t>the same medical care and</w:t>
      </w:r>
      <w:r>
        <w:t xml:space="preserve"> had access to the same </w:t>
      </w:r>
      <w:r w:rsidRPr="00CD0CDD">
        <w:t>social services as Bulgarian citizens.</w:t>
      </w:r>
      <w:r>
        <w:t xml:space="preserve"> C</w:t>
      </w:r>
      <w:r w:rsidRPr="00CD0CDD">
        <w:t>ontrary to the allegations transmitted to Committee members, the State had not</w:t>
      </w:r>
      <w:r>
        <w:t xml:space="preserve"> </w:t>
      </w:r>
      <w:r w:rsidRPr="00CD0CDD">
        <w:t>suspended free legal aid for asylum seekers.</w:t>
      </w:r>
      <w:r>
        <w:t xml:space="preserve"> </w:t>
      </w:r>
    </w:p>
    <w:p w:rsidR="0047095F" w:rsidRDefault="0047095F" w:rsidP="0047095F">
      <w:pPr>
        <w:pStyle w:val="SingleTxtG"/>
      </w:pPr>
      <w:r w:rsidRPr="00CD0CDD">
        <w:t>26.</w:t>
      </w:r>
      <w:r>
        <w:tab/>
      </w:r>
      <w:r w:rsidRPr="00625D5D">
        <w:rPr>
          <w:b/>
        </w:rPr>
        <w:t xml:space="preserve">Ms. Kleopas </w:t>
      </w:r>
      <w:r w:rsidRPr="00CD0CDD">
        <w:t xml:space="preserve">(Country Rapporteur) said that she was not satisfied </w:t>
      </w:r>
      <w:r>
        <w:t>with the delegation</w:t>
      </w:r>
      <w:r w:rsidR="00746E2D">
        <w:t>’</w:t>
      </w:r>
      <w:r>
        <w:t xml:space="preserve">s explanations of the definition of torture and considered it essential for the State party to include the offence of torture in its criminal law. She requested further information on the new regulations on police use of firearms; </w:t>
      </w:r>
      <w:r w:rsidRPr="00CD0CDD">
        <w:t xml:space="preserve">the proceedings </w:t>
      </w:r>
      <w:r>
        <w:t xml:space="preserve">initiated </w:t>
      </w:r>
      <w:r w:rsidRPr="00CD0CDD">
        <w:t xml:space="preserve">and sanctions </w:t>
      </w:r>
      <w:r>
        <w:t xml:space="preserve">imposed on </w:t>
      </w:r>
      <w:r w:rsidRPr="00CD0CDD">
        <w:t xml:space="preserve">police officers </w:t>
      </w:r>
      <w:r>
        <w:t xml:space="preserve">for </w:t>
      </w:r>
      <w:r w:rsidRPr="00CD0CDD">
        <w:t>use</w:t>
      </w:r>
      <w:r>
        <w:t xml:space="preserve"> of </w:t>
      </w:r>
      <w:r w:rsidRPr="00CD0CDD">
        <w:t>excessive force, and the measures of redress</w:t>
      </w:r>
      <w:r>
        <w:t xml:space="preserve"> </w:t>
      </w:r>
      <w:r w:rsidRPr="00CD0CDD">
        <w:t>and compensation offered to victims; and the training given to investiga</w:t>
      </w:r>
      <w:r>
        <w:t>tors of</w:t>
      </w:r>
      <w:r w:rsidRPr="00CD0CDD">
        <w:t xml:space="preserve"> cases of torture and ill-treatment, </w:t>
      </w:r>
      <w:r>
        <w:t xml:space="preserve">particularly in the </w:t>
      </w:r>
      <w:r w:rsidRPr="00CD0CDD">
        <w:t xml:space="preserve">Istanbul Protocol. She </w:t>
      </w:r>
      <w:r>
        <w:t xml:space="preserve">would like to have statistics on </w:t>
      </w:r>
      <w:r w:rsidRPr="00CD0CDD">
        <w:t xml:space="preserve">investigations held, prosecutions brought and penalties </w:t>
      </w:r>
      <w:r>
        <w:t xml:space="preserve">imposed </w:t>
      </w:r>
      <w:r w:rsidRPr="00CD0CDD">
        <w:t>in cases of domestic violence. Information available</w:t>
      </w:r>
      <w:r>
        <w:t xml:space="preserve"> </w:t>
      </w:r>
      <w:r w:rsidRPr="00CD0CDD">
        <w:t>to the Committee alleged that criminal proceedings could</w:t>
      </w:r>
      <w:r>
        <w:t xml:space="preserve"> </w:t>
      </w:r>
      <w:r w:rsidRPr="00CD0CDD">
        <w:t>be launched onl</w:t>
      </w:r>
      <w:r>
        <w:t>y</w:t>
      </w:r>
      <w:r w:rsidRPr="00CD0CDD">
        <w:t xml:space="preserve"> on the</w:t>
      </w:r>
      <w:r>
        <w:t xml:space="preserve"> </w:t>
      </w:r>
      <w:r w:rsidRPr="00CD0CDD">
        <w:t>basis of an official complaint from the victim,</w:t>
      </w:r>
      <w:r>
        <w:t xml:space="preserve"> a </w:t>
      </w:r>
      <w:r w:rsidRPr="00CD0CDD">
        <w:t xml:space="preserve">practice which did not </w:t>
      </w:r>
      <w:r>
        <w:t xml:space="preserve">conform to </w:t>
      </w:r>
      <w:r w:rsidRPr="00CD0CDD">
        <w:t>article 12 of the Convention. She drew attention to the conclusions of the Special Rapporteur on the independence of judges and lawyers</w:t>
      </w:r>
      <w:r>
        <w:t xml:space="preserve">, after visiting </w:t>
      </w:r>
      <w:smartTag w:uri="urn:schemas-microsoft-com:office:smarttags" w:element="place">
        <w:smartTag w:uri="urn:schemas-microsoft-com:office:smarttags" w:element="country-region">
          <w:r>
            <w:t>Bulgaria</w:t>
          </w:r>
        </w:smartTag>
      </w:smartTag>
      <w:r>
        <w:t xml:space="preserve"> from 9 to 16 May 2011 (</w:t>
      </w:r>
      <w:r w:rsidRPr="00526F56">
        <w:t>http://www.ohchr.org/en/NewsEvents/Pages/DisplayNews.aspx?</w:t>
      </w:r>
      <w:r>
        <w:t xml:space="preserve"> </w:t>
      </w:r>
      <w:r w:rsidRPr="00526F56">
        <w:t>NewsID=11020&amp;LangID=E</w:t>
      </w:r>
      <w:r>
        <w:t>),</w:t>
      </w:r>
      <w:r w:rsidRPr="00CD0CDD">
        <w:t xml:space="preserve"> regarding the judiciary</w:t>
      </w:r>
      <w:r w:rsidR="00746E2D">
        <w:t>’</w:t>
      </w:r>
      <w:r w:rsidRPr="00CD0CDD">
        <w:t>s lack of independence and the inadequacy of</w:t>
      </w:r>
      <w:r>
        <w:t xml:space="preserve"> </w:t>
      </w:r>
      <w:r w:rsidRPr="00CD0CDD">
        <w:t>the financial and human resources allocated to legal aid</w:t>
      </w:r>
      <w:r>
        <w:t>,</w:t>
      </w:r>
      <w:r w:rsidRPr="00CD0CDD">
        <w:t xml:space="preserve"> and invited the Bulgarian delegation to </w:t>
      </w:r>
      <w:r>
        <w:t>comment on</w:t>
      </w:r>
      <w:r w:rsidRPr="00CD0CDD">
        <w:t xml:space="preserve"> those conclusions. She</w:t>
      </w:r>
      <w:r>
        <w:t xml:space="preserve"> wished to know what</w:t>
      </w:r>
      <w:r w:rsidRPr="00CD0CDD">
        <w:t xml:space="preserve"> follow-up action was </w:t>
      </w:r>
      <w:r>
        <w:t xml:space="preserve">being </w:t>
      </w:r>
      <w:r w:rsidRPr="00CD0CDD">
        <w:t xml:space="preserve">taken </w:t>
      </w:r>
      <w:r>
        <w:t xml:space="preserve">on </w:t>
      </w:r>
      <w:r w:rsidRPr="00CD0CDD">
        <w:t xml:space="preserve">recommendations by the European Commission against Racism and Intolerance that </w:t>
      </w:r>
      <w:smartTag w:uri="urn:schemas-microsoft-com:office:smarttags" w:element="place">
        <w:smartTag w:uri="urn:schemas-microsoft-com:office:smarttags" w:element="country-region">
          <w:r w:rsidRPr="00CD0CDD">
            <w:t>Bulgaria</w:t>
          </w:r>
        </w:smartTag>
      </w:smartTag>
      <w:r w:rsidRPr="00CD0CDD">
        <w:t xml:space="preserve"> should prosecute and penalize </w:t>
      </w:r>
      <w:r>
        <w:t xml:space="preserve">racist </w:t>
      </w:r>
      <w:r w:rsidRPr="00CD0CDD">
        <w:t>offences, and should include a provision in its Criminal Code</w:t>
      </w:r>
      <w:r>
        <w:t xml:space="preserve"> </w:t>
      </w:r>
      <w:r w:rsidRPr="00CD0CDD">
        <w:t>allowing racial motivation for a crime to be considered an aggravating</w:t>
      </w:r>
      <w:r>
        <w:t xml:space="preserve"> </w:t>
      </w:r>
      <w:r w:rsidRPr="00CD0CDD">
        <w:t xml:space="preserve">circumstance. </w:t>
      </w:r>
      <w:r>
        <w:t>Lastly</w:t>
      </w:r>
      <w:r w:rsidRPr="00CD0CDD">
        <w:t xml:space="preserve">, she invited the Bulgarian delegation to </w:t>
      </w:r>
      <w:r>
        <w:t xml:space="preserve">reply </w:t>
      </w:r>
      <w:r w:rsidRPr="00CD0CDD">
        <w:t>to the</w:t>
      </w:r>
      <w:r>
        <w:t xml:space="preserve"> </w:t>
      </w:r>
      <w:r w:rsidRPr="00CD0CDD">
        <w:t>questions already asked concerning forced marriages of persons aged 14 to 20</w:t>
      </w:r>
      <w:r>
        <w:t>,</w:t>
      </w:r>
      <w:r w:rsidRPr="00CD0CDD">
        <w:t xml:space="preserve"> and</w:t>
      </w:r>
      <w:r>
        <w:t xml:space="preserve"> </w:t>
      </w:r>
      <w:r w:rsidRPr="00CD0CDD">
        <w:t>NGO access to places of detention, in particular the reasons why the Bulgarian</w:t>
      </w:r>
      <w:r>
        <w:t xml:space="preserve"> </w:t>
      </w:r>
      <w:r w:rsidRPr="00CD0CDD">
        <w:t>Helsinki Committee</w:t>
      </w:r>
      <w:r>
        <w:t xml:space="preserve"> required </w:t>
      </w:r>
      <w:r w:rsidRPr="00CD0CDD">
        <w:t>advance authorization to visit police stations.</w:t>
      </w:r>
    </w:p>
    <w:p w:rsidR="0047095F" w:rsidRDefault="0047095F" w:rsidP="0047095F">
      <w:pPr>
        <w:pStyle w:val="SingleTxtG"/>
      </w:pPr>
      <w:r>
        <w:t>27.</w:t>
      </w:r>
      <w:r>
        <w:tab/>
      </w:r>
      <w:r w:rsidRPr="00345E60">
        <w:rPr>
          <w:b/>
        </w:rPr>
        <w:t xml:space="preserve">Mr. Wang </w:t>
      </w:r>
      <w:r w:rsidRPr="00113914">
        <w:t>Xuexian</w:t>
      </w:r>
      <w:r w:rsidRPr="00345E60">
        <w:rPr>
          <w:b/>
        </w:rPr>
        <w:t xml:space="preserve"> </w:t>
      </w:r>
      <w:r w:rsidRPr="00CD0CDD">
        <w:t>(Country Rapporteur) said that he would like</w:t>
      </w:r>
      <w:r>
        <w:t xml:space="preserve"> </w:t>
      </w:r>
      <w:r w:rsidRPr="00CD0CDD">
        <w:t>specific examples of cases in which victims of torture and ill-treatment</w:t>
      </w:r>
      <w:r>
        <w:t xml:space="preserve"> </w:t>
      </w:r>
      <w:r w:rsidRPr="00CD0CDD">
        <w:t>had obtained compensation. In particular, he asked what action had been taken by</w:t>
      </w:r>
      <w:r>
        <w:t xml:space="preserve"> </w:t>
      </w:r>
      <w:r w:rsidRPr="00CD0CDD">
        <w:t xml:space="preserve">the State party in response to </w:t>
      </w:r>
      <w:r w:rsidR="00746E2D">
        <w:t>c</w:t>
      </w:r>
      <w:r w:rsidRPr="00CD0CDD">
        <w:t xml:space="preserve">ommunication No. 257/2004 </w:t>
      </w:r>
      <w:r w:rsidRPr="00886C4C">
        <w:rPr>
          <w:i/>
        </w:rPr>
        <w:t>Keremedchiev v. Bulgaria</w:t>
      </w:r>
      <w:r w:rsidRPr="00CD0CDD">
        <w:t xml:space="preserve"> </w:t>
      </w:r>
      <w:r>
        <w:t>lodged w</w:t>
      </w:r>
      <w:r w:rsidRPr="00CD0CDD">
        <w:t xml:space="preserve">ith the Committee. Regarding </w:t>
      </w:r>
      <w:r>
        <w:t>c</w:t>
      </w:r>
      <w:r w:rsidRPr="00CD0CDD">
        <w:t>hildren with mental</w:t>
      </w:r>
      <w:r>
        <w:t xml:space="preserve"> </w:t>
      </w:r>
      <w:r w:rsidRPr="00CD0CDD">
        <w:t xml:space="preserve">disabilities </w:t>
      </w:r>
      <w:r>
        <w:t xml:space="preserve">who </w:t>
      </w:r>
      <w:r w:rsidRPr="00CD0CDD">
        <w:t>had died due to neglect in specialized State institutions, he</w:t>
      </w:r>
      <w:r>
        <w:t xml:space="preserve"> </w:t>
      </w:r>
      <w:r w:rsidRPr="00CD0CDD">
        <w:t>enquired whether those responsible had been convicted and whether the</w:t>
      </w:r>
      <w:r>
        <w:t xml:space="preserve"> </w:t>
      </w:r>
      <w:r w:rsidRPr="00CD0CDD">
        <w:t>victims</w:t>
      </w:r>
      <w:r w:rsidR="00746E2D">
        <w:t>’</w:t>
      </w:r>
      <w:r w:rsidRPr="00CD0CDD">
        <w:t xml:space="preserve"> families had </w:t>
      </w:r>
      <w:r>
        <w:t xml:space="preserve">been </w:t>
      </w:r>
      <w:r w:rsidRPr="00CD0CDD">
        <w:t>compensa</w:t>
      </w:r>
      <w:r>
        <w:t>ted</w:t>
      </w:r>
      <w:r w:rsidRPr="00CD0CDD">
        <w:t>.</w:t>
      </w:r>
      <w:r>
        <w:t xml:space="preserve"> </w:t>
      </w:r>
    </w:p>
    <w:p w:rsidR="0047095F" w:rsidRDefault="0047095F" w:rsidP="0047095F">
      <w:pPr>
        <w:pStyle w:val="SingleTxtG"/>
      </w:pPr>
      <w:r>
        <w:t>28.</w:t>
      </w:r>
      <w:r>
        <w:tab/>
        <w:t>N</w:t>
      </w:r>
      <w:r w:rsidRPr="00CD0CDD">
        <w:t>ot</w:t>
      </w:r>
      <w:r>
        <w:t>ing</w:t>
      </w:r>
      <w:r w:rsidRPr="00CD0CDD">
        <w:t xml:space="preserve"> that, according to paragraph 144 of the written replies</w:t>
      </w:r>
      <w:r>
        <w:t xml:space="preserve"> (CAT/C/BGR/Q/4-5/Add.1), 1,265 foreigners</w:t>
      </w:r>
      <w:r w:rsidRPr="00CD0CDD">
        <w:t xml:space="preserve"> had been expelled between 2005 and 2011</w:t>
      </w:r>
      <w:r>
        <w:t xml:space="preserve">, he </w:t>
      </w:r>
      <w:r w:rsidRPr="00CD0CDD">
        <w:t>asked whether any</w:t>
      </w:r>
      <w:r>
        <w:t xml:space="preserve"> of them had sought </w:t>
      </w:r>
      <w:r w:rsidRPr="00CD0CDD">
        <w:t xml:space="preserve">asylum. </w:t>
      </w:r>
      <w:r>
        <w:t xml:space="preserve">In conclusion, he </w:t>
      </w:r>
      <w:r w:rsidRPr="00CD0CDD">
        <w:t>requested detailed information on the</w:t>
      </w:r>
      <w:r>
        <w:t xml:space="preserve"> </w:t>
      </w:r>
      <w:r w:rsidRPr="00CD0CDD">
        <w:t>conditions under which the expulsion of Roma had taken place in 2009</w:t>
      </w:r>
      <w:r>
        <w:t>–</w:t>
      </w:r>
      <w:r w:rsidRPr="00CD0CDD">
        <w:t>2010 and</w:t>
      </w:r>
      <w:r>
        <w:t xml:space="preserve"> </w:t>
      </w:r>
      <w:r w:rsidRPr="00CD0CDD">
        <w:t>asked whether the</w:t>
      </w:r>
      <w:r>
        <w:t xml:space="preserve"> anti-Roma v</w:t>
      </w:r>
      <w:r w:rsidRPr="00CD0CDD">
        <w:t>iolence in Katunitsa had led to</w:t>
      </w:r>
      <w:r>
        <w:t xml:space="preserve"> </w:t>
      </w:r>
      <w:r w:rsidRPr="00CD0CDD">
        <w:t>investigations and prosecutions.</w:t>
      </w:r>
      <w:r>
        <w:t xml:space="preserve"> </w:t>
      </w:r>
    </w:p>
    <w:p w:rsidR="0047095F" w:rsidRDefault="0047095F" w:rsidP="0047095F">
      <w:pPr>
        <w:pStyle w:val="SingleTxtG"/>
      </w:pPr>
      <w:r w:rsidRPr="00CD0CDD">
        <w:t>29.</w:t>
      </w:r>
      <w:r>
        <w:tab/>
      </w:r>
      <w:r w:rsidRPr="008F2782">
        <w:rPr>
          <w:b/>
        </w:rPr>
        <w:t xml:space="preserve">Mr. Bruni </w:t>
      </w:r>
      <w:r w:rsidRPr="00CD0CDD">
        <w:t xml:space="preserve">asked whether the State party intended to </w:t>
      </w:r>
      <w:r>
        <w:t xml:space="preserve">discontinue </w:t>
      </w:r>
      <w:r w:rsidRPr="00CD0CDD">
        <w:t>the</w:t>
      </w:r>
      <w:r>
        <w:t xml:space="preserve"> practice </w:t>
      </w:r>
      <w:r w:rsidRPr="00CD0CDD">
        <w:t>of</w:t>
      </w:r>
      <w:r>
        <w:t xml:space="preserve"> solitary cells as a disciplinary measure, </w:t>
      </w:r>
      <w:r w:rsidRPr="00CD0CDD">
        <w:t>which had devastating psychological consequences for</w:t>
      </w:r>
      <w:r>
        <w:t xml:space="preserve"> </w:t>
      </w:r>
      <w:r w:rsidRPr="00CD0CDD">
        <w:t>detainees</w:t>
      </w:r>
      <w:r>
        <w:t xml:space="preserve">. </w:t>
      </w:r>
      <w:r w:rsidRPr="00CD0CDD">
        <w:t xml:space="preserve">He recalled the case of two Palestinian refugees who had been expelled from </w:t>
      </w:r>
      <w:smartTag w:uri="urn:schemas-microsoft-com:office:smarttags" w:element="country-region">
        <w:r w:rsidRPr="00CD0CDD">
          <w:t>Bulgaria</w:t>
        </w:r>
      </w:smartTag>
      <w:r w:rsidRPr="00CD0CDD">
        <w:t xml:space="preserve"> to </w:t>
      </w:r>
      <w:smartTag w:uri="urn:schemas-microsoft-com:office:smarttags" w:element="place">
        <w:smartTag w:uri="urn:schemas-microsoft-com:office:smarttags" w:element="country-region">
          <w:r w:rsidRPr="00CD0CDD">
            <w:t>Lebanon</w:t>
          </w:r>
        </w:smartTag>
      </w:smartTag>
      <w:r w:rsidRPr="00CD0CDD">
        <w:t xml:space="preserve">, where they </w:t>
      </w:r>
      <w:r>
        <w:t xml:space="preserve">had been </w:t>
      </w:r>
      <w:r w:rsidRPr="00CD0CDD">
        <w:t xml:space="preserve">allegedly tortured, and asked how the State party ensured that it fulfilled its obligations under article 3 </w:t>
      </w:r>
      <w:r>
        <w:t>of</w:t>
      </w:r>
      <w:r w:rsidRPr="00CD0CDD">
        <w:t xml:space="preserve"> the Convention, particularly with regard to the thorough review of the </w:t>
      </w:r>
      <w:r>
        <w:t xml:space="preserve">risk </w:t>
      </w:r>
      <w:r w:rsidRPr="00CD0CDD">
        <w:t>of torture before an individual was expelled to</w:t>
      </w:r>
      <w:r>
        <w:t xml:space="preserve"> </w:t>
      </w:r>
      <w:r w:rsidRPr="00CD0CDD">
        <w:t>another State.</w:t>
      </w:r>
    </w:p>
    <w:p w:rsidR="0047095F" w:rsidRDefault="0047095F" w:rsidP="0047095F">
      <w:pPr>
        <w:pStyle w:val="SingleTxtG"/>
      </w:pPr>
      <w:r w:rsidRPr="00CD0CDD">
        <w:t>30.</w:t>
      </w:r>
      <w:r>
        <w:tab/>
      </w:r>
      <w:r w:rsidRPr="008F2782">
        <w:rPr>
          <w:b/>
        </w:rPr>
        <w:t>Mr. Mari</w:t>
      </w:r>
      <w:r>
        <w:rPr>
          <w:b/>
        </w:rPr>
        <w:t xml:space="preserve">ño </w:t>
      </w:r>
      <w:r w:rsidRPr="008F2782">
        <w:rPr>
          <w:b/>
        </w:rPr>
        <w:t>Men</w:t>
      </w:r>
      <w:r>
        <w:rPr>
          <w:b/>
        </w:rPr>
        <w:t>é</w:t>
      </w:r>
      <w:r w:rsidRPr="008F2782">
        <w:rPr>
          <w:b/>
        </w:rPr>
        <w:t xml:space="preserve">ndez </w:t>
      </w:r>
      <w:r w:rsidRPr="00CD0CDD">
        <w:t xml:space="preserve">asked under what conditions </w:t>
      </w:r>
      <w:smartTag w:uri="urn:schemas-microsoft-com:office:smarttags" w:element="place">
        <w:smartTag w:uri="urn:schemas-microsoft-com:office:smarttags" w:element="country-region">
          <w:r w:rsidRPr="00CD0CDD">
            <w:t>Bulgaria</w:t>
          </w:r>
        </w:smartTag>
      </w:smartTag>
      <w:r>
        <w:t xml:space="preserve"> resorted </w:t>
      </w:r>
      <w:r w:rsidRPr="00CD0CDD">
        <w:t>to</w:t>
      </w:r>
      <w:r>
        <w:t xml:space="preserve"> i</w:t>
      </w:r>
      <w:r w:rsidRPr="00CD0CDD">
        <w:t xml:space="preserve">ncommunicado detention and how long that detention could last. </w:t>
      </w:r>
      <w:r>
        <w:t xml:space="preserve">It </w:t>
      </w:r>
      <w:r w:rsidRPr="00CD0CDD">
        <w:t>would be useful to</w:t>
      </w:r>
      <w:r>
        <w:t xml:space="preserve"> learn </w:t>
      </w:r>
      <w:r w:rsidRPr="00CD0CDD">
        <w:t>whether there was a</w:t>
      </w:r>
      <w:r>
        <w:t xml:space="preserve">n </w:t>
      </w:r>
      <w:r w:rsidRPr="00CD0CDD">
        <w:t xml:space="preserve">urgent appeal </w:t>
      </w:r>
      <w:r>
        <w:t xml:space="preserve">procedure </w:t>
      </w:r>
      <w:r w:rsidRPr="00CD0CDD">
        <w:t>allowing</w:t>
      </w:r>
      <w:r>
        <w:t xml:space="preserve"> </w:t>
      </w:r>
      <w:r w:rsidRPr="00CD0CDD">
        <w:t>person</w:t>
      </w:r>
      <w:r>
        <w:t>s</w:t>
      </w:r>
      <w:r w:rsidRPr="00CD0CDD">
        <w:t xml:space="preserve"> whose asylum</w:t>
      </w:r>
      <w:r>
        <w:t xml:space="preserve"> </w:t>
      </w:r>
      <w:r w:rsidRPr="00CD0CDD">
        <w:t xml:space="preserve">application had been rejected to </w:t>
      </w:r>
      <w:r>
        <w:t xml:space="preserve">have their </w:t>
      </w:r>
      <w:r w:rsidRPr="00CD0CDD">
        <w:t xml:space="preserve">arrest and expulsion </w:t>
      </w:r>
      <w:r>
        <w:t xml:space="preserve">suspended </w:t>
      </w:r>
      <w:r w:rsidRPr="00CD0CDD">
        <w:t>while waiting</w:t>
      </w:r>
      <w:r>
        <w:t xml:space="preserve"> for </w:t>
      </w:r>
      <w:r w:rsidRPr="00CD0CDD">
        <w:t xml:space="preserve">the </w:t>
      </w:r>
      <w:r>
        <w:t>competent authorities to decide on their case.</w:t>
      </w:r>
    </w:p>
    <w:p w:rsidR="0047095F" w:rsidRDefault="0047095F" w:rsidP="0047095F">
      <w:pPr>
        <w:pStyle w:val="SingleTxtG"/>
      </w:pPr>
      <w:r w:rsidRPr="00CD0CDD">
        <w:t>31.</w:t>
      </w:r>
      <w:r>
        <w:tab/>
      </w:r>
      <w:r w:rsidRPr="00C67D01">
        <w:rPr>
          <w:b/>
        </w:rPr>
        <w:t xml:space="preserve">Ms. Sveaass </w:t>
      </w:r>
      <w:r w:rsidRPr="00CD0CDD">
        <w:t>said that she would like to know whether alternative measures</w:t>
      </w:r>
      <w:r>
        <w:t xml:space="preserve"> </w:t>
      </w:r>
      <w:r w:rsidRPr="00CD0CDD">
        <w:t xml:space="preserve">to imprisonment had contributed to a reduction in both prison overcrowding and violence among prisoners. She would also appreciate information </w:t>
      </w:r>
      <w:r>
        <w:t xml:space="preserve">on </w:t>
      </w:r>
      <w:r w:rsidRPr="00CD0CDD">
        <w:t>measures taken to reduce the numbers held in institutions</w:t>
      </w:r>
      <w:r>
        <w:t>. She would be grateful if the</w:t>
      </w:r>
      <w:r w:rsidRPr="00CD0CDD">
        <w:t xml:space="preserve"> delegation </w:t>
      </w:r>
      <w:r>
        <w:t xml:space="preserve">could </w:t>
      </w:r>
      <w:r w:rsidRPr="00CD0CDD">
        <w:t>provide up-to-date</w:t>
      </w:r>
      <w:r>
        <w:t xml:space="preserve"> </w:t>
      </w:r>
      <w:r w:rsidRPr="00CD0CDD">
        <w:t>information on the results of the</w:t>
      </w:r>
      <w:r>
        <w:t xml:space="preserve"> </w:t>
      </w:r>
      <w:r w:rsidRPr="00CD0CDD">
        <w:t>investigation led by the Prosecutor General into the deaths of 166 children</w:t>
      </w:r>
      <w:r>
        <w:t>,</w:t>
      </w:r>
      <w:r w:rsidRPr="00CD0CDD">
        <w:t xml:space="preserve"> and 30</w:t>
      </w:r>
      <w:r>
        <w:t xml:space="preserve"> </w:t>
      </w:r>
      <w:r w:rsidRPr="00CD0CDD">
        <w:t>cases of child abuse. Similarly, information</w:t>
      </w:r>
      <w:r>
        <w:t xml:space="preserve"> on </w:t>
      </w:r>
      <w:r w:rsidRPr="00CD0CDD">
        <w:t>the judicial</w:t>
      </w:r>
      <w:r>
        <w:t xml:space="preserve"> </w:t>
      </w:r>
      <w:r w:rsidRPr="00CD0CDD">
        <w:t>guarantees applicable to involuntary hospitalization</w:t>
      </w:r>
      <w:r>
        <w:t xml:space="preserve"> </w:t>
      </w:r>
      <w:r w:rsidRPr="00CD0CDD">
        <w:t>would be welcome.</w:t>
      </w:r>
      <w:r>
        <w:t xml:space="preserve"> In a</w:t>
      </w:r>
      <w:r w:rsidRPr="00CD0CDD">
        <w:t xml:space="preserve">ddition, what measures </w:t>
      </w:r>
      <w:r>
        <w:t xml:space="preserve">had </w:t>
      </w:r>
      <w:r w:rsidRPr="00CD0CDD">
        <w:t xml:space="preserve">the authorities taken following the violent attack </w:t>
      </w:r>
      <w:r>
        <w:t xml:space="preserve">on </w:t>
      </w:r>
      <w:r w:rsidRPr="00CD0CDD">
        <w:t>five</w:t>
      </w:r>
      <w:r>
        <w:t xml:space="preserve"> </w:t>
      </w:r>
      <w:r w:rsidRPr="00CD0CDD">
        <w:t>Jehovah</w:t>
      </w:r>
      <w:r w:rsidR="00746E2D">
        <w:t>’</w:t>
      </w:r>
      <w:r w:rsidRPr="00CD0CDD">
        <w:t>s Witnesses in Burgas</w:t>
      </w:r>
      <w:r>
        <w:t xml:space="preserve">? </w:t>
      </w:r>
    </w:p>
    <w:p w:rsidR="0047095F" w:rsidRDefault="0047095F" w:rsidP="0047095F">
      <w:pPr>
        <w:pStyle w:val="SingleTxtG"/>
      </w:pPr>
      <w:r>
        <w:t>32.</w:t>
      </w:r>
      <w:r>
        <w:tab/>
      </w:r>
      <w:r w:rsidRPr="001C4C3A">
        <w:rPr>
          <w:b/>
        </w:rPr>
        <w:t>Ms. Belmir</w:t>
      </w:r>
      <w:r>
        <w:t xml:space="preserve">, after </w:t>
      </w:r>
      <w:r w:rsidRPr="001C4C3A">
        <w:t>thank</w:t>
      </w:r>
      <w:r>
        <w:t xml:space="preserve">ing </w:t>
      </w:r>
      <w:r w:rsidRPr="00CD0CDD">
        <w:t xml:space="preserve">the delegation for their detailed </w:t>
      </w:r>
      <w:r>
        <w:t>replies,</w:t>
      </w:r>
      <w:r w:rsidRPr="00CD0CDD">
        <w:t xml:space="preserve"> asked</w:t>
      </w:r>
      <w:r>
        <w:t xml:space="preserve"> </w:t>
      </w:r>
      <w:r w:rsidRPr="00CD0CDD">
        <w:t xml:space="preserve">why the rule on the tenure of judges applied only to senior judges, which was, at </w:t>
      </w:r>
      <w:r>
        <w:t>best</w:t>
      </w:r>
      <w:r w:rsidRPr="00CD0CDD">
        <w:t xml:space="preserve">, surprising. Security of tenure was in fact a fundamental guarantee ordinarily extended to all judges. It appeared that conditions for </w:t>
      </w:r>
      <w:r>
        <w:t xml:space="preserve">persons </w:t>
      </w:r>
      <w:r w:rsidRPr="00CD0CDD">
        <w:t>sentenced to</w:t>
      </w:r>
      <w:r>
        <w:t xml:space="preserve"> </w:t>
      </w:r>
      <w:r w:rsidRPr="00CD0CDD">
        <w:t>life imprisonment were especially difficult, particularly during the first</w:t>
      </w:r>
      <w:r>
        <w:t xml:space="preserve"> 5</w:t>
      </w:r>
      <w:r w:rsidRPr="00CD0CDD">
        <w:t xml:space="preserve"> years</w:t>
      </w:r>
      <w:r>
        <w:t xml:space="preserve"> </w:t>
      </w:r>
      <w:r w:rsidRPr="00CD0CDD">
        <w:t>of their term</w:t>
      </w:r>
      <w:r>
        <w:t>. I</w:t>
      </w:r>
      <w:r w:rsidRPr="00CD0CDD">
        <w:t>t would be interesting to hear the delegation</w:t>
      </w:r>
      <w:r w:rsidR="00746E2D">
        <w:t>’</w:t>
      </w:r>
      <w:r w:rsidRPr="00CD0CDD">
        <w:t>s comments on th</w:t>
      </w:r>
      <w:r>
        <w:t xml:space="preserve">e </w:t>
      </w:r>
      <w:r w:rsidRPr="00CD0CDD">
        <w:t xml:space="preserve">matter. </w:t>
      </w:r>
      <w:r>
        <w:t>Lastly,</w:t>
      </w:r>
      <w:r w:rsidRPr="00CD0CDD">
        <w:t xml:space="preserve"> the Committee would be interested to learn whether 14</w:t>
      </w:r>
      <w:r>
        <w:t>-</w:t>
      </w:r>
      <w:r w:rsidRPr="00CD0CDD">
        <w:t>year</w:t>
      </w:r>
      <w:r>
        <w:t>-</w:t>
      </w:r>
      <w:r w:rsidRPr="00CD0CDD">
        <w:t>olds</w:t>
      </w:r>
      <w:r>
        <w:t xml:space="preserve"> </w:t>
      </w:r>
      <w:r w:rsidRPr="00CD0CDD">
        <w:t>were subject to criminal penalties.</w:t>
      </w:r>
      <w:r>
        <w:t xml:space="preserve"> </w:t>
      </w:r>
    </w:p>
    <w:p w:rsidR="0047095F" w:rsidRDefault="0047095F" w:rsidP="0047095F">
      <w:pPr>
        <w:pStyle w:val="SingleTxtG"/>
      </w:pPr>
      <w:r w:rsidRPr="00CD0CDD">
        <w:t>33.</w:t>
      </w:r>
      <w:r>
        <w:tab/>
      </w:r>
      <w:r w:rsidRPr="00126BEE">
        <w:rPr>
          <w:b/>
        </w:rPr>
        <w:t>Ms. Andreeva</w:t>
      </w:r>
      <w:r w:rsidRPr="00CD0CDD">
        <w:t xml:space="preserve"> (</w:t>
      </w:r>
      <w:smartTag w:uri="urn:schemas-microsoft-com:office:smarttags" w:element="place">
        <w:smartTag w:uri="urn:schemas-microsoft-com:office:smarttags" w:element="country-region">
          <w:r w:rsidRPr="00CD0CDD">
            <w:t>Bulgaria</w:t>
          </w:r>
        </w:smartTag>
      </w:smartTag>
      <w:r w:rsidRPr="00CD0CDD">
        <w:t>) said that the transit centre in Pastrogor could not</w:t>
      </w:r>
      <w:r>
        <w:t xml:space="preserve"> </w:t>
      </w:r>
      <w:r w:rsidRPr="00CD0CDD">
        <w:t>be opened in 2009 due to delays in construction but that it should nonetheless be</w:t>
      </w:r>
      <w:r>
        <w:t xml:space="preserve"> </w:t>
      </w:r>
      <w:r w:rsidRPr="00CD0CDD">
        <w:t>operational by the end of 2011</w:t>
      </w:r>
      <w:r>
        <w:t>,</w:t>
      </w:r>
      <w:r w:rsidRPr="00CD0CDD">
        <w:t xml:space="preserve"> since the required additional funds had been</w:t>
      </w:r>
      <w:r>
        <w:t xml:space="preserve"> </w:t>
      </w:r>
      <w:r w:rsidRPr="00CD0CDD">
        <w:t>allocated. The centre would be an open institution with modern facilities, including</w:t>
      </w:r>
      <w:r>
        <w:t xml:space="preserve"> </w:t>
      </w:r>
      <w:r w:rsidRPr="00CD0CDD">
        <w:t>Internet. One wing would be reserved for young people</w:t>
      </w:r>
      <w:r>
        <w:t>,</w:t>
      </w:r>
      <w:r w:rsidRPr="00CD0CDD">
        <w:t xml:space="preserve"> and asylum seekers</w:t>
      </w:r>
      <w:r>
        <w:t xml:space="preserve"> </w:t>
      </w:r>
      <w:r w:rsidRPr="00CD0CDD">
        <w:t>would no longer be placed alongside foreigners awaiting expulsion or escort to the border.</w:t>
      </w:r>
      <w:r>
        <w:t xml:space="preserve"> </w:t>
      </w:r>
    </w:p>
    <w:p w:rsidR="0047095F" w:rsidRDefault="0047095F" w:rsidP="0047095F">
      <w:pPr>
        <w:pStyle w:val="SingleTxtG"/>
      </w:pPr>
      <w:r w:rsidRPr="00CD0CDD">
        <w:t>34.</w:t>
      </w:r>
      <w:r>
        <w:tab/>
      </w:r>
      <w:r w:rsidRPr="00C8626C">
        <w:rPr>
          <w:b/>
        </w:rPr>
        <w:t>Mr. Petrov</w:t>
      </w:r>
      <w:r w:rsidRPr="00CD0CDD">
        <w:t xml:space="preserve"> (</w:t>
      </w:r>
      <w:smartTag w:uri="urn:schemas-microsoft-com:office:smarttags" w:element="place">
        <w:smartTag w:uri="urn:schemas-microsoft-com:office:smarttags" w:element="country-region">
          <w:r w:rsidRPr="00CD0CDD">
            <w:t>Bulgaria</w:t>
          </w:r>
        </w:smartTag>
      </w:smartTag>
      <w:r w:rsidRPr="00CD0CDD">
        <w:t>) said that, in conformity with article 32 of the Criminal Code, minors under 14 years o</w:t>
      </w:r>
      <w:r>
        <w:t xml:space="preserve">f age </w:t>
      </w:r>
      <w:r w:rsidRPr="00CD0CDD">
        <w:t>were</w:t>
      </w:r>
      <w:r>
        <w:t xml:space="preserve"> </w:t>
      </w:r>
      <w:r w:rsidRPr="00CD0CDD">
        <w:t xml:space="preserve">not criminally responsible. Criminal responsibility of minors aged 14 to 18, however, could be invoked if it had been established that those concerned were capable of discernment at the time of their actions. Furthermore, in conformity with the general provisions of article 62 of the Criminal Code, minors could </w:t>
      </w:r>
      <w:r>
        <w:t xml:space="preserve">have their sentences </w:t>
      </w:r>
      <w:r w:rsidRPr="00CD0CDD">
        <w:t>reduc</w:t>
      </w:r>
      <w:r>
        <w:t>ed</w:t>
      </w:r>
      <w:r w:rsidRPr="00CD0CDD">
        <w:t xml:space="preserve"> and judges were obliged to favour alternative measures to imprisonment, such as</w:t>
      </w:r>
      <w:r>
        <w:t xml:space="preserve"> </w:t>
      </w:r>
      <w:r w:rsidRPr="00CD0CDD">
        <w:t>conditional release or a suspended sentence. It should also be noted that when minor</w:t>
      </w:r>
      <w:r>
        <w:t>s</w:t>
      </w:r>
      <w:r w:rsidRPr="00CD0CDD">
        <w:t xml:space="preserve"> w</w:t>
      </w:r>
      <w:r>
        <w:t>ere</w:t>
      </w:r>
      <w:r w:rsidRPr="00CD0CDD">
        <w:t xml:space="preserve"> sentenced t</w:t>
      </w:r>
      <w:r>
        <w:t xml:space="preserve">o a </w:t>
      </w:r>
      <w:r w:rsidRPr="00CD0CDD">
        <w:t>prison</w:t>
      </w:r>
      <w:r>
        <w:t xml:space="preserve"> term</w:t>
      </w:r>
      <w:r w:rsidRPr="00CD0CDD">
        <w:t xml:space="preserve"> </w:t>
      </w:r>
      <w:r>
        <w:t>—</w:t>
      </w:r>
      <w:r w:rsidRPr="00CD0CDD">
        <w:t xml:space="preserve"> a measure that could only be applied as a</w:t>
      </w:r>
      <w:r>
        <w:t xml:space="preserve"> </w:t>
      </w:r>
      <w:r w:rsidRPr="00CD0CDD">
        <w:t xml:space="preserve">last resort </w:t>
      </w:r>
      <w:r>
        <w:t>—</w:t>
      </w:r>
      <w:r w:rsidRPr="00CD0CDD">
        <w:t xml:space="preserve"> the court could exempt the</w:t>
      </w:r>
      <w:r>
        <w:t>m</w:t>
      </w:r>
      <w:r w:rsidRPr="00CD0CDD">
        <w:t xml:space="preserve"> from serving the sentence and place </w:t>
      </w:r>
      <w:r>
        <w:t>them</w:t>
      </w:r>
      <w:r w:rsidRPr="00CD0CDD">
        <w:t xml:space="preserve"> in residential care, as provided by article 64 of the Criminal Code. As of 11 July 2001, 65 minors were serving a prison term in </w:t>
      </w:r>
      <w:smartTag w:uri="urn:schemas-microsoft-com:office:smarttags" w:element="place">
        <w:smartTag w:uri="urn:schemas-microsoft-com:office:smarttags" w:element="country-region">
          <w:r w:rsidRPr="00CD0CDD">
            <w:t>Bulgaria</w:t>
          </w:r>
        </w:smartTag>
      </w:smartTag>
      <w:r w:rsidRPr="00CD0CDD">
        <w:t>, which was less</w:t>
      </w:r>
      <w:r>
        <w:t xml:space="preserve"> </w:t>
      </w:r>
      <w:r w:rsidRPr="00CD0CDD">
        <w:t>than 1 per cent of the prison population. Regarding the tenure of judges in</w:t>
      </w:r>
      <w:r>
        <w:t xml:space="preserve"> </w:t>
      </w:r>
      <w:smartTag w:uri="urn:schemas-microsoft-com:office:smarttags" w:element="place">
        <w:smartTag w:uri="urn:schemas-microsoft-com:office:smarttags" w:element="country-region">
          <w:r w:rsidRPr="00CD0CDD">
            <w:t>Bulgaria</w:t>
          </w:r>
        </w:smartTag>
      </w:smartTag>
      <w:r w:rsidRPr="00CD0CDD">
        <w:t>, it should be clarified that all Bulgarian judges, regardless of rank, could</w:t>
      </w:r>
      <w:r>
        <w:t xml:space="preserve"> </w:t>
      </w:r>
      <w:r w:rsidRPr="00CD0CDD">
        <w:t>be dismissed by the Supreme Judicial Council</w:t>
      </w:r>
      <w:r>
        <w:t xml:space="preserve">. </w:t>
      </w:r>
    </w:p>
    <w:p w:rsidR="0047095F" w:rsidRDefault="0047095F" w:rsidP="0047095F">
      <w:pPr>
        <w:pStyle w:val="SingleTxtG"/>
      </w:pPr>
      <w:r w:rsidRPr="00CD0CDD">
        <w:t>35.</w:t>
      </w:r>
      <w:r>
        <w:tab/>
      </w:r>
      <w:r w:rsidRPr="00CD0CDD">
        <w:t>The incidents at Katunitsa had led to</w:t>
      </w:r>
      <w:r>
        <w:t xml:space="preserve"> </w:t>
      </w:r>
      <w:r w:rsidRPr="00CD0CDD">
        <w:t>38 investigations based</w:t>
      </w:r>
      <w:r>
        <w:t xml:space="preserve"> </w:t>
      </w:r>
      <w:r w:rsidRPr="00CD0CDD">
        <w:t xml:space="preserve">on articles 161 and 162 of the Criminal Code </w:t>
      </w:r>
      <w:r>
        <w:t xml:space="preserve">which </w:t>
      </w:r>
      <w:r w:rsidRPr="00CD0CDD">
        <w:t>criminalized acts of racial hatred</w:t>
      </w:r>
      <w:r>
        <w:t xml:space="preserve"> </w:t>
      </w:r>
      <w:r w:rsidRPr="00CD0CDD">
        <w:t>and incitement to racial hatred. The delegation would provide the secretariat with a</w:t>
      </w:r>
      <w:r>
        <w:t xml:space="preserve"> </w:t>
      </w:r>
      <w:r w:rsidRPr="00CD0CDD">
        <w:t>document listing all the prosecutions brought and all the sentences handed down on the basis of those two articles. The attack</w:t>
      </w:r>
      <w:r>
        <w:t xml:space="preserve">ers of </w:t>
      </w:r>
      <w:r w:rsidRPr="00CD0CDD">
        <w:t>Jehovah</w:t>
      </w:r>
      <w:r w:rsidR="00746E2D">
        <w:t>’</w:t>
      </w:r>
      <w:r w:rsidRPr="00CD0CDD">
        <w:t xml:space="preserve">s Witnesses in Burgas had indeed been prosecuted, and eight </w:t>
      </w:r>
      <w:r>
        <w:t>of them h</w:t>
      </w:r>
      <w:r w:rsidRPr="00CD0CDD">
        <w:t>ad been</w:t>
      </w:r>
      <w:r>
        <w:t xml:space="preserve"> </w:t>
      </w:r>
      <w:r w:rsidRPr="00CD0CDD">
        <w:t>found guilty.</w:t>
      </w:r>
      <w:r>
        <w:t xml:space="preserve"> </w:t>
      </w:r>
    </w:p>
    <w:p w:rsidR="0047095F" w:rsidRDefault="0047095F" w:rsidP="0047095F">
      <w:pPr>
        <w:pStyle w:val="SingleTxtG"/>
      </w:pPr>
      <w:r>
        <w:t>36.</w:t>
      </w:r>
      <w:r>
        <w:tab/>
      </w:r>
      <w:r w:rsidRPr="00CD0CDD">
        <w:t xml:space="preserve">Article 131 of the Criminal Code provided that NGO access to defendants </w:t>
      </w:r>
      <w:r>
        <w:t xml:space="preserve">needed to </w:t>
      </w:r>
      <w:r w:rsidRPr="00CD0CDD">
        <w:t>be authorized by the Prosecutor General or the courts in order to monitor human rights compliance. The provision was aimed at ensuring that preliminary</w:t>
      </w:r>
      <w:r>
        <w:t xml:space="preserve"> </w:t>
      </w:r>
      <w:r w:rsidRPr="00CD0CDD">
        <w:t>investigations were effective and it did not prevent defendants from receiving</w:t>
      </w:r>
      <w:r>
        <w:t xml:space="preserve"> </w:t>
      </w:r>
      <w:r w:rsidRPr="00CD0CDD">
        <w:t>personal visitors. In</w:t>
      </w:r>
      <w:r>
        <w:t xml:space="preserve"> </w:t>
      </w:r>
      <w:r w:rsidRPr="00CD0CDD">
        <w:t>practice, it was very rare for NGOs to be refused access</w:t>
      </w:r>
      <w:r>
        <w:t xml:space="preserve"> </w:t>
      </w:r>
      <w:r w:rsidRPr="00CD0CDD">
        <w:t>to a defendant.</w:t>
      </w:r>
      <w:r>
        <w:t xml:space="preserve"> </w:t>
      </w:r>
    </w:p>
    <w:p w:rsidR="0047095F" w:rsidRDefault="0047095F" w:rsidP="0047095F">
      <w:pPr>
        <w:pStyle w:val="SingleTxtG"/>
      </w:pPr>
      <w:r w:rsidRPr="00CD0CDD">
        <w:t>37.</w:t>
      </w:r>
      <w:r>
        <w:tab/>
        <w:t>With</w:t>
      </w:r>
      <w:r w:rsidRPr="00CD0CDD">
        <w:t xml:space="preserve"> regard to the deaths of minors</w:t>
      </w:r>
      <w:r>
        <w:t xml:space="preserve"> </w:t>
      </w:r>
      <w:r w:rsidRPr="00CD0CDD">
        <w:t>placed in institutions for children</w:t>
      </w:r>
      <w:r>
        <w:t xml:space="preserve"> with mental problems</w:t>
      </w:r>
      <w:r w:rsidRPr="00CD0CDD">
        <w:t xml:space="preserve">, thorough investigations had been carried out under the supervision of the </w:t>
      </w:r>
      <w:r>
        <w:t xml:space="preserve">upper echelons of </w:t>
      </w:r>
      <w:r w:rsidRPr="00CD0CDD">
        <w:t>the prosecution service.</w:t>
      </w:r>
      <w:r>
        <w:t xml:space="preserve"> However,</w:t>
      </w:r>
      <w:r w:rsidRPr="00CD0CDD">
        <w:t xml:space="preserve"> it</w:t>
      </w:r>
      <w:r>
        <w:t xml:space="preserve"> </w:t>
      </w:r>
      <w:r w:rsidRPr="00CD0CDD">
        <w:t>had not been possible to bring criminal cases since, due to the time</w:t>
      </w:r>
      <w:r w:rsidR="00746E2D">
        <w:t>-</w:t>
      </w:r>
      <w:r w:rsidRPr="00CD0CDD">
        <w:t xml:space="preserve">lapse </w:t>
      </w:r>
      <w:r>
        <w:t>—</w:t>
      </w:r>
      <w:r w:rsidRPr="00CD0CDD">
        <w:t xml:space="preserve"> over</w:t>
      </w:r>
      <w:r>
        <w:t xml:space="preserve"> 10 </w:t>
      </w:r>
      <w:r w:rsidRPr="00CD0CDD">
        <w:t xml:space="preserve">years in some cases </w:t>
      </w:r>
      <w:r>
        <w:t>—</w:t>
      </w:r>
      <w:r w:rsidRPr="00CD0CDD">
        <w:t xml:space="preserve"> the necessary evidence could not be assembled. The</w:t>
      </w:r>
      <w:r>
        <w:t xml:space="preserve"> </w:t>
      </w:r>
      <w:r w:rsidRPr="00CD0CDD">
        <w:t>Committee should nonetheless be made aware that</w:t>
      </w:r>
      <w:r>
        <w:t xml:space="preserve"> there were 11</w:t>
      </w:r>
      <w:r w:rsidRPr="00CD0CDD">
        <w:t>7</w:t>
      </w:r>
      <w:r>
        <w:t xml:space="preserve"> o</w:t>
      </w:r>
      <w:r w:rsidRPr="00CD0CDD">
        <w:t>ngoing</w:t>
      </w:r>
      <w:r>
        <w:t xml:space="preserve"> cases. </w:t>
      </w:r>
    </w:p>
    <w:p w:rsidR="0047095F" w:rsidRDefault="0047095F" w:rsidP="0047095F">
      <w:pPr>
        <w:pStyle w:val="SingleTxtG"/>
      </w:pPr>
      <w:r w:rsidRPr="00CD0CDD">
        <w:t>38.</w:t>
      </w:r>
      <w:r>
        <w:tab/>
      </w:r>
      <w:r w:rsidRPr="004A7AD8">
        <w:rPr>
          <w:b/>
        </w:rPr>
        <w:t>Ms. Andreeva</w:t>
      </w:r>
      <w:r w:rsidRPr="00CD0CDD">
        <w:t xml:space="preserve"> (Bulgaria), responding to questions </w:t>
      </w:r>
      <w:r>
        <w:t xml:space="preserve">about </w:t>
      </w:r>
      <w:r w:rsidRPr="00CD0CDD">
        <w:t>the two</w:t>
      </w:r>
      <w:r>
        <w:t xml:space="preserve"> </w:t>
      </w:r>
      <w:r w:rsidRPr="00CD0CDD">
        <w:t>Palestinians expelled to Lebanon in 2010 following the rejection of their asylum</w:t>
      </w:r>
      <w:r>
        <w:t xml:space="preserve"> </w:t>
      </w:r>
      <w:r w:rsidRPr="00CD0CDD">
        <w:t xml:space="preserve">claim, said that Bulgarian legislation fully guaranteed respect for the principle of non-refoulement </w:t>
      </w:r>
      <w:r>
        <w:t xml:space="preserve">established in </w:t>
      </w:r>
      <w:r w:rsidRPr="00CD0CDD">
        <w:t>article 3 of the Convention. In conformity with article 4,</w:t>
      </w:r>
      <w:r>
        <w:t xml:space="preserve"> </w:t>
      </w:r>
      <w:r w:rsidRPr="00CD0CDD">
        <w:t>paragraph 3, of the Asylum and Refugees</w:t>
      </w:r>
      <w:r>
        <w:t xml:space="preserve"> Act</w:t>
      </w:r>
      <w:r w:rsidRPr="00CD0CDD">
        <w:t>,</w:t>
      </w:r>
      <w:r>
        <w:t xml:space="preserve"> a foreigner who entered </w:t>
      </w:r>
      <w:r w:rsidRPr="00CD0CDD">
        <w:t xml:space="preserve">Bulgaria to </w:t>
      </w:r>
      <w:r>
        <w:t>seek</w:t>
      </w:r>
      <w:r w:rsidRPr="00CD0CDD">
        <w:t xml:space="preserve"> protection could not be returned to a country where his or her</w:t>
      </w:r>
      <w:r>
        <w:t xml:space="preserve"> </w:t>
      </w:r>
      <w:r w:rsidRPr="00CD0CDD">
        <w:t>life or freedom might be under threat because of his or her race, religion,</w:t>
      </w:r>
      <w:r>
        <w:t xml:space="preserve"> </w:t>
      </w:r>
      <w:r w:rsidRPr="00CD0CDD">
        <w:t>nationality, political opinion or membership of a specific social group, or where he</w:t>
      </w:r>
      <w:r>
        <w:t xml:space="preserve"> </w:t>
      </w:r>
      <w:r w:rsidRPr="00CD0CDD">
        <w:t>or she was at risk of torture or other cruel, inhuman or degrading treatment or</w:t>
      </w:r>
      <w:r>
        <w:t xml:space="preserve"> </w:t>
      </w:r>
      <w:r w:rsidRPr="00CD0CDD">
        <w:t xml:space="preserve">punishment. Regarding the two Palestinian refugees expelled to </w:t>
      </w:r>
      <w:smartTag w:uri="urn:schemas-microsoft-com:office:smarttags" w:element="place">
        <w:smartTag w:uri="urn:schemas-microsoft-com:office:smarttags" w:element="country-region">
          <w:r w:rsidRPr="00CD0CDD">
            <w:t>Lebano</w:t>
          </w:r>
          <w:r>
            <w:t>n</w:t>
          </w:r>
        </w:smartTag>
      </w:smartTag>
      <w:r w:rsidRPr="00CD0CDD">
        <w:t>, their</w:t>
      </w:r>
      <w:r>
        <w:t xml:space="preserve"> </w:t>
      </w:r>
      <w:r w:rsidRPr="00CD0CDD">
        <w:t>asylum applications had not been sufficiently substantiated for them to be awarded</w:t>
      </w:r>
      <w:r>
        <w:t xml:space="preserve"> </w:t>
      </w:r>
      <w:r w:rsidRPr="00CD0CDD">
        <w:t>international protection</w:t>
      </w:r>
      <w:r>
        <w:t>,</w:t>
      </w:r>
      <w:r w:rsidRPr="00CD0CDD">
        <w:t xml:space="preserve"> and the Bulgarian authorities had not </w:t>
      </w:r>
      <w:r>
        <w:t xml:space="preserve">received </w:t>
      </w:r>
      <w:r w:rsidRPr="00CD0CDD">
        <w:t>any information indicating that they would be sub</w:t>
      </w:r>
      <w:r>
        <w:t>jected</w:t>
      </w:r>
      <w:r w:rsidRPr="00CD0CDD">
        <w:t xml:space="preserve"> to torture or ill-treatment</w:t>
      </w:r>
      <w:r>
        <w:t xml:space="preserve"> </w:t>
      </w:r>
      <w:r w:rsidRPr="00CD0CDD">
        <w:t>if they were returned to the country. In that connection, a country of origin resource centre had recently been set up to improve the collection of the</w:t>
      </w:r>
      <w:r>
        <w:t xml:space="preserve"> relevant data</w:t>
      </w:r>
      <w:r w:rsidRPr="00CD0CDD">
        <w:t xml:space="preserve">. Regarding follow-up mechanisms for foreigners returned to their countries of origin, </w:t>
      </w:r>
      <w:smartTag w:uri="urn:schemas-microsoft-com:office:smarttags" w:element="place">
        <w:smartTag w:uri="urn:schemas-microsoft-com:office:smarttags" w:element="country-region">
          <w:r w:rsidRPr="00CD0CDD">
            <w:t>Bulgaria</w:t>
          </w:r>
        </w:smartTag>
      </w:smartTag>
      <w:r w:rsidRPr="00CD0CDD">
        <w:t xml:space="preserve"> unfortunately did not possess the funding required for such mechanisms. As for the accelerated asylum procedure, she suggested that, given the late hour, a document presenting all the relevant</w:t>
      </w:r>
      <w:r>
        <w:t xml:space="preserve"> </w:t>
      </w:r>
      <w:r w:rsidRPr="00CD0CDD">
        <w:t>information should be submitted to the secretariat.</w:t>
      </w:r>
      <w:r>
        <w:t xml:space="preserve"> </w:t>
      </w:r>
    </w:p>
    <w:p w:rsidR="0047095F" w:rsidRDefault="0047095F" w:rsidP="0047095F">
      <w:pPr>
        <w:pStyle w:val="SingleTxtG"/>
      </w:pPr>
      <w:r>
        <w:t>39.</w:t>
      </w:r>
      <w:r>
        <w:tab/>
      </w:r>
      <w:r w:rsidRPr="00E42217">
        <w:rPr>
          <w:b/>
        </w:rPr>
        <w:t>Ms. Nikolova</w:t>
      </w:r>
      <w:r w:rsidRPr="00CD0CDD">
        <w:t xml:space="preserve"> (</w:t>
      </w:r>
      <w:smartTag w:uri="urn:schemas-microsoft-com:office:smarttags" w:element="place">
        <w:smartTag w:uri="urn:schemas-microsoft-com:office:smarttags" w:element="country-region">
          <w:r w:rsidRPr="00CD0CDD">
            <w:t>Bulgaria</w:t>
          </w:r>
        </w:smartTag>
      </w:smartTag>
      <w:r w:rsidRPr="00CD0CDD">
        <w:t>) said that, with regard to the response to the</w:t>
      </w:r>
      <w:r>
        <w:t xml:space="preserve"> </w:t>
      </w:r>
      <w:r w:rsidRPr="00CD0CDD">
        <w:t>Committee</w:t>
      </w:r>
      <w:r w:rsidR="00746E2D">
        <w:t>’</w:t>
      </w:r>
      <w:r w:rsidRPr="00CD0CDD">
        <w:t xml:space="preserve">s decision on the Keremedchiev case (communication No. 257/2004), the individual concerned had not exhausted </w:t>
      </w:r>
      <w:r>
        <w:t xml:space="preserve">all </w:t>
      </w:r>
      <w:r w:rsidRPr="00CD0CDD">
        <w:t>domestic remedies</w:t>
      </w:r>
      <w:r>
        <w:t>. H</w:t>
      </w:r>
      <w:r w:rsidRPr="00CD0CDD">
        <w:t>e</w:t>
      </w:r>
      <w:r>
        <w:t xml:space="preserve"> c</w:t>
      </w:r>
      <w:r w:rsidRPr="00CD0CDD">
        <w:t xml:space="preserve">ould </w:t>
      </w:r>
      <w:r>
        <w:t xml:space="preserve">bring </w:t>
      </w:r>
      <w:r w:rsidRPr="00CD0CDD">
        <w:t xml:space="preserve">a case under the State and Municipal Liabilities for Damages Act. In several cases concerning </w:t>
      </w:r>
      <w:smartTag w:uri="urn:schemas-microsoft-com:office:smarttags" w:element="place">
        <w:smartTag w:uri="urn:schemas-microsoft-com:office:smarttags" w:element="country-region">
          <w:r w:rsidRPr="00CD0CDD">
            <w:t>Bulgaria</w:t>
          </w:r>
        </w:smartTag>
      </w:smartTag>
      <w:r w:rsidRPr="00CD0CDD">
        <w:t xml:space="preserve">, the </w:t>
      </w:r>
      <w:r>
        <w:t xml:space="preserve">European Court of Human Rights </w:t>
      </w:r>
      <w:r w:rsidRPr="00CD0CDD">
        <w:t>had considered that law to provide a useful remedy.</w:t>
      </w:r>
      <w:r>
        <w:t xml:space="preserve"> </w:t>
      </w:r>
    </w:p>
    <w:p w:rsidR="0047095F" w:rsidRDefault="0047095F" w:rsidP="0047095F">
      <w:pPr>
        <w:pStyle w:val="SingleTxtG"/>
      </w:pPr>
      <w:r>
        <w:t>40.</w:t>
      </w:r>
      <w:r>
        <w:tab/>
      </w:r>
      <w:r w:rsidRPr="00F434C7">
        <w:rPr>
          <w:b/>
        </w:rPr>
        <w:t>Mr. Tzantchev</w:t>
      </w:r>
      <w:r w:rsidRPr="00CD0CDD">
        <w:t xml:space="preserve"> (</w:t>
      </w:r>
      <w:smartTag w:uri="urn:schemas-microsoft-com:office:smarttags" w:element="country-region">
        <w:r w:rsidRPr="00CD0CDD">
          <w:t>Bulgaria</w:t>
        </w:r>
      </w:smartTag>
      <w:r w:rsidRPr="00CD0CDD">
        <w:t>) said that the Roma residents who had moved</w:t>
      </w:r>
      <w:r>
        <w:t xml:space="preserve"> </w:t>
      </w:r>
      <w:r w:rsidRPr="00CD0CDD">
        <w:t xml:space="preserve">to private land around the town of </w:t>
      </w:r>
      <w:smartTag w:uri="urn:schemas-microsoft-com:office:smarttags" w:element="place">
        <w:smartTag w:uri="urn:schemas-microsoft-com:office:smarttags" w:element="City">
          <w:r w:rsidRPr="00CD0CDD">
            <w:t>Burgas</w:t>
          </w:r>
        </w:smartTag>
      </w:smartTag>
      <w:r w:rsidRPr="00CD0CDD">
        <w:t xml:space="preserve"> had willingly left their encampment</w:t>
      </w:r>
      <w:r>
        <w:t xml:space="preserve"> </w:t>
      </w:r>
      <w:r w:rsidRPr="00CD0CDD">
        <w:t xml:space="preserve">after the municipal authority had issued an expulsion order for </w:t>
      </w:r>
      <w:r>
        <w:t xml:space="preserve">security </w:t>
      </w:r>
      <w:r w:rsidRPr="00CD0CDD">
        <w:t>reasons</w:t>
      </w:r>
      <w:r>
        <w:t xml:space="preserve"> </w:t>
      </w:r>
      <w:r w:rsidRPr="00CD0CDD">
        <w:t>and</w:t>
      </w:r>
      <w:r>
        <w:t xml:space="preserve"> that they </w:t>
      </w:r>
      <w:r w:rsidRPr="00CD0CDD">
        <w:t>had been given the opportunity to relocate elsewhere. As for the</w:t>
      </w:r>
      <w:r>
        <w:t xml:space="preserve"> </w:t>
      </w:r>
      <w:r w:rsidRPr="00CD0CDD">
        <w:t>explosion of a car belonging to Sasho Dikov, an opposition journalist, on 14</w:t>
      </w:r>
      <w:r>
        <w:t xml:space="preserve"> </w:t>
      </w:r>
      <w:r w:rsidRPr="00CD0CDD">
        <w:t>October 2011, it should be emphasized that the incident had been strongly</w:t>
      </w:r>
      <w:r>
        <w:t xml:space="preserve"> </w:t>
      </w:r>
      <w:r w:rsidRPr="00CD0CDD">
        <w:t>condemned by the Prime Minister of Bulgaria, Mr. Boyko Borisso</w:t>
      </w:r>
      <w:r>
        <w:t>v</w:t>
      </w:r>
      <w:r w:rsidRPr="00CD0CDD">
        <w:t>, and that an</w:t>
      </w:r>
      <w:r>
        <w:t xml:space="preserve"> </w:t>
      </w:r>
      <w:r w:rsidRPr="00CD0CDD">
        <w:t xml:space="preserve">investigation into events had </w:t>
      </w:r>
      <w:r>
        <w:t xml:space="preserve">been </w:t>
      </w:r>
      <w:r w:rsidRPr="00CD0CDD">
        <w:t>immediately launched.</w:t>
      </w:r>
      <w:r>
        <w:t xml:space="preserve"> </w:t>
      </w:r>
    </w:p>
    <w:p w:rsidR="0047095F" w:rsidRDefault="0047095F" w:rsidP="0047095F">
      <w:pPr>
        <w:pStyle w:val="SingleTxtG"/>
      </w:pPr>
      <w:r>
        <w:t>41.</w:t>
      </w:r>
      <w:r>
        <w:tab/>
      </w:r>
      <w:r w:rsidRPr="00546E4E">
        <w:rPr>
          <w:b/>
        </w:rPr>
        <w:t>Ms. Kleopas</w:t>
      </w:r>
      <w:r w:rsidRPr="00CD0CDD">
        <w:t xml:space="preserve"> said that the delegation had not answered all of her questions. In addition, </w:t>
      </w:r>
      <w:r>
        <w:t xml:space="preserve">it had offered </w:t>
      </w:r>
      <w:r w:rsidRPr="00CD0CDD">
        <w:t xml:space="preserve">no information </w:t>
      </w:r>
      <w:r>
        <w:t xml:space="preserve">on </w:t>
      </w:r>
      <w:r w:rsidRPr="00CD0CDD">
        <w:t>measures establishing universal Bulgarian jurisdiction to try offences of torture.</w:t>
      </w:r>
      <w:r>
        <w:t xml:space="preserve"> Also, t</w:t>
      </w:r>
      <w:r w:rsidRPr="00CD0CDD">
        <w:t xml:space="preserve">he Committee </w:t>
      </w:r>
      <w:r>
        <w:t xml:space="preserve">did not know </w:t>
      </w:r>
      <w:r w:rsidRPr="00CD0CDD">
        <w:t xml:space="preserve">whether Bulgarian legislation stipulated compulsory investigation and prosecution </w:t>
      </w:r>
      <w:r>
        <w:t>o</w:t>
      </w:r>
      <w:r w:rsidRPr="00CD0CDD">
        <w:t>f acts of domestic abuse. The delegation was invited to use the time that remained to respond to those</w:t>
      </w:r>
      <w:r>
        <w:t xml:space="preserve"> questions</w:t>
      </w:r>
      <w:r w:rsidRPr="00CD0CDD">
        <w:t>.</w:t>
      </w:r>
      <w:r>
        <w:t xml:space="preserve"> </w:t>
      </w:r>
    </w:p>
    <w:p w:rsidR="0047095F" w:rsidRDefault="0047095F" w:rsidP="0047095F">
      <w:pPr>
        <w:pStyle w:val="SingleTxtG"/>
      </w:pPr>
      <w:r>
        <w:t>42.</w:t>
      </w:r>
      <w:r>
        <w:tab/>
      </w:r>
      <w:r w:rsidRPr="00BF1044">
        <w:rPr>
          <w:b/>
        </w:rPr>
        <w:t>Ms. Makeva-Naydenova</w:t>
      </w:r>
      <w:r>
        <w:t xml:space="preserve"> (</w:t>
      </w:r>
      <w:smartTag w:uri="urn:schemas-microsoft-com:office:smarttags" w:element="place">
        <w:smartTag w:uri="urn:schemas-microsoft-com:office:smarttags" w:element="country-region">
          <w:r w:rsidRPr="00CD0CDD">
            <w:t>Bulgaria</w:t>
          </w:r>
        </w:smartTag>
      </w:smartTag>
      <w:r w:rsidRPr="00CD0CDD">
        <w:t>) said that Bulgarian legislation</w:t>
      </w:r>
      <w:r>
        <w:t xml:space="preserve"> </w:t>
      </w:r>
      <w:r w:rsidRPr="00CD0CDD">
        <w:t xml:space="preserve">stipulated ex officio prosecution of acts that constituted a criminal offence. In addition, article 296 of the Criminal Code currently </w:t>
      </w:r>
      <w:r>
        <w:t xml:space="preserve">enabled </w:t>
      </w:r>
      <w:r w:rsidRPr="00CD0CDD">
        <w:t xml:space="preserve">tribunals to </w:t>
      </w:r>
      <w:r>
        <w:t xml:space="preserve">issue </w:t>
      </w:r>
      <w:r w:rsidRPr="00CD0CDD">
        <w:t>protection orders, the violation of which was systematically</w:t>
      </w:r>
      <w:r>
        <w:t xml:space="preserve"> </w:t>
      </w:r>
      <w:r w:rsidRPr="00CD0CDD">
        <w:t>punished.</w:t>
      </w:r>
      <w:r>
        <w:t xml:space="preserve"> </w:t>
      </w:r>
    </w:p>
    <w:p w:rsidR="0047095F" w:rsidRDefault="0047095F" w:rsidP="0047095F">
      <w:pPr>
        <w:pStyle w:val="SingleTxtG"/>
      </w:pPr>
      <w:r>
        <w:t>43.</w:t>
      </w:r>
      <w:r>
        <w:tab/>
      </w:r>
      <w:r w:rsidRPr="00797306">
        <w:rPr>
          <w:b/>
        </w:rPr>
        <w:t>The Chairperson</w:t>
      </w:r>
      <w:r w:rsidRPr="00CD0CDD">
        <w:t xml:space="preserve"> thanked the delegation of </w:t>
      </w:r>
      <w:smartTag w:uri="urn:schemas-microsoft-com:office:smarttags" w:element="place">
        <w:smartTag w:uri="urn:schemas-microsoft-com:office:smarttags" w:element="country-region">
          <w:r w:rsidRPr="00CD0CDD">
            <w:t>Bulgaria</w:t>
          </w:r>
        </w:smartTag>
      </w:smartTag>
      <w:r w:rsidRPr="00CD0CDD">
        <w:t xml:space="preserve"> for its </w:t>
      </w:r>
      <w:r>
        <w:t xml:space="preserve">replies </w:t>
      </w:r>
      <w:r w:rsidRPr="00CD0CDD">
        <w:t>and</w:t>
      </w:r>
      <w:r>
        <w:t xml:space="preserve"> </w:t>
      </w:r>
      <w:r w:rsidRPr="00CD0CDD">
        <w:t>recalled that it had 48 hours to transmit to the secretariat all the additional written</w:t>
      </w:r>
      <w:r>
        <w:t xml:space="preserve"> </w:t>
      </w:r>
      <w:r w:rsidRPr="00CD0CDD">
        <w:t>information</w:t>
      </w:r>
      <w:r>
        <w:t xml:space="preserve"> </w:t>
      </w:r>
      <w:r w:rsidRPr="00CD0CDD">
        <w:t>it considered useful to bring to</w:t>
      </w:r>
      <w:r>
        <w:t xml:space="preserve"> the Committee</w:t>
      </w:r>
      <w:r w:rsidR="00746E2D">
        <w:t>’</w:t>
      </w:r>
      <w:r>
        <w:t>s at</w:t>
      </w:r>
      <w:r w:rsidRPr="00CD0CDD">
        <w:t>tention</w:t>
      </w:r>
      <w:r>
        <w:t xml:space="preserve">. </w:t>
      </w:r>
    </w:p>
    <w:p w:rsidR="0047095F" w:rsidRDefault="0047095F" w:rsidP="0047095F">
      <w:pPr>
        <w:pStyle w:val="SingleTxtG"/>
      </w:pPr>
      <w:r w:rsidRPr="00BC3532">
        <w:rPr>
          <w:i/>
        </w:rPr>
        <w:t>The meeting rose at 6 p.m.</w:t>
      </w:r>
    </w:p>
    <w:sectPr w:rsidR="0047095F" w:rsidSect="00E0388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870" w:rsidRDefault="00CC2870"/>
  </w:endnote>
  <w:endnote w:type="continuationSeparator" w:id="0">
    <w:p w:rsidR="00CC2870" w:rsidRDefault="00CC2870"/>
  </w:endnote>
  <w:endnote w:type="continuationNotice" w:id="1">
    <w:p w:rsidR="00CC2870" w:rsidRDefault="00CC28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4C4" w:rsidRPr="00E03887" w:rsidRDefault="00CD34C4" w:rsidP="00E03887">
    <w:pPr>
      <w:pStyle w:val="Footer"/>
      <w:tabs>
        <w:tab w:val="right" w:pos="9598"/>
      </w:tabs>
    </w:pPr>
    <w:r w:rsidRPr="00E03887">
      <w:rPr>
        <w:b/>
        <w:sz w:val="18"/>
      </w:rPr>
      <w:fldChar w:fldCharType="begin"/>
    </w:r>
    <w:r w:rsidRPr="00E03887">
      <w:rPr>
        <w:b/>
        <w:sz w:val="18"/>
      </w:rPr>
      <w:instrText xml:space="preserve"> PAGE  \* MERGEFORMAT </w:instrText>
    </w:r>
    <w:r w:rsidRPr="00E03887">
      <w:rPr>
        <w:b/>
        <w:sz w:val="18"/>
      </w:rPr>
      <w:fldChar w:fldCharType="separate"/>
    </w:r>
    <w:r w:rsidR="00A819E2">
      <w:rPr>
        <w:b/>
        <w:noProof/>
        <w:sz w:val="18"/>
      </w:rPr>
      <w:t>8</w:t>
    </w:r>
    <w:r w:rsidRPr="00E03887">
      <w:rPr>
        <w:b/>
        <w:sz w:val="18"/>
      </w:rPr>
      <w:fldChar w:fldCharType="end"/>
    </w:r>
    <w:r>
      <w:rPr>
        <w:sz w:val="18"/>
      </w:rPr>
      <w:tab/>
    </w:r>
    <w:r>
      <w:t>GE.11-46868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4C4" w:rsidRPr="00E03887" w:rsidRDefault="00CD34C4" w:rsidP="00E03887">
    <w:pPr>
      <w:pStyle w:val="Footer"/>
      <w:tabs>
        <w:tab w:val="right" w:pos="9598"/>
      </w:tabs>
      <w:rPr>
        <w:b/>
        <w:sz w:val="18"/>
      </w:rPr>
    </w:pPr>
    <w:r>
      <w:t>GE.11-46868</w:t>
    </w:r>
    <w:r>
      <w:tab/>
    </w:r>
    <w:r w:rsidRPr="00E03887">
      <w:rPr>
        <w:b/>
        <w:sz w:val="18"/>
      </w:rPr>
      <w:fldChar w:fldCharType="begin"/>
    </w:r>
    <w:r w:rsidRPr="00E03887">
      <w:rPr>
        <w:b/>
        <w:sz w:val="18"/>
      </w:rPr>
      <w:instrText xml:space="preserve"> PAGE  \* MERGEFORMAT </w:instrText>
    </w:r>
    <w:r w:rsidRPr="00E03887">
      <w:rPr>
        <w:b/>
        <w:sz w:val="18"/>
      </w:rPr>
      <w:fldChar w:fldCharType="separate"/>
    </w:r>
    <w:r w:rsidR="00A819E2">
      <w:rPr>
        <w:b/>
        <w:noProof/>
        <w:sz w:val="18"/>
      </w:rPr>
      <w:t>7</w:t>
    </w:r>
    <w:r w:rsidRPr="00E0388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4C4" w:rsidRDefault="00CD34C4" w:rsidP="003B46EB">
    <w:pPr>
      <w:pStyle w:val="FootnoteText"/>
      <w:pBdr>
        <w:bottom w:val="single" w:sz="4" w:space="1" w:color="auto"/>
      </w:pBdr>
      <w:tabs>
        <w:tab w:val="clear" w:pos="1021"/>
      </w:tabs>
      <w:ind w:left="0" w:right="0" w:firstLine="0"/>
    </w:pPr>
  </w:p>
  <w:p w:rsidR="00CD34C4" w:rsidRDefault="00CD34C4" w:rsidP="003B46EB">
    <w:pPr>
      <w:pStyle w:val="FootnoteText"/>
      <w:spacing w:after="120"/>
      <w:ind w:firstLine="0"/>
    </w:pPr>
    <w:r>
      <w:t>This record is subject to correction.</w:t>
    </w:r>
  </w:p>
  <w:p w:rsidR="00CD34C4" w:rsidRDefault="00CD34C4" w:rsidP="003B46E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D34C4" w:rsidRPr="003B46EB" w:rsidRDefault="00CD34C4" w:rsidP="003B46EB">
    <w:pPr>
      <w:pStyle w:val="FootnoteText"/>
      <w:spacing w:after="240"/>
      <w:ind w:firstLine="0"/>
    </w:pPr>
    <w:r>
      <w:t>Any corrections to the records of the public meetings of the Committee at this session will be consolidated in a single corrigendum, to be issued shortly after the end of the session.</w:t>
    </w:r>
  </w:p>
  <w:p w:rsidR="00CD34C4" w:rsidRPr="007E2A1D" w:rsidRDefault="00CD34C4">
    <w:pPr>
      <w:pStyle w:val="Footer"/>
      <w:rPr>
        <w:sz w:val="20"/>
      </w:rPr>
    </w:pPr>
    <w:r>
      <w:rPr>
        <w:sz w:val="20"/>
      </w:rPr>
      <w:t>GE.11-46868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210512    230512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870" w:rsidRPr="000B175B" w:rsidRDefault="00CC2870" w:rsidP="000B175B">
      <w:pPr>
        <w:tabs>
          <w:tab w:val="right" w:pos="2155"/>
        </w:tabs>
        <w:spacing w:after="80"/>
        <w:ind w:left="680"/>
        <w:rPr>
          <w:u w:val="single"/>
        </w:rPr>
      </w:pPr>
      <w:r>
        <w:rPr>
          <w:u w:val="single"/>
        </w:rPr>
        <w:tab/>
      </w:r>
    </w:p>
  </w:footnote>
  <w:footnote w:type="continuationSeparator" w:id="0">
    <w:p w:rsidR="00CC2870" w:rsidRPr="00FC68B7" w:rsidRDefault="00CC2870" w:rsidP="00FC68B7">
      <w:pPr>
        <w:tabs>
          <w:tab w:val="left" w:pos="2155"/>
        </w:tabs>
        <w:spacing w:after="80"/>
        <w:ind w:left="680"/>
        <w:rPr>
          <w:u w:val="single"/>
        </w:rPr>
      </w:pPr>
      <w:r>
        <w:rPr>
          <w:u w:val="single"/>
        </w:rPr>
        <w:tab/>
      </w:r>
    </w:p>
  </w:footnote>
  <w:footnote w:type="continuationNotice" w:id="1">
    <w:p w:rsidR="00CC2870" w:rsidRDefault="00CC28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4C4" w:rsidRPr="00E03887" w:rsidRDefault="00CD34C4" w:rsidP="00E03887">
    <w:pPr>
      <w:pStyle w:val="Header"/>
    </w:pPr>
    <w:r w:rsidRPr="00E03887">
      <w:t>CAT/C/SR.1035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4C4" w:rsidRPr="00E03887" w:rsidRDefault="00CD34C4" w:rsidP="00E03887">
    <w:pPr>
      <w:pStyle w:val="Header"/>
      <w:jc w:val="right"/>
    </w:pPr>
    <w:r w:rsidRPr="00E03887">
      <w:t>CAT/C/SR.1035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4B463F3"/>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2"/>
  </w:num>
  <w:num w:numId="10">
    <w:abstractNumId w:val="42"/>
  </w:num>
  <w:num w:numId="11">
    <w:abstractNumId w:val="28"/>
  </w:num>
  <w:num w:numId="12">
    <w:abstractNumId w:val="31"/>
  </w:num>
  <w:num w:numId="13">
    <w:abstractNumId w:val="31"/>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7EF2"/>
    <w:rsid w:val="00027F2B"/>
    <w:rsid w:val="00050F6B"/>
    <w:rsid w:val="00054D61"/>
    <w:rsid w:val="00072C8C"/>
    <w:rsid w:val="000733B5"/>
    <w:rsid w:val="000831D8"/>
    <w:rsid w:val="000931C0"/>
    <w:rsid w:val="000B175B"/>
    <w:rsid w:val="000B3A0F"/>
    <w:rsid w:val="000B4EF7"/>
    <w:rsid w:val="000C2D2E"/>
    <w:rsid w:val="000C6CD1"/>
    <w:rsid w:val="000E0415"/>
    <w:rsid w:val="001103AA"/>
    <w:rsid w:val="00130539"/>
    <w:rsid w:val="001620A2"/>
    <w:rsid w:val="00163133"/>
    <w:rsid w:val="0017575B"/>
    <w:rsid w:val="001B0C71"/>
    <w:rsid w:val="001B4B04"/>
    <w:rsid w:val="001C6663"/>
    <w:rsid w:val="001C7895"/>
    <w:rsid w:val="001D26DF"/>
    <w:rsid w:val="001E334A"/>
    <w:rsid w:val="001E6639"/>
    <w:rsid w:val="00202DA8"/>
    <w:rsid w:val="00211E0B"/>
    <w:rsid w:val="00224CC5"/>
    <w:rsid w:val="00247485"/>
    <w:rsid w:val="002534C4"/>
    <w:rsid w:val="00257F1E"/>
    <w:rsid w:val="002611EE"/>
    <w:rsid w:val="00292104"/>
    <w:rsid w:val="002C0242"/>
    <w:rsid w:val="002F175C"/>
    <w:rsid w:val="003229D8"/>
    <w:rsid w:val="00352709"/>
    <w:rsid w:val="0036359E"/>
    <w:rsid w:val="00371178"/>
    <w:rsid w:val="003A6810"/>
    <w:rsid w:val="003B46EB"/>
    <w:rsid w:val="003C0C4E"/>
    <w:rsid w:val="003C2CC4"/>
    <w:rsid w:val="003D4B23"/>
    <w:rsid w:val="003F0898"/>
    <w:rsid w:val="00410C89"/>
    <w:rsid w:val="004118F4"/>
    <w:rsid w:val="00426B9B"/>
    <w:rsid w:val="004325CB"/>
    <w:rsid w:val="00440653"/>
    <w:rsid w:val="00443F4C"/>
    <w:rsid w:val="0045495B"/>
    <w:rsid w:val="00456549"/>
    <w:rsid w:val="0047095F"/>
    <w:rsid w:val="0047693D"/>
    <w:rsid w:val="0048167A"/>
    <w:rsid w:val="004A3A3E"/>
    <w:rsid w:val="004D4CD5"/>
    <w:rsid w:val="005002BB"/>
    <w:rsid w:val="005420F2"/>
    <w:rsid w:val="0059756F"/>
    <w:rsid w:val="005B1BF6"/>
    <w:rsid w:val="005B3DB3"/>
    <w:rsid w:val="005E2A1C"/>
    <w:rsid w:val="006001EE"/>
    <w:rsid w:val="00611FC4"/>
    <w:rsid w:val="006176FB"/>
    <w:rsid w:val="00640B26"/>
    <w:rsid w:val="006500BC"/>
    <w:rsid w:val="00652D0A"/>
    <w:rsid w:val="006612E0"/>
    <w:rsid w:val="006A4C7A"/>
    <w:rsid w:val="006B441A"/>
    <w:rsid w:val="006D088C"/>
    <w:rsid w:val="006E4EE9"/>
    <w:rsid w:val="006E564B"/>
    <w:rsid w:val="006E6E4C"/>
    <w:rsid w:val="00703CDA"/>
    <w:rsid w:val="0072632A"/>
    <w:rsid w:val="0073651A"/>
    <w:rsid w:val="00746E2D"/>
    <w:rsid w:val="00764F85"/>
    <w:rsid w:val="007816B3"/>
    <w:rsid w:val="007A3816"/>
    <w:rsid w:val="007B6BA5"/>
    <w:rsid w:val="007C3390"/>
    <w:rsid w:val="007C4F4B"/>
    <w:rsid w:val="007D56AB"/>
    <w:rsid w:val="007E2A1D"/>
    <w:rsid w:val="007E36B7"/>
    <w:rsid w:val="007F6611"/>
    <w:rsid w:val="007F6CAD"/>
    <w:rsid w:val="008242D7"/>
    <w:rsid w:val="00880232"/>
    <w:rsid w:val="008979B1"/>
    <w:rsid w:val="008A6B25"/>
    <w:rsid w:val="008A6C4F"/>
    <w:rsid w:val="008A7A4B"/>
    <w:rsid w:val="008B2335"/>
    <w:rsid w:val="008B2551"/>
    <w:rsid w:val="008C6EBE"/>
    <w:rsid w:val="008F6259"/>
    <w:rsid w:val="008F7EF2"/>
    <w:rsid w:val="009026B5"/>
    <w:rsid w:val="0090482F"/>
    <w:rsid w:val="009223CA"/>
    <w:rsid w:val="00940F93"/>
    <w:rsid w:val="00975BD1"/>
    <w:rsid w:val="009824ED"/>
    <w:rsid w:val="00995E1A"/>
    <w:rsid w:val="009A734D"/>
    <w:rsid w:val="00A01489"/>
    <w:rsid w:val="00A03DD4"/>
    <w:rsid w:val="00A43596"/>
    <w:rsid w:val="00A5384B"/>
    <w:rsid w:val="00A61D82"/>
    <w:rsid w:val="00A72F22"/>
    <w:rsid w:val="00A748A6"/>
    <w:rsid w:val="00A776B4"/>
    <w:rsid w:val="00A819E2"/>
    <w:rsid w:val="00A94361"/>
    <w:rsid w:val="00AF39BE"/>
    <w:rsid w:val="00B172C1"/>
    <w:rsid w:val="00B20FFB"/>
    <w:rsid w:val="00B30179"/>
    <w:rsid w:val="00B33CB1"/>
    <w:rsid w:val="00B541E4"/>
    <w:rsid w:val="00B56E9C"/>
    <w:rsid w:val="00B64B1F"/>
    <w:rsid w:val="00B6553F"/>
    <w:rsid w:val="00B81E12"/>
    <w:rsid w:val="00BA276C"/>
    <w:rsid w:val="00BB6B22"/>
    <w:rsid w:val="00BC74E9"/>
    <w:rsid w:val="00BE7C1F"/>
    <w:rsid w:val="00BF68A8"/>
    <w:rsid w:val="00C01314"/>
    <w:rsid w:val="00C01FF8"/>
    <w:rsid w:val="00C463DD"/>
    <w:rsid w:val="00C46705"/>
    <w:rsid w:val="00C4724C"/>
    <w:rsid w:val="00C52C96"/>
    <w:rsid w:val="00C629A0"/>
    <w:rsid w:val="00C6559E"/>
    <w:rsid w:val="00C745C3"/>
    <w:rsid w:val="00C82348"/>
    <w:rsid w:val="00CA19B5"/>
    <w:rsid w:val="00CC2870"/>
    <w:rsid w:val="00CD34C4"/>
    <w:rsid w:val="00CE0E13"/>
    <w:rsid w:val="00CE4A8F"/>
    <w:rsid w:val="00D2031B"/>
    <w:rsid w:val="00D25FE2"/>
    <w:rsid w:val="00D34284"/>
    <w:rsid w:val="00D43252"/>
    <w:rsid w:val="00D4734E"/>
    <w:rsid w:val="00D93FE0"/>
    <w:rsid w:val="00D95303"/>
    <w:rsid w:val="00D978C6"/>
    <w:rsid w:val="00DA3C1C"/>
    <w:rsid w:val="00DD1965"/>
    <w:rsid w:val="00DE5CF5"/>
    <w:rsid w:val="00E03887"/>
    <w:rsid w:val="00E11216"/>
    <w:rsid w:val="00E177C6"/>
    <w:rsid w:val="00E26D05"/>
    <w:rsid w:val="00E7012D"/>
    <w:rsid w:val="00E71BC8"/>
    <w:rsid w:val="00E7260F"/>
    <w:rsid w:val="00E803B3"/>
    <w:rsid w:val="00E96630"/>
    <w:rsid w:val="00ED7A2A"/>
    <w:rsid w:val="00EF1D7F"/>
    <w:rsid w:val="00EF6DFD"/>
    <w:rsid w:val="00F31B7E"/>
    <w:rsid w:val="00F43656"/>
    <w:rsid w:val="00F46E8D"/>
    <w:rsid w:val="00F47229"/>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8</Pages>
  <Words>4465</Words>
  <Characters>24385</Characters>
  <Application>Microsoft Office Word</Application>
  <DocSecurity>4</DocSecurity>
  <Lines>369</Lines>
  <Paragraphs>73</Paragraphs>
  <ScaleCrop>false</ScaleCrop>
  <HeadingPairs>
    <vt:vector size="2" baseType="variant">
      <vt:variant>
        <vt:lpstr>Title</vt:lpstr>
      </vt:variant>
      <vt:variant>
        <vt:i4>1</vt:i4>
      </vt:variant>
    </vt:vector>
  </HeadingPairs>
  <TitlesOfParts>
    <vt:vector size="1" baseType="lpstr">
      <vt:lpstr>46868</vt:lpstr>
    </vt:vector>
  </TitlesOfParts>
  <Company>CSD</Company>
  <LinksUpToDate>false</LinksUpToDate>
  <CharactersWithSpaces>28777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46868</dc:title>
  <dc:subject/>
  <dc:creator>Brigoli</dc:creator>
  <cp:keywords>CAT/C/SR.1035</cp:keywords>
  <dc:description>Semi</dc:description>
  <cp:lastModifiedBy>Giltsoff</cp:lastModifiedBy>
  <cp:revision>2</cp:revision>
  <cp:lastPrinted>2012-05-23T08:18:00Z</cp:lastPrinted>
  <dcterms:created xsi:type="dcterms:W3CDTF">2012-05-23T08:22:00Z</dcterms:created>
  <dcterms:modified xsi:type="dcterms:W3CDTF">2012-05-23T08:22:00Z</dcterms:modified>
</cp:coreProperties>
</file>