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40851">
                <w:t>C/SR.2936</w:t>
              </w:r>
            </w:fldSimple>
          </w:p>
        </w:tc>
      </w:tr>
      <w:tr w:rsidR="0084613B" w:rsidRPr="00A81D33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A81D33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A04262" w:rsidP="00D76358">
            <w:pPr>
              <w:rPr>
                <w:lang w:val="en-US"/>
              </w:rPr>
            </w:pPr>
            <w:r w:rsidRPr="00A81D33">
              <w:rPr>
                <w:lang w:val="en-US"/>
              </w:rPr>
              <w:t xml:space="preserve">17 </w:t>
            </w:r>
            <w:r>
              <w:rPr>
                <w:lang w:val="en-US"/>
              </w:rPr>
              <w:t>October 2014</w:t>
            </w:r>
            <w:fldSimple w:instr=" FILLIN  &quot;Введите дату документа&quot; \* MERGEFORMAT "/>
          </w:p>
          <w:p w:rsidR="0084613B" w:rsidRPr="00A81D33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4613B" w:rsidRPr="00A81D33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A81D33">
              <w:rPr>
                <w:lang w:val="en-US"/>
              </w:rPr>
              <w:t xml:space="preserve">: </w:t>
            </w:r>
            <w:bookmarkStart w:id="1" w:name="ПолеСоСписком2"/>
            <w:r w:rsidR="00A81D33">
              <w:rPr>
                <w:lang w:val="en-US"/>
              </w:rPr>
              <w:t>French</w:t>
            </w:r>
            <w:bookmarkEnd w:id="1"/>
          </w:p>
          <w:p w:rsidR="0084613B" w:rsidRPr="00A81D33" w:rsidRDefault="0084613B" w:rsidP="00D76358">
            <w:pPr>
              <w:rPr>
                <w:lang w:val="en-US"/>
              </w:rPr>
            </w:pPr>
          </w:p>
        </w:tc>
      </w:tr>
    </w:tbl>
    <w:p w:rsidR="00CF567F" w:rsidRPr="00C868D6" w:rsidRDefault="00CF567F" w:rsidP="008C675D">
      <w:pPr>
        <w:spacing w:before="120"/>
        <w:rPr>
          <w:b/>
          <w:sz w:val="24"/>
          <w:szCs w:val="24"/>
        </w:rPr>
      </w:pPr>
      <w:r w:rsidRPr="00C868D6">
        <w:rPr>
          <w:b/>
          <w:sz w:val="24"/>
          <w:szCs w:val="24"/>
        </w:rPr>
        <w:t>Комитет по правам человека</w:t>
      </w:r>
    </w:p>
    <w:p w:rsidR="00CF567F" w:rsidRPr="00C868D6" w:rsidRDefault="00CF567F" w:rsidP="000E3374">
      <w:pPr>
        <w:rPr>
          <w:b/>
        </w:rPr>
      </w:pPr>
      <w:r w:rsidRPr="00C868D6">
        <w:rPr>
          <w:b/>
        </w:rPr>
        <w:t>106-я сессия</w:t>
      </w:r>
    </w:p>
    <w:p w:rsidR="00CF567F" w:rsidRPr="00C868D6" w:rsidRDefault="00CF567F" w:rsidP="00C868D6">
      <w:pPr>
        <w:spacing w:before="120"/>
        <w:rPr>
          <w:b/>
        </w:rPr>
      </w:pPr>
      <w:r w:rsidRPr="00C868D6">
        <w:rPr>
          <w:b/>
        </w:rPr>
        <w:t>Краткий отчет о 2936-м заседании,</w:t>
      </w:r>
    </w:p>
    <w:p w:rsidR="00CF567F" w:rsidRPr="000E3374" w:rsidRDefault="00CF567F" w:rsidP="000E3374">
      <w:r w:rsidRPr="000E3374">
        <w:t xml:space="preserve">состоявшемся во Дворце Вильсона в Женеве </w:t>
      </w:r>
      <w:r w:rsidR="00C868D6" w:rsidRPr="00C868D6">
        <w:br/>
      </w:r>
      <w:r w:rsidRPr="000E3374">
        <w:t>во вторник, 23 октября 2012 года, в 15 ч. 00 м.</w:t>
      </w:r>
    </w:p>
    <w:p w:rsidR="00CF567F" w:rsidRPr="000E3374" w:rsidRDefault="00CF567F" w:rsidP="00C868D6">
      <w:pPr>
        <w:spacing w:before="120"/>
      </w:pPr>
      <w:r w:rsidRPr="00C868D6">
        <w:rPr>
          <w:i/>
        </w:rPr>
        <w:t>Председатель</w:t>
      </w:r>
      <w:r w:rsidR="00C868D6">
        <w:t>:</w:t>
      </w:r>
      <w:r w:rsidR="002A0E17">
        <w:t xml:space="preserve"> </w:t>
      </w:r>
      <w:r w:rsidRPr="000E3374">
        <w:t>г-н О'Флаэрти (заместитель Председателя)</w:t>
      </w:r>
    </w:p>
    <w:p w:rsidR="00CF567F" w:rsidRPr="00C868D6" w:rsidRDefault="00CF567F" w:rsidP="00C868D6">
      <w:pPr>
        <w:spacing w:before="360" w:after="240"/>
        <w:rPr>
          <w:sz w:val="28"/>
          <w:szCs w:val="28"/>
        </w:rPr>
      </w:pPr>
      <w:r w:rsidRPr="00C868D6">
        <w:rPr>
          <w:sz w:val="28"/>
          <w:szCs w:val="28"/>
        </w:rPr>
        <w:t>Содержание</w:t>
      </w:r>
    </w:p>
    <w:p w:rsidR="00CF567F" w:rsidRDefault="00CF567F" w:rsidP="00CF567F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40 Пакта (</w:t>
      </w:r>
      <w:r w:rsidRPr="00C868D6">
        <w:rPr>
          <w:b/>
        </w:rPr>
        <w:t>продолжение</w:t>
      </w:r>
      <w:r>
        <w:t>)</w:t>
      </w:r>
    </w:p>
    <w:p w:rsidR="00CF567F" w:rsidRPr="00C868D6" w:rsidRDefault="00C868D6" w:rsidP="00CF567F">
      <w:pPr>
        <w:pStyle w:val="SingleTxtGR"/>
        <w:rPr>
          <w:i/>
        </w:rPr>
      </w:pPr>
      <w:r>
        <w:rPr>
          <w:lang w:val="en-US"/>
        </w:rPr>
        <w:tab/>
      </w:r>
      <w:r w:rsidR="00CF567F" w:rsidRPr="00C868D6">
        <w:rPr>
          <w:i/>
        </w:rPr>
        <w:t>Четвертый периодический доклад Португалии</w:t>
      </w:r>
    </w:p>
    <w:p w:rsidR="00CF567F" w:rsidRDefault="00CF567F" w:rsidP="00CF567F">
      <w:pPr>
        <w:pStyle w:val="SingleTxtGR"/>
      </w:pPr>
      <w:r>
        <w:t xml:space="preserve"> </w:t>
      </w:r>
    </w:p>
    <w:p w:rsidR="00CF567F" w:rsidRPr="006E1408" w:rsidRDefault="00DC2ABE" w:rsidP="00CF567F">
      <w:pPr>
        <w:pStyle w:val="SingleTxtGR"/>
        <w:rPr>
          <w:i/>
        </w:rPr>
      </w:pPr>
      <w:r>
        <w:br w:type="page"/>
      </w:r>
      <w:r w:rsidR="00CF567F" w:rsidRPr="006E1408">
        <w:rPr>
          <w:i/>
        </w:rPr>
        <w:t>Заседание открывается в 15 ч. 05 м.</w:t>
      </w:r>
    </w:p>
    <w:p w:rsidR="00CF567F" w:rsidRDefault="00CF567F" w:rsidP="00CF567F">
      <w:pPr>
        <w:pStyle w:val="SingleTxtGR"/>
      </w:pPr>
      <w:r w:rsidRPr="006E1408">
        <w:rPr>
          <w:b/>
        </w:rPr>
        <w:t>Рассмотрение докладов, представленных государствами-участниками в с</w:t>
      </w:r>
      <w:r w:rsidRPr="006E1408">
        <w:rPr>
          <w:b/>
        </w:rPr>
        <w:t>о</w:t>
      </w:r>
      <w:r w:rsidRPr="006E1408">
        <w:rPr>
          <w:b/>
        </w:rPr>
        <w:t>ответствии со статьей 40 Пакта</w:t>
      </w:r>
      <w:r>
        <w:t xml:space="preserve"> (</w:t>
      </w:r>
      <w:r w:rsidRPr="006E1408">
        <w:rPr>
          <w:i/>
        </w:rPr>
        <w:t>продолжение</w:t>
      </w:r>
      <w:r>
        <w:t>)</w:t>
      </w:r>
    </w:p>
    <w:p w:rsidR="00CF567F" w:rsidRPr="006E1408" w:rsidRDefault="006E1408" w:rsidP="006E1408">
      <w:pPr>
        <w:pStyle w:val="SingleTxtGR"/>
        <w:ind w:left="1701" w:hanging="567"/>
        <w:rPr>
          <w:lang w:val="en-US"/>
        </w:rPr>
      </w:pPr>
      <w:r>
        <w:rPr>
          <w:lang w:val="en-US"/>
        </w:rPr>
        <w:tab/>
      </w:r>
      <w:r w:rsidR="00CF567F" w:rsidRPr="006E1408">
        <w:rPr>
          <w:i/>
        </w:rPr>
        <w:t>Четвертый</w:t>
      </w:r>
      <w:r w:rsidR="00CF567F" w:rsidRPr="006E1408">
        <w:rPr>
          <w:i/>
          <w:lang w:val="en-US"/>
        </w:rPr>
        <w:t xml:space="preserve"> </w:t>
      </w:r>
      <w:r w:rsidR="00CF567F" w:rsidRPr="006E1408">
        <w:rPr>
          <w:i/>
        </w:rPr>
        <w:t>периодический</w:t>
      </w:r>
      <w:r w:rsidR="00CF567F" w:rsidRPr="006E1408">
        <w:rPr>
          <w:i/>
          <w:lang w:val="en-US"/>
        </w:rPr>
        <w:t xml:space="preserve"> </w:t>
      </w:r>
      <w:r w:rsidR="00CF567F" w:rsidRPr="006E1408">
        <w:rPr>
          <w:i/>
        </w:rPr>
        <w:t>доклад</w:t>
      </w:r>
      <w:r w:rsidR="00CF567F" w:rsidRPr="006E1408">
        <w:rPr>
          <w:i/>
          <w:lang w:val="en-US"/>
        </w:rPr>
        <w:t xml:space="preserve"> </w:t>
      </w:r>
      <w:r w:rsidR="00CF567F" w:rsidRPr="006E1408">
        <w:rPr>
          <w:i/>
        </w:rPr>
        <w:t>Португалии</w:t>
      </w:r>
      <w:r w:rsidR="00CF567F" w:rsidRPr="006E1408">
        <w:rPr>
          <w:lang w:val="en-US"/>
        </w:rPr>
        <w:t xml:space="preserve"> (CCPR/C/PRT/4; CCPR/C/PRT/Q/4; CCPR/C/PRT/Q/4/Add.1)</w:t>
      </w:r>
    </w:p>
    <w:p w:rsidR="00CF567F" w:rsidRDefault="00CF567F" w:rsidP="00CF567F">
      <w:pPr>
        <w:pStyle w:val="SingleTxtGR"/>
      </w:pPr>
      <w:r>
        <w:t>1.</w:t>
      </w:r>
      <w:r>
        <w:tab/>
      </w:r>
      <w:r w:rsidRPr="006E1408">
        <w:rPr>
          <w:i/>
        </w:rPr>
        <w:t>По приглашению Председателя португальская делегация занимает м</w:t>
      </w:r>
      <w:r w:rsidRPr="006E1408">
        <w:rPr>
          <w:i/>
        </w:rPr>
        <w:t>е</w:t>
      </w:r>
      <w:r w:rsidRPr="006E1408">
        <w:rPr>
          <w:i/>
        </w:rPr>
        <w:t>сто за столом Комитета</w:t>
      </w:r>
      <w:r>
        <w:t>.</w:t>
      </w:r>
    </w:p>
    <w:p w:rsidR="00CF567F" w:rsidRDefault="00CF567F" w:rsidP="00CF567F">
      <w:pPr>
        <w:pStyle w:val="SingleTxtGR"/>
      </w:pPr>
      <w:r>
        <w:t>2.</w:t>
      </w:r>
      <w:r>
        <w:tab/>
      </w:r>
      <w:r w:rsidRPr="006E1408">
        <w:rPr>
          <w:b/>
        </w:rPr>
        <w:t>Г-жа Андрезен Гимарайнш</w:t>
      </w:r>
      <w:r>
        <w:t xml:space="preserve"> (Португалия) напоминает об основных м</w:t>
      </w:r>
      <w:r>
        <w:t>е</w:t>
      </w:r>
      <w:r>
        <w:t>рах, принятых после представления в 2002 году третьего периодического до</w:t>
      </w:r>
      <w:r>
        <w:t>к</w:t>
      </w:r>
      <w:r>
        <w:t>лада государства-участника о реализации рекомендаций Комитета, в частности, о принятии правил регистрации задержаний и использования средств прину</w:t>
      </w:r>
      <w:r>
        <w:t>ж</w:t>
      </w:r>
      <w:r>
        <w:t>дения, а также о новом порядке исполнения наказаний и мерах по сокращению переполненности тюрем; о приведении национального законодательства в соо</w:t>
      </w:r>
      <w:r>
        <w:t>т</w:t>
      </w:r>
      <w:r>
        <w:t>ветствие с запретом на экстрадицию, высылку и принудительное возвращение в страну, где соответствующее лицо может быть подвергнуто пыткам, и о прио</w:t>
      </w:r>
      <w:r>
        <w:t>с</w:t>
      </w:r>
      <w:r>
        <w:t>тановлении исполнения административных решений по отклонению просьбы о предоставлении убежища на время их обжалования; о принятии плана ликвид</w:t>
      </w:r>
      <w:r>
        <w:t>а</w:t>
      </w:r>
      <w:r>
        <w:t>ции эксплуатации детского труда; о продолжении усилий по борьбе с дискр</w:t>
      </w:r>
      <w:r>
        <w:t>и</w:t>
      </w:r>
      <w:r>
        <w:t>минацией в отношении цыган; о создании национальной комиссии по правам человека и других компетентных органов в этой области; о добавлении секс</w:t>
      </w:r>
      <w:r>
        <w:t>у</w:t>
      </w:r>
      <w:r>
        <w:t>альной ориентации в перечень запрещенных конституцией оснований для ди</w:t>
      </w:r>
      <w:r>
        <w:t>с</w:t>
      </w:r>
      <w:r>
        <w:t>криминации и о внесении в гражданский процессуальный кодекс и уголовно-процессуальный кодекс поправок, дающих возможность для пересмотра око</w:t>
      </w:r>
      <w:r>
        <w:t>н</w:t>
      </w:r>
      <w:r>
        <w:t>чательных приговоров, которые несовместимы с решением международного с</w:t>
      </w:r>
      <w:r>
        <w:t>у</w:t>
      </w:r>
      <w:r>
        <w:t>да, обязательным для Португалии.</w:t>
      </w:r>
    </w:p>
    <w:p w:rsidR="00CF567F" w:rsidRDefault="00CF567F" w:rsidP="00CF567F">
      <w:pPr>
        <w:pStyle w:val="SingleTxtGR"/>
      </w:pPr>
      <w:r>
        <w:t xml:space="preserve">3. </w:t>
      </w:r>
      <w:r>
        <w:tab/>
      </w:r>
      <w:r w:rsidRPr="006E1408">
        <w:rPr>
          <w:b/>
        </w:rPr>
        <w:t xml:space="preserve">Г-н Сантуш Паиш </w:t>
      </w:r>
      <w:r>
        <w:t>(Португалия), подводя итоги письменных ответов правительства Португалии по пунктам, включенным в переч</w:t>
      </w:r>
      <w:r w:rsidR="006716E1">
        <w:t>е</w:t>
      </w:r>
      <w:r>
        <w:t xml:space="preserve">нь вопросов для рассмотрения, объясняет, что отсутствие статистических данных о делах, где делается ссылка на Пакт, не обязательно означает, что он не упоминается, но, возможно, положения конституции о защите прав и свобод настолько подробны, что не так уж необходимо ссылаться на международные нормативно-правовые документы. </w:t>
      </w:r>
    </w:p>
    <w:p w:rsidR="00CF567F" w:rsidRDefault="00CF567F" w:rsidP="00CF567F">
      <w:pPr>
        <w:pStyle w:val="SingleTxtGR"/>
      </w:pPr>
      <w:r>
        <w:t>4.</w:t>
      </w:r>
      <w:r>
        <w:tab/>
        <w:t>Португалия продолжает поиски наилучшего решения для принятия дал</w:t>
      </w:r>
      <w:r>
        <w:t>ь</w:t>
      </w:r>
      <w:r>
        <w:t xml:space="preserve">нейших мер по выводам Комитета относительно дела </w:t>
      </w:r>
      <w:r w:rsidR="006716E1">
        <w:t>"</w:t>
      </w:r>
      <w:r>
        <w:t>Коррейя ди Матуша</w:t>
      </w:r>
      <w:r w:rsidR="006716E1">
        <w:t>"</w:t>
      </w:r>
      <w:r>
        <w:t>, помня, что Европейский суд по правам человека вынес решение, имеющее х</w:t>
      </w:r>
      <w:r>
        <w:t>а</w:t>
      </w:r>
      <w:r>
        <w:t>рактер судебного постановления, вступившего в законную силу.</w:t>
      </w:r>
    </w:p>
    <w:p w:rsidR="00CF567F" w:rsidRDefault="00CF567F" w:rsidP="00CF567F">
      <w:pPr>
        <w:pStyle w:val="SingleTxtGR"/>
      </w:pPr>
      <w:r>
        <w:t>5.</w:t>
      </w:r>
      <w:r>
        <w:tab/>
        <w:t>Несмотря на успехи в расширении участия женщин в политической и общественной жизни, а также их представленности на руководящих должн</w:t>
      </w:r>
      <w:r>
        <w:t>о</w:t>
      </w:r>
      <w:r>
        <w:t>стях, страна по-прежнему далека от достижения поставленных целей даже при том, что женщина впервые в истории заняла пост генерального прокурора Ре</w:t>
      </w:r>
      <w:r>
        <w:t>с</w:t>
      </w:r>
      <w:r>
        <w:t>публики и к тому же стала председателем парламента.</w:t>
      </w:r>
    </w:p>
    <w:p w:rsidR="00CF567F" w:rsidRDefault="00CF567F" w:rsidP="00CF567F">
      <w:pPr>
        <w:pStyle w:val="SingleTxtGR"/>
      </w:pPr>
      <w:r>
        <w:t>6.</w:t>
      </w:r>
      <w:r>
        <w:tab/>
        <w:t>Был принят новый трудовой кодекс, позволяющий лучше обеспечивать соблюдение основополагающего принципа равной оплаты за равный труд, в с</w:t>
      </w:r>
      <w:r>
        <w:t>о</w:t>
      </w:r>
      <w:r>
        <w:t>ответствии с приказами по министерствам всем госпредприятиям было предп</w:t>
      </w:r>
      <w:r>
        <w:t>и</w:t>
      </w:r>
      <w:r>
        <w:t>сано принять планы по поощрению равенства между полами, но предстоит еще многое сделать.</w:t>
      </w:r>
    </w:p>
    <w:p w:rsidR="00CF567F" w:rsidRDefault="00CF567F" w:rsidP="00CF567F">
      <w:pPr>
        <w:pStyle w:val="SingleTxtGR"/>
      </w:pPr>
      <w:r>
        <w:t>7.</w:t>
      </w:r>
      <w:r>
        <w:tab/>
        <w:t>Специальные процедурные меры, которые могут потребоваться в рамках борьбы с терроризмом, в частности в том, что касается получения доказ</w:t>
      </w:r>
      <w:r>
        <w:t>а</w:t>
      </w:r>
      <w:r>
        <w:t>тельств и соблюдения прав на защиту, всегда сопровождаются соответству</w:t>
      </w:r>
      <w:r>
        <w:t>ю</w:t>
      </w:r>
      <w:r>
        <w:t xml:space="preserve">щими гарантиями, которые обеспечивают совместимость с положениями Пакта. Португальское законодательство не предусматривает содержания под стражей без права переписки и общения. </w:t>
      </w:r>
    </w:p>
    <w:p w:rsidR="00CF567F" w:rsidRDefault="00CF567F" w:rsidP="00CF567F">
      <w:pPr>
        <w:pStyle w:val="SingleTxtGR"/>
      </w:pPr>
      <w:r>
        <w:t>8.</w:t>
      </w:r>
      <w:r>
        <w:tab/>
      </w:r>
      <w:r w:rsidRPr="006E1408">
        <w:rPr>
          <w:b/>
        </w:rPr>
        <w:t>Г-н Нойман</w:t>
      </w:r>
      <w:r>
        <w:t xml:space="preserve"> говорит, что нисколько не удивительно, что португальские суды уделяют Европейской конвенции по правам человека и национальной ко</w:t>
      </w:r>
      <w:r>
        <w:t>н</w:t>
      </w:r>
      <w:r>
        <w:t>ституции больше внимания, чем Пакту, но некоторые права, закрепленные в нем, не защищены Европейской конвенцией или защищены ей в меньшей ст</w:t>
      </w:r>
      <w:r>
        <w:t>е</w:t>
      </w:r>
      <w:r>
        <w:t>пени. Было бы интересно знать, какое место отводится Пакту в подготовке р</w:t>
      </w:r>
      <w:r>
        <w:t>а</w:t>
      </w:r>
      <w:r>
        <w:t>ботников судов и насколько адвокаты знакомы с его положениями как дополн</w:t>
      </w:r>
      <w:r>
        <w:t>и</w:t>
      </w:r>
      <w:r>
        <w:t>тельного источника права, учитывая, что в базовом документе государства-участника указывается, что Пакт является частью внутреннего законодательс</w:t>
      </w:r>
      <w:r>
        <w:t>т</w:t>
      </w:r>
      <w:r>
        <w:t xml:space="preserve">ва. </w:t>
      </w:r>
    </w:p>
    <w:p w:rsidR="00CF567F" w:rsidRDefault="00CF567F" w:rsidP="00CF567F">
      <w:pPr>
        <w:pStyle w:val="SingleTxtGR"/>
      </w:pPr>
      <w:r>
        <w:t>9.</w:t>
      </w:r>
      <w:r>
        <w:tab/>
        <w:t>Хотя Комитет установил, что государство-участник нарушило Пакт лишь в одном случае, интересно узнать, был ли создан механизм принятия посл</w:t>
      </w:r>
      <w:r>
        <w:t>е</w:t>
      </w:r>
      <w:r>
        <w:t>дующих мер по итогам деятельности Комитета и входит ли в компетенцию Н</w:t>
      </w:r>
      <w:r>
        <w:t>а</w:t>
      </w:r>
      <w:r>
        <w:t xml:space="preserve">циональной комиссии по правам человека контроль за реализацией решений Комитета. Что касается дела </w:t>
      </w:r>
      <w:r w:rsidR="006716E1">
        <w:t>"</w:t>
      </w:r>
      <w:r>
        <w:t>Коррейя ди Матуш</w:t>
      </w:r>
      <w:r w:rsidR="006716E1">
        <w:t>"</w:t>
      </w:r>
      <w:r>
        <w:t>, то законная сила решения Европейского суда по правам человека не оспаривается. Отсутствие нарушения Европейской конвенции не исключает того, что могло быть допущено наруш</w:t>
      </w:r>
      <w:r>
        <w:t>е</w:t>
      </w:r>
      <w:r>
        <w:t>ние конституции или Пакта, поскольку положения последнего иногда жестче положений Конвенции. Нет никакого противоречия между обязательствами, в</w:t>
      </w:r>
      <w:r>
        <w:t>ы</w:t>
      </w:r>
      <w:r>
        <w:t>текающими из Конвенции, и обязательствами, вытекающими из Пакта. По этим вопросам было бы желательно наладить диалог с делегацией.</w:t>
      </w:r>
    </w:p>
    <w:p w:rsidR="00CF567F" w:rsidRDefault="00CF567F" w:rsidP="00CF567F">
      <w:pPr>
        <w:pStyle w:val="SingleTxtGR"/>
      </w:pPr>
      <w:r>
        <w:t>10.</w:t>
      </w:r>
      <w:r>
        <w:tab/>
      </w:r>
      <w:r w:rsidRPr="006E1408">
        <w:rPr>
          <w:b/>
        </w:rPr>
        <w:t>Г-н Фатхалла</w:t>
      </w:r>
      <w:r>
        <w:t xml:space="preserve"> просит дать разъяснения относительно нового механизма непрерывного отслеживания мер, принимаемых для устранения структурных препятствий на пути осуществления политики обеспечения гендерного раве</w:t>
      </w:r>
      <w:r>
        <w:t>н</w:t>
      </w:r>
      <w:r>
        <w:t xml:space="preserve">ства и относительно методов подключения гражданского общества к работе этого механизма, а также уточнить, какие меры приняты для продвижения большего числа женщин на руководящие должности в государственном секторе. </w:t>
      </w:r>
    </w:p>
    <w:p w:rsidR="00CF567F" w:rsidRDefault="00CF567F" w:rsidP="00CF567F">
      <w:pPr>
        <w:pStyle w:val="SingleTxtGR"/>
      </w:pPr>
      <w:r>
        <w:t>11.</w:t>
      </w:r>
      <w:r>
        <w:tab/>
        <w:t>Поскольку правительство указало, что закон об обеспечении гендерного равенства не распространяется на выборы депутатов в законодательные органы автономных областей Азорских островов и Мадейры и что законы, регулиру</w:t>
      </w:r>
      <w:r>
        <w:t>ю</w:t>
      </w:r>
      <w:r>
        <w:t>щие эти выборы, разработаны областями и представлены в парламент страны, было бы интересно узнать, может ли последний давать этим законодательным органам предварительные рекомендации. Хотелось бы понять, почему норм</w:t>
      </w:r>
      <w:r>
        <w:t>а</w:t>
      </w:r>
      <w:r>
        <w:t>тивные и законодательные меры, принятые для того, чтобы гарантировать му</w:t>
      </w:r>
      <w:r>
        <w:t>ж</w:t>
      </w:r>
      <w:r>
        <w:t>чинам и женщинам равную плату за равный труд, не дают всех ожидаемых р</w:t>
      </w:r>
      <w:r>
        <w:t>е</w:t>
      </w:r>
      <w:r>
        <w:t>зультатов, и узнать, что делается для обеспечения соблюдения того же принц</w:t>
      </w:r>
      <w:r>
        <w:t>и</w:t>
      </w:r>
      <w:r>
        <w:t>па в частном секторе. Наконец, было бы полезно ознакомиться с результатами экспериментального проекта муниципальных посредников-цыган, завершенн</w:t>
      </w:r>
      <w:r>
        <w:t>о</w:t>
      </w:r>
      <w:r>
        <w:t>го в сентябре 2012 года, и узнать, был ли решено охватить им другие муниц</w:t>
      </w:r>
      <w:r>
        <w:t>и</w:t>
      </w:r>
      <w:r>
        <w:t>палитеты. Делегация могла бы также рассказать о механизме, который намеч</w:t>
      </w:r>
      <w:r>
        <w:t>е</w:t>
      </w:r>
      <w:r>
        <w:t>но было создать в рамках Национального плана действий по интеграции на 2008-2010 годы, чтобы наблюдать за ходом интеграции цыган, а также о Наци</w:t>
      </w:r>
      <w:r>
        <w:t>о</w:t>
      </w:r>
      <w:r>
        <w:t xml:space="preserve">нальной стратегии интеграция цыган. </w:t>
      </w:r>
    </w:p>
    <w:p w:rsidR="00CF567F" w:rsidRDefault="00CF567F" w:rsidP="00CF567F">
      <w:pPr>
        <w:pStyle w:val="SingleTxtGR"/>
      </w:pPr>
      <w:r>
        <w:t>12.</w:t>
      </w:r>
      <w:r>
        <w:tab/>
      </w:r>
      <w:r w:rsidRPr="006E1408">
        <w:rPr>
          <w:b/>
        </w:rPr>
        <w:t>Г-жа Моток</w:t>
      </w:r>
      <w:r>
        <w:t xml:space="preserve"> спрашивает, как гарантируется сочетание мер по борьбе с терроризмом с международными нормами, и хотела бы получить больше и</w:t>
      </w:r>
      <w:r>
        <w:t>н</w:t>
      </w:r>
      <w:r>
        <w:t>формации об ограничении прав на защиту, предусмотренном уголовно-процессуальным кодексом в случае, когда речь идет о лицах, подозреваемых в терроризме. Она хотела бы также больше знать о помощи, предоставляемой Бразилии и ряду африканских стран в борьбе с терроризмом.</w:t>
      </w:r>
    </w:p>
    <w:p w:rsidR="00CF567F" w:rsidRDefault="00CF567F" w:rsidP="00CF567F">
      <w:pPr>
        <w:pStyle w:val="SingleTxtGR"/>
      </w:pPr>
      <w:r>
        <w:t>13.</w:t>
      </w:r>
      <w:r>
        <w:tab/>
      </w:r>
      <w:r w:rsidRPr="006E1408">
        <w:rPr>
          <w:b/>
        </w:rPr>
        <w:t>Г-жа Ватервал</w:t>
      </w:r>
      <w:r>
        <w:t xml:space="preserve"> спрашивает, может ли, в соответствии со статьей 143 уг</w:t>
      </w:r>
      <w:r>
        <w:t>о</w:t>
      </w:r>
      <w:r>
        <w:t>ловно-процессуального кодекса, лицу, подозреваемому в терроризме или с</w:t>
      </w:r>
      <w:r>
        <w:t>о</w:t>
      </w:r>
      <w:r>
        <w:t>вершении преступления с применением насилия либо принадлежности к орг</w:t>
      </w:r>
      <w:r>
        <w:t>а</w:t>
      </w:r>
      <w:r>
        <w:t>низованной преступной группе, быть отказано в праве связаться с адвокатом и являются ли ограничения, предусмотренные этим положением, предметом с</w:t>
      </w:r>
      <w:r>
        <w:t>у</w:t>
      </w:r>
      <w:r>
        <w:t>дебного рассмотрения. Подробная информация о результатах расследования краж, за которыми следовали незаконные переводы, также приветствуется.</w:t>
      </w:r>
    </w:p>
    <w:p w:rsidR="00CF567F" w:rsidRDefault="00CF567F" w:rsidP="00CF567F">
      <w:pPr>
        <w:pStyle w:val="SingleTxtGR"/>
      </w:pPr>
      <w:r>
        <w:t>14.</w:t>
      </w:r>
      <w:r>
        <w:tab/>
      </w:r>
      <w:r w:rsidRPr="006E1408">
        <w:rPr>
          <w:b/>
        </w:rPr>
        <w:t>Г-н Бузид</w:t>
      </w:r>
      <w:r>
        <w:t>, ссылаясь на пункт 15 доклада государства-участника о том, что уполномоченный по правам человека может не только принимать жалобы на государственные органы или государственных должностных лиц, но и упо</w:t>
      </w:r>
      <w:r>
        <w:t>л</w:t>
      </w:r>
      <w:r>
        <w:t>номочен вмешиваться в споры между частными предприятиями, спрашивает, в чем заключается его вмешательство подобного рода и как реализуются его р</w:t>
      </w:r>
      <w:r>
        <w:t>е</w:t>
      </w:r>
      <w:r>
        <w:t>шения.</w:t>
      </w:r>
    </w:p>
    <w:p w:rsidR="00CF567F" w:rsidRPr="006E1408" w:rsidRDefault="00CF567F" w:rsidP="00CF567F">
      <w:pPr>
        <w:pStyle w:val="SingleTxtGR"/>
        <w:rPr>
          <w:i/>
        </w:rPr>
      </w:pPr>
      <w:r w:rsidRPr="006E1408">
        <w:rPr>
          <w:i/>
        </w:rPr>
        <w:t>Заседание прерывается в 16 ч. 05 м. и возобновляется в 16 ч. 25 м.</w:t>
      </w:r>
    </w:p>
    <w:p w:rsidR="00CF567F" w:rsidRDefault="00CF567F" w:rsidP="00CF567F">
      <w:pPr>
        <w:pStyle w:val="SingleTxtGR"/>
      </w:pPr>
      <w:r>
        <w:t>15.</w:t>
      </w:r>
      <w:r>
        <w:tab/>
      </w:r>
      <w:r w:rsidRPr="006E1408">
        <w:rPr>
          <w:b/>
        </w:rPr>
        <w:t xml:space="preserve">Г-н Сантуш Паиш </w:t>
      </w:r>
      <w:r>
        <w:t>(Португалия) говорит, что по внутреннему законод</w:t>
      </w:r>
      <w:r>
        <w:t>а</w:t>
      </w:r>
      <w:r>
        <w:t>тельству высшим законом является конституция, а затем следуют положения международно-правовых документов, участником которых является Португ</w:t>
      </w:r>
      <w:r>
        <w:t>а</w:t>
      </w:r>
      <w:r>
        <w:t xml:space="preserve">лия, и национальное законодательство. После их ратификации и опубликования в </w:t>
      </w:r>
      <w:r w:rsidR="006716E1">
        <w:t>"</w:t>
      </w:r>
      <w:r>
        <w:t>Официальном вестнике Португалии</w:t>
      </w:r>
      <w:r w:rsidR="006716E1">
        <w:t>"</w:t>
      </w:r>
      <w:r>
        <w:t>, международно-правовые документы приобретают характер норм прямого и обязательного исполнения. За годы, п</w:t>
      </w:r>
      <w:r>
        <w:t>о</w:t>
      </w:r>
      <w:r>
        <w:t>следовавшие за принятием новой конституции в 1976 году и обусловленной ей глубокой реформой законодательства, проводились регулярные тренинги для судей и прокуроров, где им предлагалось учитывать в своей практике верхове</w:t>
      </w:r>
      <w:r>
        <w:t>н</w:t>
      </w:r>
      <w:r>
        <w:t>ство международных норм в случае их коллизии с национальным законодател</w:t>
      </w:r>
      <w:r>
        <w:t>ь</w:t>
      </w:r>
      <w:r>
        <w:t>ством. С тех пор уделяется постоянное внимание подготовке судей, прокуроров и адвокатов по вопросу об обязательствах, налагаемых международным правом в области прав человека.</w:t>
      </w:r>
    </w:p>
    <w:p w:rsidR="00CF567F" w:rsidRDefault="00CF567F" w:rsidP="00CF567F">
      <w:pPr>
        <w:pStyle w:val="SingleTxtGR"/>
      </w:pPr>
      <w:r>
        <w:t>16.</w:t>
      </w:r>
      <w:r>
        <w:tab/>
        <w:t xml:space="preserve">В деле </w:t>
      </w:r>
      <w:r w:rsidR="006716E1">
        <w:t>"</w:t>
      </w:r>
      <w:r>
        <w:t>Коррейя ди Матуша</w:t>
      </w:r>
      <w:r w:rsidR="006716E1">
        <w:t>"</w:t>
      </w:r>
      <w:r>
        <w:t xml:space="preserve"> подсудимому было отказано в праве на с</w:t>
      </w:r>
      <w:r>
        <w:t>а</w:t>
      </w:r>
      <w:r>
        <w:t>мостоятельную защиту на том основании, что самостоятельная защита была не в его интересах. Богатая правовая практика Конституционного суда ясно свид</w:t>
      </w:r>
      <w:r>
        <w:t>е</w:t>
      </w:r>
      <w:r>
        <w:t>тельствует о том же самом. Комитет, наоборот, пришел к выводу о нарушении пункта 3 d) статьи 14 Пакта и рекомендовал Португалии внести поправки в свое законодательство для приведения его в соответствие с этим положением. Реш</w:t>
      </w:r>
      <w:r>
        <w:t>е</w:t>
      </w:r>
      <w:r>
        <w:t>ния о последующих мерах по этой рекомендации еще не принято. Министру юстиции предстоит определить, нужно или не нужно вносить поправки в уг</w:t>
      </w:r>
      <w:r>
        <w:t>о</w:t>
      </w:r>
      <w:r>
        <w:t>ловно-процессуальный кодекс по рекомендации Комитета, но подобные п</w:t>
      </w:r>
      <w:r>
        <w:t>о</w:t>
      </w:r>
      <w:r>
        <w:t>правки будут противоречить правовой концепции и правовой практике Конст</w:t>
      </w:r>
      <w:r>
        <w:t>и</w:t>
      </w:r>
      <w:r>
        <w:t>туционного суда и других вышестоящих судебных инстанций.</w:t>
      </w:r>
    </w:p>
    <w:p w:rsidR="00CF567F" w:rsidRDefault="00CF567F" w:rsidP="00CF567F">
      <w:pPr>
        <w:pStyle w:val="SingleTxtGR"/>
      </w:pPr>
      <w:r>
        <w:t>17.</w:t>
      </w:r>
      <w:r>
        <w:tab/>
      </w:r>
      <w:r w:rsidRPr="006E1408">
        <w:rPr>
          <w:b/>
        </w:rPr>
        <w:t>Г-жа Айвила (</w:t>
      </w:r>
      <w:r>
        <w:t>Португалия) говорит, что ратификация факультативного протокола к Конвенции против пыток и других жестоких, бесчеловечных или унижающих достоинство видов обращения и наказания должна быть завершена в ближайшие недели. Третий Национальный план по обеспечению гендерного равенства (2007-2010 годы) стал предметом независимой оценки, показавшей, что 80% предусмотренных мер были эффективно реализованы. Новые закон</w:t>
      </w:r>
      <w:r>
        <w:t>о</w:t>
      </w:r>
      <w:r>
        <w:t>дательные положения призваны облегчить совмещение профессиональной и семейной жизни, но необходимые для этого конкретные перемены значительны и займут некоторое время. План действий по борьбе с торговлей людьми и План действий по борьбе с бытовым насилием дополняют арсенал мер борьбы с н</w:t>
      </w:r>
      <w:r>
        <w:t>а</w:t>
      </w:r>
      <w:r>
        <w:t>силием в отношении женщин, предусмотренных Национальным планом по обеспечению гендерного равенства. Комиссия по вопросам гражданства и ге</w:t>
      </w:r>
      <w:r>
        <w:t>н</w:t>
      </w:r>
      <w:r>
        <w:t>дерного равенства, отвечающая за реализацию Национального плана, тесно с</w:t>
      </w:r>
      <w:r>
        <w:t>о</w:t>
      </w:r>
      <w:r>
        <w:t>трудничает с гражданским обществом. Ныне осуществляемый четвертый Н</w:t>
      </w:r>
      <w:r>
        <w:t>а</w:t>
      </w:r>
      <w:r>
        <w:t>циональный план по обеспечению гендерного равенства, предусматривает пр</w:t>
      </w:r>
      <w:r>
        <w:t>и</w:t>
      </w:r>
      <w:r>
        <w:t>нятие мер по устранению структурных барьеров, препятствующих осуществл</w:t>
      </w:r>
      <w:r>
        <w:t>е</w:t>
      </w:r>
      <w:r>
        <w:t>нию политики поощрения гендерного равенства. Квот, направленных на расш</w:t>
      </w:r>
      <w:r>
        <w:t>и</w:t>
      </w:r>
      <w:r>
        <w:t>рение участия женщин в решении государственных вопросов, не существует.</w:t>
      </w:r>
    </w:p>
    <w:p w:rsidR="00CF567F" w:rsidRDefault="00CF567F" w:rsidP="00CF567F">
      <w:pPr>
        <w:pStyle w:val="SingleTxtGR"/>
      </w:pPr>
      <w:r>
        <w:t>18.</w:t>
      </w:r>
      <w:r>
        <w:tab/>
      </w:r>
      <w:r w:rsidRPr="006E1408">
        <w:rPr>
          <w:b/>
        </w:rPr>
        <w:t>Г-н Сантуш Паиш</w:t>
      </w:r>
      <w:r>
        <w:t xml:space="preserve"> (Португалия) говорит, что специального механизма реализации заключений Комитета не было создано, поскольку последний пр</w:t>
      </w:r>
      <w:r>
        <w:t>и</w:t>
      </w:r>
      <w:r>
        <w:t>шел к выводу о нарушении Пакта Португалией всего по одному делу. Процед</w:t>
      </w:r>
      <w:r>
        <w:t>у</w:t>
      </w:r>
      <w:r>
        <w:t>ра, использованная в этом случае, была такой же, что и при реализации реш</w:t>
      </w:r>
      <w:r>
        <w:t>е</w:t>
      </w:r>
      <w:r>
        <w:t>ний Европейского суда по правам человека, т.е. решение было направлено в компетентные органы государства с тем, чтобы они выбрали, какой ход ему дать.</w:t>
      </w:r>
    </w:p>
    <w:p w:rsidR="00CF567F" w:rsidRDefault="00CF567F" w:rsidP="00CF567F">
      <w:pPr>
        <w:pStyle w:val="SingleTxtGR"/>
      </w:pPr>
      <w:r>
        <w:t>19.</w:t>
      </w:r>
      <w:r>
        <w:tab/>
        <w:t>Продолжается обсуждение вопроса о будущем назначении национального превентивного механизма, предусмотренного факультативным протоколом к Конвенции против пыток, который будет обязательно ратифицирован. Автоно</w:t>
      </w:r>
      <w:r>
        <w:t>м</w:t>
      </w:r>
      <w:r>
        <w:t>ные области располагают политическим и административным законодательс</w:t>
      </w:r>
      <w:r>
        <w:t>т</w:t>
      </w:r>
      <w:r>
        <w:t>вом и собственными органами управления и выборы в эти органы регулирую</w:t>
      </w:r>
      <w:r>
        <w:t>т</w:t>
      </w:r>
      <w:r>
        <w:t>ся указанным законодательством; закон об обеспечении гендерного равенства, который применяется на выборах в национальный парламент, выборах в Евр</w:t>
      </w:r>
      <w:r>
        <w:t>о</w:t>
      </w:r>
      <w:r>
        <w:t>пейский парламент и муниципальных выборах, поэтому на них не распростр</w:t>
      </w:r>
      <w:r>
        <w:t>а</w:t>
      </w:r>
      <w:r>
        <w:t xml:space="preserve">няется. </w:t>
      </w:r>
    </w:p>
    <w:p w:rsidR="00CF567F" w:rsidRDefault="00CF567F" w:rsidP="00CF567F">
      <w:pPr>
        <w:pStyle w:val="SingleTxtGR"/>
      </w:pPr>
      <w:r>
        <w:t>20.</w:t>
      </w:r>
      <w:r>
        <w:tab/>
      </w:r>
      <w:r w:rsidRPr="006E1408">
        <w:rPr>
          <w:b/>
        </w:rPr>
        <w:t>Г-н Родригеш Душ Сильва</w:t>
      </w:r>
      <w:r>
        <w:t xml:space="preserve"> (Португалия) говорит, что экспериментал</w:t>
      </w:r>
      <w:r>
        <w:t>ь</w:t>
      </w:r>
      <w:r>
        <w:t>ный проект использования посредников-цыган в нескольких муниципалитетах был широко поддержан всеми заинтересованными сторонами, которые отмет</w:t>
      </w:r>
      <w:r>
        <w:t>и</w:t>
      </w:r>
      <w:r>
        <w:t>ли значительное улучшение в отношениях между цыганской общиной и адм</w:t>
      </w:r>
      <w:r>
        <w:t>и</w:t>
      </w:r>
      <w:r>
        <w:t>нистрацией. План действий по интеграции иммигрантов (ПДИИ) также был у</w:t>
      </w:r>
      <w:r>
        <w:t>с</w:t>
      </w:r>
      <w:r>
        <w:t>пешным, поскольку доля реализации предусмотренных по нему мер превысила 80%. Информация о мерах, которые не были выполнены в полном объеме, будет представлена на следующем заседании. С 2008 года реализуется специальная программа содействия профессиональной интеграции иммигрантов. Она знач</w:t>
      </w:r>
      <w:r>
        <w:t>и</w:t>
      </w:r>
      <w:r>
        <w:t>тельно превзошла возлагавшиеся на нее надежды, поскольку с первого же года более 14 000 иммигрантов воспользовались ее преимуществами, тогда как ож</w:t>
      </w:r>
      <w:r>
        <w:t>и</w:t>
      </w:r>
      <w:r>
        <w:t>далось, что их будет 7 500 в год; в 2010 году их было более 12 000, в 2011 году - более 13 000 и к концу первого полугодия 2012 года - более 9 000. Для облегч</w:t>
      </w:r>
      <w:r>
        <w:t>е</w:t>
      </w:r>
      <w:r>
        <w:t>ния доступа иммигрантов к профессиональной подготовке в 2010 году была создана сеть из 21 учреждения, специализирующегося на интеграции имм</w:t>
      </w:r>
      <w:r>
        <w:t>и</w:t>
      </w:r>
      <w:r>
        <w:t>грантов; число зарегистрированных - в 2010 году их было 28 132 - с каждым г</w:t>
      </w:r>
      <w:r>
        <w:t>о</w:t>
      </w:r>
      <w:r>
        <w:t>дом растет.</w:t>
      </w:r>
    </w:p>
    <w:p w:rsidR="00CF567F" w:rsidRDefault="00CF567F" w:rsidP="00CF567F">
      <w:pPr>
        <w:pStyle w:val="SingleTxtGR"/>
      </w:pPr>
      <w:r>
        <w:t>21.</w:t>
      </w:r>
      <w:r>
        <w:tab/>
      </w:r>
      <w:r w:rsidRPr="006E1408">
        <w:rPr>
          <w:b/>
        </w:rPr>
        <w:t>Г-н Сантуш Паиш</w:t>
      </w:r>
      <w:r>
        <w:t xml:space="preserve"> (Португалия) говорит, что международное сотрудн</w:t>
      </w:r>
      <w:r>
        <w:t>и</w:t>
      </w:r>
      <w:r>
        <w:t>чество, как на правительственном уровне, так и между судебными органами, имеет важное значение в борьбе с терроризмом и что Португалия активно сп</w:t>
      </w:r>
      <w:r>
        <w:t>о</w:t>
      </w:r>
      <w:r>
        <w:t>собствует ему. Ограничения прав подозреваемых в терроризме лиц, предусмо</w:t>
      </w:r>
      <w:r>
        <w:t>т</w:t>
      </w:r>
      <w:r>
        <w:t>ренные уголовно-процессуальным кодексом, не наносят ущерба основным пр</w:t>
      </w:r>
      <w:r>
        <w:t>а</w:t>
      </w:r>
      <w:r>
        <w:t>вам защиты; они строго регулируются законом и могут применяться только по решению судьи.</w:t>
      </w:r>
    </w:p>
    <w:p w:rsidR="00CF567F" w:rsidRDefault="00CF567F" w:rsidP="00CF567F">
      <w:pPr>
        <w:pStyle w:val="SingleTxtGR"/>
      </w:pPr>
      <w:r>
        <w:t>22.</w:t>
      </w:r>
      <w:r>
        <w:tab/>
      </w:r>
      <w:r w:rsidRPr="006E1408">
        <w:rPr>
          <w:b/>
        </w:rPr>
        <w:t xml:space="preserve">Г-жа Рединья </w:t>
      </w:r>
      <w:r>
        <w:t>(Португалия) подтверждает, что подозреваемые в терр</w:t>
      </w:r>
      <w:r>
        <w:t>о</w:t>
      </w:r>
      <w:r>
        <w:t>ризме лица пользуются такими же правами и такими же гарантиями, что и л</w:t>
      </w:r>
      <w:r>
        <w:t>ю</w:t>
      </w:r>
      <w:r>
        <w:t>бой другой подозреваемый. Тем не менее, к ним применяются специальные м</w:t>
      </w:r>
      <w:r>
        <w:t>е</w:t>
      </w:r>
      <w:r>
        <w:t>ры, учитывая исключительную природу терроризма и опасность, которую он представляет для безопасности государства. Это право подозреваемого на ко</w:t>
      </w:r>
      <w:r>
        <w:t>н</w:t>
      </w:r>
      <w:r>
        <w:t>такты с третьими лицами может быть ограничено до первого рассмотрения дела судьей. Однако данное ограничение не лишает их права связываться с адвок</w:t>
      </w:r>
      <w:r>
        <w:t>а</w:t>
      </w:r>
      <w:r>
        <w:t>том, от которого не допускается никаких отступлений, поскольку сам Конст</w:t>
      </w:r>
      <w:r>
        <w:t>и</w:t>
      </w:r>
      <w:r>
        <w:t>туционный суд постановил, что любая мера, лишающая подозреваемого дост</w:t>
      </w:r>
      <w:r>
        <w:t>у</w:t>
      </w:r>
      <w:r>
        <w:t>па к адвокату, противоречит конституции. Среди прочих исключительных мер уголовно-процессуальный кодекс разрешает также вводить ограничения на пр</w:t>
      </w:r>
      <w:r>
        <w:t>а</w:t>
      </w:r>
      <w:r>
        <w:t>во подозреваемого общаться со своим адвокатом наедине, производить обыски в любое время суток и прослушивать телефонные переговоры. Все эти меры принимаются в соответствии с принципами необходимости и пропорционал</w:t>
      </w:r>
      <w:r>
        <w:t>ь</w:t>
      </w:r>
      <w:r>
        <w:t>ности и являются предметом судебного рассмотрения.</w:t>
      </w:r>
    </w:p>
    <w:p w:rsidR="00CF567F" w:rsidRDefault="00CF567F" w:rsidP="00CF567F">
      <w:pPr>
        <w:pStyle w:val="SingleTxtGR"/>
      </w:pPr>
      <w:r>
        <w:t>23.</w:t>
      </w:r>
      <w:r>
        <w:tab/>
      </w:r>
      <w:r w:rsidRPr="006E1408">
        <w:rPr>
          <w:b/>
        </w:rPr>
        <w:t>Г-н Сантуш Паиш</w:t>
      </w:r>
      <w:r>
        <w:t xml:space="preserve"> (Португалия) говорит, что проведенное специальной группой генеральной прокуратуры тщательное расследование сообщений о возможной отправке с территории Португалии самолетов с заключенными в Г</w:t>
      </w:r>
      <w:r>
        <w:t>у</w:t>
      </w:r>
      <w:r>
        <w:t>антанамо, выводы которого были обнародованы, не позволило выявить никаких доказательств, подтверждающих подобное утверждение. Уполномоченный по правам человека может рассматривать жалобы на действия или бездействие а</w:t>
      </w:r>
      <w:r>
        <w:t>д</w:t>
      </w:r>
      <w:r>
        <w:t>министрации или, что реже, частных организаций, занимающихся выполнением государственных заказов. 5 796 жалоб, полученных в 2011 году, касаются, гла</w:t>
      </w:r>
      <w:r>
        <w:t>в</w:t>
      </w:r>
      <w:r>
        <w:t>ным образом, социального обеспечения, госслужбы, отправления правосудия, налогообложения, нарушения прав потребителей или права на получение гра</w:t>
      </w:r>
      <w:r>
        <w:t>ж</w:t>
      </w:r>
      <w:r>
        <w:t>данства. Уполномоченный по правам человека может давать государственным органам рекомендации относительно того, какие меры следует принять для предотвращения или исправления несправедливости; в случае необходимости, он может обращаться в Конституционный суд. В 2011 году он представил 15 р</w:t>
      </w:r>
      <w:r>
        <w:t>е</w:t>
      </w:r>
      <w:r>
        <w:t>комендаций, большинство из которых нашли практическое применение.</w:t>
      </w:r>
    </w:p>
    <w:p w:rsidR="00CF567F" w:rsidRDefault="00CF567F" w:rsidP="00CF567F">
      <w:pPr>
        <w:pStyle w:val="SingleTxtGR"/>
      </w:pPr>
      <w:r>
        <w:t>24.</w:t>
      </w:r>
      <w:r>
        <w:tab/>
      </w:r>
      <w:r w:rsidRPr="00E55302">
        <w:rPr>
          <w:b/>
        </w:rPr>
        <w:t xml:space="preserve">Председатель </w:t>
      </w:r>
      <w:r>
        <w:t>благодарит делегацию за ответы и предлагает членам К</w:t>
      </w:r>
      <w:r>
        <w:t>о</w:t>
      </w:r>
      <w:r>
        <w:t>митета, которые намерены это сделать, задавать дополнительные вопросы.</w:t>
      </w:r>
    </w:p>
    <w:p w:rsidR="00CF567F" w:rsidRDefault="00CF567F" w:rsidP="00CF567F">
      <w:pPr>
        <w:pStyle w:val="SingleTxtGR"/>
      </w:pPr>
      <w:r>
        <w:t>25.</w:t>
      </w:r>
      <w:r>
        <w:tab/>
      </w:r>
      <w:r w:rsidRPr="00E55302">
        <w:rPr>
          <w:b/>
        </w:rPr>
        <w:t>Г-н Флинтерман</w:t>
      </w:r>
      <w:r>
        <w:t>, отмечая, что, поскольку для ликвидации дискримин</w:t>
      </w:r>
      <w:r>
        <w:t>а</w:t>
      </w:r>
      <w:r>
        <w:t>ции в соответствии с требованиями Пакта может понадобиться введение вр</w:t>
      </w:r>
      <w:r>
        <w:t>е</w:t>
      </w:r>
      <w:r>
        <w:t>менных квот, хотел бы знать позицию государства-участника по данному в</w:t>
      </w:r>
      <w:r>
        <w:t>о</w:t>
      </w:r>
      <w:r>
        <w:t>просу. Насколько он понимает, конституционный статус автономных областей огранич</w:t>
      </w:r>
      <w:r>
        <w:t>и</w:t>
      </w:r>
      <w:r>
        <w:t>вает центральное правительство в применении там закона, в том числе закона об обеспечении гендерного равенства. Желательно было бы получить разъяснение, какой свободой маневра располагает португальское государство, чтобы следить за эффективным исполнением закона и, вообще говоря, межд</w:t>
      </w:r>
      <w:r>
        <w:t>у</w:t>
      </w:r>
      <w:r>
        <w:t>народных обязательств государства-участника на всей территории страны.</w:t>
      </w:r>
    </w:p>
    <w:p w:rsidR="00CF567F" w:rsidRDefault="00CF567F" w:rsidP="00CF567F">
      <w:pPr>
        <w:pStyle w:val="SingleTxtGR"/>
      </w:pPr>
      <w:r>
        <w:t>26.</w:t>
      </w:r>
      <w:r>
        <w:tab/>
      </w:r>
      <w:r w:rsidRPr="00E55302">
        <w:rPr>
          <w:b/>
        </w:rPr>
        <w:t>Г-н Нойман</w:t>
      </w:r>
      <w:r>
        <w:t xml:space="preserve"> спрашивает, могут ли быть применены новые положения уголовно-процессуального кодекса, допускающие пересмотр судебных решений национальных судов, для претворения в жизнь выводов договорных органов ООН. Что качается права на самостоятельную защиту, то он хотел бы напо</w:t>
      </w:r>
      <w:r>
        <w:t>м</w:t>
      </w:r>
      <w:r>
        <w:t xml:space="preserve">нить, что, рассматривая дело </w:t>
      </w:r>
      <w:r w:rsidR="006716E1">
        <w:t>"</w:t>
      </w:r>
      <w:r>
        <w:t>Карлос Коррейя ди Матуш против Португалии</w:t>
      </w:r>
      <w:r w:rsidR="006716E1">
        <w:t>"</w:t>
      </w:r>
      <w:r>
        <w:t xml:space="preserve"> Комитет подчеркнул, что право на самостоятельную защиту не является абс</w:t>
      </w:r>
      <w:r>
        <w:t>о</w:t>
      </w:r>
      <w:r>
        <w:t>лютным правом и что именно компетентные суды определяют, отвечает ли и</w:t>
      </w:r>
      <w:r>
        <w:t>н</w:t>
      </w:r>
      <w:r>
        <w:t>тересам правосудия назначение адвоката по конкретному делу.</w:t>
      </w:r>
    </w:p>
    <w:p w:rsidR="00CF567F" w:rsidRDefault="00CF567F" w:rsidP="00CF567F">
      <w:pPr>
        <w:pStyle w:val="SingleTxtGR"/>
      </w:pPr>
      <w:r>
        <w:t>27.</w:t>
      </w:r>
      <w:r>
        <w:tab/>
      </w:r>
      <w:r w:rsidRPr="00E55302">
        <w:rPr>
          <w:b/>
        </w:rPr>
        <w:t>Сэр Найджел Родли</w:t>
      </w:r>
      <w:r>
        <w:t xml:space="preserve"> с удовлетворением отмечает, что любое лицо, нах</w:t>
      </w:r>
      <w:r>
        <w:t>о</w:t>
      </w:r>
      <w:r>
        <w:t>дящееся под стражей, имеет право на помощь адвоката, даже если подозревае</w:t>
      </w:r>
      <w:r>
        <w:t>т</w:t>
      </w:r>
      <w:r>
        <w:t xml:space="preserve">ся в терроризме. Что касается дела </w:t>
      </w:r>
      <w:r w:rsidR="006716E1">
        <w:t>"</w:t>
      </w:r>
      <w:r>
        <w:t>Коррейя ди Матуша</w:t>
      </w:r>
      <w:r w:rsidR="006716E1">
        <w:t>"</w:t>
      </w:r>
      <w:r>
        <w:t>, то на момент, когда лица, обвиняемые в наиболее тяжких нарушениях международного права, с</w:t>
      </w:r>
      <w:r>
        <w:t>а</w:t>
      </w:r>
      <w:r>
        <w:t>мостоятельно защищают себя, государство-участник могло бы рассмотреть возможность смягчения своей позиции и считать, что обязательной является только консультативная помощь адвоката. Этот компромисс позволил бы удо</w:t>
      </w:r>
      <w:r>
        <w:t>в</w:t>
      </w:r>
      <w:r>
        <w:t>летворить одновременно и интересы правосудия, и сохранить автономию, пр</w:t>
      </w:r>
      <w:r>
        <w:t>и</w:t>
      </w:r>
      <w:r>
        <w:t>сущую осуществлению любых прав человека, включая право на самостоятел</w:t>
      </w:r>
      <w:r>
        <w:t>ь</w:t>
      </w:r>
      <w:r>
        <w:t>ную защиту.</w:t>
      </w:r>
    </w:p>
    <w:p w:rsidR="00CF567F" w:rsidRDefault="00CF567F" w:rsidP="00CF567F">
      <w:pPr>
        <w:pStyle w:val="SingleTxtGR"/>
      </w:pPr>
      <w:r>
        <w:t>28.</w:t>
      </w:r>
      <w:r>
        <w:tab/>
      </w:r>
      <w:r w:rsidRPr="00E55302">
        <w:rPr>
          <w:b/>
        </w:rPr>
        <w:t>Г-жа Айвила</w:t>
      </w:r>
      <w:r>
        <w:t xml:space="preserve"> (Португалия) соглашается с тем, что введение квот может помочь в достижении целей Пакта. Никаких препятствий их применению гос</w:t>
      </w:r>
      <w:r>
        <w:t>у</w:t>
      </w:r>
      <w:r>
        <w:t>дарство-участник не видит, поскольку уже прибегало к ним для утверждения гендерного равенства на госпредприятиях.</w:t>
      </w:r>
    </w:p>
    <w:p w:rsidR="00CF567F" w:rsidRDefault="00CF567F" w:rsidP="00CF567F">
      <w:pPr>
        <w:pStyle w:val="SingleTxtGR"/>
      </w:pPr>
      <w:r>
        <w:t>29.</w:t>
      </w:r>
      <w:r>
        <w:tab/>
      </w:r>
      <w:r w:rsidRPr="00E55302">
        <w:rPr>
          <w:b/>
        </w:rPr>
        <w:t>Г-н Сантуш Паиш</w:t>
      </w:r>
      <w:r>
        <w:t xml:space="preserve"> (Португалия) говорит, что закон об обеспечении ге</w:t>
      </w:r>
      <w:r>
        <w:t>н</w:t>
      </w:r>
      <w:r>
        <w:t>дерного равенства неприменим в областях, потому что выборы в органы упра</w:t>
      </w:r>
      <w:r>
        <w:t>в</w:t>
      </w:r>
      <w:r>
        <w:t>ления автономных областей в соответствии с конституцией проводят сами о</w:t>
      </w:r>
      <w:r>
        <w:t>б</w:t>
      </w:r>
      <w:r>
        <w:t>ласти. Помимо этого исключительного случая, конституция и законы Порт</w:t>
      </w:r>
      <w:r>
        <w:t>у</w:t>
      </w:r>
      <w:r>
        <w:t>гальской Республики применяются на всей территории страны. Любой закон области, противоречащий конституции был бы, конечно, отменен Конституц</w:t>
      </w:r>
      <w:r>
        <w:t>и</w:t>
      </w:r>
      <w:r>
        <w:t>онным советом. Статья 449 уголовно-процессуального кодекса касается реш</w:t>
      </w:r>
      <w:r>
        <w:t>е</w:t>
      </w:r>
      <w:r>
        <w:t xml:space="preserve">ний </w:t>
      </w:r>
      <w:r w:rsidR="006716E1">
        <w:t>"</w:t>
      </w:r>
      <w:r>
        <w:t>международных органов</w:t>
      </w:r>
      <w:r w:rsidR="006716E1">
        <w:t>"</w:t>
      </w:r>
      <w:r>
        <w:t>, по ее формулировке сразу видно, что она охв</w:t>
      </w:r>
      <w:r>
        <w:t>а</w:t>
      </w:r>
      <w:r>
        <w:t xml:space="preserve">тывает выводы договорных органов ООН. </w:t>
      </w:r>
    </w:p>
    <w:p w:rsidR="00CF567F" w:rsidRDefault="00CF567F" w:rsidP="00CF567F">
      <w:pPr>
        <w:pStyle w:val="SingleTxtGR"/>
      </w:pPr>
      <w:r>
        <w:t>30.</w:t>
      </w:r>
      <w:r>
        <w:tab/>
      </w:r>
      <w:r w:rsidRPr="00E55302">
        <w:rPr>
          <w:b/>
        </w:rPr>
        <w:t>Председатель</w:t>
      </w:r>
      <w:r>
        <w:t xml:space="preserve"> благодарит делегацию за представленные ей дополнител</w:t>
      </w:r>
      <w:r>
        <w:t>ь</w:t>
      </w:r>
      <w:r>
        <w:t>ные сведения и предлагает перейти к рассмотрению пунктов 11-21 перечня в</w:t>
      </w:r>
      <w:r>
        <w:t>о</w:t>
      </w:r>
      <w:r>
        <w:t xml:space="preserve">просов. </w:t>
      </w:r>
    </w:p>
    <w:p w:rsidR="00CF567F" w:rsidRDefault="00CF567F" w:rsidP="00CF567F">
      <w:pPr>
        <w:pStyle w:val="SingleTxtGR"/>
      </w:pPr>
      <w:r>
        <w:t>31.</w:t>
      </w:r>
      <w:r>
        <w:tab/>
      </w:r>
      <w:r w:rsidRPr="00E55302">
        <w:rPr>
          <w:b/>
        </w:rPr>
        <w:t>Г-н Сантуш Паиш</w:t>
      </w:r>
      <w:r>
        <w:t xml:space="preserve"> (Португалия) говорит, что предварительное заключ</w:t>
      </w:r>
      <w:r>
        <w:t>е</w:t>
      </w:r>
      <w:r>
        <w:t>ние под стражу производится с соблюдением условий, предусмотренных уг</w:t>
      </w:r>
      <w:r>
        <w:t>о</w:t>
      </w:r>
      <w:r>
        <w:t>ловно-процессуальным кодексом. Так, приказ о нем можно отдавать только т</w:t>
      </w:r>
      <w:r>
        <w:t>о</w:t>
      </w:r>
      <w:r>
        <w:t>гда, когда какое бы то ни было лицо всерьез подозревается в совершении умышленного преступления, наказуемого лишением свободы на срок более п</w:t>
      </w:r>
      <w:r>
        <w:t>я</w:t>
      </w:r>
      <w:r>
        <w:t>ти лет, или преступления с применением насилия, террористического акта или преступления в составе ОПГ, наказуемого лишением свободы на срок более трех лет.</w:t>
      </w:r>
    </w:p>
    <w:p w:rsidR="00CF567F" w:rsidRDefault="00CF567F" w:rsidP="00CF567F">
      <w:pPr>
        <w:pStyle w:val="SingleTxtGR"/>
      </w:pPr>
      <w:r>
        <w:t>32.</w:t>
      </w:r>
      <w:r>
        <w:tab/>
        <w:t>Задержание с целью установления личности, административное наказ</w:t>
      </w:r>
      <w:r>
        <w:t>а</w:t>
      </w:r>
      <w:r>
        <w:t>ние, продолжительность которого не может превышать шести часов, не имеет ничего общего с содержания под стражей. Если после установления личности какого бы то ни было лица, принимается решение о продлении его заключения, то в силу вступает режим содержания под стражей. Поэтому соответствующее лицо должно быть доставлено в суд в течение сорока восьми часов с тем, чтобы последний принял решение о его освобождении или применении надлежащей меры принуждения. Любому лицу, лишаемому свободы, зачитываются его пр</w:t>
      </w:r>
      <w:r>
        <w:t>а</w:t>
      </w:r>
      <w:r>
        <w:t xml:space="preserve">ва, и оно пользуется помощью адвоката по своему выбору во время содержания под стражей. Любое лицо, задерживаемое судебной полицией в иных целях, помимо установления личности, имеет право связаться с третьим лицом, как правило, родственником. </w:t>
      </w:r>
    </w:p>
    <w:p w:rsidR="00CF567F" w:rsidRDefault="00CF567F" w:rsidP="00CF567F">
      <w:pPr>
        <w:pStyle w:val="SingleTxtGR"/>
      </w:pPr>
      <w:r>
        <w:t>33.</w:t>
      </w:r>
      <w:r>
        <w:tab/>
        <w:t>Во избежание непропорционального применения силы полицией, упор делается на обучение и постоянный надзор за работой полиции, причем надзор возлагается на различные механизмы, внутренние или внешние, относящиеся к аппарату уполномоченного по правам человека, Генеральной прокуратуре или судебному аппарату. Были приняты точные правила, в которых четко изложены принципы, регулирующие применение силы и огнестрельного оружия, а также методические рекомендации по выходу из критических ситуаций.</w:t>
      </w:r>
    </w:p>
    <w:p w:rsidR="00CF567F" w:rsidRDefault="00CF567F" w:rsidP="00CF567F">
      <w:pPr>
        <w:pStyle w:val="SingleTxtGR"/>
      </w:pPr>
      <w:r>
        <w:t>34.</w:t>
      </w:r>
      <w:r>
        <w:tab/>
        <w:t>Решение проблемы переполненности тюрем рассматривает под разными углами зрения: путем изменения законодательства о содержании под стражей, в частности его продолжительности; путем обновления и расширения пените</w:t>
      </w:r>
      <w:r>
        <w:t>н</w:t>
      </w:r>
      <w:r>
        <w:t>циарных учреждений и строительства новых объектов. Все несовершенноле</w:t>
      </w:r>
      <w:r>
        <w:t>т</w:t>
      </w:r>
      <w:r>
        <w:t>ние, осужденные за преступления, помещаются в специальные зоны отдельно от взрослых. На правонарушителей в возрасте 16-21 лет распространяется ос</w:t>
      </w:r>
      <w:r>
        <w:t>о</w:t>
      </w:r>
      <w:r>
        <w:t>бый тюремный режим, и, как правило, они содержатся отдельно от взрослых.</w:t>
      </w:r>
    </w:p>
    <w:p w:rsidR="00CF567F" w:rsidRDefault="00CF567F" w:rsidP="00CF567F">
      <w:pPr>
        <w:pStyle w:val="SingleTxtGR"/>
      </w:pPr>
      <w:r>
        <w:t>35.</w:t>
      </w:r>
      <w:r>
        <w:tab/>
        <w:t>Государство-участник затрачивает значительные усилия на борьбу с б</w:t>
      </w:r>
      <w:r>
        <w:t>ы</w:t>
      </w:r>
      <w:r>
        <w:t>товым насилием. Сама его понятие было уточнено и теперь охватывает физич</w:t>
      </w:r>
      <w:r>
        <w:t>е</w:t>
      </w:r>
      <w:r>
        <w:t>ское и психологическое насилие. К числу жертв относятся бывшие супруги или лица, с которыми обидчик состоит или состоял в супружеских отношениях, в том числе в случаях, когда стороны не живут под одной крышей. Акты бытов</w:t>
      </w:r>
      <w:r>
        <w:t>о</w:t>
      </w:r>
      <w:r>
        <w:t>го насилия отныне официально преследуются и наказываются более строго. В 2009 году были приняты закон о компенсации жертв преступлений с примен</w:t>
      </w:r>
      <w:r>
        <w:t>е</w:t>
      </w:r>
      <w:r>
        <w:t>нием насилия и актов бытового насилия и закон о правовом режиме профила</w:t>
      </w:r>
      <w:r>
        <w:t>к</w:t>
      </w:r>
      <w:r>
        <w:t>тики бытового насилия и предоставлении защиты и помощи жертвам. Для с</w:t>
      </w:r>
      <w:r>
        <w:t>о</w:t>
      </w:r>
      <w:r>
        <w:t>трудников полиции, судебных органов и генеральной прокуратуры регулярно проводятся учебные курсы, посвященные оплате расходов жертв. В совокупн</w:t>
      </w:r>
      <w:r>
        <w:t>о</w:t>
      </w:r>
      <w:r>
        <w:t>сти с многочисленными просветительскими кампаниями они, безусловно, об</w:t>
      </w:r>
      <w:r>
        <w:t>ъ</w:t>
      </w:r>
      <w:r>
        <w:t>ясняют значительное увеличение потока жалоб. Национальная сеть приютов для жертв бытового насилия, созданная в 2005 году, включает 36 учреждений, рассчитанных на 619 коек.</w:t>
      </w:r>
    </w:p>
    <w:p w:rsidR="00CF567F" w:rsidRDefault="00CF567F" w:rsidP="00CF567F">
      <w:pPr>
        <w:pStyle w:val="SingleTxtGR"/>
      </w:pPr>
      <w:r>
        <w:t>36.</w:t>
      </w:r>
      <w:r>
        <w:tab/>
        <w:t>Все формы телесных наказаний детей стали уголовно наказуемыми, и для семей, гражданского общества, специалистов, а также государственных и час</w:t>
      </w:r>
      <w:r>
        <w:t>т</w:t>
      </w:r>
      <w:r>
        <w:t>ных органов, были проведены просветительские кампании. Португальский и</w:t>
      </w:r>
      <w:r>
        <w:t>н</w:t>
      </w:r>
      <w:r>
        <w:t>ститут реабилитации разработал руководство, содержащее рекомендации по выбору вариантов, заменяющих помещение детей-инвалидов в лечебное учр</w:t>
      </w:r>
      <w:r>
        <w:t>е</w:t>
      </w:r>
      <w:r>
        <w:t>ждение. В марте 2010 года была создана Национальная комиссия по правам ч</w:t>
      </w:r>
      <w:r>
        <w:t>е</w:t>
      </w:r>
      <w:r>
        <w:t>ловека; будучи постоянной структурой, в состав которой входят представители органов управления, она отвечает за подготовку периодических докладов, пре</w:t>
      </w:r>
      <w:r>
        <w:t>д</w:t>
      </w:r>
      <w:r>
        <w:t>ставляемых международным органам по правам человека, и следит за дальне</w:t>
      </w:r>
      <w:r>
        <w:t>й</w:t>
      </w:r>
      <w:r>
        <w:t xml:space="preserve">шим осуществлением их рекомендаций. </w:t>
      </w:r>
    </w:p>
    <w:p w:rsidR="00CF567F" w:rsidRPr="00E55302" w:rsidRDefault="00CF567F" w:rsidP="00CF567F">
      <w:pPr>
        <w:pStyle w:val="SingleTxtGR"/>
        <w:rPr>
          <w:i/>
        </w:rPr>
      </w:pPr>
      <w:r w:rsidRPr="00E55302">
        <w:rPr>
          <w:i/>
        </w:rPr>
        <w:t>Заседание закрывается в 18 ч. 00 м.</w:t>
      </w:r>
    </w:p>
    <w:sectPr w:rsidR="00CF567F" w:rsidRPr="00E5530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DB0" w:rsidRDefault="00E87DB0">
      <w:r>
        <w:rPr>
          <w:lang w:val="en-US"/>
        </w:rPr>
        <w:tab/>
      </w:r>
      <w:r>
        <w:separator/>
      </w:r>
    </w:p>
  </w:endnote>
  <w:endnote w:type="continuationSeparator" w:id="0">
    <w:p w:rsidR="00E87DB0" w:rsidRDefault="00E87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1C" w:rsidRPr="005F0588" w:rsidRDefault="00DF1A1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688A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GE.12-46844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1C" w:rsidRPr="005F0588" w:rsidRDefault="00DF1A1C">
    <w:pPr>
      <w:pStyle w:val="Footer"/>
      <w:rPr>
        <w:lang w:val="en-US"/>
      </w:rPr>
    </w:pPr>
    <w:r>
      <w:rPr>
        <w:lang w:val="en-US"/>
      </w:rPr>
      <w:t>GE.12-46844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688A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1C" w:rsidRDefault="00DF1A1C" w:rsidP="00DC2ABE">
    <w:pPr>
      <w:pBdr>
        <w:bottom w:val="single" w:sz="4" w:space="1" w:color="auto"/>
      </w:pBdr>
      <w:spacing w:line="240" w:lineRule="auto"/>
    </w:pPr>
  </w:p>
  <w:p w:rsidR="00DF1A1C" w:rsidRPr="00DC2ABE" w:rsidRDefault="00DF1A1C" w:rsidP="00DC2ABE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DC2ABE">
      <w:rPr>
        <w:lang w:val="ru-RU"/>
      </w:rPr>
      <w:t>В настоящий отчет могут вноситься поправки.</w:t>
    </w:r>
  </w:p>
  <w:p w:rsidR="00DF1A1C" w:rsidRPr="00DC2ABE" w:rsidRDefault="00DF1A1C" w:rsidP="00DC2ABE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DC2ABE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DC2ABE">
      <w:rPr>
        <w:i/>
        <w:lang w:val="ru-RU"/>
      </w:rPr>
      <w:t>в течение одной недели с момента выпуска настоящего документа</w:t>
    </w:r>
    <w:r w:rsidRPr="00DC2ABE">
      <w:rPr>
        <w:lang w:val="ru-RU"/>
      </w:rPr>
      <w:t xml:space="preserve"> в Группу редакционного контроля, комната Е.4108, Дворец Наций, Женева.</w:t>
    </w:r>
  </w:p>
  <w:p w:rsidR="00DF1A1C" w:rsidRDefault="00DF1A1C" w:rsidP="00DC2ABE">
    <w:pPr>
      <w:pStyle w:val="FootnoteText"/>
      <w:tabs>
        <w:tab w:val="clear" w:pos="1021"/>
      </w:tabs>
      <w:spacing w:after="240"/>
      <w:ind w:firstLine="0"/>
    </w:pPr>
    <w:r w:rsidRPr="00DC2ABE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F1A1C" w:rsidTr="00611264">
      <w:trPr>
        <w:trHeight w:val="438"/>
      </w:trPr>
      <w:tc>
        <w:tcPr>
          <w:tcW w:w="4068" w:type="dxa"/>
          <w:vAlign w:val="bottom"/>
        </w:tcPr>
        <w:p w:rsidR="00DF1A1C" w:rsidRDefault="00DF1A1C" w:rsidP="00611264">
          <w:r>
            <w:rPr>
              <w:lang w:val="en-US"/>
            </w:rPr>
            <w:t>GE.12-46844   (R)   161014   171014</w:t>
          </w:r>
        </w:p>
      </w:tc>
      <w:tc>
        <w:tcPr>
          <w:tcW w:w="4663" w:type="dxa"/>
          <w:vMerge w:val="restart"/>
          <w:vAlign w:val="bottom"/>
        </w:tcPr>
        <w:p w:rsidR="00DF1A1C" w:rsidRDefault="00DF1A1C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F1A1C" w:rsidRDefault="00DF1A1C" w:rsidP="00611264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DF1A1C" w:rsidRPr="00797A78" w:rsidTr="00611264">
      <w:tc>
        <w:tcPr>
          <w:tcW w:w="4068" w:type="dxa"/>
          <w:vAlign w:val="bottom"/>
        </w:tcPr>
        <w:p w:rsidR="00DF1A1C" w:rsidRPr="004D7051" w:rsidRDefault="00DF1A1C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D705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F1A1C" w:rsidRDefault="00DF1A1C" w:rsidP="00611264"/>
      </w:tc>
      <w:tc>
        <w:tcPr>
          <w:tcW w:w="1124" w:type="dxa"/>
          <w:vMerge/>
        </w:tcPr>
        <w:p w:rsidR="00DF1A1C" w:rsidRDefault="00DF1A1C" w:rsidP="00611264"/>
      </w:tc>
    </w:tr>
  </w:tbl>
  <w:p w:rsidR="00DF1A1C" w:rsidRDefault="00DF1A1C" w:rsidP="00381289">
    <w:pPr>
      <w:spacing w:line="240" w:lineRule="auto"/>
      <w:rPr>
        <w:sz w:val="2"/>
        <w:szCs w:val="2"/>
        <w:lang w:val="en-US"/>
      </w:rPr>
    </w:pPr>
  </w:p>
  <w:p w:rsidR="00DF1A1C" w:rsidRPr="002D7E3C" w:rsidRDefault="00DF1A1C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DF1A1C" w:rsidRDefault="00DF1A1C" w:rsidP="006E7AF7">
                <w:pPr>
                  <w:rPr>
                    <w:lang w:val="en-US"/>
                  </w:rPr>
                </w:pPr>
              </w:p>
              <w:p w:rsidR="00DF1A1C" w:rsidRDefault="00DF1A1C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6688A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DB0" w:rsidRPr="00F71F63" w:rsidRDefault="00E87DB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87DB0" w:rsidRPr="00F71F63" w:rsidRDefault="00E87DB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87DB0" w:rsidRPr="00635E86" w:rsidRDefault="00E87DB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1C" w:rsidRPr="005F0588" w:rsidRDefault="00DF1A1C">
    <w:pPr>
      <w:pStyle w:val="Header"/>
      <w:rPr>
        <w:lang w:val="en-US"/>
      </w:rPr>
    </w:pPr>
    <w:r>
      <w:rPr>
        <w:lang w:val="en-US"/>
      </w:rPr>
      <w:t>CCPR/C/SR.2936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1C" w:rsidRPr="005F0588" w:rsidRDefault="00DF1A1C">
    <w:pPr>
      <w:pStyle w:val="Header"/>
      <w:rPr>
        <w:lang w:val="en-US"/>
      </w:rPr>
    </w:pPr>
    <w:r>
      <w:rPr>
        <w:lang w:val="en-US"/>
      </w:rPr>
      <w:tab/>
      <w:t>CCPR/C/SR.2936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85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374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69EA"/>
    <w:rsid w:val="001D07F7"/>
    <w:rsid w:val="001D7B8F"/>
    <w:rsid w:val="001E48EE"/>
    <w:rsid w:val="001F2D04"/>
    <w:rsid w:val="0020059C"/>
    <w:rsid w:val="002019BD"/>
    <w:rsid w:val="00232D42"/>
    <w:rsid w:val="00237334"/>
    <w:rsid w:val="00240851"/>
    <w:rsid w:val="002444F4"/>
    <w:rsid w:val="002629A0"/>
    <w:rsid w:val="0028492B"/>
    <w:rsid w:val="00291C8F"/>
    <w:rsid w:val="002A0E17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1336"/>
    <w:rsid w:val="00372123"/>
    <w:rsid w:val="00380081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051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4CC5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1BD"/>
    <w:rsid w:val="005C678A"/>
    <w:rsid w:val="005D346D"/>
    <w:rsid w:val="005E74AB"/>
    <w:rsid w:val="00606A3E"/>
    <w:rsid w:val="00611264"/>
    <w:rsid w:val="006115AA"/>
    <w:rsid w:val="006120AE"/>
    <w:rsid w:val="00635E86"/>
    <w:rsid w:val="00635F4C"/>
    <w:rsid w:val="00636A37"/>
    <w:rsid w:val="006501A5"/>
    <w:rsid w:val="006567B2"/>
    <w:rsid w:val="00662ADE"/>
    <w:rsid w:val="00664106"/>
    <w:rsid w:val="00666729"/>
    <w:rsid w:val="006716E1"/>
    <w:rsid w:val="006756F1"/>
    <w:rsid w:val="00677773"/>
    <w:rsid w:val="006805FC"/>
    <w:rsid w:val="00691C55"/>
    <w:rsid w:val="006926C7"/>
    <w:rsid w:val="00694C37"/>
    <w:rsid w:val="00696ACB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408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675D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4262"/>
    <w:rsid w:val="00A07232"/>
    <w:rsid w:val="00A14800"/>
    <w:rsid w:val="00A156DE"/>
    <w:rsid w:val="00A157ED"/>
    <w:rsid w:val="00A2446A"/>
    <w:rsid w:val="00A4025D"/>
    <w:rsid w:val="00A800D1"/>
    <w:rsid w:val="00A81D3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367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68D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567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C2ABE"/>
    <w:rsid w:val="00DF18FA"/>
    <w:rsid w:val="00DF1A1C"/>
    <w:rsid w:val="00DF49CA"/>
    <w:rsid w:val="00DF775B"/>
    <w:rsid w:val="00E007F3"/>
    <w:rsid w:val="00E00DEA"/>
    <w:rsid w:val="00E06EF0"/>
    <w:rsid w:val="00E11679"/>
    <w:rsid w:val="00E307D1"/>
    <w:rsid w:val="00E46A04"/>
    <w:rsid w:val="00E55302"/>
    <w:rsid w:val="00E717F3"/>
    <w:rsid w:val="00E72C5E"/>
    <w:rsid w:val="00E73451"/>
    <w:rsid w:val="00E7489F"/>
    <w:rsid w:val="00E75147"/>
    <w:rsid w:val="00E8167D"/>
    <w:rsid w:val="00E87DB0"/>
    <w:rsid w:val="00E907E9"/>
    <w:rsid w:val="00E96BE7"/>
    <w:rsid w:val="00EA2CD0"/>
    <w:rsid w:val="00EC0044"/>
    <w:rsid w:val="00EC6B9F"/>
    <w:rsid w:val="00ED29A0"/>
    <w:rsid w:val="00EE516D"/>
    <w:rsid w:val="00EF4D1B"/>
    <w:rsid w:val="00EF7295"/>
    <w:rsid w:val="00F069D1"/>
    <w:rsid w:val="00F07B21"/>
    <w:rsid w:val="00F1503D"/>
    <w:rsid w:val="00F22712"/>
    <w:rsid w:val="00F275F5"/>
    <w:rsid w:val="00F33188"/>
    <w:rsid w:val="00F35BDE"/>
    <w:rsid w:val="00F52A0E"/>
    <w:rsid w:val="00F55C6A"/>
    <w:rsid w:val="00F6688A"/>
    <w:rsid w:val="00F71BD1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2948</Words>
  <Characters>20194</Characters>
  <Application>Microsoft Office Outlook</Application>
  <DocSecurity>4</DocSecurity>
  <Lines>360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2014-10-17T11:42:00Z</cp:lastPrinted>
  <dcterms:created xsi:type="dcterms:W3CDTF">2014-10-17T11:42:00Z</dcterms:created>
  <dcterms:modified xsi:type="dcterms:W3CDTF">2014-10-17T11:42:00Z</dcterms:modified>
</cp:coreProperties>
</file>