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1BE7" w:rsidRPr="004E0DAF" w:rsidRDefault="004E1BE7" w:rsidP="004E1BE7">
      <w:pPr>
        <w:pStyle w:val="NormalSchedule"/>
        <w:spacing w:line="240" w:lineRule="auto"/>
        <w:rPr>
          <w:sz w:val="6"/>
        </w:rPr>
        <w:sectPr w:rsidR="004E1BE7" w:rsidRPr="004E0DAF" w:rsidSect="00333E4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E1BE7" w:rsidRPr="004E0DAF" w:rsidRDefault="004E0DAF" w:rsidP="004E1BE7">
      <w:pPr>
        <w:pStyle w:val="H1"/>
      </w:pPr>
      <w:r>
        <w:t xml:space="preserve">Comité contra la Tortura </w:t>
      </w:r>
    </w:p>
    <w:p w:rsidR="004E1BE7" w:rsidRPr="006D485F" w:rsidRDefault="004E0DAF" w:rsidP="004E0DAF">
      <w:pPr>
        <w:tabs>
          <w:tab w:val="left" w:pos="475"/>
          <w:tab w:val="left" w:pos="965"/>
          <w:tab w:val="left" w:pos="1440"/>
          <w:tab w:val="left" w:pos="1915"/>
          <w:tab w:val="left" w:pos="2405"/>
          <w:tab w:val="left" w:pos="2880"/>
          <w:tab w:val="left" w:pos="3355"/>
        </w:tabs>
        <w:rPr>
          <w:b/>
        </w:rPr>
      </w:pPr>
      <w:r w:rsidRPr="006D485F">
        <w:rPr>
          <w:b/>
        </w:rPr>
        <w:t>45° período de sesiones</w:t>
      </w:r>
    </w:p>
    <w:p w:rsidR="004E0DAF" w:rsidRPr="004E0DAF" w:rsidRDefault="004E0DAF" w:rsidP="004E1BE7">
      <w:pPr>
        <w:spacing w:line="240" w:lineRule="auto"/>
        <w:rPr>
          <w:sz w:val="12"/>
        </w:rPr>
      </w:pPr>
    </w:p>
    <w:p w:rsidR="004E1BE7" w:rsidRPr="004E0DAF" w:rsidRDefault="004E1BE7" w:rsidP="004E1BE7">
      <w:pPr>
        <w:pStyle w:val="H23"/>
      </w:pPr>
      <w:r w:rsidRPr="004E0DAF">
        <w:t xml:space="preserve">Acta resumida de la </w:t>
      </w:r>
      <w:r w:rsidR="004E0DAF">
        <w:t xml:space="preserve">primera parte (pública)* de la </w:t>
      </w:r>
      <w:r w:rsidRPr="004E0DAF">
        <w:t>973ª sesión</w:t>
      </w:r>
      <w:r w:rsidR="004E0DAF">
        <w:t xml:space="preserve"> </w:t>
      </w:r>
    </w:p>
    <w:p w:rsidR="004E1BE7" w:rsidRPr="004E0DAF" w:rsidRDefault="004E1BE7" w:rsidP="004E1BE7">
      <w:r w:rsidRPr="004E0DAF">
        <w:t xml:space="preserve">Celebrada en </w:t>
      </w:r>
      <w:r w:rsidR="004E0DAF">
        <w:t xml:space="preserve">el Palais Wilson, </w:t>
      </w:r>
      <w:r w:rsidR="00CB0413">
        <w:t>Ginebra</w:t>
      </w:r>
      <w:r w:rsidR="004E0DAF">
        <w:t>, el viernes 12 de noviembre de 2010, a las 15.00 horas</w:t>
      </w:r>
      <w:r w:rsidRPr="004E0DAF">
        <w:t xml:space="preserve"> </w:t>
      </w:r>
    </w:p>
    <w:p w:rsidR="004E1BE7" w:rsidRPr="004E0DAF" w:rsidRDefault="004E1BE7" w:rsidP="004E1BE7">
      <w:pPr>
        <w:spacing w:line="120" w:lineRule="exact"/>
        <w:rPr>
          <w:sz w:val="10"/>
        </w:rPr>
      </w:pPr>
    </w:p>
    <w:p w:rsidR="004E1BE7" w:rsidRPr="004E0DAF" w:rsidRDefault="004E1BE7" w:rsidP="004E1BE7">
      <w:pPr>
        <w:tabs>
          <w:tab w:val="right" w:pos="950"/>
          <w:tab w:val="left" w:pos="1267"/>
          <w:tab w:val="right" w:leader="dot" w:pos="8568"/>
        </w:tabs>
        <w:ind w:right="1267"/>
      </w:pPr>
      <w:r w:rsidRPr="004E0DAF">
        <w:rPr>
          <w:i/>
        </w:rPr>
        <w:t>Presidente:</w:t>
      </w:r>
      <w:r w:rsidRPr="004E0DAF">
        <w:tab/>
      </w:r>
      <w:r w:rsidR="004E0DAF">
        <w:t>Sr. Grossman</w:t>
      </w:r>
    </w:p>
    <w:p w:rsidR="004E1BE7" w:rsidRPr="004E0DAF" w:rsidRDefault="004E1BE7" w:rsidP="004E1BE7">
      <w:pPr>
        <w:tabs>
          <w:tab w:val="right" w:pos="950"/>
          <w:tab w:val="left" w:pos="1267"/>
          <w:tab w:val="right" w:leader="dot" w:pos="8568"/>
        </w:tabs>
        <w:spacing w:line="120" w:lineRule="exact"/>
        <w:ind w:right="1267"/>
        <w:rPr>
          <w:sz w:val="10"/>
        </w:rPr>
      </w:pPr>
    </w:p>
    <w:p w:rsidR="004E1BE7" w:rsidRPr="004E0DAF" w:rsidRDefault="004E1BE7" w:rsidP="004E1BE7">
      <w:pPr>
        <w:tabs>
          <w:tab w:val="right" w:pos="950"/>
          <w:tab w:val="left" w:pos="1267"/>
          <w:tab w:val="right" w:leader="dot" w:pos="8568"/>
        </w:tabs>
        <w:spacing w:line="120" w:lineRule="exact"/>
        <w:ind w:right="1267"/>
        <w:rPr>
          <w:sz w:val="10"/>
        </w:rPr>
      </w:pPr>
    </w:p>
    <w:p w:rsidR="004E1BE7" w:rsidRPr="004E0DAF" w:rsidRDefault="004E1BE7" w:rsidP="004E1BE7">
      <w:pPr>
        <w:tabs>
          <w:tab w:val="right" w:pos="950"/>
          <w:tab w:val="left" w:pos="1267"/>
          <w:tab w:val="right" w:leader="dot" w:pos="8568"/>
        </w:tabs>
        <w:spacing w:line="120" w:lineRule="exact"/>
        <w:ind w:right="1267"/>
        <w:rPr>
          <w:sz w:val="10"/>
        </w:rPr>
      </w:pPr>
    </w:p>
    <w:p w:rsidR="004E1BE7" w:rsidRPr="004E0DAF" w:rsidRDefault="004E1BE7" w:rsidP="004E1BE7">
      <w:pPr>
        <w:pStyle w:val="HCh"/>
        <w:rPr>
          <w:b w:val="0"/>
        </w:rPr>
      </w:pPr>
      <w:r w:rsidRPr="004E0DAF">
        <w:rPr>
          <w:b w:val="0"/>
        </w:rPr>
        <w:t>Sumario</w:t>
      </w:r>
    </w:p>
    <w:p w:rsidR="004E1BE7" w:rsidRPr="004E0DAF" w:rsidRDefault="004E1BE7" w:rsidP="004E1BE7">
      <w:pPr>
        <w:pStyle w:val="HCh"/>
        <w:spacing w:line="240" w:lineRule="auto"/>
        <w:rPr>
          <w:b w:val="0"/>
          <w:sz w:val="12"/>
        </w:rPr>
      </w:pPr>
    </w:p>
    <w:p w:rsidR="004E0DAF" w:rsidRPr="004E0DAF" w:rsidRDefault="004E0DAF" w:rsidP="008301F2">
      <w:pPr>
        <w:pStyle w:val="SingleTxt"/>
        <w:jc w:val="left"/>
      </w:pPr>
      <w:r w:rsidRPr="004E0DAF">
        <w:t>Examen de los informes presentados por los Estados partes en virtud del artículo 19 de la Convención (</w:t>
      </w:r>
      <w:r w:rsidRPr="004E0DAF">
        <w:rPr>
          <w:i/>
        </w:rPr>
        <w:t>continuación</w:t>
      </w:r>
      <w:r w:rsidRPr="004E0DAF">
        <w:t>)</w:t>
      </w:r>
    </w:p>
    <w:p w:rsidR="004E0DAF" w:rsidRPr="004E0DAF" w:rsidRDefault="00476A1C" w:rsidP="004E0DAF">
      <w:pPr>
        <w:pStyle w:val="SingleTxt"/>
        <w:jc w:val="left"/>
        <w:rPr>
          <w:i/>
        </w:rPr>
      </w:pPr>
      <w:r>
        <w:rPr>
          <w:i/>
        </w:rPr>
        <w:tab/>
      </w:r>
      <w:r w:rsidR="004E0DAF" w:rsidRPr="004E0DAF">
        <w:rPr>
          <w:i/>
        </w:rPr>
        <w:t>Informe sobre el seguimiento de las observaciones finales</w:t>
      </w:r>
    </w:p>
    <w:p w:rsidR="004E0DAF" w:rsidRPr="004E0DAF" w:rsidRDefault="004E0DAF" w:rsidP="008301F2">
      <w:pPr>
        <w:pStyle w:val="SingleTxt"/>
        <w:jc w:val="left"/>
      </w:pPr>
      <w:r w:rsidRPr="004E0DAF">
        <w:t>Examen de las comunicaciones presentadas en virtud del artículo 22 de la Convención (</w:t>
      </w:r>
      <w:r w:rsidRPr="004E0DAF">
        <w:rPr>
          <w:i/>
        </w:rPr>
        <w:t>continuación</w:t>
      </w:r>
      <w:r w:rsidRPr="004E0DAF">
        <w:t>)</w:t>
      </w:r>
    </w:p>
    <w:p w:rsidR="004E0DAF" w:rsidRPr="004E0DAF" w:rsidRDefault="00476A1C" w:rsidP="004E0DAF">
      <w:pPr>
        <w:pStyle w:val="SingleTxt"/>
        <w:jc w:val="left"/>
        <w:rPr>
          <w:i/>
        </w:rPr>
      </w:pPr>
      <w:r>
        <w:rPr>
          <w:i/>
        </w:rPr>
        <w:tab/>
      </w:r>
      <w:r w:rsidR="004E0DAF" w:rsidRPr="004E0DAF">
        <w:rPr>
          <w:i/>
        </w:rPr>
        <w:t>Informe sobre el seguimiento de las comunicaciones</w:t>
      </w:r>
    </w:p>
    <w:p w:rsidR="00216B5E" w:rsidRPr="00216B5E" w:rsidRDefault="00216B5E" w:rsidP="000A6E32">
      <w:pPr>
        <w:framePr w:w="9792" w:h="432" w:hSpace="180" w:wrap="around" w:vAnchor="page" w:hAnchor="page" w:x="1193" w:y="11463"/>
        <w:spacing w:line="240" w:lineRule="auto"/>
        <w:rPr>
          <w:sz w:val="10"/>
        </w:rPr>
      </w:pPr>
    </w:p>
    <w:p w:rsidR="00216B5E" w:rsidRPr="00216B5E" w:rsidRDefault="00216B5E" w:rsidP="000A6E32">
      <w:pPr>
        <w:framePr w:w="9792" w:h="432" w:hSpace="180" w:wrap="around" w:vAnchor="page" w:hAnchor="page" w:x="1193" w:y="11463"/>
        <w:spacing w:line="240" w:lineRule="auto"/>
        <w:rPr>
          <w:sz w:val="6"/>
        </w:rPr>
      </w:pPr>
      <w:r w:rsidRPr="00216B5E">
        <w:rPr>
          <w:noProof/>
          <w:w w:val="100"/>
          <w:sz w:val="6"/>
          <w:lang w:val="en-US"/>
        </w:rPr>
        <w:pict>
          <v:line id="_x0000_s1027" style="position:absolute;z-index:1;mso-position-horizontal-relative:page" from="108pt,-1pt" to="180pt,-1pt" strokeweight=".25pt">
            <w10:wrap type="tight" anchorx="page"/>
          </v:line>
        </w:pict>
      </w:r>
    </w:p>
    <w:p w:rsidR="00216B5E" w:rsidRPr="00216B5E" w:rsidRDefault="00216B5E" w:rsidP="000A6E32">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000A6E32" w:rsidRPr="000A6E32">
        <w:rPr>
          <w:sz w:val="17"/>
        </w:rPr>
        <w:t>El acta resumida de la segunda parte (privada) de la sesión lleva la signatura CAT/C/SR.973/Add.1.</w:t>
      </w:r>
    </w:p>
    <w:p w:rsidR="004E0DAF" w:rsidRPr="004E0DAF" w:rsidRDefault="004E0DAF" w:rsidP="004E0DAF">
      <w:pPr>
        <w:pStyle w:val="SingleTxt"/>
        <w:suppressAutoHyphens/>
        <w:spacing w:after="0" w:line="240" w:lineRule="auto"/>
        <w:jc w:val="left"/>
        <w:rPr>
          <w:sz w:val="2"/>
        </w:rPr>
        <w:sectPr w:rsidR="004E0DAF" w:rsidRPr="004E0DAF" w:rsidSect="00333E49">
          <w:endnotePr>
            <w:numFmt w:val="decimal"/>
          </w:endnotePr>
          <w:type w:val="continuous"/>
          <w:pgSz w:w="12240" w:h="15840" w:code="1"/>
          <w:pgMar w:top="1742" w:right="1195" w:bottom="1898" w:left="1195" w:header="576" w:footer="1030" w:gutter="0"/>
          <w:cols w:space="708"/>
          <w:noEndnote/>
          <w:docGrid w:linePitch="360"/>
        </w:sectPr>
      </w:pPr>
      <w:r>
        <w:br w:type="page"/>
      </w:r>
    </w:p>
    <w:p w:rsidR="004E0DAF" w:rsidRDefault="00F546E0" w:rsidP="00F546E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0DAF">
        <w:t>Se declara abierta la sesión a las 15:05 horas.</w:t>
      </w:r>
    </w:p>
    <w:p w:rsidR="00F546E0" w:rsidRPr="00F546E0" w:rsidRDefault="00F546E0" w:rsidP="00F546E0">
      <w:pPr>
        <w:pStyle w:val="SingleTxt"/>
        <w:spacing w:after="0" w:line="120" w:lineRule="exact"/>
        <w:rPr>
          <w:sz w:val="10"/>
        </w:rPr>
      </w:pPr>
    </w:p>
    <w:p w:rsidR="00F546E0" w:rsidRPr="00F546E0" w:rsidRDefault="00F546E0" w:rsidP="00F546E0">
      <w:pPr>
        <w:pStyle w:val="SingleTxt"/>
        <w:spacing w:after="0" w:line="120" w:lineRule="exact"/>
        <w:rPr>
          <w:sz w:val="10"/>
        </w:rPr>
      </w:pPr>
    </w:p>
    <w:p w:rsidR="004E0DAF" w:rsidRDefault="004E0DAF" w:rsidP="00B06D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62" w:hanging="1267"/>
      </w:pPr>
      <w:r>
        <w:tab/>
      </w:r>
      <w:r>
        <w:tab/>
        <w:t xml:space="preserve">Examen de los informes presentados por los Estados partes en virtud del artículo 19 de la Convención </w:t>
      </w:r>
      <w:r w:rsidRPr="00B06DBC">
        <w:rPr>
          <w:b w:val="0"/>
        </w:rPr>
        <w:t>(</w:t>
      </w:r>
      <w:r w:rsidRPr="00B06DBC">
        <w:rPr>
          <w:b w:val="0"/>
          <w:i/>
        </w:rPr>
        <w:t>continuación</w:t>
      </w:r>
      <w:r w:rsidRPr="00B06DBC">
        <w:rPr>
          <w:b w:val="0"/>
        </w:rPr>
        <w:t>)</w:t>
      </w:r>
    </w:p>
    <w:p w:rsidR="00F546E0" w:rsidRPr="00F546E0" w:rsidRDefault="00F546E0" w:rsidP="00F546E0">
      <w:pPr>
        <w:pStyle w:val="SingleTxt"/>
        <w:spacing w:after="0" w:line="120" w:lineRule="exact"/>
        <w:rPr>
          <w:sz w:val="10"/>
        </w:rPr>
      </w:pPr>
    </w:p>
    <w:p w:rsidR="004E0DAF" w:rsidRDefault="004E0DAF" w:rsidP="00B06DBC">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89" w:hanging="1267"/>
      </w:pPr>
      <w:r>
        <w:tab/>
      </w:r>
      <w:r>
        <w:tab/>
        <w:t>Informe sobre el seguimiento de las observaciones finales (documento sin signatura distribuido en la sala únicamente en inglés)</w:t>
      </w:r>
    </w:p>
    <w:p w:rsidR="00F546E0" w:rsidRPr="00F546E0" w:rsidRDefault="00F546E0" w:rsidP="00F546E0">
      <w:pPr>
        <w:pStyle w:val="SingleTxt"/>
        <w:spacing w:after="0" w:line="120" w:lineRule="exact"/>
        <w:rPr>
          <w:sz w:val="10"/>
        </w:rPr>
      </w:pPr>
    </w:p>
    <w:p w:rsidR="004E0DAF" w:rsidRDefault="004E0DAF" w:rsidP="00F546E0">
      <w:pPr>
        <w:pStyle w:val="SingleTxt"/>
        <w:numPr>
          <w:ilvl w:val="0"/>
          <w:numId w:val="6"/>
        </w:numPr>
        <w:tabs>
          <w:tab w:val="clear" w:pos="475"/>
          <w:tab w:val="num" w:pos="1742"/>
        </w:tabs>
        <w:ind w:left="1267"/>
      </w:pPr>
      <w:r w:rsidRPr="004E0DAF">
        <w:rPr>
          <w:b/>
        </w:rPr>
        <w:t>El Presidente</w:t>
      </w:r>
      <w:r>
        <w:t xml:space="preserve"> invita a la Sra. Gaer a presentar su informe provisional sobre el seguimiento de las observaciones finales.</w:t>
      </w:r>
    </w:p>
    <w:p w:rsidR="004E0DAF" w:rsidRDefault="004E0DAF" w:rsidP="00F546E0">
      <w:pPr>
        <w:pStyle w:val="SingleTxt"/>
        <w:numPr>
          <w:ilvl w:val="0"/>
          <w:numId w:val="6"/>
        </w:numPr>
        <w:tabs>
          <w:tab w:val="clear" w:pos="475"/>
          <w:tab w:val="num" w:pos="1742"/>
        </w:tabs>
        <w:ind w:left="1267"/>
      </w:pPr>
      <w:r w:rsidRPr="004E0DAF">
        <w:rPr>
          <w:b/>
        </w:rPr>
        <w:t>La Sra. Gaer</w:t>
      </w:r>
      <w:r>
        <w:t xml:space="preserve"> (Relatora para el seguimiento de las observaciones finales) recuerda que, durante su 30° período de sesiones, el Comité puso en marcha un procedimiento de seguimiento de las observaciones finales aprobadas en virtud del artículo 19 de la Convención con la intención de hacer más eficaz la lucha contra la tortura y de ayudar a los Estados </w:t>
      </w:r>
      <w:r w:rsidR="00CE0393">
        <w:t xml:space="preserve">partes </w:t>
      </w:r>
      <w:r>
        <w:t xml:space="preserve">a </w:t>
      </w:r>
      <w:r w:rsidR="00CE0393">
        <w:t xml:space="preserve">adoptar plenamente su </w:t>
      </w:r>
      <w:r>
        <w:t xml:space="preserve">legislación y sus prácticas a las obligaciones estipuladas en la Convención. El procedimiento no pretende asegurar la puesta en práctica de cada una de las numerosas recomendaciones formuladas por el Comité tras el examen de los informes de los Estados partes, sino poner de relieve algunas de ellas, escogidas sobre la base de tres criterios. Las recomendaciones seleccionadas deben versar sobre cuestiones graves, aspirar a asegurar la protección de derechos o de personas y ser aplicables en el plazo de un año, quedando el Estado parte de que se trate emplazado a proporcionar información sobre el seguimiento que haya realizado respecto a las mismas durante dicho plazo. </w:t>
      </w:r>
    </w:p>
    <w:p w:rsidR="004E0DAF" w:rsidRDefault="004E0DAF" w:rsidP="00F546E0">
      <w:pPr>
        <w:pStyle w:val="SingleTxt"/>
        <w:numPr>
          <w:ilvl w:val="0"/>
          <w:numId w:val="6"/>
        </w:numPr>
        <w:tabs>
          <w:tab w:val="clear" w:pos="475"/>
          <w:tab w:val="num" w:pos="1742"/>
        </w:tabs>
        <w:ind w:left="1267"/>
      </w:pPr>
      <w:r>
        <w:t xml:space="preserve">Desde la puesta en práctica del nuevo procedimiento en 2003, el Comité ha solicitado a 101 Estados información sobre el seguimiento dado a sus recomendaciones. La </w:t>
      </w:r>
      <w:r w:rsidR="00CE0393">
        <w:t xml:space="preserve">Relatora </w:t>
      </w:r>
      <w:r>
        <w:t xml:space="preserve">considera </w:t>
      </w:r>
      <w:r w:rsidR="00CE0393">
        <w:t xml:space="preserve">muy interesante </w:t>
      </w:r>
      <w:r>
        <w:t>es</w:t>
      </w:r>
      <w:r w:rsidR="00CE0393">
        <w:t xml:space="preserve">te procedimiento de seguimiento, pues </w:t>
      </w:r>
      <w:r>
        <w:t xml:space="preserve">permite obtener información de los Estados partes acerca de las medidas de protección adoptadas desde el examen de sus informes periódicos. El 74% de los 95 Estados partes </w:t>
      </w:r>
      <w:r w:rsidR="00CE0393">
        <w:t xml:space="preserve">que debían presentar su informe </w:t>
      </w:r>
      <w:r>
        <w:t xml:space="preserve">antes del </w:t>
      </w:r>
      <w:r w:rsidR="00CE0393">
        <w:t xml:space="preserve">44° </w:t>
      </w:r>
      <w:r>
        <w:t xml:space="preserve">período de sesiones del Comité le </w:t>
      </w:r>
      <w:r w:rsidR="00CE0393">
        <w:t xml:space="preserve">han enviado </w:t>
      </w:r>
      <w:r>
        <w:t xml:space="preserve">información sobre el seguimiento dado </w:t>
      </w:r>
      <w:r w:rsidR="00CE0393">
        <w:t xml:space="preserve">a algunas </w:t>
      </w:r>
      <w:r>
        <w:t xml:space="preserve">de sus recomendaciones. </w:t>
      </w:r>
      <w:r w:rsidR="00CE0393">
        <w:t xml:space="preserve">Los </w:t>
      </w:r>
      <w:r>
        <w:t xml:space="preserve">que responden fuera de plazo o </w:t>
      </w:r>
      <w:r w:rsidR="00CE0393">
        <w:t xml:space="preserve">no dan respuesta alguna son, por lo general, </w:t>
      </w:r>
      <w:r>
        <w:t xml:space="preserve">los mismos que se demoran en la presentación de su informe inicial o periódico. </w:t>
      </w:r>
    </w:p>
    <w:p w:rsidR="004E0DAF" w:rsidRDefault="004E0DAF" w:rsidP="00F546E0">
      <w:pPr>
        <w:pStyle w:val="SingleTxt"/>
        <w:numPr>
          <w:ilvl w:val="0"/>
          <w:numId w:val="6"/>
        </w:numPr>
        <w:tabs>
          <w:tab w:val="clear" w:pos="475"/>
          <w:tab w:val="num" w:pos="1742"/>
        </w:tabs>
        <w:ind w:left="1267"/>
      </w:pPr>
      <w:r>
        <w:t xml:space="preserve">Como </w:t>
      </w:r>
      <w:r w:rsidR="00CE0393">
        <w:t xml:space="preserve">Relatora </w:t>
      </w:r>
      <w:r>
        <w:t xml:space="preserve">para el seguimiento de las observaciones finales, la Sra. Gaer realiza una evaluación de las respuestas recibidas para determinar si abordan las preocupaciones del Comité o si se necesitan datos adicionales. En este último caso, la </w:t>
      </w:r>
      <w:r w:rsidR="00B06DBC">
        <w:t xml:space="preserve">Relatora </w:t>
      </w:r>
      <w:r>
        <w:t>se dirige por escrito al Estado parte para solicitarle aclaraciones sobre aspectos concretos. Las cartas enviadas a los Estados partes</w:t>
      </w:r>
      <w:r w:rsidR="00CE0393">
        <w:t xml:space="preserve"> por este motivo</w:t>
      </w:r>
      <w:r>
        <w:t xml:space="preserve">, </w:t>
      </w:r>
      <w:r w:rsidR="00CE0393">
        <w:t xml:space="preserve">sus </w:t>
      </w:r>
      <w:r>
        <w:t xml:space="preserve">eventuales respuestas y, en su caso, la información trasmitida por </w:t>
      </w:r>
      <w:r w:rsidR="00CE0393">
        <w:t xml:space="preserve">las organizaciones no </w:t>
      </w:r>
      <w:r w:rsidR="00CE0393" w:rsidRPr="00CE0393">
        <w:t>gubernamentales</w:t>
      </w:r>
      <w:r w:rsidR="00CE0393">
        <w:t xml:space="preserve"> (</w:t>
      </w:r>
      <w:r w:rsidRPr="00CE0393">
        <w:t>ONG</w:t>
      </w:r>
      <w:r w:rsidR="00CE0393">
        <w:t xml:space="preserve">) y las </w:t>
      </w:r>
      <w:r>
        <w:t>organizaciones de la sociedad civil se publican a partir de ahora en el sitio web del Comité, en la dirección http://www2.ohchr.org/english/bodies/</w:t>
      </w:r>
      <w:r w:rsidR="00CE0393">
        <w:t xml:space="preserve"> </w:t>
      </w:r>
      <w:r>
        <w:t>cat/follow-procedure.htm.</w:t>
      </w:r>
    </w:p>
    <w:p w:rsidR="004E0DAF" w:rsidRDefault="00CE0393" w:rsidP="00F546E0">
      <w:pPr>
        <w:pStyle w:val="SingleTxt"/>
        <w:numPr>
          <w:ilvl w:val="0"/>
          <w:numId w:val="6"/>
        </w:numPr>
        <w:tabs>
          <w:tab w:val="clear" w:pos="475"/>
          <w:tab w:val="num" w:pos="1742"/>
        </w:tabs>
        <w:ind w:left="1267"/>
      </w:pPr>
      <w:r>
        <w:t xml:space="preserve">Dado que las </w:t>
      </w:r>
      <w:r w:rsidR="004E0DAF">
        <w:t xml:space="preserve">recomendaciones dirigidas a cada Estado parte se </w:t>
      </w:r>
      <w:r>
        <w:t xml:space="preserve">formulan </w:t>
      </w:r>
      <w:r w:rsidR="004E0DAF">
        <w:t>teniendo en cuenta la situación del país en cuestión, las respuestas recibidas y las cartas en que la Relatora solicita información complementaria abordan temas muy diversos. Sin embargo, algunos son recurrentes; entre ellos</w:t>
      </w:r>
      <w:r w:rsidR="00222E3D">
        <w:t>,</w:t>
      </w:r>
      <w:r w:rsidR="004E0DAF">
        <w:t xml:space="preserve"> la necesidad de iniciar inmediatamente una investigación imparcial sobre las denuncias de violación (76%), perseguir y castigar a los autores de actos de tortura o malos tratos (61%), ofrecer garantías jurídicas a los detenidos </w:t>
      </w:r>
      <w:r>
        <w:t xml:space="preserve">y </w:t>
      </w:r>
      <w:r w:rsidR="004E0DAF">
        <w:t>las personas privadas</w:t>
      </w:r>
      <w:r>
        <w:t xml:space="preserve"> de libertad (57%), asegurar a la persona </w:t>
      </w:r>
      <w:r w:rsidR="004E0DAF">
        <w:t xml:space="preserve">el derecho de presentar una denuncia y lograr que su causa se examine sin que por ello sufra represalias (43%), aumentar la eficacia de las actividades de capacitación y de sensibilización (43%), velar por que los métodos de interrogación sean conformes a las disposiciones de la Convención (43%), </w:t>
      </w:r>
      <w:r>
        <w:t xml:space="preserve">conceder </w:t>
      </w:r>
      <w:r w:rsidR="004E0DAF">
        <w:t xml:space="preserve">una reparación a las víctimas de torturas y </w:t>
      </w:r>
      <w:r>
        <w:t xml:space="preserve">permitirles disfrutar de medidas para su rehabilitación </w:t>
      </w:r>
      <w:r w:rsidR="004E0DAF">
        <w:t xml:space="preserve">(38%), luchar contra la violencia por razón de género y proteger a las mujeres (34%), mejorar la vigilancia en los centros de detención y organizar visitas </w:t>
      </w:r>
      <w:r>
        <w:t xml:space="preserve">de órganos independientes </w:t>
      </w:r>
      <w:r w:rsidR="004E0DAF">
        <w:t>sin previo aviso a esos lugares (30%) y mejorar las condiciones de detención y luchar contra el hacinamiento en las prisiones (28%).</w:t>
      </w:r>
    </w:p>
    <w:p w:rsidR="004E0DAF" w:rsidRDefault="00CE0393" w:rsidP="00F546E0">
      <w:pPr>
        <w:pStyle w:val="SingleTxt"/>
        <w:numPr>
          <w:ilvl w:val="0"/>
          <w:numId w:val="6"/>
        </w:numPr>
        <w:tabs>
          <w:tab w:val="clear" w:pos="475"/>
          <w:tab w:val="num" w:pos="1742"/>
        </w:tabs>
        <w:ind w:left="1267"/>
      </w:pPr>
      <w:r w:rsidRPr="00307FB4">
        <w:rPr>
          <w:spacing w:val="0"/>
        </w:rPr>
        <w:t xml:space="preserve">En </w:t>
      </w:r>
      <w:r w:rsidR="004E0DAF" w:rsidRPr="00307FB4">
        <w:rPr>
          <w:spacing w:val="0"/>
        </w:rPr>
        <w:t xml:space="preserve">su correspondencia con los Estados partes, la Sra. Gaer afirma haber </w:t>
      </w:r>
      <w:r w:rsidRPr="00307FB4">
        <w:rPr>
          <w:spacing w:val="0"/>
        </w:rPr>
        <w:t xml:space="preserve">observado </w:t>
      </w:r>
      <w:r w:rsidR="004E0DAF" w:rsidRPr="00307FB4">
        <w:rPr>
          <w:spacing w:val="0"/>
        </w:rPr>
        <w:t xml:space="preserve">varios </w:t>
      </w:r>
      <w:r w:rsidRPr="00307FB4">
        <w:rPr>
          <w:spacing w:val="0"/>
        </w:rPr>
        <w:t xml:space="preserve">motivos </w:t>
      </w:r>
      <w:r w:rsidR="004E0DAF" w:rsidRPr="00307FB4">
        <w:rPr>
          <w:spacing w:val="0"/>
        </w:rPr>
        <w:t xml:space="preserve">de preocupación recurrentes </w:t>
      </w:r>
      <w:r w:rsidRPr="00307FB4">
        <w:rPr>
          <w:spacing w:val="0"/>
        </w:rPr>
        <w:t xml:space="preserve">sobre </w:t>
      </w:r>
      <w:r w:rsidR="004E0DAF" w:rsidRPr="00307FB4">
        <w:rPr>
          <w:spacing w:val="0"/>
        </w:rPr>
        <w:t xml:space="preserve">los cuales el Comité no recibe una respuesta satisfactoria de los Estados partes. Estos puntos fueron señalados en el informe anual del Comité </w:t>
      </w:r>
      <w:r w:rsidRPr="00307FB4">
        <w:rPr>
          <w:spacing w:val="0"/>
        </w:rPr>
        <w:t xml:space="preserve">a </w:t>
      </w:r>
      <w:r w:rsidR="004E0DAF" w:rsidRPr="00307FB4">
        <w:rPr>
          <w:spacing w:val="0"/>
        </w:rPr>
        <w:t xml:space="preserve">la Asamblea General. Se trata principalmente de la presentación por parte de los Estados partes </w:t>
      </w:r>
      <w:r w:rsidR="00307FB4" w:rsidRPr="00307FB4">
        <w:rPr>
          <w:spacing w:val="0"/>
        </w:rPr>
        <w:t xml:space="preserve">de ejemplos </w:t>
      </w:r>
      <w:r w:rsidR="004E0DAF" w:rsidRPr="00307FB4">
        <w:rPr>
          <w:spacing w:val="0"/>
        </w:rPr>
        <w:t>concretos, la creación de instituciones independientes e imparciales encargadas específicamente</w:t>
      </w:r>
      <w:r w:rsidR="004E0DAF">
        <w:t xml:space="preserve"> de examinar las </w:t>
      </w:r>
      <w:r w:rsidR="00307FB4">
        <w:t xml:space="preserve">quejas sobre </w:t>
      </w:r>
      <w:r w:rsidR="004E0DAF">
        <w:t xml:space="preserve">violaciones de la Convención, los problemas persistentes que supone la </w:t>
      </w:r>
      <w:r w:rsidR="00307FB4">
        <w:t xml:space="preserve">recopilación y el </w:t>
      </w:r>
      <w:r w:rsidR="004E0DAF">
        <w:t>análisis de estadísticas sobre la policía y la administración de justicia, la necesidad de iniciar sin dilación investigaciones imparciales s</w:t>
      </w:r>
      <w:r w:rsidR="00307FB4">
        <w:t xml:space="preserve">obre las denuncias de violación, </w:t>
      </w:r>
      <w:r w:rsidR="004E0DAF">
        <w:t xml:space="preserve">y la utilidad de las visitas </w:t>
      </w:r>
      <w:r w:rsidR="00307FB4">
        <w:t xml:space="preserve">de las ONG a </w:t>
      </w:r>
      <w:r w:rsidR="004E0DAF">
        <w:t>las prisiones.</w:t>
      </w:r>
    </w:p>
    <w:p w:rsidR="004E0DAF" w:rsidRDefault="004E0DAF" w:rsidP="00F546E0">
      <w:pPr>
        <w:pStyle w:val="SingleTxt"/>
        <w:numPr>
          <w:ilvl w:val="0"/>
          <w:numId w:val="6"/>
        </w:numPr>
        <w:tabs>
          <w:tab w:val="clear" w:pos="475"/>
          <w:tab w:val="num" w:pos="1742"/>
        </w:tabs>
        <w:ind w:left="1267"/>
      </w:pPr>
      <w:r>
        <w:t xml:space="preserve">Para obtener </w:t>
      </w:r>
      <w:r w:rsidR="00307FB4">
        <w:t>información</w:t>
      </w:r>
      <w:r>
        <w:t xml:space="preserve">, la Sra. Gaer consulta a otras fuentes distintas de las que le indican los Estados partes, </w:t>
      </w:r>
      <w:r w:rsidR="00482B09">
        <w:t xml:space="preserve">en particular a </w:t>
      </w:r>
      <w:r>
        <w:t xml:space="preserve">órganos </w:t>
      </w:r>
      <w:r w:rsidR="00482B09">
        <w:t xml:space="preserve">competentes de las Naciones </w:t>
      </w:r>
      <w:r w:rsidR="00482B09" w:rsidRPr="00482B09">
        <w:t>Unidas</w:t>
      </w:r>
      <w:r>
        <w:t xml:space="preserve">, los procedimientos especiales del Consejo de Derechos Humanos, las organizaciones intergubernamentales, las instituciones nacionales de defensa de los derechos humanos, la jurisprudencia de los tribunales nacionales o internacionales y las </w:t>
      </w:r>
      <w:r w:rsidR="00482B09">
        <w:t xml:space="preserve">ONG. En adelante, la información obtenida </w:t>
      </w:r>
      <w:r>
        <w:t>de estas dos</w:t>
      </w:r>
      <w:r w:rsidR="00482B09">
        <w:t xml:space="preserve"> últimas fuentes se publicará </w:t>
      </w:r>
      <w:r>
        <w:t xml:space="preserve">en el sitio web del Comité. </w:t>
      </w:r>
    </w:p>
    <w:p w:rsidR="004E0DAF" w:rsidRDefault="004E0DAF" w:rsidP="00F546E0">
      <w:pPr>
        <w:pStyle w:val="SingleTxt"/>
        <w:numPr>
          <w:ilvl w:val="0"/>
          <w:numId w:val="6"/>
        </w:numPr>
        <w:tabs>
          <w:tab w:val="clear" w:pos="475"/>
          <w:tab w:val="num" w:pos="1742"/>
        </w:tabs>
        <w:ind w:left="1267"/>
      </w:pPr>
      <w:r>
        <w:t xml:space="preserve">Durante la última reunión entre comités celebrada en junio de 2010, la Sra. Gaer abordó la cuestión del intercambio de información con los procedimientos especiales. En el marco general de la lucha contra la tortura y los malos tratos, sería enormemente útil que el Comité y los procedimientos especiales, en particular aquellos habilitados para realizar </w:t>
      </w:r>
      <w:r w:rsidR="00987E4D">
        <w:t xml:space="preserve">llamamientos urgentes o </w:t>
      </w:r>
      <w:r>
        <w:t xml:space="preserve">visitas a los países, como los relatores especiales sobre la tortura, sobre la violencia contra la mujer y sobre la independencia de los </w:t>
      </w:r>
      <w:r w:rsidR="00987E4D">
        <w:t xml:space="preserve">jueces </w:t>
      </w:r>
      <w:r>
        <w:t xml:space="preserve">y abogados o el Grupo de Trabajo sobre la detención arbitraria, </w:t>
      </w:r>
      <w:r w:rsidR="00987E4D">
        <w:t xml:space="preserve">intercambiaran información sobre </w:t>
      </w:r>
      <w:r>
        <w:t xml:space="preserve">sus prioridades, conclusiones y preocupaciones relativas a las cuestiones </w:t>
      </w:r>
      <w:r w:rsidR="00987E4D">
        <w:t xml:space="preserve">de </w:t>
      </w:r>
      <w:r>
        <w:t xml:space="preserve">las que este realiza </w:t>
      </w:r>
      <w:r w:rsidR="00987E4D">
        <w:t xml:space="preserve">un </w:t>
      </w:r>
      <w:r>
        <w:t xml:space="preserve">seguimiento con los Estados partes. </w:t>
      </w:r>
      <w:r w:rsidR="00987E4D">
        <w:t xml:space="preserve">Esta </w:t>
      </w:r>
      <w:r>
        <w:t xml:space="preserve">colaboración tendría un efecto multiplicador </w:t>
      </w:r>
      <w:r w:rsidR="00987E4D">
        <w:t xml:space="preserve">de la labor que desarrollan </w:t>
      </w:r>
      <w:r>
        <w:t xml:space="preserve">los procedimientos especiales y, a falta de visitas a los países por expertos del Comité contra la Tortura, el </w:t>
      </w:r>
      <w:r w:rsidR="000D46B0">
        <w:t xml:space="preserve">trabajo </w:t>
      </w:r>
      <w:r w:rsidR="00987E4D">
        <w:t xml:space="preserve">que desempeñan </w:t>
      </w:r>
      <w:r>
        <w:t xml:space="preserve">los procedimientos especiales debería facilitar considerablemente el seguimiento de las recomendaciones </w:t>
      </w:r>
      <w:r w:rsidR="00987E4D">
        <w:t xml:space="preserve">formuladas </w:t>
      </w:r>
      <w:r>
        <w:t xml:space="preserve">tras el examen de los informes de los Estados partes. En este contexto, el diálogo </w:t>
      </w:r>
      <w:r w:rsidR="00987E4D">
        <w:t xml:space="preserve">entablado </w:t>
      </w:r>
      <w:r>
        <w:t xml:space="preserve">durante el presente período de sesiones con el Grupo de Trabajo sobre las Desapariciones Forzadas o Involuntarias </w:t>
      </w:r>
      <w:r w:rsidR="00987E4D">
        <w:t xml:space="preserve">solo puede ser </w:t>
      </w:r>
      <w:r>
        <w:t>beneficioso.</w:t>
      </w:r>
    </w:p>
    <w:p w:rsidR="004E0DAF" w:rsidRDefault="00662D66" w:rsidP="00F546E0">
      <w:pPr>
        <w:pStyle w:val="SingleTxt"/>
        <w:numPr>
          <w:ilvl w:val="0"/>
          <w:numId w:val="6"/>
        </w:numPr>
        <w:tabs>
          <w:tab w:val="clear" w:pos="475"/>
          <w:tab w:val="num" w:pos="1742"/>
        </w:tabs>
        <w:ind w:left="1267"/>
      </w:pPr>
      <w:r>
        <w:t xml:space="preserve">A fin de </w:t>
      </w:r>
      <w:r w:rsidR="004E0DAF">
        <w:t xml:space="preserve">que el Comité </w:t>
      </w:r>
      <w:r>
        <w:t xml:space="preserve">pueda analizar </w:t>
      </w:r>
      <w:r w:rsidR="004E0DAF">
        <w:t>sus propias prácticas, la Sra. Gaer presenta tres cuadros recapitulativos sobre los siguientes aspectos: el reparto regional de los países sujetos al procedimiento de seguimiento y los temas abordados; las cuestiones que han sido objeto de seguimiento y que se han incorporado a las listas de cuestiones previas a la presentación de los inform</w:t>
      </w:r>
      <w:r>
        <w:t xml:space="preserve">es de los Estados partes; y un resumen </w:t>
      </w:r>
      <w:r w:rsidR="00514833">
        <w:t xml:space="preserve">de </w:t>
      </w:r>
      <w:r w:rsidR="004E0DAF">
        <w:t xml:space="preserve">los diferentes temas que han sido objeto de un procedimiento de seguimiento entre el </w:t>
      </w:r>
      <w:r w:rsidR="00514833">
        <w:t xml:space="preserve">30° </w:t>
      </w:r>
      <w:r w:rsidR="004E0DAF">
        <w:t xml:space="preserve">y el </w:t>
      </w:r>
      <w:r w:rsidR="00514833">
        <w:t xml:space="preserve">44° </w:t>
      </w:r>
      <w:r w:rsidR="004E0DAF">
        <w:t xml:space="preserve">período de sesiones del Comité. En este sentido, la Sra. Gaer </w:t>
      </w:r>
      <w:r w:rsidR="00514833">
        <w:t xml:space="preserve">observa con satisfacción </w:t>
      </w:r>
      <w:r w:rsidR="004E0DAF">
        <w:t>que el Comité ha</w:t>
      </w:r>
      <w:r w:rsidR="00514833">
        <w:t xml:space="preserve"> seguido </w:t>
      </w:r>
      <w:r w:rsidR="004E0DAF">
        <w:t xml:space="preserve">su propuesta de procurar limitar el número de recomendaciones </w:t>
      </w:r>
      <w:r w:rsidR="00514833">
        <w:t xml:space="preserve">dirigidas a los Estados partes </w:t>
      </w:r>
      <w:r w:rsidR="004E0DAF">
        <w:t>que precis</w:t>
      </w:r>
      <w:r w:rsidR="00514833">
        <w:t>a</w:t>
      </w:r>
      <w:r w:rsidR="004E0DAF">
        <w:t>n seguimiento y que la Tercera Comisión ha</w:t>
      </w:r>
      <w:r w:rsidR="00514833">
        <w:t xml:space="preserve"> </w:t>
      </w:r>
      <w:r w:rsidR="004E0DAF">
        <w:t xml:space="preserve">apreciado los esfuerzos del Comité por </w:t>
      </w:r>
      <w:r w:rsidR="00514833">
        <w:t xml:space="preserve">aumentar </w:t>
      </w:r>
      <w:r w:rsidR="004E0DAF">
        <w:t xml:space="preserve">la eficacia de sus métodos de trabajo. Además, celebra la mejora de la coordinación con los miembros del Comité desde el </w:t>
      </w:r>
      <w:r w:rsidR="00514833">
        <w:t xml:space="preserve">44° </w:t>
      </w:r>
      <w:r w:rsidR="004E0DAF">
        <w:t xml:space="preserve">período </w:t>
      </w:r>
      <w:r w:rsidR="00514833">
        <w:t xml:space="preserve">de sesiones, </w:t>
      </w:r>
      <w:r w:rsidR="004E0DAF">
        <w:t xml:space="preserve">en el sentido en que estos últimos tienen </w:t>
      </w:r>
      <w:r w:rsidR="00514833">
        <w:t xml:space="preserve">en cuenta </w:t>
      </w:r>
      <w:r w:rsidR="004E0DAF">
        <w:t>mucho más sistemáticamente las cuestiones que el Comité ya ha designado</w:t>
      </w:r>
      <w:r w:rsidR="00514833">
        <w:t xml:space="preserve"> como sujetas a seguimiento, la </w:t>
      </w:r>
      <w:r w:rsidR="004E0DAF">
        <w:t>informaci</w:t>
      </w:r>
      <w:r w:rsidR="00514833">
        <w:t xml:space="preserve">ón intercambiada </w:t>
      </w:r>
      <w:r w:rsidR="004E0DAF">
        <w:t xml:space="preserve">con los Estados partes y las peticiones de información de la Relatora que quedaron sin respuesta </w:t>
      </w:r>
      <w:r w:rsidR="00514833">
        <w:t xml:space="preserve">a la hora de redactar </w:t>
      </w:r>
      <w:r w:rsidR="004E0DAF">
        <w:t>las listas de cuestiones previas a la presentación de los informes periódicos.</w:t>
      </w:r>
    </w:p>
    <w:p w:rsidR="004E0DAF" w:rsidRDefault="004E0DAF" w:rsidP="00F546E0">
      <w:pPr>
        <w:pStyle w:val="SingleTxt"/>
        <w:numPr>
          <w:ilvl w:val="0"/>
          <w:numId w:val="6"/>
        </w:numPr>
        <w:tabs>
          <w:tab w:val="clear" w:pos="475"/>
          <w:tab w:val="num" w:pos="1742"/>
        </w:tabs>
        <w:ind w:left="1267"/>
      </w:pPr>
      <w:r w:rsidRPr="00514833">
        <w:rPr>
          <w:b/>
        </w:rPr>
        <w:t>La Sra. Kl</w:t>
      </w:r>
      <w:r w:rsidR="00514833" w:rsidRPr="00514833">
        <w:rPr>
          <w:b/>
        </w:rPr>
        <w:t>e</w:t>
      </w:r>
      <w:r w:rsidRPr="00514833">
        <w:rPr>
          <w:b/>
        </w:rPr>
        <w:t>opas</w:t>
      </w:r>
      <w:r>
        <w:t xml:space="preserve"> comparte la opinión de la Sra. Gaer </w:t>
      </w:r>
      <w:r w:rsidR="00514833">
        <w:t xml:space="preserve">sobre </w:t>
      </w:r>
      <w:r>
        <w:t>la utilidad del procedimiento de seguimiento de</w:t>
      </w:r>
      <w:r w:rsidR="00514833">
        <w:t xml:space="preserve"> las recomendaciones del Comité, en particular, de la información obtenida </w:t>
      </w:r>
      <w:r>
        <w:t xml:space="preserve">en el marco de este procedimiento en todas las fases de los trabajos del Comité, ya se trate </w:t>
      </w:r>
      <w:r w:rsidR="00514833">
        <w:t xml:space="preserve">de la preparación </w:t>
      </w:r>
      <w:r>
        <w:t xml:space="preserve">de la lista de cuestiones previa a la presentación de los informes periódicos o del examen de esos informes. Igualmente, se muestra </w:t>
      </w:r>
      <w:r w:rsidR="00514833">
        <w:t xml:space="preserve">totalmente </w:t>
      </w:r>
      <w:r>
        <w:t xml:space="preserve">favorable al establecimiento de una colaboración más estrecha </w:t>
      </w:r>
      <w:r w:rsidR="00514833">
        <w:t xml:space="preserve">con </w:t>
      </w:r>
      <w:r>
        <w:t>los procedimientos especiales</w:t>
      </w:r>
    </w:p>
    <w:p w:rsidR="004E0DAF" w:rsidRDefault="004E0DAF" w:rsidP="00F546E0">
      <w:pPr>
        <w:pStyle w:val="SingleTxt"/>
        <w:numPr>
          <w:ilvl w:val="0"/>
          <w:numId w:val="6"/>
        </w:numPr>
        <w:tabs>
          <w:tab w:val="clear" w:pos="475"/>
          <w:tab w:val="num" w:pos="1742"/>
        </w:tabs>
        <w:ind w:left="1267"/>
      </w:pPr>
      <w:r w:rsidRPr="00514833">
        <w:rPr>
          <w:b/>
        </w:rPr>
        <w:t>El Sr. Bruni</w:t>
      </w:r>
      <w:r w:rsidR="00514833">
        <w:t xml:space="preserve"> subraya, </w:t>
      </w:r>
      <w:r>
        <w:t xml:space="preserve">por su </w:t>
      </w:r>
      <w:r w:rsidR="00514833">
        <w:t xml:space="preserve">parte, </w:t>
      </w:r>
      <w:r>
        <w:t xml:space="preserve">la necesidad de reforzar la cooperación entre los órganos </w:t>
      </w:r>
      <w:r w:rsidR="00514833">
        <w:t xml:space="preserve">creados en virtud de tratados </w:t>
      </w:r>
      <w:r>
        <w:t xml:space="preserve">y los procedimientos especiales, en particular aquellos cuyas actividades </w:t>
      </w:r>
      <w:r w:rsidR="00514833">
        <w:t xml:space="preserve">están directamente relacionadas </w:t>
      </w:r>
      <w:r>
        <w:t xml:space="preserve">con los trabajos del Comité. </w:t>
      </w:r>
      <w:r w:rsidR="00514833">
        <w:t xml:space="preserve">Este </w:t>
      </w:r>
      <w:r>
        <w:t xml:space="preserve">siempre ha tenido en cuenta los informes </w:t>
      </w:r>
      <w:r w:rsidR="00514833">
        <w:t xml:space="preserve">preparados </w:t>
      </w:r>
      <w:r>
        <w:t xml:space="preserve">por los procedimientos especiales tras sus misiones en </w:t>
      </w:r>
      <w:r w:rsidR="00514833">
        <w:t>los países</w:t>
      </w:r>
      <w:r>
        <w:t xml:space="preserve">. De igual modo, el Relator especial sobre la tortura siempre se ha hecho eco, durante las visitas realizadas </w:t>
      </w:r>
      <w:r w:rsidR="00514833">
        <w:t>a los países</w:t>
      </w:r>
      <w:r>
        <w:t xml:space="preserve">, de las observaciones </w:t>
      </w:r>
      <w:r w:rsidR="00514833">
        <w:t xml:space="preserve">del </w:t>
      </w:r>
      <w:r>
        <w:t xml:space="preserve">Comité </w:t>
      </w:r>
      <w:r w:rsidR="00514833">
        <w:t xml:space="preserve">tras </w:t>
      </w:r>
      <w:r>
        <w:t xml:space="preserve">el examen de los informes periódicos. El orador desea que se tengan en cuenta de manera más sistemática los temas abordados en el procedimiento de seguimiento y propone que se añada en el programa de la próxima reunión </w:t>
      </w:r>
      <w:r w:rsidR="00514833">
        <w:t xml:space="preserve">de </w:t>
      </w:r>
      <w:r>
        <w:t xml:space="preserve">los órganos </w:t>
      </w:r>
      <w:r w:rsidR="00514833">
        <w:t xml:space="preserve">creados en virtud de tratados y </w:t>
      </w:r>
      <w:r>
        <w:t xml:space="preserve">los procedimientos especiales la cuestión de la institucionalización del diálogo con estos últimos. El Sr. Bruni opina que sería igualmente útil incorporar las cuestiones prioritarias </w:t>
      </w:r>
      <w:r w:rsidR="0087041B">
        <w:t xml:space="preserve">observadas </w:t>
      </w:r>
      <w:r w:rsidR="000D46B0">
        <w:t xml:space="preserve">por el Comité </w:t>
      </w:r>
      <w:r w:rsidR="0087041B">
        <w:t xml:space="preserve">en el marco del </w:t>
      </w:r>
      <w:r>
        <w:t xml:space="preserve">procedimiento de seguimiento en los informes </w:t>
      </w:r>
      <w:r w:rsidR="0087041B">
        <w:t xml:space="preserve">preparados </w:t>
      </w:r>
      <w:r>
        <w:t xml:space="preserve">por la secretaría </w:t>
      </w:r>
      <w:r w:rsidR="0087041B">
        <w:t xml:space="preserve">a los efectos del </w:t>
      </w:r>
      <w:r>
        <w:t xml:space="preserve">examen periódico universal. </w:t>
      </w:r>
      <w:r w:rsidR="0087041B">
        <w:t xml:space="preserve">Ello </w:t>
      </w:r>
      <w:r>
        <w:t xml:space="preserve">permitiría </w:t>
      </w:r>
      <w:r w:rsidR="0087041B">
        <w:t xml:space="preserve">proceder a </w:t>
      </w:r>
      <w:r>
        <w:t>un examen completo de la situación de los derechos humanos en todos los países.</w:t>
      </w:r>
    </w:p>
    <w:p w:rsidR="004E0DAF" w:rsidRDefault="004E0DAF" w:rsidP="00F546E0">
      <w:pPr>
        <w:pStyle w:val="SingleTxt"/>
        <w:numPr>
          <w:ilvl w:val="0"/>
          <w:numId w:val="6"/>
        </w:numPr>
        <w:tabs>
          <w:tab w:val="clear" w:pos="475"/>
          <w:tab w:val="num" w:pos="1742"/>
        </w:tabs>
        <w:ind w:left="1267"/>
      </w:pPr>
      <w:r w:rsidRPr="007A15D9">
        <w:rPr>
          <w:b/>
        </w:rPr>
        <w:t>La Sra. Sveaass</w:t>
      </w:r>
      <w:r>
        <w:t xml:space="preserve"> afirma que el procedimiento de seguimiento y la incorporación de las cuestiones prioritarias </w:t>
      </w:r>
      <w:r w:rsidR="00407C43">
        <w:t xml:space="preserve">observadas </w:t>
      </w:r>
      <w:r>
        <w:t xml:space="preserve">durante dicho seguimiento en las listas de cuestiones previas a la presentación de los informes </w:t>
      </w:r>
      <w:r w:rsidR="00407C43">
        <w:t xml:space="preserve">periódicos </w:t>
      </w:r>
      <w:r>
        <w:t xml:space="preserve">coinciden en su voluntad de asegurar la continuidad y la eficacia de la </w:t>
      </w:r>
      <w:r w:rsidR="00407C43">
        <w:t xml:space="preserve">labor </w:t>
      </w:r>
      <w:r>
        <w:t xml:space="preserve">del Comité. </w:t>
      </w:r>
      <w:r w:rsidR="00407C43">
        <w:t xml:space="preserve">La </w:t>
      </w:r>
      <w:r w:rsidR="00A7011D">
        <w:t>oradora desea</w:t>
      </w:r>
      <w:r w:rsidR="00407C43">
        <w:t xml:space="preserve"> </w:t>
      </w:r>
      <w:r>
        <w:t xml:space="preserve">saber si </w:t>
      </w:r>
      <w:r w:rsidR="00407C43">
        <w:t xml:space="preserve">todos los </w:t>
      </w:r>
      <w:r>
        <w:t xml:space="preserve">temas específicos sobre los que se suele solicitar de manera recurrente información complementaria en el procedimiento de seguimiento se atienen a los criterios y principios de selección establecidos por el Comité y cuáles son los principales puntos de preocupación del Comité </w:t>
      </w:r>
      <w:r w:rsidR="00407C43">
        <w:t>para</w:t>
      </w:r>
      <w:r>
        <w:t xml:space="preserve"> los cuales los Estados partes no suelen </w:t>
      </w:r>
      <w:r w:rsidR="00407C43">
        <w:t>dar</w:t>
      </w:r>
      <w:r>
        <w:t xml:space="preserve"> una respuesta satisfactoria, </w:t>
      </w:r>
      <w:r w:rsidR="00407C43">
        <w:t xml:space="preserve">a fin de </w:t>
      </w:r>
      <w:r>
        <w:t xml:space="preserve">revisar, si fuera necesario, la formulación de las preguntas. </w:t>
      </w:r>
      <w:r w:rsidR="00407C43">
        <w:t>Por último, l</w:t>
      </w:r>
      <w:r>
        <w:t xml:space="preserve">a Sra. Sveaass </w:t>
      </w:r>
      <w:r w:rsidR="00407C43">
        <w:t>pregunta por l</w:t>
      </w:r>
      <w:r>
        <w:t>a frecuencia con que el Comité solicita información complementaria sobre las desapariciones forzadas en el marco del procedimiento de seguimiento de las observaciones finales.</w:t>
      </w:r>
    </w:p>
    <w:p w:rsidR="004E0DAF" w:rsidRDefault="004E0DAF" w:rsidP="00F546E0">
      <w:pPr>
        <w:pStyle w:val="SingleTxt"/>
        <w:numPr>
          <w:ilvl w:val="0"/>
          <w:numId w:val="6"/>
        </w:numPr>
        <w:tabs>
          <w:tab w:val="clear" w:pos="475"/>
          <w:tab w:val="num" w:pos="1742"/>
        </w:tabs>
        <w:ind w:left="1267"/>
      </w:pPr>
      <w:r w:rsidRPr="00407C43">
        <w:rPr>
          <w:b/>
        </w:rPr>
        <w:t>El Presidente</w:t>
      </w:r>
      <w:r>
        <w:t xml:space="preserve"> dice que el seguimiento de las recomendaciones es una tarea esencial del Comité de cara al cumplimiento de los objetivos de la Convención y, en un sentido más profundo, </w:t>
      </w:r>
      <w:r w:rsidR="00407C43">
        <w:t xml:space="preserve">a la realización </w:t>
      </w:r>
      <w:r>
        <w:t xml:space="preserve">del </w:t>
      </w:r>
      <w:r w:rsidR="00407C43">
        <w:t>e</w:t>
      </w:r>
      <w:r>
        <w:t xml:space="preserve">stado de derecho. Si el seguimiento es insuficiente, la operación corre el riesgo de convertirse en mero ejercicio retórico. En este contexto, el Comité, los procedimientos especiales y también las organizaciones regionales y las ONG no pueden sino beneficiarse de cualquier colaboración, </w:t>
      </w:r>
      <w:r w:rsidR="00407C43">
        <w:t>aunque solo sea por</w:t>
      </w:r>
      <w:r>
        <w:t xml:space="preserve"> medios de comunicación electrónicos. </w:t>
      </w:r>
      <w:r w:rsidR="00407C43">
        <w:t xml:space="preserve">Ello </w:t>
      </w:r>
      <w:r>
        <w:t>favorecería</w:t>
      </w:r>
      <w:r w:rsidR="00407C43">
        <w:t>,</w:t>
      </w:r>
      <w:r>
        <w:t xml:space="preserve"> sin duda</w:t>
      </w:r>
      <w:r w:rsidR="00407C43">
        <w:t>,</w:t>
      </w:r>
      <w:r>
        <w:t xml:space="preserve"> un conocimiento más profundo y extenso de </w:t>
      </w:r>
      <w:r w:rsidR="00407C43">
        <w:t>las cuestiones en juego</w:t>
      </w:r>
      <w:r>
        <w:t xml:space="preserve"> y supondría un aporte de legitimidad. La próxima reunión </w:t>
      </w:r>
      <w:r w:rsidR="00407C43">
        <w:t>de los comité</w:t>
      </w:r>
      <w:r>
        <w:t xml:space="preserve">s debería servir para profundizar en estas cuestiones fundamentales, así como en la puesta en marcha de un sistema de evaluación de las prácticas en materia de seguimiento similar al esbozado en los cuadros recapitulativos </w:t>
      </w:r>
      <w:r w:rsidR="00F7678D">
        <w:t xml:space="preserve">preparados </w:t>
      </w:r>
      <w:r>
        <w:t>por la Relatora para el seguimiento de las observaciones finales.</w:t>
      </w:r>
    </w:p>
    <w:p w:rsidR="004E0DAF" w:rsidRDefault="004E0DAF" w:rsidP="00F546E0">
      <w:pPr>
        <w:pStyle w:val="SingleTxt"/>
        <w:numPr>
          <w:ilvl w:val="0"/>
          <w:numId w:val="6"/>
        </w:numPr>
        <w:tabs>
          <w:tab w:val="clear" w:pos="475"/>
          <w:tab w:val="num" w:pos="1742"/>
        </w:tabs>
        <w:ind w:left="1267"/>
      </w:pPr>
      <w:r w:rsidRPr="000D46B0">
        <w:rPr>
          <w:b/>
        </w:rPr>
        <w:t>La Sra. Gaer</w:t>
      </w:r>
      <w:r>
        <w:t xml:space="preserve"> (Relatora para el seguimiento de las observaciones finales), en respuesta a las preguntas formuladas por los miembros del Comité, dice que cuando un Estado parte no responde a las comunicaciones que se le envían con arreglo al procedimiento de seguimiento de las observaciones finales, </w:t>
      </w:r>
      <w:r w:rsidR="00F7678D">
        <w:t>se preocup</w:t>
      </w:r>
      <w:r>
        <w:t>a por que se añada una pregunta a</w:t>
      </w:r>
      <w:r w:rsidR="00F7678D">
        <w:t>l</w:t>
      </w:r>
      <w:r>
        <w:t xml:space="preserve"> respecto en la lista de cuestiones previa a la presentación de su próximo informe periódico.</w:t>
      </w:r>
    </w:p>
    <w:p w:rsidR="004E0DAF" w:rsidRDefault="004E0DAF" w:rsidP="00F546E0">
      <w:pPr>
        <w:pStyle w:val="SingleTxt"/>
        <w:numPr>
          <w:ilvl w:val="0"/>
          <w:numId w:val="6"/>
        </w:numPr>
        <w:tabs>
          <w:tab w:val="clear" w:pos="475"/>
          <w:tab w:val="num" w:pos="1742"/>
        </w:tabs>
        <w:ind w:left="1267"/>
      </w:pPr>
      <w:r>
        <w:t>Algunas recomendaciones son susceptibles de seguimiento</w:t>
      </w:r>
      <w:r w:rsidR="00F7678D">
        <w:t>,</w:t>
      </w:r>
      <w:r>
        <w:t xml:space="preserve"> si el Estado parte es materialmente capaz de solucionar </w:t>
      </w:r>
      <w:r w:rsidR="00F7678D">
        <w:t>l</w:t>
      </w:r>
      <w:r>
        <w:t xml:space="preserve">a situación en el plazo de un año. La aplicación de otras recomendaciones, como las que buscan </w:t>
      </w:r>
      <w:r w:rsidR="007A15D9">
        <w:t>“</w:t>
      </w:r>
      <w:r>
        <w:t>reformar el Código Penal</w:t>
      </w:r>
      <w:r w:rsidR="007A15D9">
        <w:t>” o “</w:t>
      </w:r>
      <w:r>
        <w:t>modificar la definición de tortura</w:t>
      </w:r>
      <w:r w:rsidR="007A15D9">
        <w:t>”</w:t>
      </w:r>
      <w:r>
        <w:t xml:space="preserve">, </w:t>
      </w:r>
      <w:r w:rsidR="00F7678D">
        <w:t xml:space="preserve">requiere </w:t>
      </w:r>
      <w:r>
        <w:t xml:space="preserve">más tiempo. </w:t>
      </w:r>
      <w:r w:rsidR="00F7678D">
        <w:t xml:space="preserve">Por este motivo, </w:t>
      </w:r>
      <w:r>
        <w:t xml:space="preserve">algunas recomendaciones son más recurrentes que otras en los procedimientos de seguimiento. Por otro lado, </w:t>
      </w:r>
      <w:r w:rsidR="00F7678D">
        <w:t xml:space="preserve">algunas cuestiones </w:t>
      </w:r>
      <w:r>
        <w:t xml:space="preserve">particularmente importantes, como la reforma del sistema jurídico, se abordan sistemáticamente durante el examen periódico de los informes del Estado parte </w:t>
      </w:r>
      <w:r w:rsidR="00F7678D">
        <w:t>correspondiente</w:t>
      </w:r>
      <w:r>
        <w:t xml:space="preserve">. </w:t>
      </w:r>
      <w:r w:rsidR="00A7011D">
        <w:t>En este sentido, si el plazo de un año no resulta demasiado</w:t>
      </w:r>
      <w:r w:rsidR="00FB30AE">
        <w:t xml:space="preserve"> </w:t>
      </w:r>
      <w:r w:rsidR="00A7011D">
        <w:t xml:space="preserve">corto, quizá sería conveniente solicitar a los Estados partes que proporcionen al Comité información sobre los casos de desapariciones forzadas en el marco del procedimiento de seguimiento de las cuestiones prioritarias. </w:t>
      </w:r>
    </w:p>
    <w:p w:rsidR="004E0DAF" w:rsidRDefault="004E0DAF" w:rsidP="00F546E0">
      <w:pPr>
        <w:pStyle w:val="SingleTxt"/>
        <w:numPr>
          <w:ilvl w:val="0"/>
          <w:numId w:val="6"/>
        </w:numPr>
        <w:tabs>
          <w:tab w:val="clear" w:pos="475"/>
          <w:tab w:val="num" w:pos="1742"/>
        </w:tabs>
        <w:ind w:left="1267"/>
      </w:pPr>
      <w:r w:rsidRPr="000D46B0">
        <w:rPr>
          <w:b/>
        </w:rPr>
        <w:t>La Sra. Gaer</w:t>
      </w:r>
      <w:r>
        <w:t xml:space="preserve"> puntualiza que</w:t>
      </w:r>
      <w:r w:rsidR="00F7678D">
        <w:t>,</w:t>
      </w:r>
      <w:r>
        <w:t xml:space="preserve"> cuando mencionó la</w:t>
      </w:r>
      <w:r w:rsidR="007A15D9">
        <w:t>s “</w:t>
      </w:r>
      <w:r>
        <w:t>organizaciones intergubernamentales</w:t>
      </w:r>
      <w:r w:rsidR="007A15D9">
        <w:t>”</w:t>
      </w:r>
      <w:r>
        <w:t xml:space="preserve"> entre las fuentes de información que utiliza en el </w:t>
      </w:r>
      <w:r w:rsidR="00F7678D">
        <w:t>desempeño</w:t>
      </w:r>
      <w:r>
        <w:t xml:space="preserve"> de </w:t>
      </w:r>
      <w:r w:rsidR="007A15D9">
        <w:t>su mandato, tenía en mente las “</w:t>
      </w:r>
      <w:r>
        <w:t>organizaciones regionales</w:t>
      </w:r>
      <w:r w:rsidR="007A15D9">
        <w:t>”</w:t>
      </w:r>
      <w:r>
        <w:t xml:space="preserve">. Por otro lado, parece que la cooperación con estas organizaciones está a punto de </w:t>
      </w:r>
      <w:r w:rsidR="004246EB">
        <w:t>materializarse</w:t>
      </w:r>
      <w:r>
        <w:t xml:space="preserve">, pues recientemente </w:t>
      </w:r>
      <w:r w:rsidR="004246EB">
        <w:t xml:space="preserve">se celebró </w:t>
      </w:r>
      <w:r>
        <w:t xml:space="preserve">una primera reunión entre los presidentes de los órganos </w:t>
      </w:r>
      <w:r w:rsidR="004246EB">
        <w:t xml:space="preserve">creados en </w:t>
      </w:r>
      <w:r w:rsidR="00A7011D">
        <w:t>virtud de</w:t>
      </w:r>
      <w:r w:rsidR="004246EB">
        <w:t xml:space="preserve"> tratados</w:t>
      </w:r>
      <w:r>
        <w:t xml:space="preserve"> y representantes de la Unión Europea. </w:t>
      </w:r>
    </w:p>
    <w:p w:rsidR="004E0DAF" w:rsidRDefault="004E0DAF" w:rsidP="00F546E0">
      <w:pPr>
        <w:pStyle w:val="SingleTxt"/>
        <w:numPr>
          <w:ilvl w:val="0"/>
          <w:numId w:val="6"/>
        </w:numPr>
        <w:tabs>
          <w:tab w:val="clear" w:pos="475"/>
          <w:tab w:val="num" w:pos="1742"/>
        </w:tabs>
        <w:ind w:left="1267"/>
      </w:pPr>
      <w:r w:rsidRPr="004246EB">
        <w:rPr>
          <w:b/>
        </w:rPr>
        <w:t>La Sra. Belmir</w:t>
      </w:r>
      <w:r>
        <w:t xml:space="preserve"> expresa su preocupación por el hecho de que los Estados partes no siempre tengan suficientemente en cuenta</w:t>
      </w:r>
      <w:r w:rsidR="004246EB">
        <w:t xml:space="preserve">, o incluso ignoren, </w:t>
      </w:r>
      <w:r>
        <w:t xml:space="preserve">las observaciones finales </w:t>
      </w:r>
      <w:r w:rsidR="004246EB">
        <w:t xml:space="preserve">del </w:t>
      </w:r>
      <w:r>
        <w:t xml:space="preserve">Comité, máxime cuando se suelen referir a políticas </w:t>
      </w:r>
      <w:r w:rsidR="004246EB">
        <w:t xml:space="preserve">relativas </w:t>
      </w:r>
      <w:r>
        <w:t xml:space="preserve">a los extranjeros en conflicto con la ley que se encuentran en su territorio, incluidos </w:t>
      </w:r>
      <w:r w:rsidR="004246EB">
        <w:t xml:space="preserve">los </w:t>
      </w:r>
      <w:r>
        <w:t xml:space="preserve">documentados. </w:t>
      </w:r>
      <w:r w:rsidR="004246EB">
        <w:t>La oradora c</w:t>
      </w:r>
      <w:r>
        <w:t>ita en particular los casos de Francia y Suiza.</w:t>
      </w:r>
    </w:p>
    <w:p w:rsidR="004E0DAF" w:rsidRDefault="004E0DAF" w:rsidP="00F546E0">
      <w:pPr>
        <w:pStyle w:val="SingleTxt"/>
        <w:numPr>
          <w:ilvl w:val="0"/>
          <w:numId w:val="6"/>
        </w:numPr>
        <w:tabs>
          <w:tab w:val="clear" w:pos="475"/>
          <w:tab w:val="num" w:pos="1742"/>
        </w:tabs>
        <w:ind w:left="1267"/>
      </w:pPr>
      <w:r w:rsidRPr="004246EB">
        <w:rPr>
          <w:b/>
        </w:rPr>
        <w:t>El Sr. Gallegos Chiriboga</w:t>
      </w:r>
      <w:r>
        <w:t xml:space="preserve"> se muestra a favor del estrechamiento de los vínculos y del intercambio de información con los demás órganos </w:t>
      </w:r>
      <w:r w:rsidR="004246EB">
        <w:t xml:space="preserve">creados en virtud de tratados </w:t>
      </w:r>
      <w:r>
        <w:t xml:space="preserve">y con los procedimientos especiales del Consejo de Derechos Humanos. En su opinión, convendría definir los temas de interés común, que podrían abordarse en el marco del examen periódico universal. Para ello, los diferentes mecanismos podrían establecer de manera conjunta una </w:t>
      </w:r>
      <w:r w:rsidR="007A15D9">
        <w:t>“</w:t>
      </w:r>
      <w:r>
        <w:t>hoja de ruta</w:t>
      </w:r>
      <w:r w:rsidR="007A15D9">
        <w:t>”</w:t>
      </w:r>
      <w:r>
        <w:t xml:space="preserve"> que serviría de base para los trabajos de todos los mecanismos de protección de los derechos humanos. </w:t>
      </w:r>
    </w:p>
    <w:p w:rsidR="004E0DAF" w:rsidRDefault="004E0DAF" w:rsidP="00F546E0">
      <w:pPr>
        <w:pStyle w:val="SingleTxt"/>
        <w:numPr>
          <w:ilvl w:val="0"/>
          <w:numId w:val="6"/>
        </w:numPr>
        <w:tabs>
          <w:tab w:val="clear" w:pos="475"/>
          <w:tab w:val="num" w:pos="1742"/>
        </w:tabs>
        <w:ind w:left="1267"/>
      </w:pPr>
      <w:r w:rsidRPr="004246EB">
        <w:rPr>
          <w:b/>
        </w:rPr>
        <w:t>El Sr. Bruni</w:t>
      </w:r>
      <w:r>
        <w:t xml:space="preserve"> </w:t>
      </w:r>
      <w:r w:rsidR="004246EB">
        <w:t>cree</w:t>
      </w:r>
      <w:r>
        <w:t xml:space="preserve"> que no sería conveniente solicitar a un Estado parte que proporcione información sobre un caso de desaparición forzada en el plazo de un año, pues le parece demasiado corto. </w:t>
      </w:r>
      <w:r w:rsidR="004246EB">
        <w:t>En el procedimiento de seguimiento, s</w:t>
      </w:r>
      <w:r>
        <w:t xml:space="preserve">ería preferible concentrarse en otras cuestiones, como las condiciones de detención. </w:t>
      </w:r>
    </w:p>
    <w:p w:rsidR="004E0DAF" w:rsidRDefault="004E0DAF" w:rsidP="00F546E0">
      <w:pPr>
        <w:pStyle w:val="SingleTxt"/>
        <w:numPr>
          <w:ilvl w:val="0"/>
          <w:numId w:val="6"/>
        </w:numPr>
        <w:tabs>
          <w:tab w:val="clear" w:pos="475"/>
          <w:tab w:val="num" w:pos="1742"/>
        </w:tabs>
        <w:ind w:left="1267"/>
      </w:pPr>
      <w:r w:rsidRPr="0069436D">
        <w:rPr>
          <w:b/>
        </w:rPr>
        <w:t>El Sr. Kjarum</w:t>
      </w:r>
      <w:r>
        <w:t xml:space="preserve"> (Consejo Internacional para la Rehabilitación de las Víctimas de la Tortura), refiriéndose a las represalias de las que son víctimas las </w:t>
      </w:r>
      <w:r w:rsidR="0069436D">
        <w:t>ONG</w:t>
      </w:r>
      <w:r>
        <w:t xml:space="preserve"> que informan al Comité sobre la situación de los derechos humanos en los Estados cuyo </w:t>
      </w:r>
      <w:r w:rsidR="0069436D">
        <w:t xml:space="preserve">informe se examina, </w:t>
      </w:r>
      <w:r>
        <w:t xml:space="preserve">celebra que el Comité haya denunciado en su </w:t>
      </w:r>
      <w:r w:rsidR="0069436D">
        <w:t>44° p</w:t>
      </w:r>
      <w:r>
        <w:t>eríodo de sesiones la intimidación y el acoso sufrido</w:t>
      </w:r>
      <w:r w:rsidR="0069436D">
        <w:t>s</w:t>
      </w:r>
      <w:r>
        <w:t xml:space="preserve"> por los miembros de ONG que trabajan en el Yemen tras el examen del segundo informe periódico de este país en el período de sesiones anterior. </w:t>
      </w:r>
      <w:r w:rsidR="0069436D">
        <w:t>E</w:t>
      </w:r>
      <w:r>
        <w:t>n este sentido</w:t>
      </w:r>
      <w:r w:rsidR="0069436D">
        <w:t>,</w:t>
      </w:r>
      <w:r>
        <w:t xml:space="preserve"> </w:t>
      </w:r>
      <w:r w:rsidR="0069436D">
        <w:t xml:space="preserve">el Consejo Internacional para la Rehabilitación de las Víctimas de la Tortura propone </w:t>
      </w:r>
      <w:r>
        <w:t>que</w:t>
      </w:r>
      <w:r w:rsidR="0069436D">
        <w:t>,</w:t>
      </w:r>
      <w:r>
        <w:t xml:space="preserve"> en sus observaciones finales</w:t>
      </w:r>
      <w:r w:rsidR="0069436D">
        <w:t>,</w:t>
      </w:r>
      <w:r>
        <w:t xml:space="preserve"> </w:t>
      </w:r>
      <w:r w:rsidR="0069436D">
        <w:t xml:space="preserve">el Comité recomiende al Estado parte </w:t>
      </w:r>
      <w:r>
        <w:t xml:space="preserve">que proteja a los defensores de los derechos humanos, en particular a </w:t>
      </w:r>
      <w:r w:rsidR="0069436D">
        <w:t xml:space="preserve">los que presentaron </w:t>
      </w:r>
      <w:r>
        <w:t xml:space="preserve">al Comité un informe paralelo </w:t>
      </w:r>
      <w:r w:rsidR="0069436D">
        <w:t>al</w:t>
      </w:r>
      <w:r>
        <w:t xml:space="preserve"> examen de un informe periódico, y que evalúe la situación con el Comité en el plazo de un año. </w:t>
      </w:r>
      <w:r w:rsidR="0069436D">
        <w:t>Con</w:t>
      </w:r>
      <w:r>
        <w:t xml:space="preserve"> este procedimiento, las ONG afectadas tendrían la posibilidad de informar al Comité de eventuales represalias. </w:t>
      </w:r>
    </w:p>
    <w:p w:rsidR="004E0DAF" w:rsidRDefault="004E0DAF" w:rsidP="00F546E0">
      <w:pPr>
        <w:pStyle w:val="SingleTxt"/>
        <w:numPr>
          <w:ilvl w:val="0"/>
          <w:numId w:val="6"/>
        </w:numPr>
        <w:tabs>
          <w:tab w:val="clear" w:pos="475"/>
          <w:tab w:val="num" w:pos="1742"/>
        </w:tabs>
        <w:ind w:left="1267"/>
      </w:pPr>
      <w:r w:rsidRPr="0069436D">
        <w:rPr>
          <w:b/>
        </w:rPr>
        <w:t>La Sra. Gaer</w:t>
      </w:r>
      <w:r>
        <w:t xml:space="preserve"> (Relatora para el seguimiento de las observaciones finales) </w:t>
      </w:r>
      <w:r w:rsidR="0069436D">
        <w:t xml:space="preserve">observa </w:t>
      </w:r>
      <w:r>
        <w:t>que</w:t>
      </w:r>
      <w:r w:rsidR="0069436D">
        <w:t>,</w:t>
      </w:r>
      <w:r>
        <w:t xml:space="preserve"> incluso cuando la cuestión de la protección de los defensores de los derechos humanos, las víctimas o los testigos se menciona en ocasiones en las observaciones finales, la recomendación nunca </w:t>
      </w:r>
      <w:r w:rsidR="0069436D">
        <w:t xml:space="preserve">ha sido </w:t>
      </w:r>
      <w:r>
        <w:t>es objeto de seguimiento en el plazo de un año. Toma</w:t>
      </w:r>
      <w:r w:rsidR="000D46B0">
        <w:t>,</w:t>
      </w:r>
      <w:r>
        <w:t xml:space="preserve"> </w:t>
      </w:r>
      <w:r w:rsidR="0069436D">
        <w:t xml:space="preserve">pues, </w:t>
      </w:r>
      <w:r>
        <w:t xml:space="preserve">nota de la propuesta del Sr. Kjarum. </w:t>
      </w:r>
    </w:p>
    <w:p w:rsidR="004E0DAF" w:rsidRDefault="00A7011D" w:rsidP="00F546E0">
      <w:pPr>
        <w:pStyle w:val="SingleTxt"/>
        <w:numPr>
          <w:ilvl w:val="0"/>
          <w:numId w:val="6"/>
        </w:numPr>
        <w:tabs>
          <w:tab w:val="clear" w:pos="475"/>
          <w:tab w:val="num" w:pos="1742"/>
        </w:tabs>
        <w:ind w:left="1267"/>
      </w:pPr>
      <w:r w:rsidRPr="0069436D">
        <w:rPr>
          <w:b/>
        </w:rPr>
        <w:t>El Sr. Gallegos Chiriboga</w:t>
      </w:r>
      <w:r>
        <w:t xml:space="preserve"> dice que, en caso de represalias contra miembros de una ONG, no se debería alertar únicamente al Comité contra la Tortura, sino que esos actos deberían ponerse en conocimiento del Alto Comisionado para los Derechos Humanos y de los demás órganos creados en virtud de tratados, puesto que constituyen una violación flagrante de los principios que sustentan todo el sistema de derechos humanos y precisan una vigilancia particular por parte de todos. </w:t>
      </w:r>
    </w:p>
    <w:p w:rsidR="004E0DAF" w:rsidRDefault="004E0DAF" w:rsidP="00F546E0">
      <w:pPr>
        <w:pStyle w:val="SingleTxt"/>
        <w:numPr>
          <w:ilvl w:val="0"/>
          <w:numId w:val="6"/>
        </w:numPr>
        <w:tabs>
          <w:tab w:val="clear" w:pos="475"/>
          <w:tab w:val="num" w:pos="1742"/>
        </w:tabs>
        <w:ind w:left="1267"/>
      </w:pPr>
      <w:r w:rsidRPr="00F52AB0">
        <w:rPr>
          <w:b/>
        </w:rPr>
        <w:t>El Presidente</w:t>
      </w:r>
      <w:r>
        <w:t xml:space="preserve">, tomando la palabra en su calidad de miembro del Comité, afirma que la aplicación de ciertas recomendaciones </w:t>
      </w:r>
      <w:r w:rsidR="00F52AB0">
        <w:t xml:space="preserve">debe someterse obligatoriamente a un </w:t>
      </w:r>
      <w:r>
        <w:t xml:space="preserve">seguimiento, como </w:t>
      </w:r>
      <w:r w:rsidR="00F52AB0">
        <w:t xml:space="preserve">sucede con las relativas </w:t>
      </w:r>
      <w:r>
        <w:t xml:space="preserve">a la impunidad y a la obligación de perseguir y castigar a los autores de </w:t>
      </w:r>
      <w:r w:rsidR="00F52AB0">
        <w:t>las violaciones</w:t>
      </w:r>
      <w:r>
        <w:t xml:space="preserve">. </w:t>
      </w:r>
    </w:p>
    <w:p w:rsidR="004E0DAF" w:rsidRDefault="004E0DAF" w:rsidP="00F546E0">
      <w:pPr>
        <w:pStyle w:val="SingleTxt"/>
        <w:numPr>
          <w:ilvl w:val="0"/>
          <w:numId w:val="6"/>
        </w:numPr>
        <w:tabs>
          <w:tab w:val="clear" w:pos="475"/>
          <w:tab w:val="num" w:pos="1742"/>
        </w:tabs>
        <w:ind w:left="1267"/>
      </w:pPr>
      <w:r w:rsidRPr="00F52AB0">
        <w:rPr>
          <w:b/>
        </w:rPr>
        <w:t>La Sra. Sveaass</w:t>
      </w:r>
      <w:r>
        <w:t xml:space="preserve"> comparte la preocupación de la Sra. Belmir </w:t>
      </w:r>
      <w:r w:rsidR="00F52AB0">
        <w:t xml:space="preserve">por </w:t>
      </w:r>
      <w:r>
        <w:t xml:space="preserve">las políticas relativas a los extranjeros </w:t>
      </w:r>
      <w:r w:rsidR="00F52AB0">
        <w:t xml:space="preserve">que aplican </w:t>
      </w:r>
      <w:r>
        <w:t xml:space="preserve">ciertos países </w:t>
      </w:r>
      <w:r w:rsidR="00F52AB0">
        <w:t xml:space="preserve">europeos y propone que se solicite a los Estados a los que se haya formulado </w:t>
      </w:r>
      <w:r>
        <w:t xml:space="preserve">una recomendación a este respecto que presenten, en el plazo de un año, </w:t>
      </w:r>
      <w:r w:rsidR="00F52AB0">
        <w:t>información</w:t>
      </w:r>
      <w:r>
        <w:t xml:space="preserve"> sobre la respuesta dada a dicha recomendación. </w:t>
      </w:r>
    </w:p>
    <w:p w:rsidR="004E0DAF" w:rsidRDefault="004E0DAF" w:rsidP="00F546E0">
      <w:pPr>
        <w:pStyle w:val="SingleTxt"/>
        <w:numPr>
          <w:ilvl w:val="0"/>
          <w:numId w:val="6"/>
        </w:numPr>
        <w:tabs>
          <w:tab w:val="clear" w:pos="475"/>
          <w:tab w:val="num" w:pos="1742"/>
        </w:tabs>
        <w:ind w:left="1267"/>
      </w:pPr>
      <w:r w:rsidRPr="00F52AB0">
        <w:rPr>
          <w:b/>
        </w:rPr>
        <w:t>La Sra. Gaer</w:t>
      </w:r>
      <w:r>
        <w:t xml:space="preserve"> (Relatora para el seguimiento de las observaciones finales) dice que examinará cuidadosamente este asunto y elaborará una lista de los países </w:t>
      </w:r>
      <w:r w:rsidR="00F52AB0">
        <w:t xml:space="preserve">a los que se ha formulado </w:t>
      </w:r>
      <w:r>
        <w:t>tal recomendación en el pasado. A primera vista, parece que</w:t>
      </w:r>
      <w:r w:rsidR="00F52AB0">
        <w:t xml:space="preserve">, salvo </w:t>
      </w:r>
      <w:r>
        <w:t xml:space="preserve">Bahrein y Qatar, todos los países a quienes se recomendó proteger los derechos de los solicitantes de asilo y de los no ciudadanos son países europeos. </w:t>
      </w:r>
    </w:p>
    <w:p w:rsidR="004E0DAF" w:rsidRDefault="004E0DAF" w:rsidP="00F546E0">
      <w:pPr>
        <w:pStyle w:val="SingleTxt"/>
        <w:numPr>
          <w:ilvl w:val="0"/>
          <w:numId w:val="6"/>
        </w:numPr>
        <w:tabs>
          <w:tab w:val="clear" w:pos="475"/>
          <w:tab w:val="num" w:pos="1742"/>
        </w:tabs>
        <w:ind w:left="1267"/>
      </w:pPr>
      <w:r w:rsidRPr="00F52AB0">
        <w:rPr>
          <w:b/>
        </w:rPr>
        <w:t>El Presidente</w:t>
      </w:r>
      <w:r>
        <w:t xml:space="preserve">, </w:t>
      </w:r>
      <w:r w:rsidR="00F52AB0">
        <w:t xml:space="preserve">hablando </w:t>
      </w:r>
      <w:r>
        <w:t xml:space="preserve">en su calidad de miembro del Comité, señala que </w:t>
      </w:r>
      <w:r w:rsidR="00F52AB0">
        <w:t xml:space="preserve">los desplazados internos </w:t>
      </w:r>
      <w:r>
        <w:t xml:space="preserve">a menudo </w:t>
      </w:r>
      <w:r w:rsidR="00F52AB0">
        <w:t xml:space="preserve">también son víctimas </w:t>
      </w:r>
      <w:r>
        <w:t>de tortura y</w:t>
      </w:r>
      <w:r w:rsidR="00FB30AE">
        <w:t xml:space="preserve"> </w:t>
      </w:r>
      <w:r>
        <w:t xml:space="preserve">malos tratos. </w:t>
      </w:r>
    </w:p>
    <w:p w:rsidR="00F52AB0" w:rsidRPr="00F52AB0" w:rsidRDefault="00F52AB0" w:rsidP="00F52AB0">
      <w:pPr>
        <w:pStyle w:val="SingleTxt"/>
        <w:tabs>
          <w:tab w:val="clear" w:pos="1742"/>
        </w:tabs>
        <w:spacing w:after="0" w:line="120" w:lineRule="exact"/>
        <w:ind w:left="0"/>
        <w:rPr>
          <w:sz w:val="10"/>
        </w:rPr>
      </w:pPr>
    </w:p>
    <w:p w:rsidR="004E0DAF" w:rsidRPr="000D46B0" w:rsidRDefault="00F52AB0" w:rsidP="00F52A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4E0DAF">
        <w:t>Examen de las comunicaciones presentadas en virtud del artículo 22</w:t>
      </w:r>
      <w:r>
        <w:br/>
      </w:r>
      <w:r w:rsidR="004E0DAF">
        <w:t>de la Convención</w:t>
      </w:r>
      <w:r w:rsidR="000D46B0">
        <w:t xml:space="preserve"> </w:t>
      </w:r>
      <w:r w:rsidR="000D46B0">
        <w:rPr>
          <w:b w:val="0"/>
        </w:rPr>
        <w:t>(</w:t>
      </w:r>
      <w:r w:rsidR="000D46B0">
        <w:rPr>
          <w:b w:val="0"/>
          <w:i/>
        </w:rPr>
        <w:t>continuación</w:t>
      </w:r>
      <w:r w:rsidR="000D46B0">
        <w:rPr>
          <w:b w:val="0"/>
        </w:rPr>
        <w:t>)</w:t>
      </w:r>
    </w:p>
    <w:p w:rsidR="00F52AB0" w:rsidRPr="00F52AB0" w:rsidRDefault="00F52AB0" w:rsidP="00F52AB0">
      <w:pPr>
        <w:pStyle w:val="SingleTxt"/>
        <w:spacing w:after="0" w:line="120" w:lineRule="exact"/>
        <w:rPr>
          <w:sz w:val="10"/>
        </w:rPr>
      </w:pPr>
    </w:p>
    <w:p w:rsidR="004E0DAF" w:rsidRDefault="00AE74ED" w:rsidP="00AE74E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E0DAF">
        <w:t>Informe sobre el seguimiento de las comunicaciones</w:t>
      </w:r>
    </w:p>
    <w:p w:rsidR="00AE74ED" w:rsidRPr="00AE74ED" w:rsidRDefault="00AE74ED" w:rsidP="00AE74ED">
      <w:pPr>
        <w:pStyle w:val="SingleTxt"/>
        <w:spacing w:after="0" w:line="120" w:lineRule="exact"/>
        <w:rPr>
          <w:sz w:val="10"/>
        </w:rPr>
      </w:pPr>
    </w:p>
    <w:p w:rsidR="004E0DAF" w:rsidRDefault="004E0DAF" w:rsidP="00F546E0">
      <w:pPr>
        <w:pStyle w:val="SingleTxt"/>
        <w:numPr>
          <w:ilvl w:val="0"/>
          <w:numId w:val="6"/>
        </w:numPr>
        <w:tabs>
          <w:tab w:val="clear" w:pos="475"/>
          <w:tab w:val="num" w:pos="1742"/>
        </w:tabs>
        <w:ind w:left="1267"/>
      </w:pPr>
      <w:r w:rsidRPr="00AE74ED">
        <w:rPr>
          <w:b/>
        </w:rPr>
        <w:t>El Sr. Mariño Menéndez</w:t>
      </w:r>
      <w:r>
        <w:t xml:space="preserve"> (Relator para el seguimiento de las comunicaciones) informa al Comité </w:t>
      </w:r>
      <w:r w:rsidR="00AE74ED">
        <w:t xml:space="preserve">de </w:t>
      </w:r>
      <w:r>
        <w:t>que el miembro del Equipo de quejas encargado de apoyar al Comité en el seguimiento de las comunicaciones ha sido requerido para otras funciones y</w:t>
      </w:r>
      <w:r w:rsidR="00AE74ED">
        <w:t xml:space="preserve">, por tanto, lamentablemente </w:t>
      </w:r>
      <w:r>
        <w:t xml:space="preserve">no puede presentar un informe completo sobre el seguimiento de las comunicaciones. </w:t>
      </w:r>
      <w:r w:rsidR="00AE74ED">
        <w:t xml:space="preserve">El </w:t>
      </w:r>
      <w:r w:rsidR="00A7011D">
        <w:t>orador expondrá</w:t>
      </w:r>
      <w:r>
        <w:t xml:space="preserve"> las líneas generales de manera </w:t>
      </w:r>
      <w:r w:rsidR="00AE74ED">
        <w:t>oficiosa</w:t>
      </w:r>
      <w:r>
        <w:t xml:space="preserve"> antes del fin del período de sesiones. En particular, </w:t>
      </w:r>
      <w:r w:rsidR="00A7011D">
        <w:t>dará una</w:t>
      </w:r>
      <w:r w:rsidR="00AE74ED">
        <w:t xml:space="preserve"> idea de </w:t>
      </w:r>
      <w:r>
        <w:t xml:space="preserve">las medidas provisionales que ha recomendado como Relator para las quejas nuevas y ofrecerá información actualizada sobre </w:t>
      </w:r>
      <w:r w:rsidR="00AE74ED">
        <w:t xml:space="preserve">algunos </w:t>
      </w:r>
      <w:r>
        <w:t>asuntos pendientes, como el caso de Hissène Habré.</w:t>
      </w:r>
    </w:p>
    <w:p w:rsidR="004E0DAF" w:rsidRDefault="004E0DAF" w:rsidP="00F546E0">
      <w:pPr>
        <w:pStyle w:val="SingleTxt"/>
        <w:numPr>
          <w:ilvl w:val="0"/>
          <w:numId w:val="6"/>
        </w:numPr>
        <w:tabs>
          <w:tab w:val="clear" w:pos="475"/>
          <w:tab w:val="num" w:pos="1742"/>
        </w:tabs>
        <w:ind w:left="1267"/>
      </w:pPr>
      <w:r>
        <w:t xml:space="preserve">Dado que cada vez más órganos </w:t>
      </w:r>
      <w:r w:rsidR="00AE74ED">
        <w:t xml:space="preserve">creados en virtud de tratados </w:t>
      </w:r>
      <w:r>
        <w:t>cuentan con mecanismos de denuncia individual, ser</w:t>
      </w:r>
      <w:r w:rsidR="00AE74ED">
        <w:t>á</w:t>
      </w:r>
      <w:r>
        <w:t xml:space="preserve"> necesario armonizar los procedimientos correspondientes</w:t>
      </w:r>
      <w:r w:rsidR="00AE74ED">
        <w:t>. Lo</w:t>
      </w:r>
      <w:r>
        <w:t xml:space="preserve">s presidentes de los órganos </w:t>
      </w:r>
      <w:r w:rsidR="00AE74ED">
        <w:t xml:space="preserve">creados en virtud de tratados </w:t>
      </w:r>
      <w:r>
        <w:t xml:space="preserve">ya han abordado </w:t>
      </w:r>
      <w:r w:rsidR="00AE74ED">
        <w:t xml:space="preserve">esta cuestión </w:t>
      </w:r>
      <w:r>
        <w:t xml:space="preserve">durante sus reuniones. </w:t>
      </w:r>
      <w:r w:rsidR="00A7011D">
        <w:t xml:space="preserve">También se deberá procurar que cada comité informe a los demás órganos creados en virtud de tratados de las actividades de seguimiento que realiza en colaboración con las instituciones nacionales de derechos humanos y que tenga en cuenta la jurisprudencia del resto de comités. Para ello, sería conveniente que el texto de las principales decisiones de todos los órganos creados en virtud de tratados se tradujera a todas las lenguas de trabajo de los comités y se publicara tanto en el sitio web del Alto Comisionado como en versión impresa. Igualmente, convendría estrechar los lazos con el Alto Comisionado de las Naciones Unidas para los Refugiados en lo referente a las cuestiones relativas a los desplazados y a los solicitantes de asilo, así como con el Grupo de Trabajo sobre las Desapariciones Forzadas o Involuntarias, y que este último informara al Comité de todo nuevo asunto que pudiera ser de su competencia. </w:t>
      </w:r>
      <w:r>
        <w:t xml:space="preserve">En </w:t>
      </w:r>
      <w:r w:rsidR="00AE74ED">
        <w:t xml:space="preserve">el marco del </w:t>
      </w:r>
      <w:r>
        <w:t xml:space="preserve">examen de los informes periódicos, el Comité podría invitar a los Estados partes a reconocer la utilidad de los mecanismos de denuncia individual y a basarse en la Convención de Viena sobre el Derecho de los Tratados para interpretar las disposiciones de la Convención, concretamente del artículo 22. También sería útil que abordara con ellos la cuestión de las medidas de reparación en caso de tortura. </w:t>
      </w:r>
    </w:p>
    <w:p w:rsidR="004E0DAF" w:rsidRDefault="004E0DAF" w:rsidP="00F546E0">
      <w:pPr>
        <w:pStyle w:val="SingleTxt"/>
        <w:numPr>
          <w:ilvl w:val="0"/>
          <w:numId w:val="6"/>
        </w:numPr>
        <w:tabs>
          <w:tab w:val="clear" w:pos="475"/>
          <w:tab w:val="num" w:pos="1742"/>
        </w:tabs>
        <w:ind w:left="1267"/>
      </w:pPr>
      <w:r w:rsidRPr="00614ACF">
        <w:rPr>
          <w:b/>
        </w:rPr>
        <w:t>El Presidente</w:t>
      </w:r>
      <w:r>
        <w:t xml:space="preserve"> dice que velará por que se </w:t>
      </w:r>
      <w:r w:rsidR="00614ACF">
        <w:t xml:space="preserve">envíe </w:t>
      </w:r>
      <w:r>
        <w:t xml:space="preserve">una nota </w:t>
      </w:r>
      <w:r w:rsidR="00614ACF">
        <w:t xml:space="preserve">a la Oficina del </w:t>
      </w:r>
      <w:r>
        <w:t xml:space="preserve">Alto Comisionado en la que se lamente </w:t>
      </w:r>
      <w:r w:rsidR="00614ACF">
        <w:t>qu</w:t>
      </w:r>
      <w:r>
        <w:t>e el Comité haya sido privado de los servicios de</w:t>
      </w:r>
      <w:r w:rsidR="00614ACF">
        <w:t xml:space="preserve"> un</w:t>
      </w:r>
      <w:r>
        <w:t xml:space="preserve"> colaborador anteriormente asignado al seguimiento de las comunicaciones recibidas en virtud del artículo 22 de la Convención, situación que dificulta su tarea en ese sentido. </w:t>
      </w:r>
    </w:p>
    <w:p w:rsidR="004E0DAF" w:rsidRDefault="004E0DAF" w:rsidP="00F546E0">
      <w:pPr>
        <w:pStyle w:val="SingleTxt"/>
        <w:numPr>
          <w:ilvl w:val="0"/>
          <w:numId w:val="6"/>
        </w:numPr>
        <w:tabs>
          <w:tab w:val="clear" w:pos="475"/>
          <w:tab w:val="num" w:pos="1742"/>
        </w:tabs>
        <w:ind w:left="1267"/>
      </w:pPr>
      <w:r w:rsidRPr="00614ACF">
        <w:rPr>
          <w:b/>
        </w:rPr>
        <w:t>El Sr. Bruni</w:t>
      </w:r>
      <w:r>
        <w:t xml:space="preserve"> afirma </w:t>
      </w:r>
      <w:r w:rsidR="00A7011D">
        <w:t>la importancia</w:t>
      </w:r>
      <w:r w:rsidR="00614ACF">
        <w:t xml:space="preserve"> de </w:t>
      </w:r>
      <w:r>
        <w:t xml:space="preserve">reforzar la cooperación y la interacción con los procedimientos especiales para el seguimiento no solo de las observaciones finales del Comité, sino también de las comunicaciones presentadas en virtud del artículo 22. </w:t>
      </w:r>
      <w:r w:rsidR="00614ACF">
        <w:t xml:space="preserve">En efecto, </w:t>
      </w:r>
      <w:r>
        <w:t xml:space="preserve">las visitas de los relatores especiales y otras entidades interesadas </w:t>
      </w:r>
      <w:r w:rsidR="00614ACF">
        <w:t xml:space="preserve">a los países se </w:t>
      </w:r>
      <w:r>
        <w:t xml:space="preserve">podrían </w:t>
      </w:r>
      <w:r w:rsidR="00614ACF">
        <w:t>aprovechar</w:t>
      </w:r>
      <w:r>
        <w:t xml:space="preserve"> para obtener información concreta sobre el seguimiento dado a las decisiones del Comité.</w:t>
      </w:r>
    </w:p>
    <w:p w:rsidR="004E0DAF" w:rsidRDefault="004E0DAF" w:rsidP="00F546E0">
      <w:pPr>
        <w:pStyle w:val="SingleTxt"/>
        <w:numPr>
          <w:ilvl w:val="0"/>
          <w:numId w:val="6"/>
        </w:numPr>
        <w:tabs>
          <w:tab w:val="clear" w:pos="475"/>
          <w:tab w:val="num" w:pos="1742"/>
        </w:tabs>
        <w:ind w:left="1267"/>
      </w:pPr>
      <w:r w:rsidRPr="00614ACF">
        <w:rPr>
          <w:b/>
        </w:rPr>
        <w:t>El Sr. Mariño Menéndez</w:t>
      </w:r>
      <w:r>
        <w:t xml:space="preserve"> (Relator para el seguimiento de las comunicaciones) celebra que se preste una atención especial a la colaboración entre el Comité y </w:t>
      </w:r>
      <w:r w:rsidR="00614ACF">
        <w:t xml:space="preserve">los demás </w:t>
      </w:r>
      <w:r>
        <w:t xml:space="preserve">mecanismos existentes. Si bien el seguimiento de las comunicaciones tiene sus particularidades, que </w:t>
      </w:r>
      <w:r w:rsidR="00614ACF">
        <w:t xml:space="preserve">obedecen a </w:t>
      </w:r>
      <w:r>
        <w:t xml:space="preserve">los procedimientos internos del Comité, puede </w:t>
      </w:r>
      <w:r w:rsidR="00614ACF">
        <w:t xml:space="preserve">no obstante </w:t>
      </w:r>
      <w:r>
        <w:t xml:space="preserve">ser necesarios </w:t>
      </w:r>
      <w:r w:rsidR="00614ACF">
        <w:t>desplazarse</w:t>
      </w:r>
      <w:r>
        <w:t xml:space="preserve"> a los países o </w:t>
      </w:r>
      <w:r w:rsidR="00614ACF">
        <w:t xml:space="preserve">realizar </w:t>
      </w:r>
      <w:r>
        <w:t xml:space="preserve">entrevistas con </w:t>
      </w:r>
      <w:r w:rsidR="00614ACF">
        <w:t>su</w:t>
      </w:r>
      <w:r>
        <w:t xml:space="preserve">s autoridades. En este sentido, toda posibilidad de colaboración será bienvenida. </w:t>
      </w:r>
      <w:r w:rsidR="00614ACF">
        <w:t>El orador espera q</w:t>
      </w:r>
      <w:r>
        <w:t xml:space="preserve">ue la próxima reunión </w:t>
      </w:r>
      <w:r w:rsidR="00614ACF">
        <w:t xml:space="preserve">de los </w:t>
      </w:r>
      <w:r>
        <w:t xml:space="preserve">comités, </w:t>
      </w:r>
      <w:r w:rsidR="00614ACF">
        <w:t xml:space="preserve">prevista para </w:t>
      </w:r>
      <w:r>
        <w:t>enero de 2011, aborde esta cuestión en el marco de la armonización de los procedimientos.</w:t>
      </w:r>
    </w:p>
    <w:p w:rsidR="004E0DAF" w:rsidRDefault="004E0DAF" w:rsidP="00F546E0">
      <w:pPr>
        <w:pStyle w:val="SingleTxt"/>
        <w:numPr>
          <w:ilvl w:val="0"/>
          <w:numId w:val="6"/>
        </w:numPr>
        <w:tabs>
          <w:tab w:val="clear" w:pos="475"/>
          <w:tab w:val="num" w:pos="1742"/>
        </w:tabs>
        <w:ind w:left="1267"/>
      </w:pPr>
      <w:r w:rsidRPr="00614ACF">
        <w:rPr>
          <w:b/>
        </w:rPr>
        <w:t>El Sr. Kjarum</w:t>
      </w:r>
      <w:r>
        <w:t xml:space="preserve"> (Consejo Internacional para la Rehabilitación de las Víctimas de la Tortura) afirma que, según la carta informativa de la División de Tratados, como respuesta a la decisión aprobada en mayo de 2010 por el Comité respecto al caso </w:t>
      </w:r>
      <w:r w:rsidRPr="00FB30AE">
        <w:rPr>
          <w:i/>
        </w:rPr>
        <w:t>Njamba y Balikosa</w:t>
      </w:r>
      <w:r>
        <w:t xml:space="preserve"> c. </w:t>
      </w:r>
      <w:r w:rsidRPr="00FB30AE">
        <w:rPr>
          <w:i/>
        </w:rPr>
        <w:t>Suecia</w:t>
      </w:r>
      <w:r>
        <w:t xml:space="preserve">, las autoridades suecas han expedido un permiso de residencia permanente a la </w:t>
      </w:r>
      <w:r w:rsidR="00614ACF">
        <w:t>autora de la queja. El orador des</w:t>
      </w:r>
      <w:r>
        <w:t xml:space="preserve">taca la rapidez de esta medida. </w:t>
      </w:r>
    </w:p>
    <w:p w:rsidR="004E0DAF" w:rsidRDefault="004E0DAF" w:rsidP="00F546E0">
      <w:pPr>
        <w:pStyle w:val="SingleTxt"/>
        <w:numPr>
          <w:ilvl w:val="0"/>
          <w:numId w:val="6"/>
        </w:numPr>
        <w:tabs>
          <w:tab w:val="clear" w:pos="475"/>
          <w:tab w:val="num" w:pos="1742"/>
        </w:tabs>
        <w:ind w:left="1267"/>
      </w:pPr>
      <w:r w:rsidRPr="00614ACF">
        <w:rPr>
          <w:b/>
        </w:rPr>
        <w:t xml:space="preserve">El Sr. Mariño Menéndez </w:t>
      </w:r>
      <w:r>
        <w:t xml:space="preserve">(Relator para el seguimiento de las comunicaciones) señala que, efectivamente, Suecia </w:t>
      </w:r>
      <w:r w:rsidR="00614ACF">
        <w:t>respondió sin demora</w:t>
      </w:r>
      <w:r>
        <w:t xml:space="preserve">. Puntualiza que no se debe extrapolar sin más que esta rapidez se deba a una política general del Estado parte ni siquiera cuando, en este caso, Suecia es conocida por su generosidad en materia de asilo. La rapidez de las medidas tomadas por los Estados partes para dar seguimiento a las decisiones del Comité depende de la relación de confianza construida entre este y el Estado </w:t>
      </w:r>
      <w:r w:rsidR="00614ACF">
        <w:t>en cuestión</w:t>
      </w:r>
      <w:r>
        <w:t>, pero también, muy a menudo, de las circunstancias de cada caso.</w:t>
      </w:r>
    </w:p>
    <w:p w:rsidR="00645DF2" w:rsidRDefault="00614ACF" w:rsidP="00614AC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r>
      <w:r w:rsidR="004E0DAF">
        <w:t>Se levanta la primera parte (pública) de la sesión a las 16.35 horas.</w:t>
      </w:r>
    </w:p>
    <w:p w:rsidR="00614ACF" w:rsidRPr="00614ACF" w:rsidRDefault="00614ACF" w:rsidP="00614ACF">
      <w:pPr>
        <w:pStyle w:val="SingleTxt"/>
      </w:pPr>
    </w:p>
    <w:sectPr w:rsidR="00614ACF" w:rsidRPr="00614ACF" w:rsidSect="00F546E0">
      <w:endnotePr>
        <w:numFmt w:val="decimal"/>
      </w:endnotePr>
      <w:type w:val="continuous"/>
      <w:pgSz w:w="12240" w:h="15840" w:code="1"/>
      <w:pgMar w:top="1742" w:right="1195" w:bottom="1898" w:left="1195" w:header="576" w:footer="103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3CB" w:rsidRPr="005E45FA" w:rsidRDefault="00EA53CB" w:rsidP="004E1BE7">
      <w:pPr>
        <w:pStyle w:val="Footer"/>
        <w:rPr>
          <w:b w:val="0"/>
          <w:noProof w:val="0"/>
          <w:spacing w:val="4"/>
          <w:w w:val="103"/>
          <w:kern w:val="14"/>
          <w:sz w:val="14"/>
          <w:lang w:val="es-ES"/>
        </w:rPr>
      </w:pPr>
      <w:r>
        <w:separator/>
      </w:r>
    </w:p>
  </w:endnote>
  <w:endnote w:type="continuationSeparator" w:id="0">
    <w:p w:rsidR="00EA53CB" w:rsidRPr="005E45FA" w:rsidRDefault="00EA53CB" w:rsidP="004E1BE7">
      <w:pPr>
        <w:pStyle w:val="Footer"/>
        <w:rPr>
          <w:b w:val="0"/>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2434" w:rsidTr="004E1BE7">
      <w:tblPrEx>
        <w:tblCellMar>
          <w:top w:w="0" w:type="dxa"/>
          <w:bottom w:w="0" w:type="dxa"/>
        </w:tblCellMar>
      </w:tblPrEx>
      <w:tc>
        <w:tcPr>
          <w:tcW w:w="5033" w:type="dxa"/>
          <w:shd w:val="clear" w:color="auto" w:fill="auto"/>
        </w:tcPr>
        <w:p w:rsidR="005F2434" w:rsidRPr="00AD3ACD" w:rsidRDefault="005F2434" w:rsidP="004E1BE7">
          <w:pPr>
            <w:pStyle w:val="Footer"/>
            <w:jc w:val="right"/>
            <w:rPr>
              <w:b w:val="0"/>
              <w:w w:val="103"/>
              <w:sz w:val="16"/>
              <w:szCs w:val="16"/>
            </w:rPr>
          </w:pPr>
          <w:r>
            <w:rPr>
              <w:b w:val="0"/>
              <w:w w:val="103"/>
              <w:sz w:val="16"/>
              <w:szCs w:val="16"/>
            </w:rPr>
            <w:t>GE.10-46630</w:t>
          </w:r>
        </w:p>
      </w:tc>
      <w:tc>
        <w:tcPr>
          <w:tcW w:w="5033" w:type="dxa"/>
          <w:shd w:val="clear" w:color="auto" w:fill="auto"/>
        </w:tcPr>
        <w:p w:rsidR="005F2434" w:rsidRPr="004E1BE7" w:rsidRDefault="005F2434" w:rsidP="004E1BE7">
          <w:pPr>
            <w:pStyle w:val="Footer"/>
            <w:rPr>
              <w:w w:val="103"/>
            </w:rPr>
          </w:pPr>
          <w:r>
            <w:rPr>
              <w:w w:val="103"/>
            </w:rPr>
            <w:fldChar w:fldCharType="begin"/>
          </w:r>
          <w:r>
            <w:rPr>
              <w:w w:val="103"/>
            </w:rPr>
            <w:instrText xml:space="preserve"> PAGE  \* MERGEFORMAT </w:instrText>
          </w:r>
          <w:r>
            <w:rPr>
              <w:w w:val="103"/>
            </w:rPr>
            <w:fldChar w:fldCharType="separate"/>
          </w:r>
          <w:r w:rsidR="00825033">
            <w:rPr>
              <w:w w:val="103"/>
            </w:rPr>
            <w:t>4</w:t>
          </w:r>
          <w:r>
            <w:rPr>
              <w:w w:val="103"/>
            </w:rPr>
            <w:fldChar w:fldCharType="end"/>
          </w:r>
        </w:p>
      </w:tc>
    </w:tr>
  </w:tbl>
  <w:p w:rsidR="005F2434" w:rsidRPr="004E1BE7" w:rsidRDefault="005F2434" w:rsidP="004E1BE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F2434" w:rsidTr="004E1BE7">
      <w:tblPrEx>
        <w:tblCellMar>
          <w:top w:w="0" w:type="dxa"/>
          <w:bottom w:w="0" w:type="dxa"/>
        </w:tblCellMar>
      </w:tblPrEx>
      <w:tc>
        <w:tcPr>
          <w:tcW w:w="5033" w:type="dxa"/>
          <w:shd w:val="clear" w:color="auto" w:fill="auto"/>
        </w:tcPr>
        <w:p w:rsidR="005F2434" w:rsidRPr="004E1BE7" w:rsidRDefault="005F2434" w:rsidP="004E1BE7">
          <w:pPr>
            <w:pStyle w:val="Footer"/>
            <w:jc w:val="right"/>
            <w:rPr>
              <w:w w:val="103"/>
            </w:rPr>
          </w:pPr>
          <w:r>
            <w:rPr>
              <w:w w:val="103"/>
            </w:rPr>
            <w:fldChar w:fldCharType="begin"/>
          </w:r>
          <w:r>
            <w:rPr>
              <w:w w:val="103"/>
            </w:rPr>
            <w:instrText xml:space="preserve"> PAGE  \* MERGEFORMAT </w:instrText>
          </w:r>
          <w:r>
            <w:rPr>
              <w:w w:val="103"/>
            </w:rPr>
            <w:fldChar w:fldCharType="separate"/>
          </w:r>
          <w:r w:rsidR="00825033">
            <w:rPr>
              <w:w w:val="103"/>
            </w:rPr>
            <w:t>7</w:t>
          </w:r>
          <w:r>
            <w:rPr>
              <w:w w:val="103"/>
            </w:rPr>
            <w:fldChar w:fldCharType="end"/>
          </w:r>
        </w:p>
      </w:tc>
      <w:tc>
        <w:tcPr>
          <w:tcW w:w="5033" w:type="dxa"/>
          <w:shd w:val="clear" w:color="auto" w:fill="auto"/>
        </w:tcPr>
        <w:p w:rsidR="005F2434" w:rsidRPr="00AD3ACD" w:rsidRDefault="005F2434" w:rsidP="004E1BE7">
          <w:pPr>
            <w:pStyle w:val="Footer"/>
            <w:rPr>
              <w:b w:val="0"/>
              <w:w w:val="103"/>
              <w:sz w:val="16"/>
              <w:szCs w:val="16"/>
            </w:rPr>
          </w:pPr>
          <w:r>
            <w:rPr>
              <w:b w:val="0"/>
              <w:w w:val="103"/>
              <w:sz w:val="16"/>
              <w:szCs w:val="16"/>
            </w:rPr>
            <w:t>GE.10-46630</w:t>
          </w:r>
        </w:p>
      </w:tc>
    </w:tr>
  </w:tbl>
  <w:p w:rsidR="005F2434" w:rsidRPr="004E1BE7" w:rsidRDefault="005F2434" w:rsidP="004E1BE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2434" w:rsidRDefault="005F2434" w:rsidP="004E1BE7">
    <w:pPr>
      <w:pStyle w:val="Footer"/>
      <w:pBdr>
        <w:top w:val="single" w:sz="2" w:space="1" w:color="auto"/>
      </w:pBdr>
      <w:rPr>
        <w:sz w:val="2"/>
      </w:rPr>
    </w:pPr>
  </w:p>
  <w:p w:rsidR="005F2434" w:rsidRDefault="005F2434" w:rsidP="004E1BE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5F2434" w:rsidRDefault="005F2434" w:rsidP="004E1BE7">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5F2434" w:rsidRDefault="005F2434" w:rsidP="004E1BE7">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5F2434" w:rsidRPr="004E1BE7" w:rsidRDefault="005F2434" w:rsidP="004E1BE7">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5F2434">
      <w:tblPrEx>
        <w:tblCellMar>
          <w:top w:w="0" w:type="dxa"/>
          <w:bottom w:w="0" w:type="dxa"/>
        </w:tblCellMar>
      </w:tblPrEx>
      <w:tc>
        <w:tcPr>
          <w:tcW w:w="5033" w:type="dxa"/>
        </w:tcPr>
        <w:p w:rsidR="005F2434" w:rsidRDefault="005F2434" w:rsidP="004E1BE7">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825033">
            <w:rPr>
              <w:b w:val="0"/>
              <w:sz w:val="20"/>
            </w:rPr>
            <w:t>11-39596 (S)</w:t>
          </w:r>
          <w:r>
            <w:rPr>
              <w:b w:val="0"/>
              <w:sz w:val="20"/>
            </w:rPr>
            <w:fldChar w:fldCharType="end"/>
          </w:r>
        </w:p>
        <w:p w:rsidR="005F2434" w:rsidRPr="00AD3ACD" w:rsidRDefault="005F2434" w:rsidP="00AD3ACD">
          <w:pPr>
            <w:pStyle w:val="Footer"/>
            <w:rPr>
              <w:b w:val="0"/>
              <w:sz w:val="20"/>
            </w:rPr>
          </w:pPr>
          <w:r>
            <w:rPr>
              <w:b w:val="0"/>
              <w:sz w:val="20"/>
            </w:rPr>
            <w:t>GE.10-46630  (S)    160112    180112</w:t>
          </w:r>
        </w:p>
      </w:tc>
      <w:tc>
        <w:tcPr>
          <w:tcW w:w="5033" w:type="dxa"/>
        </w:tcPr>
        <w:p w:rsidR="005F2434" w:rsidRDefault="005F2434" w:rsidP="004E1BE7">
          <w:pPr>
            <w:pStyle w:val="Footer"/>
            <w:jc w:val="right"/>
            <w:rPr>
              <w:b w:val="0"/>
              <w:sz w:val="20"/>
            </w:rPr>
          </w:pPr>
          <w:r w:rsidRPr="004E1BE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5F2434" w:rsidRPr="004E1BE7" w:rsidRDefault="005F2434" w:rsidP="004E1BE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3CB" w:rsidRPr="005E45FA" w:rsidRDefault="00EA53CB" w:rsidP="004E1BE7">
      <w:pPr>
        <w:pStyle w:val="Footer"/>
        <w:rPr>
          <w:b w:val="0"/>
          <w:noProof w:val="0"/>
          <w:spacing w:val="4"/>
          <w:w w:val="103"/>
          <w:kern w:val="14"/>
          <w:sz w:val="14"/>
          <w:lang w:val="es-ES"/>
        </w:rPr>
      </w:pPr>
      <w:r>
        <w:separator/>
      </w:r>
    </w:p>
  </w:footnote>
  <w:footnote w:type="continuationSeparator" w:id="0">
    <w:p w:rsidR="00EA53CB" w:rsidRPr="005E45FA" w:rsidRDefault="00EA53CB" w:rsidP="004E1BE7">
      <w:pPr>
        <w:pStyle w:val="Footer"/>
        <w:rPr>
          <w:b w:val="0"/>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2434" w:rsidTr="004E1BE7">
      <w:tblPrEx>
        <w:tblCellMar>
          <w:top w:w="0" w:type="dxa"/>
          <w:bottom w:w="0" w:type="dxa"/>
        </w:tblCellMar>
      </w:tblPrEx>
      <w:trPr>
        <w:trHeight w:hRule="exact" w:val="864"/>
      </w:trPr>
      <w:tc>
        <w:tcPr>
          <w:tcW w:w="4838" w:type="dxa"/>
          <w:shd w:val="clear" w:color="auto" w:fill="auto"/>
          <w:vAlign w:val="bottom"/>
        </w:tcPr>
        <w:p w:rsidR="005F2434" w:rsidRPr="004E1BE7" w:rsidRDefault="005F2434" w:rsidP="004E1BE7">
          <w:pPr>
            <w:pStyle w:val="Header"/>
            <w:spacing w:after="80"/>
            <w:rPr>
              <w:b/>
            </w:rPr>
          </w:pPr>
          <w:r>
            <w:rPr>
              <w:b/>
            </w:rPr>
            <w:fldChar w:fldCharType="begin"/>
          </w:r>
          <w:r>
            <w:rPr>
              <w:b/>
            </w:rPr>
            <w:instrText xml:space="preserve"> DOCVARIABLE "sss1" \* MERGEFORMAT </w:instrText>
          </w:r>
          <w:r>
            <w:rPr>
              <w:b/>
            </w:rPr>
            <w:fldChar w:fldCharType="separate"/>
          </w:r>
          <w:r w:rsidR="00825033">
            <w:rPr>
              <w:b/>
            </w:rPr>
            <w:t>CAT/C/SR.973</w:t>
          </w:r>
          <w:r>
            <w:rPr>
              <w:b/>
            </w:rPr>
            <w:fldChar w:fldCharType="end"/>
          </w:r>
        </w:p>
      </w:tc>
      <w:tc>
        <w:tcPr>
          <w:tcW w:w="5033" w:type="dxa"/>
          <w:shd w:val="clear" w:color="auto" w:fill="auto"/>
          <w:vAlign w:val="bottom"/>
        </w:tcPr>
        <w:p w:rsidR="005F2434" w:rsidRDefault="005F2434" w:rsidP="004E1BE7">
          <w:pPr>
            <w:pStyle w:val="Header"/>
          </w:pPr>
        </w:p>
      </w:tc>
    </w:tr>
  </w:tbl>
  <w:p w:rsidR="005F2434" w:rsidRPr="004E1BE7" w:rsidRDefault="005F2434" w:rsidP="004E1B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F2434" w:rsidTr="004E1BE7">
      <w:tblPrEx>
        <w:tblCellMar>
          <w:top w:w="0" w:type="dxa"/>
          <w:bottom w:w="0" w:type="dxa"/>
        </w:tblCellMar>
      </w:tblPrEx>
      <w:trPr>
        <w:trHeight w:hRule="exact" w:val="864"/>
      </w:trPr>
      <w:tc>
        <w:tcPr>
          <w:tcW w:w="4838" w:type="dxa"/>
          <w:shd w:val="clear" w:color="auto" w:fill="auto"/>
          <w:vAlign w:val="bottom"/>
        </w:tcPr>
        <w:p w:rsidR="005F2434" w:rsidRDefault="005F2434" w:rsidP="004E1BE7">
          <w:pPr>
            <w:pStyle w:val="Header"/>
          </w:pPr>
        </w:p>
      </w:tc>
      <w:tc>
        <w:tcPr>
          <w:tcW w:w="5033" w:type="dxa"/>
          <w:shd w:val="clear" w:color="auto" w:fill="auto"/>
          <w:vAlign w:val="bottom"/>
        </w:tcPr>
        <w:p w:rsidR="005F2434" w:rsidRPr="004E1BE7" w:rsidRDefault="005F2434" w:rsidP="004E1BE7">
          <w:pPr>
            <w:pStyle w:val="Header"/>
            <w:spacing w:after="80"/>
            <w:jc w:val="right"/>
            <w:rPr>
              <w:b/>
            </w:rPr>
          </w:pPr>
          <w:r>
            <w:rPr>
              <w:b/>
            </w:rPr>
            <w:fldChar w:fldCharType="begin"/>
          </w:r>
          <w:r>
            <w:rPr>
              <w:b/>
            </w:rPr>
            <w:instrText xml:space="preserve"> DOCVARIABLE "sss1" \* MERGEFORMAT </w:instrText>
          </w:r>
          <w:r>
            <w:rPr>
              <w:b/>
            </w:rPr>
            <w:fldChar w:fldCharType="separate"/>
          </w:r>
          <w:r w:rsidR="00825033">
            <w:rPr>
              <w:b/>
            </w:rPr>
            <w:t>CAT/C/SR.973</w:t>
          </w:r>
          <w:r>
            <w:rPr>
              <w:b/>
            </w:rPr>
            <w:fldChar w:fldCharType="end"/>
          </w:r>
        </w:p>
      </w:tc>
    </w:tr>
  </w:tbl>
  <w:p w:rsidR="005F2434" w:rsidRPr="004E1BE7" w:rsidRDefault="005F2434" w:rsidP="004E1BE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F2434" w:rsidTr="004E1BE7">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F2434" w:rsidRDefault="005F2434" w:rsidP="004E1BE7">
          <w:pPr>
            <w:pStyle w:val="Header"/>
            <w:spacing w:after="120"/>
          </w:pPr>
        </w:p>
      </w:tc>
      <w:tc>
        <w:tcPr>
          <w:tcW w:w="2059" w:type="dxa"/>
          <w:tcBorders>
            <w:bottom w:val="single" w:sz="4" w:space="0" w:color="auto"/>
          </w:tcBorders>
          <w:shd w:val="clear" w:color="auto" w:fill="auto"/>
          <w:vAlign w:val="bottom"/>
        </w:tcPr>
        <w:p w:rsidR="005F2434" w:rsidRPr="004E1BE7" w:rsidRDefault="005F2434" w:rsidP="004E1BE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F2434" w:rsidRDefault="005F2434" w:rsidP="004E1BE7">
          <w:pPr>
            <w:pStyle w:val="Header"/>
            <w:spacing w:after="120"/>
          </w:pPr>
        </w:p>
      </w:tc>
      <w:tc>
        <w:tcPr>
          <w:tcW w:w="6523" w:type="dxa"/>
          <w:gridSpan w:val="3"/>
          <w:tcBorders>
            <w:bottom w:val="single" w:sz="4" w:space="0" w:color="auto"/>
          </w:tcBorders>
          <w:shd w:val="clear" w:color="auto" w:fill="auto"/>
          <w:vAlign w:val="bottom"/>
        </w:tcPr>
        <w:p w:rsidR="005F2434" w:rsidRPr="004E1BE7" w:rsidRDefault="005F2434" w:rsidP="004E1BE7">
          <w:pPr>
            <w:spacing w:after="80" w:line="240" w:lineRule="auto"/>
            <w:jc w:val="right"/>
            <w:rPr>
              <w:position w:val="-4"/>
            </w:rPr>
          </w:pPr>
          <w:r>
            <w:rPr>
              <w:position w:val="-4"/>
              <w:sz w:val="40"/>
            </w:rPr>
            <w:t>CAT</w:t>
          </w:r>
          <w:r>
            <w:rPr>
              <w:position w:val="-4"/>
            </w:rPr>
            <w:t>/C/SR.973</w:t>
          </w:r>
        </w:p>
      </w:tc>
    </w:tr>
    <w:tr w:rsidR="005F2434" w:rsidRPr="004E1BE7" w:rsidTr="004E1BE7">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F2434" w:rsidRDefault="005F2434" w:rsidP="004E1BE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F2434" w:rsidRPr="004E1BE7" w:rsidRDefault="005F2434" w:rsidP="004E1BE7">
          <w:pPr>
            <w:pStyle w:val="Header"/>
            <w:spacing w:before="109"/>
          </w:pPr>
        </w:p>
      </w:tc>
      <w:tc>
        <w:tcPr>
          <w:tcW w:w="5227" w:type="dxa"/>
          <w:gridSpan w:val="3"/>
          <w:tcBorders>
            <w:top w:val="single" w:sz="4" w:space="0" w:color="auto"/>
            <w:bottom w:val="single" w:sz="12" w:space="0" w:color="auto"/>
          </w:tcBorders>
          <w:shd w:val="clear" w:color="auto" w:fill="auto"/>
        </w:tcPr>
        <w:p w:rsidR="005F2434" w:rsidRPr="002F1F19" w:rsidRDefault="005F2434" w:rsidP="002F1F19">
          <w:pPr>
            <w:pStyle w:val="XLarge"/>
            <w:spacing w:before="109" w:line="330" w:lineRule="exact"/>
            <w:rPr>
              <w:sz w:val="34"/>
              <w:szCs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5F2434" w:rsidRPr="0025313A" w:rsidRDefault="005F2434" w:rsidP="004E1BE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F2434" w:rsidRDefault="005F2434" w:rsidP="004E1BE7">
          <w:pPr>
            <w:spacing w:before="240"/>
          </w:pPr>
          <w:r>
            <w:t>Distr. general</w:t>
          </w:r>
        </w:p>
        <w:p w:rsidR="005F2434" w:rsidRDefault="005F2434" w:rsidP="004E1BE7">
          <w:r>
            <w:t>18 de enero de 2012</w:t>
          </w:r>
        </w:p>
        <w:p w:rsidR="005F2434" w:rsidRDefault="005F2434" w:rsidP="004E1BE7">
          <w:r>
            <w:t>Español</w:t>
          </w:r>
        </w:p>
        <w:p w:rsidR="005F2434" w:rsidRPr="004E1BE7" w:rsidRDefault="005F2434" w:rsidP="004E1BE7">
          <w:r>
            <w:t>Original: francés</w:t>
          </w:r>
        </w:p>
      </w:tc>
    </w:tr>
  </w:tbl>
  <w:p w:rsidR="005F2434" w:rsidRPr="00CB0413" w:rsidRDefault="005F2434" w:rsidP="004E1BE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C5F29D2"/>
    <w:multiLevelType w:val="singleLevel"/>
    <w:tmpl w:val="8A3A62A6"/>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3">
    <w:nsid w:val="24FB6287"/>
    <w:multiLevelType w:val="hybridMultilevel"/>
    <w:tmpl w:val="DA4E7202"/>
    <w:lvl w:ilvl="0" w:tplc="F62215A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EC27C36"/>
    <w:multiLevelType w:val="singleLevel"/>
    <w:tmpl w:val="8A3A62A6"/>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6">
    <w:nsid w:val="625C24AF"/>
    <w:multiLevelType w:val="singleLevel"/>
    <w:tmpl w:val="CCAA114E"/>
    <w:lvl w:ilvl="0">
      <w:start w:val="20"/>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4"/>
  </w:num>
  <w:num w:numId="4">
    <w:abstractNumId w:val="2"/>
  </w:num>
  <w:num w:numId="5">
    <w:abstractNumId w:val="3"/>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6*"/>
    <w:docVar w:name="CreationDt" w:val="23/09/2011 15:59:46"/>
    <w:docVar w:name="DocCategory" w:val="SROthers"/>
    <w:docVar w:name="DocType" w:val="Final"/>
    <w:docVar w:name="FooterJN" w:val="11-39596"/>
    <w:docVar w:name="jobn" w:val="11-39596 (S)"/>
    <w:docVar w:name="jobnDT" w:val="11-39596 (S)   230911"/>
    <w:docVar w:name="jobnDTDT" w:val="11-39596 (S)   230911   230911"/>
    <w:docVar w:name="JobNo" w:val="1139596S"/>
    <w:docVar w:name="OandT" w:val="mar"/>
    <w:docVar w:name="sss1" w:val="CAT/C/SR.973"/>
    <w:docVar w:name="sss2" w:val="-"/>
    <w:docVar w:name="Symbol1" w:val="CAT/C/SR.973"/>
    <w:docVar w:name="Symbol2" w:val="-"/>
  </w:docVars>
  <w:rsids>
    <w:rsidRoot w:val="006575D9"/>
    <w:rsid w:val="0000430F"/>
    <w:rsid w:val="000271D6"/>
    <w:rsid w:val="000336E0"/>
    <w:rsid w:val="00044517"/>
    <w:rsid w:val="0004460A"/>
    <w:rsid w:val="000534EB"/>
    <w:rsid w:val="00061177"/>
    <w:rsid w:val="00067D9C"/>
    <w:rsid w:val="000806AC"/>
    <w:rsid w:val="000871C1"/>
    <w:rsid w:val="000A0C7C"/>
    <w:rsid w:val="000A1971"/>
    <w:rsid w:val="000A6E32"/>
    <w:rsid w:val="000B2A4E"/>
    <w:rsid w:val="000C1009"/>
    <w:rsid w:val="000C4DCC"/>
    <w:rsid w:val="000D21E6"/>
    <w:rsid w:val="000D46B0"/>
    <w:rsid w:val="000D64ED"/>
    <w:rsid w:val="00102135"/>
    <w:rsid w:val="001109AD"/>
    <w:rsid w:val="00122F94"/>
    <w:rsid w:val="001259AF"/>
    <w:rsid w:val="00140318"/>
    <w:rsid w:val="00140AD3"/>
    <w:rsid w:val="00142865"/>
    <w:rsid w:val="00143B7C"/>
    <w:rsid w:val="00152E53"/>
    <w:rsid w:val="00153EA2"/>
    <w:rsid w:val="001701FE"/>
    <w:rsid w:val="00170784"/>
    <w:rsid w:val="001A2E38"/>
    <w:rsid w:val="001A2FAC"/>
    <w:rsid w:val="001A72EA"/>
    <w:rsid w:val="001B2FC3"/>
    <w:rsid w:val="001E7F48"/>
    <w:rsid w:val="001F74B0"/>
    <w:rsid w:val="00200A61"/>
    <w:rsid w:val="00216B5E"/>
    <w:rsid w:val="0022060C"/>
    <w:rsid w:val="00222E3D"/>
    <w:rsid w:val="00224453"/>
    <w:rsid w:val="0025313A"/>
    <w:rsid w:val="0025615B"/>
    <w:rsid w:val="00266F6B"/>
    <w:rsid w:val="002841B4"/>
    <w:rsid w:val="00297ED1"/>
    <w:rsid w:val="002B276A"/>
    <w:rsid w:val="002B7407"/>
    <w:rsid w:val="002C345B"/>
    <w:rsid w:val="002C3E79"/>
    <w:rsid w:val="002E1262"/>
    <w:rsid w:val="002F0A5D"/>
    <w:rsid w:val="002F1F19"/>
    <w:rsid w:val="003004C8"/>
    <w:rsid w:val="00307FB4"/>
    <w:rsid w:val="00333E49"/>
    <w:rsid w:val="003359DE"/>
    <w:rsid w:val="003452B8"/>
    <w:rsid w:val="00364E42"/>
    <w:rsid w:val="0037429E"/>
    <w:rsid w:val="003752C9"/>
    <w:rsid w:val="00375801"/>
    <w:rsid w:val="00376D48"/>
    <w:rsid w:val="00397636"/>
    <w:rsid w:val="003A5CE7"/>
    <w:rsid w:val="003B613E"/>
    <w:rsid w:val="003C12C7"/>
    <w:rsid w:val="003C473B"/>
    <w:rsid w:val="003C5008"/>
    <w:rsid w:val="003C67B3"/>
    <w:rsid w:val="003D2D4A"/>
    <w:rsid w:val="003E4224"/>
    <w:rsid w:val="003F3C3C"/>
    <w:rsid w:val="00400307"/>
    <w:rsid w:val="00407C43"/>
    <w:rsid w:val="004160F7"/>
    <w:rsid w:val="004246EB"/>
    <w:rsid w:val="00431501"/>
    <w:rsid w:val="004452B0"/>
    <w:rsid w:val="004713D8"/>
    <w:rsid w:val="00476A1C"/>
    <w:rsid w:val="00482B09"/>
    <w:rsid w:val="004843EE"/>
    <w:rsid w:val="00487BDD"/>
    <w:rsid w:val="0049207E"/>
    <w:rsid w:val="004A7C6C"/>
    <w:rsid w:val="004C1BCD"/>
    <w:rsid w:val="004D6407"/>
    <w:rsid w:val="004D779E"/>
    <w:rsid w:val="004E0DAF"/>
    <w:rsid w:val="004E1BE7"/>
    <w:rsid w:val="004E757B"/>
    <w:rsid w:val="004F14EE"/>
    <w:rsid w:val="00507265"/>
    <w:rsid w:val="005130D6"/>
    <w:rsid w:val="00514833"/>
    <w:rsid w:val="00524C14"/>
    <w:rsid w:val="00534D37"/>
    <w:rsid w:val="00542A52"/>
    <w:rsid w:val="005434BC"/>
    <w:rsid w:val="00544935"/>
    <w:rsid w:val="00550243"/>
    <w:rsid w:val="005803A0"/>
    <w:rsid w:val="00587E23"/>
    <w:rsid w:val="00595DE1"/>
    <w:rsid w:val="005A0736"/>
    <w:rsid w:val="005D3721"/>
    <w:rsid w:val="005F2434"/>
    <w:rsid w:val="00612DA1"/>
    <w:rsid w:val="00614ACF"/>
    <w:rsid w:val="00616088"/>
    <w:rsid w:val="006169F5"/>
    <w:rsid w:val="00620953"/>
    <w:rsid w:val="00630CE1"/>
    <w:rsid w:val="00636DA1"/>
    <w:rsid w:val="00637AB0"/>
    <w:rsid w:val="00641130"/>
    <w:rsid w:val="00645DF2"/>
    <w:rsid w:val="006463C7"/>
    <w:rsid w:val="006575D9"/>
    <w:rsid w:val="00662D66"/>
    <w:rsid w:val="00664183"/>
    <w:rsid w:val="0069436D"/>
    <w:rsid w:val="00696921"/>
    <w:rsid w:val="006C6173"/>
    <w:rsid w:val="006D3321"/>
    <w:rsid w:val="006D485F"/>
    <w:rsid w:val="006E0E95"/>
    <w:rsid w:val="006F36E2"/>
    <w:rsid w:val="0070602F"/>
    <w:rsid w:val="0074000F"/>
    <w:rsid w:val="007511B6"/>
    <w:rsid w:val="00781DFE"/>
    <w:rsid w:val="007A15D9"/>
    <w:rsid w:val="007B04E8"/>
    <w:rsid w:val="007B2E44"/>
    <w:rsid w:val="007C566A"/>
    <w:rsid w:val="007D0893"/>
    <w:rsid w:val="007D59F4"/>
    <w:rsid w:val="007E322D"/>
    <w:rsid w:val="007F5AF9"/>
    <w:rsid w:val="00813690"/>
    <w:rsid w:val="00813C40"/>
    <w:rsid w:val="00815EA8"/>
    <w:rsid w:val="00821E34"/>
    <w:rsid w:val="00823BE3"/>
    <w:rsid w:val="00825033"/>
    <w:rsid w:val="00827CC4"/>
    <w:rsid w:val="008301F2"/>
    <w:rsid w:val="00834163"/>
    <w:rsid w:val="0083457C"/>
    <w:rsid w:val="008466A7"/>
    <w:rsid w:val="0087041B"/>
    <w:rsid w:val="008B5FC3"/>
    <w:rsid w:val="008D17EE"/>
    <w:rsid w:val="008D53A0"/>
    <w:rsid w:val="008E2B2E"/>
    <w:rsid w:val="00913197"/>
    <w:rsid w:val="0091591F"/>
    <w:rsid w:val="0093190E"/>
    <w:rsid w:val="00934B5B"/>
    <w:rsid w:val="00935AD9"/>
    <w:rsid w:val="00936752"/>
    <w:rsid w:val="009540A8"/>
    <w:rsid w:val="00984E6C"/>
    <w:rsid w:val="00987E4D"/>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5353F"/>
    <w:rsid w:val="00A627D6"/>
    <w:rsid w:val="00A6761C"/>
    <w:rsid w:val="00A7011D"/>
    <w:rsid w:val="00A86FEA"/>
    <w:rsid w:val="00AB7836"/>
    <w:rsid w:val="00AD3ACD"/>
    <w:rsid w:val="00AD5D6A"/>
    <w:rsid w:val="00AE74ED"/>
    <w:rsid w:val="00B06DBC"/>
    <w:rsid w:val="00B151F5"/>
    <w:rsid w:val="00B25FFC"/>
    <w:rsid w:val="00B34BCE"/>
    <w:rsid w:val="00B61D26"/>
    <w:rsid w:val="00B9310A"/>
    <w:rsid w:val="00BC7B5B"/>
    <w:rsid w:val="00BE2BF9"/>
    <w:rsid w:val="00C0219C"/>
    <w:rsid w:val="00C02367"/>
    <w:rsid w:val="00C13D38"/>
    <w:rsid w:val="00C575EE"/>
    <w:rsid w:val="00C72AD9"/>
    <w:rsid w:val="00C8131F"/>
    <w:rsid w:val="00C847F0"/>
    <w:rsid w:val="00C859E1"/>
    <w:rsid w:val="00C91CE9"/>
    <w:rsid w:val="00CB0413"/>
    <w:rsid w:val="00CB5C47"/>
    <w:rsid w:val="00CD4760"/>
    <w:rsid w:val="00CD57FF"/>
    <w:rsid w:val="00CE0045"/>
    <w:rsid w:val="00CE0393"/>
    <w:rsid w:val="00CE1381"/>
    <w:rsid w:val="00D2412C"/>
    <w:rsid w:val="00D57747"/>
    <w:rsid w:val="00D75DCF"/>
    <w:rsid w:val="00DA7DFA"/>
    <w:rsid w:val="00DB5C37"/>
    <w:rsid w:val="00E054C0"/>
    <w:rsid w:val="00E241A1"/>
    <w:rsid w:val="00E31D49"/>
    <w:rsid w:val="00E348E6"/>
    <w:rsid w:val="00E50390"/>
    <w:rsid w:val="00E51BC9"/>
    <w:rsid w:val="00E57A36"/>
    <w:rsid w:val="00E65BE8"/>
    <w:rsid w:val="00E84B10"/>
    <w:rsid w:val="00E875CB"/>
    <w:rsid w:val="00E932A5"/>
    <w:rsid w:val="00EA53CB"/>
    <w:rsid w:val="00EB3BF0"/>
    <w:rsid w:val="00EC3D06"/>
    <w:rsid w:val="00ED1F10"/>
    <w:rsid w:val="00ED66DD"/>
    <w:rsid w:val="00F05313"/>
    <w:rsid w:val="00F061A0"/>
    <w:rsid w:val="00F06B9B"/>
    <w:rsid w:val="00F249E4"/>
    <w:rsid w:val="00F2674E"/>
    <w:rsid w:val="00F274AF"/>
    <w:rsid w:val="00F35B3D"/>
    <w:rsid w:val="00F44608"/>
    <w:rsid w:val="00F44E91"/>
    <w:rsid w:val="00F47FCF"/>
    <w:rsid w:val="00F52AB0"/>
    <w:rsid w:val="00F546E0"/>
    <w:rsid w:val="00F7678D"/>
    <w:rsid w:val="00F920FD"/>
    <w:rsid w:val="00F92E1F"/>
    <w:rsid w:val="00FB2CE9"/>
    <w:rsid w:val="00FB30AE"/>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E1BE7"/>
  </w:style>
  <w:style w:type="paragraph" w:styleId="CommentSubject">
    <w:name w:val="annotation subject"/>
    <w:basedOn w:val="CommentText"/>
    <w:next w:val="CommentText"/>
    <w:semiHidden/>
    <w:rsid w:val="004E1B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3769</Words>
  <Characters>20091</Characters>
  <Application>Microsoft Office Word</Application>
  <DocSecurity>4</DocSecurity>
  <Lines>340</Lines>
  <Paragraphs>59</Paragraphs>
  <ScaleCrop>false</ScaleCrop>
  <HeadingPairs>
    <vt:vector size="2" baseType="variant">
      <vt:variant>
        <vt:lpstr>Título</vt:lpstr>
      </vt:variant>
      <vt:variant>
        <vt:i4>1</vt:i4>
      </vt:variant>
    </vt:vector>
  </HeadingPairs>
  <TitlesOfParts>
    <vt:vector size="1" baseType="lpstr">
      <vt:lpstr>CAT/C/SR.973</vt:lpstr>
    </vt:vector>
  </TitlesOfParts>
  <Company/>
  <LinksUpToDate>false</LinksUpToDate>
  <CharactersWithSpaces>23801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CAT/C/SR.973</dc:title>
  <dc:subject>10-46630</dc:subject>
  <dc:creator>Ruth</dc:creator>
  <cp:keywords/>
  <dc:description>NY 11-39596</dc:description>
  <cp:lastModifiedBy>Ruth</cp:lastModifiedBy>
  <cp:revision>3</cp:revision>
  <cp:lastPrinted>2012-01-18T08:07:00Z</cp:lastPrinted>
  <dcterms:created xsi:type="dcterms:W3CDTF">2012-01-18T08:07:00Z</dcterms:created>
  <dcterms:modified xsi:type="dcterms:W3CDTF">2012-01-18T08:07:00Z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1139596</vt:lpwstr>
  </property>
  <property fmtid="{D5CDD505-2E9C-101B-9397-08002B2CF9AE}" pid="3" name="Symbol1">
    <vt:lpwstr>CAT/C/SR.973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vt:lpwstr>
  </property>
  <property fmtid="{D5CDD505-2E9C-101B-9397-08002B2CF9AE}" pid="8" name="Operator">
    <vt:lpwstr>mar(1-4/M guerrero (5-8)/lmg</vt:lpwstr>
  </property>
</Properties>
</file>