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  <w:lang w:val="en-US"/>
        </w:rPr>
      </w:pPr>
    </w:p>
    <w:p w:rsidR="00000000" w:rsidRDefault="00000000">
      <w:pPr>
        <w:rPr>
          <w:sz w:val="2"/>
          <w:lang w:val="en-US"/>
        </w:rPr>
      </w:pPr>
    </w:p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GE.99-45646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>С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  <w:r>
              <w:rPr>
                <w:sz w:val="22"/>
                <w:lang w:val="en-US"/>
              </w:rPr>
              <w:t>AT/C/SR.400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24 November1999</w:t>
            </w: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  <w:lang w:val="en-US"/>
              </w:rPr>
              <w:t>FRENCH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pStyle w:val="Heading2"/>
        <w:spacing w:line="240" w:lineRule="auto"/>
        <w:jc w:val="center"/>
        <w:rPr>
          <w:u w:val="none"/>
        </w:rPr>
      </w:pPr>
      <w:r>
        <w:rPr>
          <w:u w:val="none"/>
        </w:rPr>
        <w:t>КОМИТЕТ ПРОТИВ ПЫТОК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Двадцать третья сессия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КРАТКИЙ ОТЧЕТ О ПЕРВОЙ (ОТКРЫТОЙ)* ЧАСТИ 400-го ЗАСЕДАНИЯ,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состоявшегося во Дворце Наций в Женеве, в пятницу</w:t>
      </w:r>
    </w:p>
    <w:p w:rsidR="00000000" w:rsidRDefault="00000000">
      <w:pPr>
        <w:spacing w:line="240" w:lineRule="auto"/>
        <w:jc w:val="center"/>
      </w:pPr>
      <w:r>
        <w:t>12 ноября 1999 года, в 15 час. 00 мин.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rPr>
          <w:u w:val="single"/>
        </w:rPr>
        <w:t>Председатель</w:t>
      </w:r>
      <w:r>
        <w:t>: г-н БЁРНС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  <w:jc w:val="center"/>
      </w:pPr>
      <w:r>
        <w:t>СОДЕРЖАНИЕ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 xml:space="preserve">)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ind w:left="567"/>
      </w:pPr>
      <w:r>
        <w:rPr>
          <w:u w:val="single"/>
        </w:rPr>
        <w:t>Выводы и рекомендации, касающиеся второго периодического доклада Австрии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ab/>
      </w:r>
      <w:r>
        <w:rPr>
          <w:u w:val="single"/>
        </w:rPr>
        <w:t>Третий периодический доклад Финляндии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__________________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*</w:t>
      </w:r>
      <w:r>
        <w:rPr>
          <w:sz w:val="22"/>
        </w:rPr>
        <w:tab/>
        <w:t>Краткий отчет о второй (закрытой) части заседания издан под условным обозначением САТ/С/SR.400/Add.1.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>__________________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 xml:space="preserve">Поправки должны представляться на одном из рабочих языков.  Они должны изложены в пояснительной записке, а также внесены в один из экземпляров отчета.  Поправки следует направлять </w:t>
      </w:r>
      <w:r>
        <w:rPr>
          <w:sz w:val="22"/>
          <w:u w:val="single"/>
        </w:rPr>
        <w:t>в течение одной недели с момента выпуска настоящего документа</w:t>
      </w:r>
      <w:r>
        <w:rPr>
          <w:sz w:val="22"/>
        </w:rPr>
        <w:t xml:space="preserve"> в Секцию редактирования официальных отчетов, комната Е.4108, Дворец Наций, Женева.</w:t>
      </w:r>
    </w:p>
    <w:p w:rsidR="00000000" w:rsidRDefault="00000000">
      <w:pPr>
        <w:spacing w:line="240" w:lineRule="auto"/>
        <w:rPr>
          <w:sz w:val="22"/>
        </w:rPr>
      </w:pPr>
    </w:p>
    <w:p w:rsidR="00000000" w:rsidRDefault="00000000">
      <w:pPr>
        <w:spacing w:line="240" w:lineRule="auto"/>
        <w:rPr>
          <w:sz w:val="22"/>
        </w:rPr>
      </w:pPr>
      <w:r>
        <w:rPr>
          <w:sz w:val="22"/>
        </w:rPr>
        <w:tab/>
        <w:t>Любые поправки к отчетам о закрытых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jc w:val="center"/>
      </w:pPr>
      <w:r>
        <w:rPr>
          <w:u w:val="single"/>
        </w:rPr>
        <w:br w:type="page"/>
        <w:t>Заседание открывается в 15 час. 05 мин</w:t>
      </w:r>
      <w:r>
        <w:t>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ПРЕДСТАВЛЕННЫХ ГОСУДАРСТВАМИ-УЧАСТНИКАМИ В СООТВЕТСТВИИ СО СТАТЬЕЙ 19 КОНВЕНЦИИ (пункт 4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Выводы и рекомендации, касающиеся второго периодического доклада Австрии</w:t>
      </w:r>
      <w:r>
        <w:t xml:space="preserve"> (</w:t>
      </w:r>
      <w:r>
        <w:rPr>
          <w:lang w:val="en-US"/>
        </w:rPr>
        <w:t>CAT/C/17/Add.21</w:t>
      </w:r>
      <w:r>
        <w:t>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>1.</w:t>
      </w:r>
      <w:r>
        <w:tab/>
      </w:r>
      <w:r>
        <w:rPr>
          <w:u w:val="single"/>
        </w:rPr>
        <w:t>По приглашению Председателя члены австрийской делегации вновь занимают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Г-н СОРЕНСЕН</w:t>
      </w:r>
      <w:r>
        <w:t xml:space="preserve"> (Докладчик по Австрии) зачитывает на английском языке следующий текст выводов и рекомендаций Комитета по второму периодическому докладу Австрии:</w:t>
      </w:r>
    </w:p>
    <w:p w:rsidR="00000000" w:rsidRDefault="00000000">
      <w:pPr>
        <w:jc w:val="both"/>
      </w:pPr>
    </w:p>
    <w:p w:rsidR="00000000" w:rsidRDefault="00000000">
      <w:pPr>
        <w:ind w:left="567" w:hanging="567"/>
      </w:pPr>
      <w:r>
        <w:tab/>
        <w:t>"1.</w:t>
      </w:r>
      <w:r>
        <w:tab/>
        <w:t>Комитет рассмотрел второй доклад Австрии (</w:t>
      </w:r>
      <w:r>
        <w:rPr>
          <w:lang w:val="en-US"/>
        </w:rPr>
        <w:t>CAT/C/17/Add.21</w:t>
      </w:r>
      <w:r>
        <w:t>) на своих 395</w:t>
      </w:r>
      <w:r>
        <w:noBreakHyphen/>
        <w:t>м, 398-м и 400 заседаниях, состоявшихся 10, 11 и 12 ноября 1999 года (</w:t>
      </w:r>
      <w:r>
        <w:rPr>
          <w:lang w:val="en-US"/>
        </w:rPr>
        <w:t xml:space="preserve">CAT/C/SR.395, 398 </w:t>
      </w:r>
      <w:r>
        <w:t>и 400), и принял следующие выводы и рекомендации:</w:t>
      </w:r>
    </w:p>
    <w:p w:rsidR="00000000" w:rsidRDefault="00000000">
      <w:pPr>
        <w:ind w:left="567" w:hanging="567"/>
        <w:jc w:val="both"/>
      </w:pP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I</w:t>
      </w:r>
      <w:r>
        <w:t>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BodyTextIndent"/>
        <w:spacing w:line="288" w:lineRule="auto"/>
      </w:pPr>
      <w:r>
        <w:tab/>
        <w:t>2.</w:t>
      </w:r>
      <w:r>
        <w:tab/>
        <w:t>Комитет выражает удовлетворение по поводу диалога с представителями Австрии.  Вместе с тем он с сожалением отмечает, что доклад, который ожидался в августе 1992 года, был представлен лишь в октябре 1998 года и что он не был составлен в соответствии с руководящими принципами Комитета, касающимися представления докладов.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ind w:left="567" w:hanging="567"/>
        <w:jc w:val="center"/>
        <w:rPr>
          <w:u w:val="single"/>
        </w:rPr>
      </w:pPr>
      <w:r>
        <w:rPr>
          <w:lang w:val="en-US"/>
        </w:rPr>
        <w:t>II</w:t>
      </w:r>
      <w:r>
        <w:t>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ind w:left="567" w:hanging="567"/>
        <w:jc w:val="center"/>
        <w:rPr>
          <w:u w:val="single"/>
        </w:rPr>
      </w:pPr>
    </w:p>
    <w:p w:rsidR="00000000" w:rsidRDefault="00000000">
      <w:pPr>
        <w:pStyle w:val="BodyTextIndent"/>
        <w:spacing w:line="288" w:lineRule="auto"/>
      </w:pPr>
      <w:r>
        <w:tab/>
        <w:t>3.</w:t>
      </w:r>
      <w:r>
        <w:tab/>
        <w:t>Комитет с удовлетворением отмечает следующие элементы: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ind w:left="567" w:hanging="567"/>
      </w:pPr>
      <w:r>
        <w:tab/>
      </w:r>
      <w:r>
        <w:tab/>
        <w:t>а)</w:t>
      </w:r>
      <w:r>
        <w:tab/>
        <w:t>Закон 1993 года о деятельности служб безопасности;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Директивы, касающиеся деятельности органов, занимающихся поддержанием общественного порядка;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с)</w:t>
      </w:r>
      <w:r>
        <w:tab/>
        <w:t>возложенное на федеральное правительство обязательство по ежегодному представлению парламенту доклада о действиях сотрудников полиции;</w:t>
      </w: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d</w:t>
      </w:r>
      <w:r>
        <w:t>)</w:t>
      </w:r>
      <w:r>
        <w:tab/>
        <w:t>создание системы надзора в соответствии с положениями статьи 11 Конвенции;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е)</w:t>
      </w:r>
      <w:r>
        <w:tab/>
        <w:t>Закон 1993 года о внесении поправок в Уголовно-процессуальный кодекс и Закон 1992 года о порядке рассмотрения жалоб в отношении нарушения основных прав.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  <w:jc w:val="center"/>
        <w:rPr>
          <w:u w:val="single"/>
        </w:rPr>
      </w:pPr>
      <w:r>
        <w:rPr>
          <w:lang w:val="en-US"/>
        </w:rPr>
        <w:t>III</w:t>
      </w:r>
      <w:r>
        <w:t>.</w:t>
      </w:r>
      <w:r>
        <w:tab/>
      </w:r>
      <w:r>
        <w:rPr>
          <w:u w:val="single"/>
        </w:rPr>
        <w:t>Проблемы, вызывающие озабоченность</w:t>
      </w:r>
    </w:p>
    <w:p w:rsidR="00000000" w:rsidRDefault="00000000">
      <w:pPr>
        <w:ind w:left="567" w:hanging="567"/>
        <w:jc w:val="center"/>
        <w:rPr>
          <w:u w:val="single"/>
        </w:rPr>
      </w:pPr>
    </w:p>
    <w:p w:rsidR="00000000" w:rsidRDefault="00000000">
      <w:pPr>
        <w:pStyle w:val="BodyTextIndent"/>
        <w:spacing w:line="288" w:lineRule="auto"/>
      </w:pPr>
      <w:r>
        <w:tab/>
        <w:t>4.</w:t>
      </w:r>
      <w:r>
        <w:tab/>
        <w:t>Комитет выражает озабоченность по поводу следующих элементов:</w:t>
      </w:r>
    </w:p>
    <w:p w:rsidR="00000000" w:rsidRDefault="00000000">
      <w:pPr>
        <w:pStyle w:val="BodyTextIndent"/>
        <w:spacing w:line="288" w:lineRule="auto"/>
      </w:pPr>
    </w:p>
    <w:p w:rsidR="00000000" w:rsidRDefault="00000000">
      <w:pPr>
        <w:ind w:left="567" w:hanging="567"/>
      </w:pPr>
      <w:r>
        <w:tab/>
      </w:r>
      <w:r>
        <w:tab/>
        <w:t>а)</w:t>
      </w:r>
      <w:r>
        <w:tab/>
        <w:t>Хотя в австрийском законодательстве Конвенция имеет статус закона и может непосредственно применяться, уголовное законодательство не содержит определения пытки в том виде, в котором оно дается в статье 1 Конвенции, и, следовательно, преступление пытки, как представляется, не квалифицируется в качестве правонарушения, влекущего за собой соответствующее наказание, как это предусмотрено в пункте 2 статьи 4 Конвенции;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несмотря на вступление в силу Закона 1993 года о деятельности служб безопасности продолжают поступать сообщения о предполагаемом жестоком обращении со стороны сотрудников полиции;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с)</w:t>
      </w:r>
      <w:r>
        <w:tab/>
        <w:t>лиц, которые могли бы подать жалобу в связи с насильственными действиями, совершенными сотрудникам полиции, может удерживать от этого существование положений, разрешающих полиции предъявлять обвинение в клевете лицу, подающему жалобу на ее действия;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d</w:t>
      </w:r>
      <w:r>
        <w:t>)</w:t>
      </w:r>
      <w:r>
        <w:tab/>
        <w:t>предусмотренные меры защиты для лиц, в отношении которых издано постановление о высылке, являются недостаточными, поскольку они не соответствуют положениям статей 3 и 11 Конвенции, о чем, в частности, свидетельствует недавний смертельный случай в ходе осуществления процедуры высылки.</w:t>
      </w:r>
    </w:p>
    <w:p w:rsidR="00000000" w:rsidRDefault="00000000">
      <w:pPr>
        <w:ind w:left="567" w:hanging="567"/>
      </w:pP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IV.</w:t>
      </w:r>
      <w:r>
        <w:rPr>
          <w:lang w:val="en-US"/>
        </w:rPr>
        <w:tab/>
      </w:r>
      <w:r>
        <w:rPr>
          <w:u w:val="single"/>
        </w:rPr>
        <w:t>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ab/>
        <w:t>5.</w:t>
      </w:r>
      <w:r>
        <w:tab/>
        <w:t>Комитет рекомендует следующее: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tab/>
        <w:t>а)</w:t>
      </w:r>
      <w:r>
        <w:tab/>
        <w:t>государству-участнику следует принять уголовные положения, однозначно квалифицирующие пытку так, как она определяется в статье 1 Конвенции, т.е. преступлением, караемым в соответствии с пунктом 2 статьи 4 Конвенции;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b</w:t>
      </w:r>
      <w:r>
        <w:t>)</w:t>
      </w:r>
      <w:r>
        <w:tab/>
        <w:t>компетентные органы должны дать органам полиции соответствующие инструкции, с тем чтобы предупредить какие-либо случаи жестокого обращения со стороны сотрудников полиции.  В этих инструкциях следует подчеркнуть, что жестокое обращение со стороны сотрудников правоприменительных органов является недопустимым, что такие случаи будут незамедлительно расследоваться и пресекаться на основании закона в случае выявления нарушений;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  <w:t>с)</w:t>
      </w:r>
      <w:r>
        <w:tab/>
        <w:t>положения, касающиеся защиты прав просителей убежища, должны полностью соответствовать международным нормам в этой области, в частности положениям статей 3 и 11 Конвенции, как в законодательстве, так и на практике;</w:t>
      </w:r>
    </w:p>
    <w:p w:rsidR="00000000" w:rsidRDefault="00000000">
      <w:pPr>
        <w:ind w:left="567" w:hanging="567"/>
      </w:pPr>
    </w:p>
    <w:p w:rsidR="00000000" w:rsidRDefault="00000000">
      <w:pPr>
        <w:ind w:left="567" w:hanging="567"/>
      </w:pPr>
      <w:r>
        <w:tab/>
      </w:r>
      <w:r>
        <w:tab/>
      </w:r>
      <w:r>
        <w:rPr>
          <w:lang w:val="en-US"/>
        </w:rPr>
        <w:t>d</w:t>
      </w:r>
      <w:r>
        <w:t>)</w:t>
      </w:r>
      <w:r>
        <w:tab/>
        <w:t>третий периодический доклад Австрии, подлежавший представлению в августе 1996 года, должен быть составлен в соответствии с руководящими принципами Комитета и представлен ему до декабря 2000 года."</w:t>
      </w:r>
    </w:p>
    <w:p w:rsidR="00000000" w:rsidRDefault="00000000">
      <w:pPr>
        <w:ind w:left="567" w:hanging="567"/>
      </w:pPr>
    </w:p>
    <w:p w:rsidR="00000000" w:rsidRDefault="00000000">
      <w:r>
        <w:t>3.</w:t>
      </w:r>
      <w:r>
        <w:tab/>
      </w:r>
      <w:r>
        <w:rPr>
          <w:u w:val="single"/>
        </w:rPr>
        <w:t>Г-н КРЕЙД</w:t>
      </w:r>
      <w:r>
        <w:t xml:space="preserve"> (Австрия) выражает удовлетворение по поводу имевшего место плодотворного диалога и говорит, что непременно доведет его содержание до сведения своего правительства.  Он принял к сведению выраженную Комитетом озабоченность по вопросу об определении пытки и предпримет все необходимые шаги, с тем чтобы обратить внимание компетентных органов на этот пробел в австрийском законодательстве.  Он подчеркивает, что различные публикуемые в последнее время в Австрии справочные материалы, предназначенные для юристов, включают полный текст Конвенции против пыток.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>ПРЕДСЕДАТЕЛЬ</w:t>
      </w:r>
      <w:r>
        <w:t xml:space="preserve"> высказывает удовлетворение по поводу плодотворного обмена мнениями между Комитетом и австрийской делегацией и выражает ей признательность.</w:t>
      </w:r>
    </w:p>
    <w:p w:rsidR="00000000" w:rsidRDefault="00000000"/>
    <w:p w:rsidR="00000000" w:rsidRDefault="00000000">
      <w:r>
        <w:t>5.</w:t>
      </w:r>
      <w:r>
        <w:tab/>
      </w:r>
      <w:r>
        <w:rPr>
          <w:u w:val="single"/>
        </w:rPr>
        <w:t>Австрийская делегация покидает зал заседаний Комитета</w:t>
      </w:r>
      <w:r>
        <w:t>.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Заседание прерывается в 15 час. 15 мин. и возобновляется в 15 час. 30 мин</w:t>
      </w:r>
      <w:r>
        <w:t>.</w:t>
      </w:r>
    </w:p>
    <w:p w:rsidR="00000000" w:rsidRDefault="00000000"/>
    <w:p w:rsidR="00000000" w:rsidRDefault="00000000">
      <w:r>
        <w:rPr>
          <w:u w:val="single"/>
        </w:rPr>
        <w:t>Третий периодический доклад Финляндии</w:t>
      </w:r>
      <w:r>
        <w:t xml:space="preserve"> (</w:t>
      </w:r>
      <w:r>
        <w:rPr>
          <w:lang w:val="en-US"/>
        </w:rPr>
        <w:t>CAT/C/44/Add.6</w:t>
      </w:r>
      <w:r>
        <w:t>) (</w:t>
      </w:r>
      <w:r>
        <w:rPr>
          <w:u w:val="single"/>
        </w:rPr>
        <w:t>продолжение</w:t>
      </w:r>
      <w:r>
        <w:t>)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По приглашению Председателя члены финской делегации вновь занимают места за столом Комитета</w:t>
      </w:r>
      <w:r>
        <w:t>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>ПРЕДСЕДАТЕЛЬ</w:t>
      </w:r>
      <w:r>
        <w:t xml:space="preserve"> предлагает делегации ответить, по мере возможности, на вопросы, заданные ей членами Комитета на предыдущем заседании.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 ЛИНДХОЛЬМ</w:t>
      </w:r>
      <w:r>
        <w:t xml:space="preserve"> (Финляндия) выражает удовлетворение по поводу плодотворного диалога с Комитетом и сначала касается вопроса о включении конкретного определения пытки в Уголовный кодекс Финляндии:  не имея возможности брать на себя обязательства по этому вопросу, он говорит, что сообщит властям своей страны об озабоченности и пожеланиях Комитета.  Он также обратит их внимание, в частности, на замечания, высказанные в ходе обсуждения вопроса о том, каким образом термин "умышленно", использованный в статье 1 Конвенции, учитывается в Финляндии.</w:t>
      </w:r>
    </w:p>
    <w:p w:rsidR="00000000" w:rsidRDefault="00000000"/>
    <w:p w:rsidR="00000000" w:rsidRDefault="00000000">
      <w:r>
        <w:t>10.</w:t>
      </w:r>
      <w:r>
        <w:tab/>
        <w:t>Что касается заданного вопроса по пункту 31 рассматриваемого доклада (</w:t>
      </w:r>
      <w:r>
        <w:rPr>
          <w:lang w:val="en-US"/>
        </w:rPr>
        <w:t>CAT/C/44/Add.6</w:t>
      </w:r>
      <w:r>
        <w:t>), то г-н Линдхольм подчеркивает, что в начале этого пункта была допущена ошибка и что он должен звучать следующим образом:  "тринадцатый и четырнадцатый доклады, касающиеся осуществления статьи 7 Конвенции о ликвидации всех форм расовой дискриминации, представленные ООН в ноябре 1997 года, содержат …".  Следует отметить, что в этих докладах, недавно изученных компетентным органом, указано, что принадлежность к расистским организациям квалифицируется в финском законодательстве в качестве уголовного преступления.</w:t>
      </w:r>
    </w:p>
    <w:p w:rsidR="00000000" w:rsidRDefault="00000000"/>
    <w:p w:rsidR="00000000" w:rsidRDefault="00000000">
      <w:r>
        <w:t>11.</w:t>
      </w:r>
      <w:r>
        <w:tab/>
        <w:t>Касаясь статьи 15 Конвенции, г-н Линдхольм напоминает, что в вопросе о недопущении использования доказательств, полученных под пыткой, существуют самые разнообразные концепции, в зависимости от правовой системы.  В отличие от англосаксонского права, из которого, по всей видимости, исходили авторы статьи 15, правовые традиции стран Северной Европы и других европейских государств изначально допускают возможность изучения практически всех доказательств, предоставляя судье всю полноту свободы определения их ценности.  Принцип свободной оценки приводит на практике к тому же результату, что и возможное использование положения о неприемлемости, поскольку само собой разумеется, что любое заявление, которое, как очевидно, было сделано под пыткой, будет рассматриваться как абсолютно неприемлемое.  Если в некоторых странах полагают необходимым включить положение о неприемлемости в Уголовно-процессуальный кодекс, то в других странах, к которым относится и Финляндия, это является нецелесообразным, коль скоро такие доказательства лишены какой-либо силы.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Г-н ВЕСТЕРБАКА</w:t>
      </w:r>
      <w:r>
        <w:t xml:space="preserve"> (Финляндия) сначала в ответ на вопрос о пенитенциарной системе говорит, что в соответствии с новым законодательством Финляндии задержанное до суда лицо в случае обнаружения у него наркотических средств может содержаться в изоляции в течение не более семи суток.  В более общем плане, говоря об ограничениях, касающихся прав лиц, содержащихся под стражей до суда, закон предусматривает, что такие лица во всех случаях пользуется правом на посещение их членами их семей и адвокатом.  Что касается других посетителей, то это право может быть ограничено на период проведения следствия, если имеются основания опасаться, что контакты с другими лицами идут вразрез с целью содержания под стражей.  Таким образом, права задержанных могут ограничиваться только по указанным причинам или на основании соображений безопасности;  к примеру, возможно ограничение права пользования телефоном или доступа к газетам и, в исключительных случаях, просмотра телевизионных программ.  Такие меры могут приниматься лишь по инициативе отвечающего за проведение расследования сотрудника полиции и с санкции судебной инстанции, издавшей постановление о задержании.  Это решение обычно принимает начальник учреждения, который, как правило, согласовывает его с соответствующей судебной инстанцией.  В этом отношении финское законодательство все еще содержит некоторые неточности, и данный вопрос будет пересмотрен в ближайшее время.  Каких</w:t>
      </w:r>
      <w:r>
        <w:noBreakHyphen/>
        <w:t>либо статистических данных, касающихся срока действия таких ограничений, не имеется.  В законе не устанавливается максимальной продолжительности содержания под стражей до суда.  После того, как суд вынесет постановление о заключении под стражу, он пересматривает дело с интервалом в 15 суток, и, таким образом, условия содержания под стражей соответствующего лица пересматриваются.  За истекший год средняя продолжительность содержания под стражей до суда составила 2,4 месяца;  в 50% случаев этот показатель составлял один месяц, в 20% случаев – от двух до трех месяцев и в 10% </w:t>
      </w:r>
      <w:r>
        <w:noBreakHyphen/>
        <w:t xml:space="preserve"> более шести месяцев.  Эти данные включают заключенных, обжаловавших судебные решения по их делам.  В 1998 году число лиц, содержащихся под стражей до суда, составило в среднем 292 человека, что весьма немного по сравнению с аналогичным показателем в других странах.</w:t>
      </w:r>
    </w:p>
    <w:p w:rsidR="00000000" w:rsidRDefault="00000000"/>
    <w:p w:rsidR="00000000" w:rsidRDefault="00000000">
      <w:r>
        <w:t>13.</w:t>
      </w:r>
      <w:r>
        <w:tab/>
        <w:t>Что касается информации о заключенных, не говорящих на финском языке, то г</w:t>
      </w:r>
      <w:r>
        <w:noBreakHyphen/>
        <w:t>н Вестербака говорит, что в настоящее время в тюрьмах Финляндии содержится 159 иностранцев из 34 стран, из которых половину составляют эстонцы и русские.  Администрация пенитенциарных учреждений опубликовала руководство по правам и обязанностям заключенных не только на финском и шведском, но и на французском, английском, русском и эстонском языках.  При возникновении трудностей в общении с задержанным вызывается переводчик, который разъясняет ему причины его заключения под стражу, его права и правила внутритюремного распорядка.</w:t>
      </w:r>
    </w:p>
    <w:p w:rsidR="00000000" w:rsidRDefault="00000000"/>
    <w:p w:rsidR="00000000" w:rsidRDefault="00000000">
      <w:r>
        <w:t>14.</w:t>
      </w:r>
      <w:r>
        <w:tab/>
        <w:t>Что касается вопроса о тюремном заключении за неуплату штрафа, то следует отметить, что в законодательстве предусматриваются три ситуации, с учетом которых суд может принять решение о неприменении наказания в виде тюремного заключения:  мелкое правонарушение, если правонарушителю на момент совершения правонарушения не исполнилось 18 лет и, наконец, если выбор такой меры наказания представляется неразумным в свете личных обстоятельств правонарушителя (состояние здоровья, безработный и т.д.).  В этом отношении Верховным судом установлены абсолютно четкие критерии.</w:t>
      </w:r>
    </w:p>
    <w:p w:rsidR="00000000" w:rsidRDefault="00000000"/>
    <w:p w:rsidR="00000000" w:rsidRDefault="00000000">
      <w:r>
        <w:t>15.</w:t>
      </w:r>
      <w:r>
        <w:tab/>
        <w:t>Проблема жестокого обращения среди заключенных находится в центре внимания властей.  В течение ряда лет предпринимаются меры по пресечению проявлений насилия в этой сфере, например путем помещения задержанных, обращающихся с соответствующей просьбой, в одиночные камеры.  При принятии решения о помещении заключенного в то или иное пенитенциарное учреждение все чаще принимается во внимание вопрос его безопасности, а направление персонала в различные учреждения в ближайшем будущем будет производиться в зависимости от потребностей различных групп заключенных;  наконец, предусматривается изменение законодательства об исполнении наказаний.  Власти осознают, что принадлежащие к меньшинствам заключенные находятся в наиболее уязвимом положении и принимают меры по их переводу в определенные учреждения, персонал которых уделяет повышенное внимание культуре и особой ситуации этих меньшинств.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>Г-жа ВАНАМО-АЛЬХО</w:t>
      </w:r>
      <w:r>
        <w:t>, отвечая на вопросы, касающиеся убежища, говорит, что согласно Закону об иностранцах, проситель убежища может быть помещен под стражу в том случае, если его личность не была установлена или если имеются основания полагать, что он может скрыться или совершить правонарушение, а также в случае отсутствия какого</w:t>
      </w:r>
      <w:r>
        <w:noBreakHyphen/>
        <w:t>либо иного достаточного средства контроля.  Таким образом, соответствующий иностранец может быть помещен под стражу в полицейском участке или пенитенциарном учреждении, однако, как уже указывалось на предыдущем заседании, эти положения данного закона в ближайшее время будут пересмотрены.  В статье 34 Закона об иностранцах предусмотрены условия, в которых применяется ускоренная процедура предоставления убежища;  речь идет прежде всего о ситуациях, в которых соответствующее лицо не являлось объектом сколь</w:t>
      </w:r>
      <w:r>
        <w:noBreakHyphen/>
        <w:t>либо серьезного нарушения прав человека, однако ссылается на плохие условия жизни или, например, семейные проблемы. Доказательные элементы применения пытки, которые учитываются в рамках процедуры рассмотрения ходатайства о предоставлении убежища, соответствуют обычным правилам в сфере использования доказательств.  Однако чаще всего, когда речь идет о предоставлении убежища, установление фактов и принятие решений осуществляется лишь на основе личной беседы с просителем убежища, поскольку последний весьма редко имеет возможность представить материальные доказательства.  Вместе с тем в некоторых случаях просители предъявляют медицинские заключения, подтверждающие, например, наличие шрамов;  однако этот вид доказательства используется все реже, поскольку в ряде случаев при применении пыток используются методы, не оставляющие следов.  Таким образом, такая ситуация оценивается с учетом всех аспектов, и любые сомнительные факты истолковываются в пользу просителя.  Что касается предоставления убежища, то следует напомнить, что критерий "безопасной страны происхождения" более не используется.  Кроме того, как уже подчеркивалось, понятие безопасной страны с точки зрения убежища определяется в статье 33 Закона об иностранцах, при этом не существует перечня безопасных стран убежища;  ходатайства о предоставлении убежища рассматриваются на индивидуальной основе, и предположение о том, что та или иная страна является безопасной для конкретного лица, может быть оспорено, при этом окончательное решение принимается административным трибуналом.</w:t>
      </w:r>
    </w:p>
    <w:p w:rsidR="00000000" w:rsidRDefault="00000000"/>
    <w:p w:rsidR="00000000" w:rsidRDefault="00000000">
      <w:r>
        <w:t>17.</w:t>
      </w:r>
      <w:r>
        <w:tab/>
      </w:r>
      <w:r>
        <w:rPr>
          <w:u w:val="single"/>
        </w:rPr>
        <w:t>Г-н СИНТОНЕН</w:t>
      </w:r>
      <w:r>
        <w:t xml:space="preserve"> (Финляндия) сначала отвечает на вопрос, заданный в связи с пунктом 23 доклада, который касается существования в Финляндии системы судебного контроля за лицами с психическими отклонениями, совершившими правонарушения.  Согласно статье 3 Закона о психическом здоровье, совершившее правонарушение лицо может быть по решению суда направлено в лечебное учреждение в целях проведения медицинской экспертизы.  По результатам экспертизы Национальный совет по судебно-медицинским вопросам может издать распоряжение относительно лечения соответствующего лица даже без его согласия.  На основе этого решения в течение шести месяцев проводится лечение и любое продление этого срока контролируется раз в шесть месяцев судебными органами.  Аналогичные правила действуют применительно ко всем лицам, совершившим уголовное преступление и подлежащим принудительному лечению в психиатрических больницах.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ЛЕХМУС</w:t>
      </w:r>
      <w:r>
        <w:t xml:space="preserve"> (Финляндия), отвечая на другой вопрос, говорит, что для сотрудников полиции, работающих с просителями убежища, полицейские службы периодически организуют недельные учебные курсы.  Эти курсы не касаются сотрудников полиции, работающих в пограничной контрольно-пропускной службе, поскольку проведение бесед с просителями убежища не входит в их компетенцию.  Программа курсов построена на базе основных положений международных конвенций, национального законодательства и правил, касающихся методики допроса.  В разработке этих программ принимают участие различные службы министерства внутренних дел, министерства по социальным вопросам, Полицейского управления, а также посредник по делам иностранцев и представители различных групп этнических меньшинств.  Предусматривается, что в ближайшие несколько лет функция проведения бесед с просителями убежища будет передана в ведение сотрудников Иммиграционного управления.</w:t>
      </w:r>
    </w:p>
    <w:p w:rsidR="00000000" w:rsidRDefault="00000000"/>
    <w:p w:rsidR="00000000" w:rsidRDefault="00000000">
      <w:r>
        <w:t>19.</w:t>
      </w:r>
      <w:r>
        <w:tab/>
        <w:t>Канцелярия Генерального прокурора приступила к рассмотрению дела, упомянутого одним из членов Комитета в ходе заседания, посвященного вопросам по докладу.  Проведенное расследование, которое сейчас практически завершено, позволило сделать вывод о том, что сотрудники полиции по сути не были признаны виновными ни в совершении противоправных действий, ни в применении жестокого обращения.  Г</w:t>
      </w:r>
      <w:r>
        <w:noBreakHyphen/>
        <w:t>н Лехмус подчеркивает, что проблема расизма является очень сложной и весьма серьезно воспринимается сотрудниками полиции, которые проходят специальную подготовку по этому вопросу в ходе обучения в полицейских школах и на периодически организуемых для них различных семинарах.  Он напоминает, что Уголовный кодекс содержит четкие положения, сурово карающие акты расовой дискриминации.</w:t>
      </w:r>
    </w:p>
    <w:p w:rsidR="00000000" w:rsidRDefault="00000000"/>
    <w:p w:rsidR="00000000" w:rsidRDefault="00000000">
      <w:r>
        <w:t>20.</w:t>
      </w:r>
      <w:r>
        <w:tab/>
        <w:t>Был задан вопрос о системах прослушивания, устанавливаемых в тюремных камерах.  Согласно действующему в этой области законодательству, которое было изменено в июне 1999 года, установка прослушивающего устройства в тюремной камере допускается лишь по решению суда и лишь при наличии веских оснований полагать, что было совершено или готовится уголовное преступление.  В настоящее время на рассмотрении парламента находится законопроект о внесении касающихся этих вопросов поправок в Закон о полиции.  Также планируется внести в Закон о полиции поправки, касающиеся легализации установки прослушивающих устройств в жилищах преступников-рецидивистов, однако такая поправка, разумеется, станет предметом длительных дебатов общественности.</w:t>
      </w:r>
    </w:p>
    <w:p w:rsidR="00000000" w:rsidRDefault="00000000"/>
    <w:p w:rsidR="00000000" w:rsidRDefault="00000000">
      <w:r>
        <w:t>21.</w:t>
      </w:r>
      <w:r>
        <w:tab/>
        <w:t>Наконец, что касается правовой помощи, то г-н Лехмус говорит, что, согласно Закону о проведении следствия, подозреваемый должен во всех случаях ставиться в известность о его правах </w:t>
      </w:r>
      <w:r>
        <w:noBreakHyphen/>
        <w:t xml:space="preserve"> в частности, о его праве на пользование услугами адвоката </w:t>
      </w:r>
      <w:r>
        <w:noBreakHyphen/>
        <w:t xml:space="preserve"> до проведения допроса.  Это основополагающее правило в полной мере соблюдается полицией.  В случаях, когда задержанным в ночное время суток подозреваемым предлагается дать предварительные показания в целях выяснения их личности в отсутствие адвоката, его присутствие является обязательным в ходе любых последующих допросов.  В будущем важность доступа к правовой помощи будет дополнительно подчеркнута в программах обучения следователей.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ПРЕДСЕДАТЕЛЬ</w:t>
      </w:r>
      <w:r>
        <w:t xml:space="preserve"> выражает признательность финской делегации за ее очень ясные и весьма подробные ответы на вопросы Комитета и предлагает ей принять участие в заслушивании выводов и рекомендаций Комитета по третьему периодическому докладу на следующем заседании.</w:t>
      </w:r>
    </w:p>
    <w:p w:rsidR="00000000" w:rsidRDefault="00000000"/>
    <w:p w:rsidR="00000000" w:rsidRDefault="00000000">
      <w:r>
        <w:t>23.</w:t>
      </w:r>
      <w:r>
        <w:tab/>
      </w:r>
      <w:r>
        <w:rPr>
          <w:u w:val="single"/>
        </w:rPr>
        <w:t>Финская делегация покидает зал заседаний Комитета</w:t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rPr>
          <w:u w:val="single"/>
        </w:rPr>
        <w:t>Первая (открытая) часть заседания закрывается в 16 час. 10 мин</w:t>
      </w:r>
      <w:r>
        <w:t>.</w:t>
      </w:r>
    </w:p>
    <w:p w:rsidR="00000000" w:rsidRDefault="00000000">
      <w:pPr>
        <w:spacing w:line="240" w:lineRule="auto"/>
        <w:jc w:val="center"/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CAT/C/SR.400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CAT/C/SR.400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Indent">
    <w:name w:val="Body Text Indent"/>
    <w:basedOn w:val="Normal"/>
    <w:semiHidden/>
    <w:pPr>
      <w:spacing w:line="720" w:lineRule="auto"/>
      <w:ind w:left="567" w:hanging="56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2926</Words>
  <Characters>16681</Characters>
  <Application>Microsoft Office Word</Application>
  <DocSecurity>4</DocSecurity>
  <Lines>139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99-45646.doc</vt:lpstr>
    </vt:vector>
  </TitlesOfParts>
  <Company> </Company>
  <LinksUpToDate>false</LinksUpToDate>
  <CharactersWithSpaces>20485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99-45646.doc</dc:title>
  <dc:subject/>
  <dc:creator>Lioudmila KHITROVA</dc:creator>
  <cp:keywords/>
  <dc:description/>
  <cp:lastModifiedBy>odsdba</cp:lastModifiedBy>
  <cp:revision>3</cp:revision>
  <cp:lastPrinted>2002-05-17T07:35:00Z</cp:lastPrinted>
  <dcterms:created xsi:type="dcterms:W3CDTF">2002-03-23T16:56:00Z</dcterms:created>
  <dcterms:modified xsi:type="dcterms:W3CDTF">2002-05-17T07:36:00Z</dcterms:modified>
</cp:coreProperties>
</file>