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7F3A29">
              <w:rPr>
                <w:rFonts w:hint="eastAsia"/>
                <w:sz w:val="20"/>
              </w:rPr>
              <w:t>RES/25/17</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7F3A29">
            <w:pPr>
              <w:spacing w:line="240" w:lineRule="atLeast"/>
              <w:rPr>
                <w:rFonts w:hint="eastAsia"/>
                <w:sz w:val="20"/>
              </w:rPr>
            </w:pPr>
            <w:r>
              <w:rPr>
                <w:rFonts w:hint="eastAsia"/>
                <w:sz w:val="20"/>
              </w:rPr>
              <w:t xml:space="preserve">14 </w:t>
            </w:r>
            <w:r w:rsidRPr="007F3A29">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C11455" w:rsidRPr="00C11455">
        <w:rPr>
          <w:rFonts w:eastAsia="SimHei" w:hint="eastAsia"/>
          <w:szCs w:val="21"/>
          <w:lang w:val="fr-CH"/>
        </w:rPr>
        <w:t>二十五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C11455">
        <w:rPr>
          <w:rFonts w:hint="eastAsia"/>
          <w:szCs w:val="21"/>
          <w:lang w:val="fr-CH"/>
        </w:rPr>
        <w:t>3</w:t>
      </w:r>
    </w:p>
    <w:p w:rsidR="00F53D4C" w:rsidRDefault="00C11455" w:rsidP="004858FB">
      <w:pPr>
        <w:rPr>
          <w:rFonts w:eastAsia="SimHei" w:hint="eastAsia"/>
        </w:rPr>
      </w:pPr>
      <w:r w:rsidRPr="00C11455">
        <w:rPr>
          <w:rFonts w:eastAsia="SimHei"/>
        </w:rPr>
        <w:t>增进和保护所有人权</w:t>
      </w:r>
      <w:r w:rsidRPr="00C11455">
        <w:rPr>
          <w:rFonts w:eastAsia="SimHei" w:hint="eastAsia"/>
          <w:spacing w:val="-50"/>
        </w:rPr>
        <w:t>―</w:t>
      </w:r>
      <w:r w:rsidRPr="00C11455">
        <w:rPr>
          <w:rFonts w:eastAsia="SimHei" w:hint="eastAsia"/>
        </w:rPr>
        <w:t>―</w:t>
      </w:r>
      <w:r w:rsidRPr="00C11455">
        <w:rPr>
          <w:rFonts w:eastAsia="SimHei"/>
        </w:rPr>
        <w:t>公民权利、政治权利、</w:t>
      </w:r>
      <w:r w:rsidRPr="00C11455">
        <w:rPr>
          <w:rFonts w:eastAsia="SimHei"/>
          <w:b/>
        </w:rPr>
        <w:br/>
      </w:r>
      <w:r w:rsidRPr="00C11455">
        <w:rPr>
          <w:rFonts w:eastAsia="SimHei"/>
        </w:rPr>
        <w:t>经济、社会和文化权利，包括发展权</w:t>
      </w:r>
    </w:p>
    <w:p w:rsidR="00C11455" w:rsidRDefault="00C11455" w:rsidP="008A5770">
      <w:pPr>
        <w:spacing w:line="240" w:lineRule="auto"/>
        <w:rPr>
          <w:rFonts w:eastAsia="SimHei" w:hint="eastAsia"/>
          <w:lang w:val="fr-CH"/>
        </w:rPr>
      </w:pPr>
    </w:p>
    <w:p w:rsidR="00C11455" w:rsidRDefault="00F75048" w:rsidP="00C11455">
      <w:pPr>
        <w:pStyle w:val="HChGC"/>
        <w:rPr>
          <w:rFonts w:hint="eastAsia"/>
        </w:rPr>
      </w:pPr>
      <w:r>
        <w:rPr>
          <w:rFonts w:hint="eastAsia"/>
        </w:rPr>
        <w:tab/>
      </w:r>
      <w:r>
        <w:rPr>
          <w:rFonts w:hint="eastAsia"/>
        </w:rPr>
        <w:tab/>
      </w:r>
      <w:r w:rsidR="00C11455">
        <w:rPr>
          <w:rFonts w:hint="eastAsia"/>
        </w:rPr>
        <w:t>人权理事会通过的决议</w:t>
      </w:r>
    </w:p>
    <w:p w:rsidR="00C11455" w:rsidRDefault="00C11455" w:rsidP="00C11455">
      <w:pPr>
        <w:pStyle w:val="H1GC"/>
        <w:rPr>
          <w:rFonts w:hint="eastAsia"/>
        </w:rPr>
      </w:pPr>
      <w:r>
        <w:tab/>
      </w:r>
      <w:r>
        <w:tab/>
        <w:t>25/17</w:t>
      </w:r>
      <w:r>
        <w:rPr>
          <w:rFonts w:hint="eastAsia"/>
        </w:rPr>
        <w:t>.</w:t>
      </w:r>
      <w:r>
        <w:br/>
      </w:r>
      <w:r>
        <w:rPr>
          <w:rFonts w:hint="eastAsia"/>
        </w:rPr>
        <w:t>适足生活水准权所含适足住房问题</w:t>
      </w:r>
    </w:p>
    <w:p w:rsidR="00C11455" w:rsidRDefault="00C11455" w:rsidP="00C11455">
      <w:pPr>
        <w:pStyle w:val="SingleTxtGC"/>
        <w:rPr>
          <w:rFonts w:hint="eastAsia"/>
        </w:rPr>
      </w:pPr>
      <w:r>
        <w:rPr>
          <w:rFonts w:hint="eastAsia"/>
        </w:rPr>
        <w:tab/>
      </w:r>
      <w:r w:rsidRPr="00C11455">
        <w:rPr>
          <w:rFonts w:eastAsia="KaiTi_GB2312" w:hint="eastAsia"/>
        </w:rPr>
        <w:t>人权理事会</w:t>
      </w:r>
      <w:r>
        <w:rPr>
          <w:rFonts w:hint="eastAsia"/>
        </w:rPr>
        <w:t>，</w:t>
      </w:r>
    </w:p>
    <w:p w:rsidR="00C11455" w:rsidRDefault="00C11455" w:rsidP="00C11455">
      <w:pPr>
        <w:pStyle w:val="SingleTxtGC"/>
        <w:rPr>
          <w:rFonts w:hint="eastAsia"/>
        </w:rPr>
      </w:pPr>
      <w:r>
        <w:rPr>
          <w:rFonts w:hint="eastAsia"/>
        </w:rPr>
        <w:tab/>
      </w:r>
      <w:r w:rsidRPr="00C11455">
        <w:rPr>
          <w:rFonts w:eastAsia="KaiTi_GB2312" w:hint="eastAsia"/>
        </w:rPr>
        <w:t>重申</w:t>
      </w:r>
      <w:r>
        <w:rPr>
          <w:rFonts w:hint="eastAsia"/>
        </w:rPr>
        <w:t>各项国际人权法文书，包括《世界人权宣言》和《经济、社会、文化权利国际公约》，都规定缔约国对享有适足住房既要承担义务又要作出承诺，</w:t>
      </w:r>
    </w:p>
    <w:p w:rsidR="00C11455" w:rsidRDefault="00C11455" w:rsidP="00C11455">
      <w:pPr>
        <w:pStyle w:val="SingleTxtGC"/>
        <w:rPr>
          <w:rFonts w:hint="eastAsia"/>
        </w:rPr>
      </w:pPr>
      <w:r>
        <w:rPr>
          <w:rFonts w:hint="eastAsia"/>
        </w:rPr>
        <w:tab/>
      </w:r>
      <w:r w:rsidRPr="00C11455">
        <w:rPr>
          <w:rFonts w:eastAsia="KaiTi_GB2312" w:hint="eastAsia"/>
        </w:rPr>
        <w:t>回顾</w:t>
      </w:r>
      <w:r>
        <w:rPr>
          <w:rFonts w:hint="eastAsia"/>
        </w:rPr>
        <w:t>人权委员会以往就妇女平等拥有、利用和控制土地以及平等拥有财产和适足住房等问题通过的所有决议，包括</w:t>
      </w:r>
      <w:r>
        <w:rPr>
          <w:rFonts w:hint="eastAsia"/>
        </w:rPr>
        <w:t>2005</w:t>
      </w:r>
      <w:r>
        <w:rPr>
          <w:rFonts w:hint="eastAsia"/>
        </w:rPr>
        <w:t>年</w:t>
      </w:r>
      <w:r>
        <w:rPr>
          <w:rFonts w:hint="eastAsia"/>
        </w:rPr>
        <w:t>4</w:t>
      </w:r>
      <w:r>
        <w:rPr>
          <w:rFonts w:hint="eastAsia"/>
        </w:rPr>
        <w:t>月</w:t>
      </w:r>
      <w:r>
        <w:rPr>
          <w:rFonts w:hint="eastAsia"/>
        </w:rPr>
        <w:t>15</w:t>
      </w:r>
      <w:r>
        <w:rPr>
          <w:rFonts w:hint="eastAsia"/>
        </w:rPr>
        <w:t>日的第</w:t>
      </w:r>
      <w:r>
        <w:rPr>
          <w:rFonts w:hint="eastAsia"/>
        </w:rPr>
        <w:t>2005/25</w:t>
      </w:r>
      <w:r>
        <w:rPr>
          <w:rFonts w:hint="eastAsia"/>
        </w:rPr>
        <w:t>号决议，</w:t>
      </w:r>
    </w:p>
    <w:p w:rsidR="00C11455" w:rsidRDefault="00C11455" w:rsidP="00C11455">
      <w:pPr>
        <w:pStyle w:val="SingleTxtGC"/>
        <w:rPr>
          <w:rFonts w:hint="eastAsia"/>
        </w:rPr>
      </w:pPr>
      <w:r>
        <w:rPr>
          <w:rFonts w:hint="eastAsia"/>
        </w:rPr>
        <w:tab/>
      </w:r>
      <w:r w:rsidRPr="00C11455">
        <w:rPr>
          <w:rFonts w:eastAsia="KaiTi_GB2312" w:hint="eastAsia"/>
        </w:rPr>
        <w:t>还回顾</w:t>
      </w:r>
      <w:r>
        <w:rPr>
          <w:rFonts w:hint="eastAsia"/>
        </w:rPr>
        <w:t>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日关于联合国人权理事会的体制建设的第</w:t>
      </w:r>
      <w:r>
        <w:rPr>
          <w:rFonts w:hint="eastAsia"/>
        </w:rPr>
        <w:t>5/1</w:t>
      </w:r>
      <w:r>
        <w:rPr>
          <w:rFonts w:hint="eastAsia"/>
        </w:rPr>
        <w:t>号决议和关于人权理事会特别程序任务负责人行为守则的第</w:t>
      </w:r>
      <w:r>
        <w:rPr>
          <w:rFonts w:hint="eastAsia"/>
        </w:rPr>
        <w:t>5/2</w:t>
      </w:r>
      <w:r>
        <w:rPr>
          <w:rFonts w:hint="eastAsia"/>
        </w:rPr>
        <w:t>号决议，并强调任务负责人应根据这两项决议及其附件履行职责，</w:t>
      </w:r>
    </w:p>
    <w:p w:rsidR="00C11455" w:rsidRDefault="00C11455" w:rsidP="00C11455">
      <w:pPr>
        <w:pStyle w:val="SingleTxtGC"/>
        <w:rPr>
          <w:rFonts w:hint="eastAsia"/>
        </w:rPr>
      </w:pPr>
      <w:r>
        <w:rPr>
          <w:rFonts w:hint="eastAsia"/>
        </w:rPr>
        <w:tab/>
      </w:r>
      <w:r w:rsidRPr="00C11455">
        <w:rPr>
          <w:rFonts w:eastAsia="KaiTi_GB2312" w:hint="eastAsia"/>
        </w:rPr>
        <w:t>再次回顾</w:t>
      </w:r>
      <w:r>
        <w:rPr>
          <w:rFonts w:hint="eastAsia"/>
        </w:rPr>
        <w:t>其以往所有关于适足生活水准权所含适足住房问题的决议及人权委员会就此问题通过的决议，包括理事会</w:t>
      </w:r>
      <w:r>
        <w:rPr>
          <w:rFonts w:hint="eastAsia"/>
        </w:rPr>
        <w:t>2012</w:t>
      </w:r>
      <w:r>
        <w:rPr>
          <w:rFonts w:hint="eastAsia"/>
        </w:rPr>
        <w:t>年</w:t>
      </w:r>
      <w:r>
        <w:rPr>
          <w:rFonts w:hint="eastAsia"/>
        </w:rPr>
        <w:t>3</w:t>
      </w:r>
      <w:r>
        <w:rPr>
          <w:rFonts w:hint="eastAsia"/>
        </w:rPr>
        <w:t>月</w:t>
      </w:r>
      <w:r>
        <w:rPr>
          <w:rFonts w:hint="eastAsia"/>
        </w:rPr>
        <w:t>22</w:t>
      </w:r>
      <w:r>
        <w:rPr>
          <w:rFonts w:hint="eastAsia"/>
        </w:rPr>
        <w:t>日第</w:t>
      </w:r>
      <w:r>
        <w:rPr>
          <w:rFonts w:hint="eastAsia"/>
        </w:rPr>
        <w:t>19/4</w:t>
      </w:r>
      <w:r>
        <w:rPr>
          <w:rFonts w:hint="eastAsia"/>
        </w:rPr>
        <w:t>号决议，</w:t>
      </w:r>
    </w:p>
    <w:p w:rsidR="00C11455" w:rsidRDefault="00C11455" w:rsidP="00C11455">
      <w:pPr>
        <w:pStyle w:val="SingleTxtGC"/>
        <w:rPr>
          <w:rFonts w:hint="eastAsia"/>
        </w:rPr>
      </w:pPr>
      <w:r>
        <w:rPr>
          <w:rFonts w:hint="eastAsia"/>
        </w:rPr>
        <w:tab/>
      </w:r>
      <w:r w:rsidRPr="00C11455">
        <w:rPr>
          <w:rFonts w:eastAsia="KaiTi_GB2312" w:hint="eastAsia"/>
        </w:rPr>
        <w:t>重申</w:t>
      </w:r>
      <w:r>
        <w:rPr>
          <w:rFonts w:hint="eastAsia"/>
        </w:rPr>
        <w:t>联合国各大会议、首脑会议、大会特别会议及其后续会议通过的宣言和方案的有关规定所含的关于适足住房的原则和承诺，其中包括《伊斯坦布尔人类住区和生境议程宣言》</w:t>
      </w:r>
      <w:r>
        <w:rPr>
          <w:rStyle w:val="FootnoteReference"/>
        </w:rPr>
        <w:footnoteReference w:id="2"/>
      </w:r>
      <w:r>
        <w:rPr>
          <w:rFonts w:hint="eastAsia"/>
        </w:rPr>
        <w:t xml:space="preserve"> </w:t>
      </w:r>
      <w:r>
        <w:rPr>
          <w:rFonts w:hint="eastAsia"/>
        </w:rPr>
        <w:t>以及大会第二十五届特别会议通过并附载于其</w:t>
      </w:r>
      <w:r>
        <w:rPr>
          <w:rFonts w:hint="eastAsia"/>
        </w:rPr>
        <w:t>2001</w:t>
      </w:r>
      <w:r>
        <w:rPr>
          <w:rFonts w:hint="eastAsia"/>
        </w:rPr>
        <w:t>年</w:t>
      </w:r>
      <w:r>
        <w:rPr>
          <w:rFonts w:hint="eastAsia"/>
        </w:rPr>
        <w:t>6</w:t>
      </w:r>
      <w:r>
        <w:rPr>
          <w:rFonts w:hint="eastAsia"/>
        </w:rPr>
        <w:t>月</w:t>
      </w:r>
      <w:r>
        <w:rPr>
          <w:rFonts w:hint="eastAsia"/>
        </w:rPr>
        <w:t>9</w:t>
      </w:r>
      <w:r>
        <w:rPr>
          <w:rFonts w:hint="eastAsia"/>
        </w:rPr>
        <w:t>日第</w:t>
      </w:r>
      <w:r>
        <w:rPr>
          <w:rFonts w:hint="eastAsia"/>
        </w:rPr>
        <w:t>S-25/2</w:t>
      </w:r>
      <w:r>
        <w:rPr>
          <w:rFonts w:hint="eastAsia"/>
        </w:rPr>
        <w:t>号决议的《关于新千年中的城市和其他人类住区的宣言》，</w:t>
      </w:r>
    </w:p>
    <w:p w:rsidR="00C11455" w:rsidRDefault="00C11455" w:rsidP="00C11455">
      <w:pPr>
        <w:pStyle w:val="SingleTxtGC"/>
        <w:rPr>
          <w:rFonts w:hint="eastAsia"/>
        </w:rPr>
      </w:pPr>
      <w:r>
        <w:rPr>
          <w:rFonts w:hint="eastAsia"/>
        </w:rPr>
        <w:tab/>
      </w:r>
      <w:r w:rsidRPr="008A5770">
        <w:rPr>
          <w:rFonts w:eastAsia="KaiTi_GB2312" w:hint="eastAsia"/>
        </w:rPr>
        <w:t>注意到</w:t>
      </w:r>
      <w:r>
        <w:rPr>
          <w:rFonts w:hint="eastAsia"/>
        </w:rPr>
        <w:t>联合国各条约机构，特别是经济、社会和文化权利委员会在促进享有适足住房权方面的工作，包括该委员会的所有有关一般性意见，</w:t>
      </w:r>
    </w:p>
    <w:p w:rsidR="00C11455" w:rsidRDefault="00C11455" w:rsidP="00C11455">
      <w:pPr>
        <w:pStyle w:val="SingleTxtGC"/>
        <w:rPr>
          <w:rFonts w:hint="eastAsia"/>
        </w:rPr>
      </w:pPr>
      <w:r>
        <w:rPr>
          <w:rFonts w:hint="eastAsia"/>
        </w:rPr>
        <w:tab/>
      </w:r>
      <w:r w:rsidRPr="008A5770">
        <w:rPr>
          <w:rFonts w:eastAsia="KaiTi_GB2312" w:hint="eastAsia"/>
        </w:rPr>
        <w:t>回顾</w:t>
      </w:r>
      <w:r>
        <w:rPr>
          <w:rFonts w:hint="eastAsia"/>
        </w:rPr>
        <w:t>联合国人类住区规划署的《全球住房战略》、归还难民和流离失所者住房和财产的原则</w:t>
      </w:r>
      <w:r w:rsidR="008A5770">
        <w:rPr>
          <w:rStyle w:val="FootnoteReference"/>
        </w:rPr>
        <w:footnoteReference w:id="3"/>
      </w:r>
      <w:r>
        <w:rPr>
          <w:rFonts w:hint="eastAsia"/>
        </w:rPr>
        <w:t xml:space="preserve"> </w:t>
      </w:r>
      <w:r>
        <w:rPr>
          <w:rFonts w:hint="eastAsia"/>
        </w:rPr>
        <w:t>以及《国家粮食安全范围内土地、渔业及森林权属负责任治理自愿准则》，</w:t>
      </w:r>
    </w:p>
    <w:p w:rsidR="00C11455" w:rsidRDefault="00C11455" w:rsidP="00C11455">
      <w:pPr>
        <w:pStyle w:val="SingleTxtGC"/>
        <w:rPr>
          <w:rFonts w:hint="eastAsia"/>
        </w:rPr>
      </w:pPr>
      <w:r>
        <w:rPr>
          <w:rFonts w:hint="eastAsia"/>
        </w:rPr>
        <w:tab/>
      </w:r>
      <w:r w:rsidRPr="008A5770">
        <w:rPr>
          <w:rFonts w:eastAsia="KaiTi_GB2312" w:hint="eastAsia"/>
        </w:rPr>
        <w:t>关注的是</w:t>
      </w:r>
      <w:r>
        <w:rPr>
          <w:rFonts w:hint="eastAsia"/>
        </w:rPr>
        <w:t>，超过</w:t>
      </w:r>
      <w:r>
        <w:rPr>
          <w:rFonts w:hint="eastAsia"/>
        </w:rPr>
        <w:t>8.60</w:t>
      </w:r>
      <w:r>
        <w:rPr>
          <w:rFonts w:hint="eastAsia"/>
        </w:rPr>
        <w:t>亿人仍然生活在没有服务、没有计划的城市贫穷住区，而</w:t>
      </w:r>
      <w:r>
        <w:rPr>
          <w:rFonts w:hint="eastAsia"/>
        </w:rPr>
        <w:t>2000</w:t>
      </w:r>
      <w:r>
        <w:rPr>
          <w:rFonts w:hint="eastAsia"/>
        </w:rPr>
        <w:t>年只有</w:t>
      </w:r>
      <w:r>
        <w:rPr>
          <w:rFonts w:hint="eastAsia"/>
        </w:rPr>
        <w:t>7.25</w:t>
      </w:r>
      <w:r>
        <w:rPr>
          <w:rFonts w:hint="eastAsia"/>
        </w:rPr>
        <w:t>亿人；尽管在改善城市居民的生活条件方面做出了大量努力，但生活条件的改善速度仍然赶不上这些住区居民人的数净增长；生活在这种条件下的人特别容易遭受疾病、自然和人为灾害、失业和缺乏教育等等的危害，</w:t>
      </w:r>
    </w:p>
    <w:p w:rsidR="00C11455" w:rsidRDefault="00C11455" w:rsidP="00C11455">
      <w:pPr>
        <w:pStyle w:val="SingleTxtGC"/>
        <w:rPr>
          <w:rFonts w:hint="eastAsia"/>
        </w:rPr>
      </w:pPr>
      <w:r>
        <w:rPr>
          <w:rFonts w:hint="eastAsia"/>
        </w:rPr>
        <w:tab/>
      </w:r>
      <w:r w:rsidRPr="008A5770">
        <w:rPr>
          <w:rFonts w:eastAsia="KaiTi_GB2312" w:hint="eastAsia"/>
        </w:rPr>
        <w:t>深切关注的是</w:t>
      </w:r>
      <w:r>
        <w:rPr>
          <w:rFonts w:hint="eastAsia"/>
        </w:rPr>
        <w:t>，近年来，数以百万计的房主都受到止赎的影响，高止赎率可能对适足住房权的享有产生冲击；同样关注的是，近年来，城市贫民的私人房屋租金在上涨，而且没有一个既能保护房客又能保护房主的平衡的框架，城市贫民的租房选择仍然没有达到适足的程度，</w:t>
      </w:r>
    </w:p>
    <w:p w:rsidR="00C11455" w:rsidRDefault="00C11455" w:rsidP="00C11455">
      <w:pPr>
        <w:pStyle w:val="SingleTxtGC"/>
        <w:rPr>
          <w:rFonts w:hint="eastAsia"/>
        </w:rPr>
      </w:pPr>
      <w:r>
        <w:rPr>
          <w:rFonts w:hint="eastAsia"/>
        </w:rPr>
        <w:tab/>
      </w:r>
      <w:r w:rsidRPr="008A5770">
        <w:rPr>
          <w:rFonts w:eastAsia="KaiTi_GB2312" w:hint="eastAsia"/>
        </w:rPr>
        <w:t>还深切关注的是</w:t>
      </w:r>
      <w:r>
        <w:rPr>
          <w:rFonts w:hint="eastAsia"/>
        </w:rPr>
        <w:t>，总体住房情况的任何恶化都会对生活贫困者、低收入者、妇女、儿童、属于民族或族裔、宗教和语言上的少数群体的人，以及土著民族、移民、国内流离失所者、房客、老年人和残疾人造成极大的影响，保有权得不到保障，其本身可能会导致歧视和进一步排斥，特别是社会和经济排斥，</w:t>
      </w:r>
    </w:p>
    <w:p w:rsidR="00C11455" w:rsidRDefault="00C11455" w:rsidP="00C11455">
      <w:pPr>
        <w:pStyle w:val="SingleTxtGC"/>
        <w:rPr>
          <w:rFonts w:hint="eastAsia"/>
        </w:rPr>
      </w:pPr>
      <w:r>
        <w:rPr>
          <w:rFonts w:hint="eastAsia"/>
        </w:rPr>
        <w:tab/>
      </w:r>
      <w:r w:rsidRPr="008A5770">
        <w:rPr>
          <w:rFonts w:eastAsia="KaiTi_GB2312" w:hint="eastAsia"/>
        </w:rPr>
        <w:t>重申</w:t>
      </w:r>
      <w:r>
        <w:rPr>
          <w:rFonts w:hint="eastAsia"/>
        </w:rPr>
        <w:t>人人有权获得适足生活水准权所含的适足住房，且不受种族、肤色、性别、语言、宗教、政治或其他见解、民族或社会出身、财产、出身或其他地位等的任何歧视，</w:t>
      </w:r>
    </w:p>
    <w:p w:rsidR="00C11455" w:rsidRDefault="00C11455" w:rsidP="00C11455">
      <w:pPr>
        <w:pStyle w:val="SingleTxtGC"/>
        <w:rPr>
          <w:rFonts w:hint="eastAsia"/>
        </w:rPr>
      </w:pPr>
      <w:r>
        <w:rPr>
          <w:rFonts w:hint="eastAsia"/>
        </w:rPr>
        <w:tab/>
      </w:r>
      <w:r w:rsidRPr="008A5770">
        <w:rPr>
          <w:rFonts w:eastAsia="KaiTi_GB2312" w:hint="eastAsia"/>
        </w:rPr>
        <w:t>认识到</w:t>
      </w:r>
      <w:r>
        <w:rPr>
          <w:rFonts w:hint="eastAsia"/>
        </w:rPr>
        <w:t>，保有权的保障能增强适足住房权的享有，对享受经济、社会、文化、公民和政治方面的其他许多权利都有重要意义，而且所有人都应拥有一定程度的保有权，以保证法律保护，免遭强迫驱逐，骚扰和其他威胁，</w:t>
      </w:r>
    </w:p>
    <w:p w:rsidR="00C11455" w:rsidRDefault="00C11455" w:rsidP="00C11455">
      <w:pPr>
        <w:pStyle w:val="SingleTxtGC"/>
        <w:rPr>
          <w:rFonts w:hint="eastAsia"/>
        </w:rPr>
      </w:pPr>
      <w:r>
        <w:rPr>
          <w:rFonts w:hint="eastAsia"/>
        </w:rPr>
        <w:tab/>
      </w:r>
      <w:r w:rsidRPr="008A5770">
        <w:rPr>
          <w:rFonts w:eastAsia="KaiTi_GB2312" w:hint="eastAsia"/>
        </w:rPr>
        <w:t>还认识到</w:t>
      </w:r>
      <w:r>
        <w:rPr>
          <w:rFonts w:hint="eastAsia"/>
        </w:rPr>
        <w:t>，特别是在城市发展方面作为人权主流化的一部分，必须促进，保护和加强各种保有权，包括在住房和贫民窟升级、城市规划、土地管理和土地行政政策等方面，以确保社会融合，并有所有利益相关方的充分参与，</w:t>
      </w:r>
    </w:p>
    <w:p w:rsidR="00C11455" w:rsidRDefault="00C11455" w:rsidP="00C11455">
      <w:pPr>
        <w:pStyle w:val="SingleTxtGC"/>
        <w:rPr>
          <w:rFonts w:hint="eastAsia"/>
        </w:rPr>
      </w:pPr>
      <w:r>
        <w:rPr>
          <w:rFonts w:hint="eastAsia"/>
        </w:rPr>
        <w:tab/>
        <w:t>1.</w:t>
      </w:r>
      <w:r w:rsidR="003F4369">
        <w:rPr>
          <w:rFonts w:hint="eastAsia"/>
        </w:rPr>
        <w:tab/>
      </w:r>
      <w:r w:rsidRPr="008A5770">
        <w:rPr>
          <w:rFonts w:eastAsia="KaiTi_GB2312" w:hint="eastAsia"/>
        </w:rPr>
        <w:t>欢迎</w:t>
      </w:r>
      <w:r>
        <w:rPr>
          <w:rFonts w:hint="eastAsia"/>
        </w:rPr>
        <w:t>适足生活水准权所含适足住房权以及在这方面不受歧视的权利问题特别报告员在这方面所作的工作，包括对一些国家的访问；</w:t>
      </w:r>
    </w:p>
    <w:p w:rsidR="00C11455" w:rsidRDefault="00C11455" w:rsidP="0021256A">
      <w:pPr>
        <w:pStyle w:val="SingleTxtGC"/>
        <w:rPr>
          <w:rFonts w:hint="eastAsia"/>
        </w:rPr>
      </w:pPr>
      <w:r>
        <w:rPr>
          <w:rFonts w:hint="eastAsia"/>
        </w:rPr>
        <w:tab/>
        <w:t>2.</w:t>
      </w:r>
      <w:r w:rsidR="008A5770">
        <w:rPr>
          <w:rFonts w:hint="eastAsia"/>
        </w:rPr>
        <w:tab/>
      </w:r>
      <w:r>
        <w:rPr>
          <w:rFonts w:hint="eastAsia"/>
        </w:rPr>
        <w:t>特别</w:t>
      </w:r>
      <w:r w:rsidRPr="008A5770">
        <w:rPr>
          <w:rFonts w:eastAsia="KaiTi_GB2312" w:hint="eastAsia"/>
        </w:rPr>
        <w:t>赞赏地承认</w:t>
      </w:r>
      <w:r>
        <w:rPr>
          <w:rFonts w:hint="eastAsia"/>
        </w:rPr>
        <w:t>特别报告员关于城市贫民保有权保障问题的报告</w:t>
      </w:r>
      <w:r w:rsidR="008A5770">
        <w:rPr>
          <w:rStyle w:val="FootnoteReference"/>
        </w:rPr>
        <w:footnoteReference w:id="4"/>
      </w:r>
      <w:r>
        <w:rPr>
          <w:rFonts w:hint="eastAsia"/>
        </w:rPr>
        <w:t xml:space="preserve"> </w:t>
      </w:r>
      <w:r>
        <w:rPr>
          <w:rFonts w:hint="eastAsia"/>
        </w:rPr>
        <w:t>和其中所载的城市贫民保有权保障问题指导原则，并鼓励各国在规划和实施关于加强城市贫民保有权保障的措施时考虑这些指导原则；</w:t>
      </w:r>
    </w:p>
    <w:p w:rsidR="00C11455" w:rsidRDefault="00C11455" w:rsidP="00C11455">
      <w:pPr>
        <w:pStyle w:val="SingleTxtGC"/>
        <w:rPr>
          <w:rFonts w:hint="eastAsia"/>
        </w:rPr>
      </w:pPr>
      <w:r>
        <w:rPr>
          <w:rFonts w:hint="eastAsia"/>
        </w:rPr>
        <w:tab/>
        <w:t>3.</w:t>
      </w:r>
      <w:r>
        <w:rPr>
          <w:rFonts w:hint="eastAsia"/>
        </w:rPr>
        <w:tab/>
      </w:r>
      <w:r w:rsidRPr="004070F6">
        <w:rPr>
          <w:rFonts w:eastAsia="KaiTi_GB2312" w:hint="eastAsia"/>
        </w:rPr>
        <w:t>重申</w:t>
      </w:r>
      <w:r>
        <w:rPr>
          <w:rFonts w:hint="eastAsia"/>
        </w:rPr>
        <w:t>国家必须承担主要责任，确保充分实现所有人权，并尽其现有资源所及，单独地或通过国际援助和合作，特别是经济和技术援助和合作，努力采取步骤，以便通过一切适当的方式，特别是采取立法措施，来逐步达到适足生活水准权所含适足住房权的充分实现，</w:t>
      </w:r>
    </w:p>
    <w:p w:rsidR="00C11455" w:rsidRDefault="00C11455" w:rsidP="00C11455">
      <w:pPr>
        <w:pStyle w:val="SingleTxtGC"/>
        <w:rPr>
          <w:rFonts w:hint="eastAsia"/>
        </w:rPr>
      </w:pPr>
      <w:r>
        <w:rPr>
          <w:rFonts w:hint="eastAsia"/>
        </w:rPr>
        <w:tab/>
        <w:t>4.</w:t>
      </w:r>
      <w:r w:rsidR="008A5770">
        <w:rPr>
          <w:rFonts w:hint="eastAsia"/>
        </w:rPr>
        <w:tab/>
      </w:r>
      <w:r w:rsidRPr="004070F6">
        <w:rPr>
          <w:rFonts w:eastAsia="KaiTi_GB2312" w:hint="eastAsia"/>
        </w:rPr>
        <w:t>呼吁</w:t>
      </w:r>
      <w:r>
        <w:rPr>
          <w:rFonts w:hint="eastAsia"/>
        </w:rPr>
        <w:t>各国充分考虑适足生活水准权所含适足住房的人权以及在制定</w:t>
      </w:r>
      <w:r>
        <w:rPr>
          <w:rFonts w:hint="eastAsia"/>
        </w:rPr>
        <w:t>2015</w:t>
      </w:r>
      <w:r>
        <w:rPr>
          <w:rFonts w:hint="eastAsia"/>
        </w:rPr>
        <w:t>年后发展议程时与普遍获得体面和可持续住房的问题；</w:t>
      </w:r>
    </w:p>
    <w:p w:rsidR="00C11455" w:rsidRDefault="00C11455" w:rsidP="00C11455">
      <w:pPr>
        <w:pStyle w:val="SingleTxtGC"/>
        <w:rPr>
          <w:rFonts w:hint="eastAsia"/>
        </w:rPr>
      </w:pPr>
      <w:r>
        <w:rPr>
          <w:rFonts w:hint="eastAsia"/>
        </w:rPr>
        <w:tab/>
        <w:t>5.</w:t>
      </w:r>
      <w:r w:rsidR="008A5770">
        <w:rPr>
          <w:rFonts w:hint="eastAsia"/>
        </w:rPr>
        <w:tab/>
      </w:r>
      <w:r w:rsidRPr="004070F6">
        <w:rPr>
          <w:rFonts w:eastAsia="KaiTi_GB2312" w:hint="eastAsia"/>
        </w:rPr>
        <w:t>决定</w:t>
      </w:r>
      <w:r>
        <w:rPr>
          <w:rFonts w:hint="eastAsia"/>
        </w:rPr>
        <w:t>按照人权理事会</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15/8</w:t>
      </w:r>
      <w:r>
        <w:rPr>
          <w:rFonts w:hint="eastAsia"/>
        </w:rPr>
        <w:t>号决议的规定，将适足生活水准权所含适足住房权以及在这方面不受歧视的权利问题特别报告员的授权延长三年；</w:t>
      </w:r>
    </w:p>
    <w:p w:rsidR="00C11455" w:rsidRDefault="00C11455" w:rsidP="00C11455">
      <w:pPr>
        <w:pStyle w:val="SingleTxtGC"/>
        <w:rPr>
          <w:rFonts w:hint="eastAsia"/>
        </w:rPr>
      </w:pPr>
      <w:r>
        <w:rPr>
          <w:rFonts w:hint="eastAsia"/>
        </w:rPr>
        <w:tab/>
        <w:t>6.</w:t>
      </w:r>
      <w:r w:rsidR="008A5770">
        <w:rPr>
          <w:rFonts w:hint="eastAsia"/>
        </w:rPr>
        <w:tab/>
      </w:r>
      <w:r w:rsidRPr="004070F6">
        <w:rPr>
          <w:rFonts w:eastAsia="KaiTi_GB2312" w:hint="eastAsia"/>
        </w:rPr>
        <w:t>注意到</w:t>
      </w:r>
      <w:r>
        <w:rPr>
          <w:rFonts w:hint="eastAsia"/>
        </w:rPr>
        <w:t>“出于发展目的的搬迁和迁离问题基本原则和准则”的工作以及继续开展这项工作的必要性，包括须同有关国家和其他利益攸关方协商；</w:t>
      </w:r>
    </w:p>
    <w:p w:rsidR="00C11455" w:rsidRDefault="00C11455" w:rsidP="00C11455">
      <w:pPr>
        <w:pStyle w:val="SingleTxtGC"/>
        <w:rPr>
          <w:rFonts w:hint="eastAsia"/>
        </w:rPr>
      </w:pPr>
      <w:r>
        <w:rPr>
          <w:rFonts w:hint="eastAsia"/>
        </w:rPr>
        <w:tab/>
        <w:t>7.</w:t>
      </w:r>
      <w:r w:rsidR="008A5770">
        <w:rPr>
          <w:rFonts w:hint="eastAsia"/>
        </w:rPr>
        <w:tab/>
      </w:r>
      <w:r w:rsidRPr="004070F6">
        <w:rPr>
          <w:rFonts w:eastAsia="KaiTi_GB2312" w:hint="eastAsia"/>
        </w:rPr>
        <w:t>请</w:t>
      </w:r>
      <w:r>
        <w:rPr>
          <w:rFonts w:hint="eastAsia"/>
        </w:rPr>
        <w:t>秘书长和联合国人权事务高级专员为特别报告员有效地完成其授权提供一切必要协助；</w:t>
      </w:r>
    </w:p>
    <w:p w:rsidR="00C11455" w:rsidRDefault="00C11455" w:rsidP="00C11455">
      <w:pPr>
        <w:pStyle w:val="SingleTxtGC"/>
        <w:rPr>
          <w:rFonts w:hint="eastAsia"/>
        </w:rPr>
      </w:pPr>
      <w:r>
        <w:rPr>
          <w:rFonts w:hint="eastAsia"/>
        </w:rPr>
        <w:tab/>
        <w:t>8.</w:t>
      </w:r>
      <w:r w:rsidR="008A5770">
        <w:rPr>
          <w:rFonts w:hint="eastAsia"/>
        </w:rPr>
        <w:tab/>
      </w:r>
      <w:r w:rsidRPr="008226FF">
        <w:rPr>
          <w:rFonts w:eastAsia="KaiTi_GB2312" w:hint="eastAsia"/>
          <w:spacing w:val="-4"/>
        </w:rPr>
        <w:t>赞赏地注意到</w:t>
      </w:r>
      <w:r w:rsidRPr="008226FF">
        <w:rPr>
          <w:rFonts w:hint="eastAsia"/>
          <w:spacing w:val="-4"/>
        </w:rPr>
        <w:t>迄今为止各方面人士给予特别报告员的合作，并吁请各国</w:t>
      </w:r>
      <w:r>
        <w:rPr>
          <w:rFonts w:hint="eastAsia"/>
        </w:rPr>
        <w:t>：</w:t>
      </w:r>
    </w:p>
    <w:p w:rsidR="00C11455" w:rsidRDefault="00C11455" w:rsidP="004070F6">
      <w:pPr>
        <w:pStyle w:val="SingleTxtGC"/>
        <w:numPr>
          <w:ilvl w:val="0"/>
          <w:numId w:val="41"/>
        </w:numPr>
        <w:tabs>
          <w:tab w:val="clear" w:pos="2426"/>
          <w:tab w:val="left" w:pos="2427"/>
        </w:tabs>
        <w:rPr>
          <w:rFonts w:hint="eastAsia"/>
        </w:rPr>
      </w:pPr>
      <w:r>
        <w:rPr>
          <w:rFonts w:hint="eastAsia"/>
        </w:rPr>
        <w:t>继续在特别报告员履行其任务方面给予合作，对其索取资料和提出的访问请求作出肯定的答复；</w:t>
      </w:r>
    </w:p>
    <w:p w:rsidR="00C11455" w:rsidRDefault="00C11455" w:rsidP="004070F6">
      <w:pPr>
        <w:pStyle w:val="SingleTxtGC"/>
        <w:numPr>
          <w:ilvl w:val="0"/>
          <w:numId w:val="41"/>
        </w:numPr>
        <w:tabs>
          <w:tab w:val="clear" w:pos="2426"/>
          <w:tab w:val="left" w:pos="2427"/>
        </w:tabs>
        <w:rPr>
          <w:rFonts w:hint="eastAsia"/>
        </w:rPr>
      </w:pPr>
      <w:r w:rsidRPr="004070F6">
        <w:rPr>
          <w:rFonts w:hint="eastAsia"/>
          <w:spacing w:val="-2"/>
        </w:rPr>
        <w:t>在采取后续行动和落实特别报告员的建议方面，与其进行建设性对话</w:t>
      </w:r>
      <w:r>
        <w:rPr>
          <w:rFonts w:hint="eastAsia"/>
        </w:rPr>
        <w:t>；</w:t>
      </w:r>
    </w:p>
    <w:p w:rsidR="00C11455" w:rsidRDefault="00C11455" w:rsidP="00C11455">
      <w:pPr>
        <w:pStyle w:val="SingleTxtGC"/>
        <w:rPr>
          <w:rFonts w:hint="eastAsia"/>
        </w:rPr>
      </w:pPr>
      <w:r>
        <w:rPr>
          <w:rFonts w:hint="eastAsia"/>
        </w:rPr>
        <w:tab/>
        <w:t>9.</w:t>
      </w:r>
      <w:r w:rsidR="008A5770">
        <w:rPr>
          <w:rFonts w:hint="eastAsia"/>
        </w:rPr>
        <w:tab/>
      </w:r>
      <w:r w:rsidRPr="004070F6">
        <w:rPr>
          <w:rFonts w:eastAsia="KaiTi_GB2312" w:hint="eastAsia"/>
        </w:rPr>
        <w:t>决定</w:t>
      </w:r>
      <w:r>
        <w:rPr>
          <w:rFonts w:hint="eastAsia"/>
        </w:rPr>
        <w:t>在同一议程项目下继续审议这一问题。</w:t>
      </w:r>
    </w:p>
    <w:p w:rsidR="00C11455" w:rsidRPr="004070F6" w:rsidRDefault="00C11455" w:rsidP="004070F6">
      <w:pPr>
        <w:pStyle w:val="SingleTxtGC"/>
        <w:ind w:left="6686"/>
        <w:rPr>
          <w:rFonts w:eastAsia="KaiTi_GB2312" w:hint="eastAsia"/>
        </w:rPr>
      </w:pPr>
      <w:r w:rsidRPr="004070F6">
        <w:rPr>
          <w:rFonts w:eastAsia="KaiTi_GB2312" w:hint="eastAsia"/>
        </w:rPr>
        <w:t>第</w:t>
      </w:r>
      <w:r w:rsidRPr="004070F6">
        <w:rPr>
          <w:rFonts w:eastAsia="KaiTi_GB2312" w:hint="eastAsia"/>
        </w:rPr>
        <w:t>55</w:t>
      </w:r>
      <w:r w:rsidRPr="004070F6">
        <w:rPr>
          <w:rFonts w:eastAsia="KaiTi_GB2312" w:hint="eastAsia"/>
        </w:rPr>
        <w:t>次会议</w:t>
      </w:r>
      <w:r w:rsidR="004070F6" w:rsidRPr="004070F6">
        <w:rPr>
          <w:rFonts w:eastAsia="KaiTi_GB2312"/>
        </w:rPr>
        <w:br/>
      </w:r>
      <w:r w:rsidRPr="004070F6">
        <w:rPr>
          <w:rFonts w:eastAsia="KaiTi_GB2312" w:hint="eastAsia"/>
        </w:rPr>
        <w:t>2014</w:t>
      </w:r>
      <w:r w:rsidRPr="004070F6">
        <w:rPr>
          <w:rFonts w:eastAsia="KaiTi_GB2312" w:hint="eastAsia"/>
        </w:rPr>
        <w:t>年</w:t>
      </w:r>
      <w:r w:rsidRPr="004070F6">
        <w:rPr>
          <w:rFonts w:eastAsia="KaiTi_GB2312" w:hint="eastAsia"/>
        </w:rPr>
        <w:t>3</w:t>
      </w:r>
      <w:r w:rsidRPr="004070F6">
        <w:rPr>
          <w:rFonts w:eastAsia="KaiTi_GB2312" w:hint="eastAsia"/>
        </w:rPr>
        <w:t>月</w:t>
      </w:r>
      <w:r w:rsidRPr="004070F6">
        <w:rPr>
          <w:rFonts w:eastAsia="KaiTi_GB2312" w:hint="eastAsia"/>
        </w:rPr>
        <w:t>28</w:t>
      </w:r>
      <w:r w:rsidRPr="004070F6">
        <w:rPr>
          <w:rFonts w:eastAsia="KaiTi_GB2312" w:hint="eastAsia"/>
        </w:rPr>
        <w:t>日</w:t>
      </w:r>
    </w:p>
    <w:p w:rsidR="00C11455" w:rsidRDefault="00C11455" w:rsidP="00C11455">
      <w:pPr>
        <w:pStyle w:val="SingleTxtGC"/>
        <w:rPr>
          <w:rFonts w:hint="eastAsia"/>
        </w:rPr>
      </w:pPr>
      <w:r>
        <w:rPr>
          <w:rFonts w:hint="eastAsia"/>
        </w:rPr>
        <w:t>[</w:t>
      </w:r>
      <w:r>
        <w:rPr>
          <w:rFonts w:hint="eastAsia"/>
        </w:rPr>
        <w:t>未经表决通过</w:t>
      </w:r>
      <w:r>
        <w:rPr>
          <w:rFonts w:hint="eastAsia"/>
        </w:rPr>
        <w:t>]</w:t>
      </w:r>
    </w:p>
    <w:p w:rsidR="00C11455" w:rsidRPr="002D6A9C" w:rsidRDefault="00C114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544" w:rsidRPr="00E0554F" w:rsidRDefault="00C92544"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92544" w:rsidRPr="00E0554F" w:rsidRDefault="00C92544"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650" w:rsidRPr="00C11455" w:rsidRDefault="000B6650"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94839">
      <w:rPr>
        <w:rStyle w:val="PageNumber"/>
        <w:noProof/>
      </w:rPr>
      <w:t>2</w:t>
    </w:r>
    <w:r>
      <w:rPr>
        <w:rStyle w:val="PageNumber"/>
      </w:rPr>
      <w:fldChar w:fldCharType="end"/>
    </w:r>
    <w:r>
      <w:rPr>
        <w:rStyle w:val="PageNumber"/>
        <w:rFonts w:eastAsia="SimSun" w:hint="eastAsia"/>
        <w:lang w:eastAsia="zh-CN"/>
      </w:rPr>
      <w:tab/>
    </w:r>
    <w:r w:rsidRPr="00C11455">
      <w:rPr>
        <w:rFonts w:eastAsia="SimSun"/>
        <w:lang w:eastAsia="zh-CN"/>
      </w:rPr>
      <w:t>GE.14-13532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650" w:rsidRDefault="000B6650">
    <w:pPr>
      <w:pStyle w:val="Footer"/>
      <w:tabs>
        <w:tab w:val="right" w:pos="9639"/>
      </w:tabs>
    </w:pPr>
    <w:r w:rsidRPr="00C11455">
      <w:rPr>
        <w:rFonts w:eastAsia="SimSun"/>
        <w:lang w:eastAsia="zh-CN"/>
      </w:rPr>
      <w:t>GE.14-13532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94839">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650" w:rsidRDefault="000B6650"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7&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13532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010514</w:t>
    </w:r>
    <w:r>
      <w:rPr>
        <w:rFonts w:eastAsia="SimSun"/>
        <w:sz w:val="20"/>
        <w:lang w:eastAsia="zh-CN"/>
      </w:rPr>
      <w:tab/>
    </w:r>
    <w:r>
      <w:rPr>
        <w:rFonts w:eastAsia="SimSun" w:hint="eastAsia"/>
        <w:sz w:val="20"/>
        <w:lang w:eastAsia="zh-CN"/>
      </w:rPr>
      <w:t>060514</w:t>
    </w:r>
  </w:p>
  <w:p w:rsidR="000B6650" w:rsidRPr="00613337" w:rsidRDefault="000B6650"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11455">
      <w:rPr>
        <w:rFonts w:ascii="C39T30Lfz" w:eastAsia="SimSun" w:hAnsi="C39T30Lfz"/>
        <w:sz w:val="56"/>
        <w:szCs w:val="56"/>
        <w:lang w:eastAsia="zh-CN"/>
      </w:rPr>
      <w:t></w:t>
    </w:r>
    <w:r w:rsidRPr="00C11455">
      <w:rPr>
        <w:rFonts w:ascii="C39T30Lfz" w:eastAsia="SimSun" w:hAnsi="C39T30Lfz"/>
        <w:sz w:val="56"/>
        <w:szCs w:val="56"/>
        <w:lang w:eastAsia="zh-CN"/>
      </w:rPr>
      <w:t></w:t>
    </w:r>
    <w:r w:rsidRPr="00C11455">
      <w:rPr>
        <w:rFonts w:ascii="C39T30Lfz" w:eastAsia="SimSun" w:hAnsi="C39T30Lfz"/>
        <w:sz w:val="56"/>
        <w:szCs w:val="56"/>
        <w:lang w:eastAsia="zh-CN"/>
      </w:rPr>
      <w:t></w:t>
    </w:r>
    <w:r w:rsidRPr="00C11455">
      <w:rPr>
        <w:rFonts w:ascii="C39T30Lfz" w:eastAsia="SimSun" w:hAnsi="C39T30Lfz"/>
        <w:sz w:val="56"/>
        <w:szCs w:val="56"/>
        <w:lang w:eastAsia="zh-CN"/>
      </w:rPr>
      <w:t></w:t>
    </w:r>
    <w:r w:rsidRPr="00C11455">
      <w:rPr>
        <w:rFonts w:ascii="C39T30Lfz" w:eastAsia="SimSun" w:hAnsi="C39T30Lfz"/>
        <w:sz w:val="56"/>
        <w:szCs w:val="56"/>
        <w:lang w:eastAsia="zh-CN"/>
      </w:rPr>
      <w:t></w:t>
    </w:r>
    <w:r w:rsidRPr="00C1145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544" w:rsidRPr="000157B1" w:rsidRDefault="00C92544"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92544" w:rsidRPr="000157B1" w:rsidRDefault="00C92544"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C92544" w:rsidRDefault="00C92544"/>
  </w:footnote>
  <w:footnote w:id="2">
    <w:p w:rsidR="000B6650" w:rsidRDefault="000B6650" w:rsidP="008A5770">
      <w:pPr>
        <w:pStyle w:val="FootnoteText"/>
        <w:spacing w:line="220" w:lineRule="exact"/>
        <w:rPr>
          <w:rFonts w:hint="eastAsia"/>
        </w:rPr>
      </w:pPr>
      <w:r>
        <w:tab/>
      </w:r>
      <w:r>
        <w:rPr>
          <w:rStyle w:val="FootnoteReference"/>
        </w:rPr>
        <w:footnoteRef/>
      </w:r>
      <w:r>
        <w:tab/>
      </w:r>
      <w:r w:rsidRPr="008A5770">
        <w:t>A/CONF.165/14</w:t>
      </w:r>
      <w:r w:rsidRPr="008A5770">
        <w:rPr>
          <w:rFonts w:hint="eastAsia"/>
        </w:rPr>
        <w:t>。</w:t>
      </w:r>
    </w:p>
  </w:footnote>
  <w:footnote w:id="3">
    <w:p w:rsidR="000B6650" w:rsidRDefault="000B6650">
      <w:pPr>
        <w:pStyle w:val="FootnoteText"/>
        <w:rPr>
          <w:rFonts w:hint="eastAsia"/>
        </w:rPr>
      </w:pPr>
      <w:r>
        <w:tab/>
      </w:r>
      <w:r>
        <w:rPr>
          <w:rStyle w:val="FootnoteReference"/>
        </w:rPr>
        <w:footnoteRef/>
      </w:r>
      <w:r>
        <w:tab/>
      </w:r>
      <w:r w:rsidRPr="004070F6">
        <w:t xml:space="preserve">E/CN.4/Sub.2/2005/17, </w:t>
      </w:r>
      <w:r w:rsidRPr="004070F6">
        <w:rPr>
          <w:rFonts w:hint="eastAsia"/>
        </w:rPr>
        <w:t>附件。</w:t>
      </w:r>
    </w:p>
  </w:footnote>
  <w:footnote w:id="4">
    <w:p w:rsidR="000B6650" w:rsidRDefault="000B6650">
      <w:pPr>
        <w:pStyle w:val="FootnoteText"/>
        <w:rPr>
          <w:rFonts w:hint="eastAsia"/>
        </w:rPr>
      </w:pPr>
      <w:r>
        <w:tab/>
      </w:r>
      <w:r>
        <w:rPr>
          <w:rStyle w:val="FootnoteReference"/>
        </w:rPr>
        <w:footnoteRef/>
      </w:r>
      <w:r>
        <w:tab/>
      </w:r>
      <w:r w:rsidRPr="004070F6">
        <w:t>A/HRC/25/54</w:t>
      </w:r>
      <w:r w:rsidRPr="004070F6">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650" w:rsidRPr="00C11455" w:rsidRDefault="000B6650">
    <w:pPr>
      <w:pStyle w:val="Header"/>
    </w:pPr>
    <w:r w:rsidRPr="00C11455">
      <w:t>A/HRC/RES/25/17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650" w:rsidRPr="00C11455" w:rsidRDefault="000B6650">
    <w:pPr>
      <w:pStyle w:val="Header"/>
      <w:jc w:val="right"/>
      <w:rPr>
        <w:rFonts w:hint="eastAsia"/>
        <w:lang w:eastAsia="zh-CN"/>
      </w:rPr>
    </w:pPr>
    <w:r w:rsidRPr="00C11455">
      <w:rPr>
        <w:lang w:eastAsia="zh-CN"/>
      </w:rPr>
      <w:t>A/HRC/RES/25/17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7A57215"/>
    <w:multiLevelType w:val="hybridMultilevel"/>
    <w:tmpl w:val="BB624E36"/>
    <w:lvl w:ilvl="0" w:tplc="92B6F23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EC36C88"/>
    <w:multiLevelType w:val="hybridMultilevel"/>
    <w:tmpl w:val="C45455C8"/>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14"/>
  </w:num>
  <w:num w:numId="21">
    <w:abstractNumId w:val="19"/>
  </w:num>
  <w:num w:numId="22">
    <w:abstractNumId w:val="12"/>
  </w:num>
  <w:num w:numId="23">
    <w:abstractNumId w:val="24"/>
  </w:num>
  <w:num w:numId="24">
    <w:abstractNumId w:val="26"/>
  </w:num>
  <w:num w:numId="25">
    <w:abstractNumId w:val="21"/>
  </w:num>
  <w:num w:numId="26">
    <w:abstractNumId w:val="18"/>
  </w:num>
  <w:num w:numId="27">
    <w:abstractNumId w:val="30"/>
  </w:num>
  <w:num w:numId="28">
    <w:abstractNumId w:val="26"/>
  </w:num>
  <w:num w:numId="29">
    <w:abstractNumId w:val="21"/>
  </w:num>
  <w:num w:numId="30">
    <w:abstractNumId w:val="18"/>
  </w:num>
  <w:num w:numId="31">
    <w:abstractNumId w:val="24"/>
  </w:num>
  <w:num w:numId="32">
    <w:abstractNumId w:val="12"/>
  </w:num>
  <w:num w:numId="33">
    <w:abstractNumId w:val="19"/>
  </w:num>
  <w:num w:numId="34">
    <w:abstractNumId w:val="30"/>
  </w:num>
  <w:num w:numId="35">
    <w:abstractNumId w:val="27"/>
  </w:num>
  <w:num w:numId="36">
    <w:abstractNumId w:val="23"/>
  </w:num>
  <w:num w:numId="37">
    <w:abstractNumId w:val="16"/>
  </w:num>
  <w:num w:numId="38">
    <w:abstractNumId w:val="10"/>
  </w:num>
  <w:num w:numId="39">
    <w:abstractNumId w:val="20"/>
  </w:num>
  <w:num w:numId="40">
    <w:abstractNumId w:val="11"/>
  </w:num>
  <w:num w:numId="41">
    <w:abstractNumId w:val="29"/>
  </w:num>
  <w:num w:numId="42">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3A29"/>
    <w:rsid w:val="0000411A"/>
    <w:rsid w:val="00005A89"/>
    <w:rsid w:val="00007BCF"/>
    <w:rsid w:val="000157B1"/>
    <w:rsid w:val="00034106"/>
    <w:rsid w:val="00050226"/>
    <w:rsid w:val="0005102E"/>
    <w:rsid w:val="000637CE"/>
    <w:rsid w:val="00082E10"/>
    <w:rsid w:val="00094839"/>
    <w:rsid w:val="000A03EB"/>
    <w:rsid w:val="000A7C04"/>
    <w:rsid w:val="000B6650"/>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1256A"/>
    <w:rsid w:val="0024012F"/>
    <w:rsid w:val="002629D4"/>
    <w:rsid w:val="00280515"/>
    <w:rsid w:val="00286515"/>
    <w:rsid w:val="002D31D6"/>
    <w:rsid w:val="002D3FCB"/>
    <w:rsid w:val="002E68BE"/>
    <w:rsid w:val="002F3F47"/>
    <w:rsid w:val="002F6678"/>
    <w:rsid w:val="00306AE9"/>
    <w:rsid w:val="00312E55"/>
    <w:rsid w:val="00315796"/>
    <w:rsid w:val="00322B61"/>
    <w:rsid w:val="00322F28"/>
    <w:rsid w:val="003734E0"/>
    <w:rsid w:val="00382B00"/>
    <w:rsid w:val="003836F1"/>
    <w:rsid w:val="00385C14"/>
    <w:rsid w:val="003A79F6"/>
    <w:rsid w:val="003B038F"/>
    <w:rsid w:val="003C27FE"/>
    <w:rsid w:val="003F4369"/>
    <w:rsid w:val="003F65D6"/>
    <w:rsid w:val="003F7BF8"/>
    <w:rsid w:val="00400A2E"/>
    <w:rsid w:val="004070F6"/>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2C2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3A29"/>
    <w:rsid w:val="007F501B"/>
    <w:rsid w:val="00801DCC"/>
    <w:rsid w:val="008029AD"/>
    <w:rsid w:val="0082049D"/>
    <w:rsid w:val="008226FF"/>
    <w:rsid w:val="00824A57"/>
    <w:rsid w:val="0083180F"/>
    <w:rsid w:val="00885DC7"/>
    <w:rsid w:val="00890356"/>
    <w:rsid w:val="008A322C"/>
    <w:rsid w:val="008A5770"/>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1455"/>
    <w:rsid w:val="00C143D7"/>
    <w:rsid w:val="00C435EE"/>
    <w:rsid w:val="00C62277"/>
    <w:rsid w:val="00C623B2"/>
    <w:rsid w:val="00C80DA9"/>
    <w:rsid w:val="00C862E5"/>
    <w:rsid w:val="00C92544"/>
    <w:rsid w:val="00CA073C"/>
    <w:rsid w:val="00CA4105"/>
    <w:rsid w:val="00CB1BCE"/>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1050</Words>
  <Characters>1115</Characters>
  <Application>Microsoft Office Outlook</Application>
  <DocSecurity>4</DocSecurity>
  <Lines>48</Lines>
  <Paragraphs>41</Paragraphs>
  <ScaleCrop>false</ScaleCrop>
  <Company>CSD</Company>
  <LinksUpToDate>false</LinksUpToDate>
  <CharactersWithSpaces>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2014-05-06T14:00:00Z</cp:lastPrinted>
  <dcterms:created xsi:type="dcterms:W3CDTF">2014-05-06T14:00:00Z</dcterms:created>
  <dcterms:modified xsi:type="dcterms:W3CDTF">2014-05-06T14:01:00Z</dcterms:modified>
</cp:coreProperties>
</file>