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59281F5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34EDA83" w14:textId="77777777" w:rsidR="002D5AAC" w:rsidRDefault="002D5AAC" w:rsidP="002B05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321C230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12362D0" w14:textId="62AB402E" w:rsidR="002D5AAC" w:rsidRDefault="002B0591" w:rsidP="002B0591">
            <w:pPr>
              <w:jc w:val="right"/>
            </w:pPr>
            <w:r w:rsidRPr="002B0591">
              <w:rPr>
                <w:sz w:val="40"/>
              </w:rPr>
              <w:t>CED</w:t>
            </w:r>
            <w:r>
              <w:t>/C/24/2</w:t>
            </w:r>
          </w:p>
        </w:tc>
      </w:tr>
      <w:tr w:rsidR="002D5AAC" w:rsidRPr="00A96F29" w14:paraId="56A042C5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9056EB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560C58" wp14:editId="322466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6330B7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B813EF3" w14:textId="77777777" w:rsidR="002B0591" w:rsidRPr="002B0591" w:rsidRDefault="002B0591" w:rsidP="002B0591">
            <w:pPr>
              <w:spacing w:before="240"/>
              <w:rPr>
                <w:lang w:val="en-US"/>
              </w:rPr>
            </w:pPr>
            <w:r w:rsidRPr="002B0591">
              <w:rPr>
                <w:lang w:val="en-US"/>
              </w:rPr>
              <w:t>Distr.: General</w:t>
            </w:r>
          </w:p>
          <w:p w14:paraId="5858E23E" w14:textId="77777777" w:rsidR="002B0591" w:rsidRPr="002B0591" w:rsidRDefault="002B0591" w:rsidP="002B0591">
            <w:pPr>
              <w:suppressAutoHyphens w:val="0"/>
              <w:rPr>
                <w:lang w:val="en-US"/>
              </w:rPr>
            </w:pPr>
            <w:r w:rsidRPr="002B0591">
              <w:rPr>
                <w:lang w:val="en-US"/>
              </w:rPr>
              <w:t>27 April 2023</w:t>
            </w:r>
          </w:p>
          <w:p w14:paraId="64EC4900" w14:textId="1C98ECFC" w:rsidR="002B0591" w:rsidRPr="002B0591" w:rsidRDefault="002B0591" w:rsidP="002B0591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450B0EC" w14:textId="57B97517" w:rsidR="002B0591" w:rsidRPr="002B0591" w:rsidRDefault="002B0591" w:rsidP="002B0591">
            <w:pPr>
              <w:spacing w:line="240" w:lineRule="exact"/>
              <w:rPr>
                <w:lang w:val="en-US"/>
              </w:rPr>
            </w:pPr>
            <w:r w:rsidRPr="002B0591">
              <w:rPr>
                <w:lang w:val="en-US"/>
              </w:rPr>
              <w:t>Original: English</w:t>
            </w:r>
          </w:p>
        </w:tc>
      </w:tr>
    </w:tbl>
    <w:p w14:paraId="14D12614" w14:textId="77777777" w:rsidR="00B71B56" w:rsidRPr="002E6F4B" w:rsidRDefault="00B71B56" w:rsidP="00B71B56">
      <w:pPr>
        <w:spacing w:before="120"/>
        <w:jc w:val="both"/>
        <w:rPr>
          <w:b/>
          <w:bCs/>
          <w:sz w:val="24"/>
          <w:szCs w:val="24"/>
        </w:rPr>
      </w:pPr>
      <w:r w:rsidRPr="00AE7397">
        <w:rPr>
          <w:b/>
          <w:bCs/>
          <w:sz w:val="24"/>
          <w:szCs w:val="24"/>
        </w:rPr>
        <w:t>Комитет по насильственным исчезновениям</w:t>
      </w:r>
    </w:p>
    <w:p w14:paraId="36AE7700" w14:textId="77777777" w:rsidR="00B71B56" w:rsidRPr="002E6F4B" w:rsidRDefault="00B71B56" w:rsidP="00B71B56">
      <w:pPr>
        <w:pStyle w:val="HChG"/>
      </w:pPr>
      <w:r w:rsidRPr="00AE7397">
        <w:rPr>
          <w:bCs/>
        </w:rPr>
        <w:tab/>
      </w:r>
      <w:r w:rsidRPr="00AE7397">
        <w:rPr>
          <w:bCs/>
        </w:rPr>
        <w:tab/>
        <w:t>Доклад о выполнении заключительных замечаний Комитета по насильственным исчезновениям</w:t>
      </w:r>
      <w:r w:rsidRPr="00B71B5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E181B82" w14:textId="77777777" w:rsidR="00B71B56" w:rsidRPr="002E6F4B" w:rsidRDefault="00B71B56" w:rsidP="00B71B56">
      <w:pPr>
        <w:pStyle w:val="HChG"/>
        <w:jc w:val="both"/>
      </w:pPr>
      <w:r w:rsidRPr="00AE7397">
        <w:rPr>
          <w:b w:val="0"/>
        </w:rPr>
        <w:tab/>
      </w:r>
      <w:r w:rsidRPr="00AE7397">
        <w:rPr>
          <w:bCs/>
        </w:rPr>
        <w:t>I.</w:t>
      </w:r>
      <w:r w:rsidRPr="00AE7397">
        <w:rPr>
          <w:b w:val="0"/>
        </w:rPr>
        <w:tab/>
      </w:r>
      <w:r w:rsidRPr="00AE7397">
        <w:rPr>
          <w:bCs/>
        </w:rPr>
        <w:t>Введение</w:t>
      </w:r>
    </w:p>
    <w:p w14:paraId="5DE42244" w14:textId="0051306D" w:rsidR="00B71B56" w:rsidRPr="002E6F4B" w:rsidRDefault="00B71B56" w:rsidP="00B71B56">
      <w:pPr>
        <w:pStyle w:val="SingleTxtG"/>
      </w:pPr>
      <w:r w:rsidRPr="00AE7397">
        <w:t>1.</w:t>
      </w:r>
      <w:r w:rsidRPr="00AE7397">
        <w:tab/>
        <w:t>В настоящем докладе отражена информация, полученная Комитетом в период между его двадцать третьей и двадцать четвертой сессиями во исполнение его заключительных замечаний по Бразилии и Монголии в соответствии с положениями пункта 1 статьи 29 Конвенции</w:t>
      </w:r>
      <w:r>
        <w:rPr>
          <w:rStyle w:val="aa"/>
        </w:rPr>
        <w:footnoteReference w:id="2"/>
      </w:r>
      <w:r w:rsidRPr="00B71B56">
        <w:t>,</w:t>
      </w:r>
      <w:r w:rsidRPr="00AE7397">
        <w:t xml:space="preserve"> и оценки и решения, принятые Комитетом на своей двадцать четвертой сессии.</w:t>
      </w:r>
    </w:p>
    <w:p w14:paraId="140374F4" w14:textId="77777777" w:rsidR="00B71B56" w:rsidRPr="002E6F4B" w:rsidRDefault="00B71B56" w:rsidP="00B71B56">
      <w:pPr>
        <w:pStyle w:val="SingleTxtG"/>
      </w:pPr>
      <w:r w:rsidRPr="00AE7397">
        <w:t>2.</w:t>
      </w:r>
      <w:r w:rsidRPr="00AE7397">
        <w:tab/>
        <w:t>Оценки, содержащиеся в настоящем докладе, касаются только тех рекомендаций, которые были отобраны для процедуры последующих действий и в отношении которых государствам-участникам было предложено представить информацию в течение одного года после принятия заключительных замечаний. Настоящий доклад не представляет собой оценки выполнения всех рекомендаций, сделанных государству-участнику в заключительных замечаниях, или сопоставления между государствами-участниками.</w:t>
      </w:r>
    </w:p>
    <w:p w14:paraId="63AA7DD8" w14:textId="77777777" w:rsidR="00B71B56" w:rsidRPr="002E6F4B" w:rsidRDefault="00B71B56" w:rsidP="00B71B56">
      <w:pPr>
        <w:pStyle w:val="SingleTxtG"/>
        <w:spacing w:after="240"/>
      </w:pPr>
      <w:r w:rsidRPr="00AE7397">
        <w:t>3.</w:t>
      </w:r>
      <w:r w:rsidRPr="00AE7397">
        <w:tab/>
        <w:t>Для оценки информации, предоставленной заинтересованными государствами-участниками, Комитет использует следующие критерии: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B71B56" w14:paraId="15A466B9" w14:textId="77777777" w:rsidTr="000376FF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AAB311" w14:textId="77777777" w:rsidR="00B71B56" w:rsidRPr="00AE7397" w:rsidRDefault="00B71B56" w:rsidP="00B71B56">
            <w:pPr>
              <w:suppressAutoHyphens w:val="0"/>
              <w:spacing w:before="80" w:after="80" w:line="200" w:lineRule="exact"/>
              <w:ind w:left="57" w:right="170"/>
              <w:rPr>
                <w:i/>
                <w:sz w:val="16"/>
              </w:rPr>
            </w:pPr>
            <w:r w:rsidRPr="00AE7397">
              <w:rPr>
                <w:i/>
                <w:iCs/>
                <w:sz w:val="16"/>
                <w:szCs w:val="16"/>
              </w:rPr>
              <w:t>Критерии оценки</w:t>
            </w:r>
          </w:p>
        </w:tc>
      </w:tr>
      <w:tr w:rsidR="00B71B56" w14:paraId="734B5A32" w14:textId="77777777" w:rsidTr="000376FF">
        <w:trPr>
          <w:trHeight w:hRule="exact" w:val="113"/>
          <w:tblHeader/>
        </w:trPr>
        <w:tc>
          <w:tcPr>
            <w:tcW w:w="7370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58EFD" w14:textId="77777777" w:rsidR="00B71B56" w:rsidRPr="00AE7397" w:rsidRDefault="00B71B56" w:rsidP="000376FF">
            <w:pPr>
              <w:suppressAutoHyphens w:val="0"/>
              <w:spacing w:before="40" w:after="120" w:line="220" w:lineRule="exact"/>
              <w:ind w:right="113"/>
              <w:rPr>
                <w:b/>
                <w:bCs/>
              </w:rPr>
            </w:pPr>
          </w:p>
        </w:tc>
      </w:tr>
      <w:tr w:rsidR="00B71B56" w:rsidRPr="00EA7CD2" w14:paraId="49273FF8" w14:textId="77777777" w:rsidTr="000376FF">
        <w:tc>
          <w:tcPr>
            <w:tcW w:w="7370" w:type="dxa"/>
            <w:tcBorders>
              <w:top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02BA6" w14:textId="77777777" w:rsidR="00B71B56" w:rsidRPr="002E6F4B" w:rsidRDefault="00B71B56" w:rsidP="000376FF">
            <w:pPr>
              <w:suppressAutoHyphens w:val="0"/>
              <w:adjustRightInd w:val="0"/>
              <w:spacing w:before="40" w:after="120" w:line="220" w:lineRule="exact"/>
              <w:ind w:left="567" w:right="113" w:hanging="567"/>
            </w:pPr>
            <w:r w:rsidRPr="00AE7397">
              <w:rPr>
                <w:b/>
                <w:bCs/>
              </w:rPr>
              <w:t>A</w:t>
            </w:r>
            <w:r w:rsidRPr="00AE7397">
              <w:rPr>
                <w:b/>
                <w:bCs/>
              </w:rPr>
              <w:tab/>
              <w:t xml:space="preserve">Удовлетворительные меры/ответ: </w:t>
            </w:r>
            <w:r w:rsidRPr="00AE7397">
              <w:t>государство-участник представило подтверждения серьезных мер, принятых для выполнения рекомендации Комитета.</w:t>
            </w:r>
          </w:p>
        </w:tc>
      </w:tr>
      <w:tr w:rsidR="00B71B56" w:rsidRPr="00EA7CD2" w14:paraId="51B9E0A9" w14:textId="77777777" w:rsidTr="000376FF">
        <w:tc>
          <w:tcPr>
            <w:tcW w:w="7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DDD92" w14:textId="77777777" w:rsidR="00B71B56" w:rsidRPr="002E6F4B" w:rsidRDefault="00B71B56" w:rsidP="000376FF">
            <w:pPr>
              <w:suppressAutoHyphens w:val="0"/>
              <w:adjustRightInd w:val="0"/>
              <w:spacing w:before="40" w:after="120" w:line="220" w:lineRule="exact"/>
              <w:ind w:left="567" w:right="113" w:hanging="567"/>
            </w:pPr>
            <w:r w:rsidRPr="00AE7397">
              <w:rPr>
                <w:b/>
                <w:bCs/>
              </w:rPr>
              <w:t>B</w:t>
            </w:r>
            <w:r w:rsidRPr="00AE7397">
              <w:rPr>
                <w:b/>
                <w:bCs/>
              </w:rPr>
              <w:tab/>
              <w:t xml:space="preserve">Частично удовлетворительные меры/ответ: </w:t>
            </w:r>
            <w:r w:rsidRPr="00AE7397">
              <w:t>государство-участник предприняло шаги по выполнению рекомендации, однако необходима дополнительные сведения или меры.</w:t>
            </w:r>
          </w:p>
        </w:tc>
      </w:tr>
      <w:tr w:rsidR="00B71B56" w:rsidRPr="00EA7CD2" w14:paraId="2A5763ED" w14:textId="77777777" w:rsidTr="000376FF">
        <w:tc>
          <w:tcPr>
            <w:tcW w:w="7370" w:type="dxa"/>
            <w:tcBorders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C9D32" w14:textId="77777777" w:rsidR="00B71B56" w:rsidRPr="002E6F4B" w:rsidRDefault="00B71B56" w:rsidP="000376FF">
            <w:pPr>
              <w:suppressAutoHyphens w:val="0"/>
              <w:adjustRightInd w:val="0"/>
              <w:spacing w:before="40" w:after="120" w:line="220" w:lineRule="exact"/>
              <w:ind w:left="567" w:right="113" w:hanging="567"/>
            </w:pPr>
            <w:r w:rsidRPr="00AE7397">
              <w:rPr>
                <w:b/>
                <w:bCs/>
              </w:rPr>
              <w:t>C</w:t>
            </w:r>
            <w:r w:rsidRPr="00AE7397">
              <w:rPr>
                <w:b/>
                <w:bCs/>
              </w:rPr>
              <w:tab/>
              <w:t xml:space="preserve">Неудовлетворительные меры/ответ: </w:t>
            </w:r>
            <w:r w:rsidRPr="00AE7397">
              <w:t>государство-участник направило ответ, но предпринятые меры или предоставленная информация не относятся к делу или не означают выполнения рекомендации.</w:t>
            </w:r>
          </w:p>
        </w:tc>
      </w:tr>
      <w:tr w:rsidR="00B71B56" w:rsidRPr="00EA7CD2" w14:paraId="48869565" w14:textId="77777777" w:rsidTr="000376FF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14FFD" w14:textId="77777777" w:rsidR="00B71B56" w:rsidRPr="002E6F4B" w:rsidRDefault="00B71B56" w:rsidP="000376FF">
            <w:pPr>
              <w:suppressAutoHyphens w:val="0"/>
              <w:adjustRightInd w:val="0"/>
              <w:spacing w:before="40" w:after="120" w:line="220" w:lineRule="exact"/>
              <w:ind w:left="567" w:right="113" w:hanging="567"/>
            </w:pPr>
            <w:r w:rsidRPr="00AE7397">
              <w:rPr>
                <w:b/>
                <w:bCs/>
              </w:rPr>
              <w:t>D</w:t>
            </w:r>
            <w:r w:rsidRPr="00AE7397">
              <w:rPr>
                <w:b/>
                <w:bCs/>
              </w:rPr>
              <w:tab/>
              <w:t xml:space="preserve">Нет ответа на рекомендацию: </w:t>
            </w:r>
            <w:r w:rsidRPr="00AE7397">
              <w:t>государство-участник не представило никакой информации о выполнении рекомендации.</w:t>
            </w:r>
          </w:p>
        </w:tc>
      </w:tr>
      <w:tr w:rsidR="00B71B56" w:rsidRPr="00EA7CD2" w14:paraId="14D2B6E8" w14:textId="77777777" w:rsidTr="000376FF">
        <w:tc>
          <w:tcPr>
            <w:tcW w:w="7370" w:type="dxa"/>
            <w:tcBorders>
              <w:top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E2086" w14:textId="4CBDF6EB" w:rsidR="00B71B56" w:rsidRPr="002E6F4B" w:rsidRDefault="00B71B56" w:rsidP="000376FF">
            <w:pPr>
              <w:suppressAutoHyphens w:val="0"/>
              <w:adjustRightInd w:val="0"/>
              <w:spacing w:before="40" w:after="120" w:line="220" w:lineRule="exact"/>
              <w:ind w:left="567" w:right="113" w:hanging="567"/>
            </w:pPr>
            <w:r w:rsidRPr="00AE7397">
              <w:rPr>
                <w:b/>
                <w:bCs/>
              </w:rPr>
              <w:t>E</w:t>
            </w:r>
            <w:r w:rsidRPr="00AE7397">
              <w:rPr>
                <w:b/>
                <w:bCs/>
              </w:rPr>
              <w:tab/>
              <w:t xml:space="preserve">Информация или принятые меры противоречат или отражают отклонение рекомендации Комитета: </w:t>
            </w:r>
            <w:r w:rsidR="008F65DA">
              <w:t>в</w:t>
            </w:r>
            <w:r w:rsidRPr="00AE7397">
              <w:t xml:space="preserve"> ответе указывается, что принятые меры противоречат или имеют результаты или последствия, которые противоречат рекомендации Комитета или отражают отклонение рекомендации.</w:t>
            </w:r>
          </w:p>
        </w:tc>
      </w:tr>
    </w:tbl>
    <w:p w14:paraId="72BFB06E" w14:textId="7D4366D5" w:rsidR="00B71B56" w:rsidRPr="002E6F4B" w:rsidRDefault="00B71B56" w:rsidP="00B71B56">
      <w:pPr>
        <w:pStyle w:val="HChG"/>
      </w:pPr>
      <w:r w:rsidRPr="00AE7397">
        <w:rPr>
          <w:bCs/>
        </w:rPr>
        <w:lastRenderedPageBreak/>
        <w:tab/>
        <w:t>II.</w:t>
      </w:r>
      <w:r w:rsidRPr="00AE7397">
        <w:rPr>
          <w:bCs/>
        </w:rPr>
        <w:tab/>
        <w:t xml:space="preserve">Оценка последующей информации, представленной </w:t>
      </w:r>
      <w:r>
        <w:rPr>
          <w:bCs/>
        </w:rPr>
        <w:br/>
      </w:r>
      <w:r w:rsidRPr="00AE7397">
        <w:rPr>
          <w:bCs/>
        </w:rPr>
        <w:t>в соответствии с положениями пункта 1 статьи 29 Конвенции</w:t>
      </w:r>
    </w:p>
    <w:p w14:paraId="3EE0571C" w14:textId="77777777" w:rsidR="00B71B56" w:rsidRPr="00AE7397" w:rsidRDefault="00B71B56" w:rsidP="00B71B56">
      <w:pPr>
        <w:pStyle w:val="H1G"/>
        <w:jc w:val="both"/>
      </w:pPr>
      <w:r w:rsidRPr="00AE7397">
        <w:rPr>
          <w:bCs/>
        </w:rPr>
        <w:tab/>
        <w:t>A.</w:t>
      </w:r>
      <w:r w:rsidRPr="00AE7397">
        <w:rPr>
          <w:bCs/>
        </w:rPr>
        <w:tab/>
        <w:t>Бразилия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968"/>
      </w:tblGrid>
      <w:tr w:rsidR="00B71B56" w:rsidRPr="00EA7CD2" w14:paraId="4176F33A" w14:textId="77777777" w:rsidTr="000376FF"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A9D6C" w14:textId="77777777" w:rsidR="00B71B56" w:rsidRPr="00AE7397" w:rsidRDefault="00B71B56" w:rsidP="000376FF">
            <w:pPr>
              <w:suppressAutoHyphens w:val="0"/>
              <w:spacing w:before="120" w:after="120" w:line="220" w:lineRule="exact"/>
              <w:ind w:right="113"/>
            </w:pPr>
            <w:r w:rsidRPr="00AE7397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60050" w14:textId="36CAD6F4" w:rsidR="00B71B56" w:rsidRPr="002E6F4B" w:rsidRDefault="00CC3059" w:rsidP="000376FF">
            <w:pPr>
              <w:suppressAutoHyphens w:val="0"/>
              <w:spacing w:before="120" w:after="120" w:line="220" w:lineRule="exact"/>
              <w:ind w:right="113"/>
            </w:pPr>
            <w:hyperlink r:id="rId9" w:history="1">
              <w:r w:rsidR="00B71B56" w:rsidRPr="00AE7397">
                <w:rPr>
                  <w:rStyle w:val="af1"/>
                </w:rPr>
                <w:t>CED/C/BRA/CO/1</w:t>
              </w:r>
            </w:hyperlink>
            <w:r w:rsidR="00B71B56">
              <w:t>, приняты 23 сентября 2021 года (двадцать первая сессия)</w:t>
            </w:r>
          </w:p>
        </w:tc>
      </w:tr>
      <w:tr w:rsidR="00B71B56" w:rsidRPr="00EA7CD2" w14:paraId="487752C2" w14:textId="77777777" w:rsidTr="000376FF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DBCB5" w14:textId="77777777" w:rsidR="00B71B56" w:rsidRPr="00AE7397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rPr>
                <w:b/>
                <w:bCs/>
              </w:rPr>
              <w:t>Выполняемые рекомендации:</w:t>
            </w:r>
          </w:p>
        </w:tc>
        <w:tc>
          <w:tcPr>
            <w:tcW w:w="39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D2DEB" w14:textId="1DCCF83C" w:rsidR="00B71B56" w:rsidRPr="002E6F4B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t xml:space="preserve">Пункты 13 (статистическая информация), </w:t>
            </w:r>
            <w:r>
              <w:br/>
            </w:r>
            <w:r w:rsidRPr="00AE7397">
              <w:t xml:space="preserve">15 (преступление насильственного исчезновения) и 19 (военная юстиция) </w:t>
            </w:r>
          </w:p>
        </w:tc>
      </w:tr>
      <w:tr w:rsidR="00B71B56" w14:paraId="15B06F31" w14:textId="77777777" w:rsidTr="000376FF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EB3C5" w14:textId="77777777" w:rsidR="00B71B56" w:rsidRPr="00AE7397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rPr>
                <w:b/>
                <w:bCs/>
              </w:rPr>
              <w:t>Ответ:</w:t>
            </w:r>
          </w:p>
        </w:tc>
        <w:tc>
          <w:tcPr>
            <w:tcW w:w="39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3577E" w14:textId="77777777" w:rsidR="00B71B56" w:rsidRPr="00AE7397" w:rsidRDefault="00CC3059" w:rsidP="000376FF">
            <w:pPr>
              <w:suppressAutoHyphens w:val="0"/>
              <w:spacing w:before="40" w:after="120" w:line="220" w:lineRule="exact"/>
              <w:ind w:right="113"/>
            </w:pPr>
            <w:hyperlink r:id="rId10" w:history="1">
              <w:r w:rsidR="00B71B56" w:rsidRPr="00AE7397">
                <w:rPr>
                  <w:rStyle w:val="af1"/>
                </w:rPr>
                <w:t>CED/C/BRA/FCO/1</w:t>
              </w:r>
            </w:hyperlink>
            <w:r w:rsidR="00B71B56">
              <w:t>, подлежал представлению 27 сентября 2022 года, получен 5 декабря 2022 года</w:t>
            </w:r>
          </w:p>
        </w:tc>
      </w:tr>
      <w:tr w:rsidR="00B71B56" w:rsidRPr="00EA7CD2" w14:paraId="7F77572C" w14:textId="77777777" w:rsidTr="000376FF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66C4A" w14:textId="77777777" w:rsidR="00B71B56" w:rsidRPr="002E6F4B" w:rsidRDefault="00B71B56" w:rsidP="000376FF">
            <w:pPr>
              <w:suppressAutoHyphens w:val="0"/>
              <w:spacing w:before="40" w:after="120" w:line="220" w:lineRule="exact"/>
              <w:ind w:right="113"/>
              <w:rPr>
                <w:b/>
                <w:bCs/>
              </w:rPr>
            </w:pPr>
            <w:r w:rsidRPr="00AE7397">
              <w:rPr>
                <w:b/>
                <w:bCs/>
              </w:rPr>
              <w:t>Информация от других заинтересованных сторон:</w:t>
            </w:r>
          </w:p>
        </w:tc>
        <w:tc>
          <w:tcPr>
            <w:tcW w:w="39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52349" w14:textId="6E41F1B3" w:rsidR="00B71B56" w:rsidRPr="002E6F4B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t xml:space="preserve">Федеральная служба государственной защиты, полученная 14 декабря 2022 года, </w:t>
            </w:r>
            <w:r>
              <w:br/>
            </w:r>
            <w:r w:rsidRPr="00AE7397">
              <w:t xml:space="preserve">и </w:t>
            </w:r>
            <w:proofErr w:type="spellStart"/>
            <w:r w:rsidRPr="00AE7397">
              <w:t>Conectas</w:t>
            </w:r>
            <w:proofErr w:type="spellEnd"/>
            <w:r w:rsidRPr="00AE7397">
              <w:t xml:space="preserve"> </w:t>
            </w:r>
            <w:proofErr w:type="spellStart"/>
            <w:r w:rsidRPr="00AE7397">
              <w:t>Direitos</w:t>
            </w:r>
            <w:proofErr w:type="spellEnd"/>
            <w:r w:rsidRPr="00AE7397">
              <w:t xml:space="preserve"> </w:t>
            </w:r>
            <w:proofErr w:type="spellStart"/>
            <w:r w:rsidRPr="00AE7397">
              <w:t>Humanos</w:t>
            </w:r>
            <w:proofErr w:type="spellEnd"/>
            <w:r w:rsidRPr="00AE7397">
              <w:t xml:space="preserve">, полученная </w:t>
            </w:r>
            <w:r>
              <w:br/>
            </w:r>
            <w:r w:rsidRPr="00AE7397">
              <w:t>26 декабря 2022 года</w:t>
            </w:r>
          </w:p>
        </w:tc>
      </w:tr>
    </w:tbl>
    <w:p w14:paraId="205820E8" w14:textId="77777777" w:rsidR="00B71B56" w:rsidRPr="002E6F4B" w:rsidRDefault="00B71B56" w:rsidP="00B71B56">
      <w:pPr>
        <w:pStyle w:val="SingleTxtG"/>
        <w:spacing w:before="240"/>
        <w:rPr>
          <w:b/>
          <w:bCs/>
        </w:rPr>
      </w:pPr>
      <w:r w:rsidRPr="00AE7397">
        <w:rPr>
          <w:b/>
          <w:bCs/>
        </w:rPr>
        <w:t>Пункт 13: Государству-участнику следует принять необходимые меры для незамедлительного получения точной и актуальной статистической информации об исчезнувших лицах в разбивке по полу, возрасту, гражданству, месту происхождения и расовому или этническому происхождению. Такая статистическая информация должна включать дату исчезновения; количество лиц, которые были обнаружены, живых или умерших; а также количество случаев, в которых могла иметь место причастность государства в той или иной форме по смыслу статьи 2 Конвенции. В этой связи Комитет рекомендует государству-участнику ускорить создание Национального реестра исчезнувших лиц, обеспечив, чтобы он содержал как минимум всю информацию, упомянутую в настоящей рекомендации.</w:t>
      </w:r>
    </w:p>
    <w:p w14:paraId="6FF329BD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5E95201C" w14:textId="5F5CB012" w:rsidR="00B71B56" w:rsidRPr="002E6F4B" w:rsidRDefault="00B71B56" w:rsidP="00B71B56">
      <w:pPr>
        <w:pStyle w:val="SingleTxtG"/>
      </w:pPr>
      <w:r w:rsidRPr="00AE7397">
        <w:t>4.</w:t>
      </w:r>
      <w:r w:rsidRPr="00AE7397">
        <w:tab/>
        <w:t>Ответ государства-участника содержится в</w:t>
      </w:r>
      <w:r w:rsidRPr="00B71B56">
        <w:t xml:space="preserve"> документе </w:t>
      </w:r>
      <w:bookmarkStart w:id="0" w:name="_Hlk145075665"/>
      <w:r>
        <w:fldChar w:fldCharType="begin"/>
      </w:r>
      <w:r>
        <w:instrText xml:space="preserve"> HYPERLINK "http://undocs.org/en/CED/C/BRA/FCO/1" </w:instrText>
      </w:r>
      <w:r>
        <w:fldChar w:fldCharType="separate"/>
      </w:r>
      <w:r w:rsidRPr="00B71B56">
        <w:rPr>
          <w:rStyle w:val="af1"/>
        </w:rPr>
        <w:t>CED/C/BRA/FCO/1</w:t>
      </w:r>
      <w:bookmarkEnd w:id="0"/>
      <w:r>
        <w:fldChar w:fldCharType="end"/>
      </w:r>
      <w:r w:rsidRPr="00AE7397">
        <w:rPr>
          <w:rStyle w:val="af1"/>
        </w:rPr>
        <w:t>,</w:t>
      </w:r>
      <w:r w:rsidRPr="00AE7397">
        <w:t xml:space="preserve"> пункты 1 и 2.</w:t>
      </w:r>
    </w:p>
    <w:p w14:paraId="19FDB41B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34F332CC" w14:textId="77777777" w:rsidR="00B71B56" w:rsidRPr="002E6F4B" w:rsidRDefault="00B71B56" w:rsidP="00B71B56">
      <w:pPr>
        <w:pStyle w:val="SingleTxtG"/>
      </w:pPr>
      <w:r w:rsidRPr="00AE7397">
        <w:t>5.</w:t>
      </w:r>
      <w:r w:rsidRPr="00AE7397">
        <w:tab/>
      </w:r>
      <w:r w:rsidRPr="00AE7397">
        <w:rPr>
          <w:b/>
          <w:bCs/>
        </w:rPr>
        <w:t>[С]:</w:t>
      </w:r>
      <w:r w:rsidRPr="00AE7397">
        <w:t xml:space="preserve"> Комитет принимает к сведению представленную государством-участником информацию о сборе государственными органами статистических данных о случаях исчезновения. Однако Комитет отмечает, что упомянутые данные не позволяют идентифицировать жертв насильственных исчезновений. Хотя, согласно имеющейся информации, в полицию Бразилии было сообщено о 65 225 случаях исчезновения, число случаев насильственного исчезновения не может быть выведено из этой общей цифры, и отсутствует информация о поле, возрасте, гражданстве, месте происхождения и расовом или этническом происхождении исчезнувших лиц, дате исчезновения или количестве лиц, которые были обнаружены, живых или умерших. Поэтому Комитет повторяет свою рекомендацию, содержащуюся в пункте 13 его заключительных замечаний, о том, чтобы государство-участник незамедлительно собирало точную и актуальную статистическую информацию об исчезнувших лицах, и просит государство-участник представить обновленную информацию по этому вопросу в своем следующем докладе согласно пункту 4 статьи 29 Конвенции.</w:t>
      </w:r>
    </w:p>
    <w:p w14:paraId="70F07E6B" w14:textId="77777777" w:rsidR="00B71B56" w:rsidRPr="002E6F4B" w:rsidRDefault="00B71B56" w:rsidP="00B71B56">
      <w:pPr>
        <w:pStyle w:val="SingleTxtG"/>
        <w:rPr>
          <w:b/>
          <w:bCs/>
        </w:rPr>
      </w:pPr>
      <w:r w:rsidRPr="00AE7397">
        <w:rPr>
          <w:b/>
          <w:bCs/>
        </w:rPr>
        <w:t xml:space="preserve">Пункт 15: Комитет рекомендует государству-участнику принять необходимые меры, призванные: а) ускорить признание насильственного исчезновения самостоятельным преступлением, обеспечив, чтобы его определение полностью соответствовало статье 2 Конвенции и чтобы оно предусматривало надлежащие </w:t>
      </w:r>
      <w:r w:rsidRPr="00AE7397">
        <w:rPr>
          <w:b/>
          <w:bCs/>
        </w:rPr>
        <w:lastRenderedPageBreak/>
        <w:t>наказания с учетом его крайней тяжести; b) обеспечить, чтобы применение вновь введенной квалификации в делах о насильственных исчезновениях, совершенных до вступления в силу соответствующей нормы, но продолжавшихся после этого, не подпадало под какие-либо ограничения, в том числе те, которые могут быть наложены на основании Закона об амнистии.</w:t>
      </w:r>
    </w:p>
    <w:p w14:paraId="552EC58E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7E5DCDFF" w14:textId="632172F1" w:rsidR="00B71B56" w:rsidRPr="002E6F4B" w:rsidRDefault="00B71B56" w:rsidP="00B71B56">
      <w:pPr>
        <w:pStyle w:val="SingleTxtG"/>
      </w:pPr>
      <w:r w:rsidRPr="00AE7397">
        <w:t>6.</w:t>
      </w:r>
      <w:r w:rsidRPr="00AE7397">
        <w:tab/>
        <w:t xml:space="preserve">Ответ государства-участника содержится в документе </w:t>
      </w:r>
      <w:hyperlink r:id="rId11" w:history="1">
        <w:r w:rsidRPr="00AE7397">
          <w:rPr>
            <w:rStyle w:val="af1"/>
          </w:rPr>
          <w:t>CED/C/BRA/FCO/1</w:t>
        </w:r>
      </w:hyperlink>
      <w:r w:rsidRPr="00AE7397">
        <w:t>, пункты 3 и 4.</w:t>
      </w:r>
    </w:p>
    <w:p w14:paraId="6FB4A1AD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7FAB555E" w14:textId="3F24F082" w:rsidR="00B71B56" w:rsidRPr="002E6F4B" w:rsidRDefault="00B71B56" w:rsidP="00B71B56">
      <w:pPr>
        <w:pStyle w:val="SingleTxtG"/>
      </w:pPr>
      <w:r w:rsidRPr="00AE7397">
        <w:t>7.</w:t>
      </w:r>
      <w:r w:rsidRPr="00AE7397">
        <w:tab/>
      </w:r>
      <w:r w:rsidRPr="00AE7397">
        <w:rPr>
          <w:b/>
          <w:bCs/>
        </w:rPr>
        <w:t>[С]:</w:t>
      </w:r>
      <w:r w:rsidRPr="00AE7397">
        <w:t xml:space="preserve"> Комитет отмечает, что, по утверждению государства-участника, Главное координационное управление по делам исчезнувших лиц выразило положительное заключение по законопроекту № 6240/2013, что, по утверждению государства-участника, свидетельствует о его заинтересованности в принятии рекомендаций, представленных Комитетом. Хотя законопроект, который находится на рассмотрении в Палате депутатов, определяет преступление насильственного исчезновения в соответствии со статьей 2 Конвенции и признает, что это преступление не имеет срока давности, отдельная квалификация преступления насильственного исчезновения еще не утверждена. Кроме того, Комитет отмечает, что государство-участник не представило информации о второй части его рекомендаций, касающихся Закона об амнистии, который может исключать судебное преследование за деяния, совершенные в период диктатуры. Поэтому Комитет повторяет рекомендацию, содержащуюся в пункте 15 его заключительных замечаний, и просит государство-участник представить обновленную информацию по этому вопросу в его следующем докладе согласно пункту 4 статьи 29 Конвенции.</w:t>
      </w:r>
    </w:p>
    <w:p w14:paraId="6AF6EA29" w14:textId="4ACB763D" w:rsidR="00B71B56" w:rsidRPr="002E6F4B" w:rsidRDefault="00B71B56" w:rsidP="00B71B56">
      <w:pPr>
        <w:pStyle w:val="SingleTxtG"/>
        <w:rPr>
          <w:b/>
          <w:bCs/>
        </w:rPr>
      </w:pPr>
      <w:r w:rsidRPr="00AE7397">
        <w:rPr>
          <w:b/>
          <w:bCs/>
        </w:rPr>
        <w:t>Пункт 19: Ссылаясь на свое заявление о насильственных исчезновениях и военной юстиции</w:t>
      </w:r>
      <w:r>
        <w:rPr>
          <w:rStyle w:val="aa"/>
        </w:rPr>
        <w:footnoteReference w:id="3"/>
      </w:r>
      <w:r w:rsidRPr="00B71B56">
        <w:rPr>
          <w:b/>
          <w:bCs/>
        </w:rPr>
        <w:t>,</w:t>
      </w:r>
      <w:r w:rsidRPr="00AE7397">
        <w:rPr>
          <w:b/>
          <w:bCs/>
        </w:rPr>
        <w:t xml:space="preserve"> Комитет рекомендует государству-участнику безотлагательно принять необходимые меры для обеспечения того, чтобы расследование и уголовное преследование по делам о насильственных исчезновениях прямо исключались из подсудности военных судов.</w:t>
      </w:r>
    </w:p>
    <w:p w14:paraId="1D822035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241A47BB" w14:textId="323F3F48" w:rsidR="00B71B56" w:rsidRPr="002E6F4B" w:rsidRDefault="00B71B56" w:rsidP="00B71B56">
      <w:pPr>
        <w:pStyle w:val="SingleTxtG"/>
      </w:pPr>
      <w:r w:rsidRPr="00AE7397">
        <w:t>8.</w:t>
      </w:r>
      <w:r w:rsidRPr="00AE7397">
        <w:tab/>
        <w:t>Ответ государства-участника содержится в</w:t>
      </w:r>
      <w:hyperlink r:id="rId12" w:history="1">
        <w:r w:rsidRPr="00AE7397">
          <w:rPr>
            <w:rStyle w:val="af1"/>
          </w:rPr>
          <w:t xml:space="preserve"> CED/C/BRA/FCO/1</w:t>
        </w:r>
      </w:hyperlink>
      <w:r w:rsidRPr="00AE7397">
        <w:t>, пункты 5–7.</w:t>
      </w:r>
    </w:p>
    <w:p w14:paraId="1F3E866F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3CB81E53" w14:textId="77777777" w:rsidR="00B71B56" w:rsidRPr="002E6F4B" w:rsidRDefault="00B71B56" w:rsidP="00B71B56">
      <w:pPr>
        <w:pStyle w:val="SingleTxtG"/>
      </w:pPr>
      <w:r w:rsidRPr="00AE7397">
        <w:t>9.</w:t>
      </w:r>
      <w:r w:rsidRPr="00AE7397">
        <w:tab/>
      </w:r>
      <w:r w:rsidRPr="00AE7397">
        <w:rPr>
          <w:b/>
          <w:bCs/>
        </w:rPr>
        <w:t xml:space="preserve">[С]: </w:t>
      </w:r>
      <w:r w:rsidRPr="00AE7397">
        <w:t>Комитет принимает к сведению заявление государства-участника о том, что военные суды не обладают компетенцией для судебного преследования и рассмотрения дел о насильственных исчезновениях. Тем не менее не приводится никакой дополнительной информации о мерах, принятых для обеспечения осуществления этого принципа на практике, особенно с учетом полученных Комитетом утверждений о том, что с 2004 года объем компетенции военной юстиции расширился. В этой связи Комитет отмечает, что, согласно имеющейся информации, хотя система гражданского правосудия сохраняет за собой юрисдикцию в отношении умышленных убийств гражданских лиц военнослужащими, государственная система военной юстиции и военная полиция считают, что дознание должно по-прежнему проводиться военными, а не гражданскими органами. Кроме того, в соответствии с положениями Закона № 13491/2017 воинские преступления, связанные с насильственными исчезновениями, по-прежнему могут расследоваться военными властями и рассматриваться военным судом. С учетом этого Комитет повторяет рекомендацию, содержащуюся в пункте 19 его заключительных замечаний, и просит государство-участник представить обновленную информацию по этому вопросу в его следующем докладе согласно пункту 4 статьи 29 Конвенции.</w:t>
      </w:r>
    </w:p>
    <w:p w14:paraId="7E70335C" w14:textId="77777777" w:rsidR="00B71B56" w:rsidRPr="002E6F4B" w:rsidRDefault="00B71B56" w:rsidP="00B71B56">
      <w:pPr>
        <w:pStyle w:val="H23G"/>
      </w:pPr>
      <w:r w:rsidRPr="00AE7397">
        <w:rPr>
          <w:bCs/>
        </w:rPr>
        <w:lastRenderedPageBreak/>
        <w:tab/>
      </w:r>
      <w:r w:rsidRPr="00AE7397">
        <w:rPr>
          <w:bCs/>
        </w:rPr>
        <w:tab/>
        <w:t>Решение Комитета</w:t>
      </w:r>
    </w:p>
    <w:p w14:paraId="316F4F20" w14:textId="77777777" w:rsidR="00B71B56" w:rsidRPr="002E6F4B" w:rsidRDefault="00B71B56" w:rsidP="00B71B56">
      <w:pPr>
        <w:pStyle w:val="SingleTxtG"/>
      </w:pPr>
      <w:r w:rsidRPr="00AE7397">
        <w:t>10.</w:t>
      </w:r>
      <w:r w:rsidRPr="00AE7397">
        <w:tab/>
        <w:t>Комитет решает направить письмо государству-участнику с изложением своей оценки. В письме будет подчеркнуто, что при выполнении рекомендаций Комитета и при представлении дополнительной информации согласно пункту 4 статьи 29 Конвенции государству-участнику следует учитывать конкретные указания и просьбы о предоставлении информации, содержащиеся в настоящем докладе.</w:t>
      </w:r>
    </w:p>
    <w:p w14:paraId="163B5E76" w14:textId="19B10720" w:rsidR="00B71B56" w:rsidRPr="002E6F4B" w:rsidRDefault="00B71B56" w:rsidP="00B71B56">
      <w:pPr>
        <w:pStyle w:val="SingleTxtG"/>
      </w:pPr>
      <w:r w:rsidRPr="00AE7397">
        <w:t>11.</w:t>
      </w:r>
      <w:r>
        <w:tab/>
      </w:r>
      <w:r w:rsidRPr="00AE7397">
        <w:t xml:space="preserve">Крайний срок представления государством-участником дополнительной информации согласно пункту 4 статьи 29 Конвенции </w:t>
      </w:r>
      <w:r>
        <w:rPr>
          <w:lang w:val="en-US"/>
        </w:rPr>
        <w:t>⸺</w:t>
      </w:r>
      <w:r w:rsidRPr="00AE7397">
        <w:t xml:space="preserve"> 27 сентября 2027 года.</w:t>
      </w:r>
    </w:p>
    <w:p w14:paraId="7EA3948E" w14:textId="77777777" w:rsidR="00B71B56" w:rsidRPr="00AE7397" w:rsidRDefault="00B71B56" w:rsidP="00B71B56">
      <w:pPr>
        <w:pStyle w:val="H1G"/>
      </w:pPr>
      <w:r w:rsidRPr="00AE7397">
        <w:rPr>
          <w:bCs/>
        </w:rPr>
        <w:tab/>
        <w:t>B.</w:t>
      </w:r>
      <w:r w:rsidRPr="00AE7397">
        <w:rPr>
          <w:bCs/>
        </w:rPr>
        <w:tab/>
        <w:t>Монголия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968"/>
      </w:tblGrid>
      <w:tr w:rsidR="00B71B56" w:rsidRPr="00EA7CD2" w14:paraId="2C05963E" w14:textId="77777777" w:rsidTr="000376FF">
        <w:trPr>
          <w:trHeight w:val="239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6F48F" w14:textId="77777777" w:rsidR="00B71B56" w:rsidRPr="00AE7397" w:rsidRDefault="00B71B56" w:rsidP="000376FF">
            <w:pPr>
              <w:suppressAutoHyphens w:val="0"/>
              <w:spacing w:before="120" w:after="120" w:line="220" w:lineRule="exact"/>
              <w:ind w:right="113"/>
            </w:pPr>
            <w:r w:rsidRPr="00AE7397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0FE39" w14:textId="6FE12FFB" w:rsidR="00B71B56" w:rsidRPr="002E6F4B" w:rsidRDefault="00CC3059" w:rsidP="000376FF">
            <w:pPr>
              <w:suppressAutoHyphens w:val="0"/>
              <w:spacing w:before="120" w:after="120" w:line="220" w:lineRule="exact"/>
              <w:ind w:right="113"/>
            </w:pPr>
            <w:hyperlink r:id="rId13" w:history="1">
              <w:r w:rsidR="00B71B56" w:rsidRPr="00AE7397">
                <w:rPr>
                  <w:rStyle w:val="af1"/>
                </w:rPr>
                <w:t>CED/C/MNG/CO/1</w:t>
              </w:r>
            </w:hyperlink>
            <w:r w:rsidR="00B71B56">
              <w:t>, приняты 6 мая 2021 года (двадцатая сессия)</w:t>
            </w:r>
          </w:p>
        </w:tc>
      </w:tr>
      <w:tr w:rsidR="00B71B56" w:rsidRPr="00EA7CD2" w14:paraId="43220989" w14:textId="77777777" w:rsidTr="000376FF">
        <w:trPr>
          <w:trHeight w:val="519"/>
        </w:trPr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19193" w14:textId="77777777" w:rsidR="00B71B56" w:rsidRPr="00AE7397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rPr>
                <w:b/>
                <w:bCs/>
              </w:rPr>
              <w:t xml:space="preserve">Выполняемые рекомендации: </w:t>
            </w:r>
          </w:p>
        </w:tc>
        <w:tc>
          <w:tcPr>
            <w:tcW w:w="39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AB86D" w14:textId="77777777" w:rsidR="00B71B56" w:rsidRPr="002E6F4B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t>Пункты 17 (преступление насильственного исчезновения), 35 (обучение) и 39 (правовое положение исчезнувших лиц, судьба которых не выяснена, и их родственников)</w:t>
            </w:r>
          </w:p>
        </w:tc>
      </w:tr>
      <w:tr w:rsidR="00B71B56" w14:paraId="794FA676" w14:textId="77777777" w:rsidTr="000376FF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4A1BE" w14:textId="77777777" w:rsidR="00B71B56" w:rsidRPr="00AE7397" w:rsidRDefault="00B71B56" w:rsidP="000376FF">
            <w:pPr>
              <w:suppressAutoHyphens w:val="0"/>
              <w:spacing w:before="40" w:after="120" w:line="220" w:lineRule="exact"/>
              <w:ind w:right="113"/>
            </w:pPr>
            <w:r w:rsidRPr="00AE7397">
              <w:rPr>
                <w:b/>
                <w:bCs/>
              </w:rPr>
              <w:t>Ответ:</w:t>
            </w:r>
          </w:p>
        </w:tc>
        <w:tc>
          <w:tcPr>
            <w:tcW w:w="39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DA8BF" w14:textId="376B084E" w:rsidR="00B71B56" w:rsidRPr="00AE7397" w:rsidRDefault="00CC3059" w:rsidP="000376FF">
            <w:pPr>
              <w:suppressAutoHyphens w:val="0"/>
              <w:spacing w:before="40" w:after="120" w:line="220" w:lineRule="exact"/>
              <w:ind w:right="113"/>
            </w:pPr>
            <w:hyperlink r:id="rId14" w:history="1">
              <w:r w:rsidR="00B71B56" w:rsidRPr="00AE7397">
                <w:rPr>
                  <w:rStyle w:val="af1"/>
                </w:rPr>
                <w:t>CED/C/MNG/FCO/1</w:t>
              </w:r>
            </w:hyperlink>
            <w:r w:rsidR="00B71B56">
              <w:t xml:space="preserve">, подлежал представлению 7 мая 2022 года, получен </w:t>
            </w:r>
            <w:r w:rsidR="00B71B56">
              <w:br/>
              <w:t>9 сентября 2022 года</w:t>
            </w:r>
          </w:p>
        </w:tc>
      </w:tr>
    </w:tbl>
    <w:p w14:paraId="7FB1FF77" w14:textId="77777777" w:rsidR="00B71B56" w:rsidRPr="002E6F4B" w:rsidRDefault="00B71B56" w:rsidP="00B71B56">
      <w:pPr>
        <w:pStyle w:val="SingleTxtG"/>
        <w:spacing w:before="240"/>
        <w:rPr>
          <w:b/>
          <w:bCs/>
        </w:rPr>
      </w:pPr>
      <w:r w:rsidRPr="00AE7397">
        <w:rPr>
          <w:b/>
          <w:bCs/>
        </w:rPr>
        <w:t>Пункт 17: Комитет рекомендует государству-участнику принять необходимые законодательные меры для приведения определения насильственного исчезновения, содержащегося в статье 13.4 Уголовного кодекса, в полное соответствие с определением, содержащимся в статье 2 Конвенции.</w:t>
      </w:r>
    </w:p>
    <w:p w14:paraId="6AA26925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73A8A673" w14:textId="77777777" w:rsidR="00B71B56" w:rsidRPr="002E6F4B" w:rsidRDefault="00B71B56" w:rsidP="00B71B56">
      <w:pPr>
        <w:pStyle w:val="SingleTxtG"/>
      </w:pPr>
      <w:r w:rsidRPr="00AE7397">
        <w:t>12.</w:t>
      </w:r>
      <w:r w:rsidRPr="00AE7397">
        <w:tab/>
        <w:t>Ответ государства-участника содержится в</w:t>
      </w:r>
      <w:hyperlink r:id="rId15" w:history="1">
        <w:r w:rsidRPr="00AE7397">
          <w:rPr>
            <w:rStyle w:val="af1"/>
          </w:rPr>
          <w:t xml:space="preserve"> CED/C/MNG/FCO/1</w:t>
        </w:r>
      </w:hyperlink>
      <w:r w:rsidRPr="00AE7397">
        <w:t>, пункты 2 и 3.</w:t>
      </w:r>
    </w:p>
    <w:p w14:paraId="28068D34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1E63CE72" w14:textId="43EA4347" w:rsidR="00B71B56" w:rsidRPr="002E6F4B" w:rsidRDefault="00B71B56" w:rsidP="00B71B56">
      <w:pPr>
        <w:pStyle w:val="SingleTxtG"/>
      </w:pPr>
      <w:r w:rsidRPr="00AE7397">
        <w:t>13.</w:t>
      </w:r>
      <w:r w:rsidRPr="00AE7397">
        <w:tab/>
      </w:r>
      <w:r w:rsidRPr="00AE7397">
        <w:rPr>
          <w:b/>
          <w:bCs/>
        </w:rPr>
        <w:t>[С]:</w:t>
      </w:r>
      <w:r w:rsidRPr="00AE7397">
        <w:t xml:space="preserve"> Комитет с удовлетворением отмечает, что государство-участник приняло законодательные меры по внесению поправок в свой Уголовный кодекс с целью пересмотра определения отдельного преступления насильственного исчезновения, которое ранее содержалось в статье 13.4 Уголовного кодекса, и что соответствующий законопроект, включая проект статьи 29.12 о насильственных исчезновениях,</w:t>
      </w:r>
      <w:r>
        <w:br/>
      </w:r>
      <w:r w:rsidRPr="00AE7397">
        <w:t xml:space="preserve">в настоящее время находится на рассмотрении парламента. Тем не менее Комитет </w:t>
      </w:r>
      <w:r w:rsidR="00A7454C">
        <w:br/>
      </w:r>
      <w:r w:rsidRPr="00AE7397">
        <w:t xml:space="preserve">по-прежнему обеспокоен тем, что, хотя в законопроекте отражены некоторые элементы определения, содержащегося в статьях 2, 5, 6 и 7 Конвенции, его нынешняя формулировка не полностью соответствует Конвенции. </w:t>
      </w:r>
    </w:p>
    <w:p w14:paraId="75F3BAFC" w14:textId="77777777" w:rsidR="00B71B56" w:rsidRPr="002E6F4B" w:rsidRDefault="00B71B56" w:rsidP="00B71B56">
      <w:pPr>
        <w:pStyle w:val="SingleTxtG"/>
      </w:pPr>
      <w:r w:rsidRPr="00AE7397">
        <w:t>14.</w:t>
      </w:r>
      <w:r w:rsidRPr="00AE7397">
        <w:tab/>
        <w:t>В этой связи Комитет хотел бы обратить внимание государства-участника на следующие ключевые моменты нынешнего проекта статьи 29.12 законопроекта.</w:t>
      </w:r>
    </w:p>
    <w:p w14:paraId="22595201" w14:textId="77777777" w:rsidR="00B71B56" w:rsidRPr="002E6F4B" w:rsidRDefault="00B71B56" w:rsidP="00B71B56">
      <w:pPr>
        <w:pStyle w:val="H4G"/>
      </w:pPr>
      <w:r w:rsidRPr="00AE7397">
        <w:rPr>
          <w:iCs/>
        </w:rPr>
        <w:tab/>
      </w:r>
      <w:r w:rsidRPr="00AE7397">
        <w:rPr>
          <w:iCs/>
        </w:rPr>
        <w:tab/>
        <w:t>Статья 2 Конвенции</w:t>
      </w:r>
    </w:p>
    <w:p w14:paraId="57ABBEF6" w14:textId="77777777" w:rsidR="00B71B56" w:rsidRPr="002E6F4B" w:rsidRDefault="00B71B56" w:rsidP="00B71B56">
      <w:pPr>
        <w:pStyle w:val="SingleTxtG"/>
      </w:pPr>
      <w:r w:rsidRPr="00AE7397">
        <w:t>15.</w:t>
      </w:r>
      <w:r w:rsidRPr="00AE7397">
        <w:tab/>
        <w:t>Что касается лишения свободы в какой бы то ни было форме против воли исчезнувшего лица, то Комитет рекомендует государству-участнику:</w:t>
      </w:r>
    </w:p>
    <w:p w14:paraId="72C9D1F5" w14:textId="7E53EF92" w:rsidR="00B71B56" w:rsidRPr="00B71B56" w:rsidRDefault="00B71B56" w:rsidP="00B71B56">
      <w:pPr>
        <w:pStyle w:val="SingleTxtG"/>
      </w:pPr>
      <w:r>
        <w:tab/>
      </w:r>
      <w:r w:rsidRPr="00AE7397">
        <w:t xml:space="preserve">а) </w:t>
      </w:r>
      <w:r w:rsidR="00DF44CF">
        <w:tab/>
      </w:r>
      <w:r w:rsidRPr="00AE7397">
        <w:t xml:space="preserve">опустить определение </w:t>
      </w:r>
      <w:r>
        <w:t>«</w:t>
      </w:r>
      <w:r w:rsidRPr="00AE7397">
        <w:t>незаконные</w:t>
      </w:r>
      <w:r>
        <w:t>»</w:t>
      </w:r>
      <w:r w:rsidRPr="00AE7397">
        <w:t xml:space="preserve"> в отношении актов лишения свободы, поскольку насильственное исчезновение может быть инициировано законным лишением свободы, за которым следуют другие действия, делающие его незаконным</w:t>
      </w:r>
      <w:r>
        <w:rPr>
          <w:rStyle w:val="aa"/>
        </w:rPr>
        <w:footnoteReference w:id="4"/>
      </w:r>
      <w:r>
        <w:t>;</w:t>
      </w:r>
    </w:p>
    <w:p w14:paraId="4388A81A" w14:textId="751AAD58" w:rsidR="00B71B56" w:rsidRPr="002E6F4B" w:rsidRDefault="00B71B56" w:rsidP="00B71B56">
      <w:pPr>
        <w:pStyle w:val="SingleTxtG"/>
      </w:pPr>
      <w:r>
        <w:lastRenderedPageBreak/>
        <w:tab/>
      </w:r>
      <w:r w:rsidRPr="00AE7397">
        <w:t xml:space="preserve">b) </w:t>
      </w:r>
      <w:r w:rsidR="00DF44CF">
        <w:tab/>
      </w:r>
      <w:r w:rsidRPr="00AE7397">
        <w:t xml:space="preserve">исключить фразу </w:t>
      </w:r>
      <w:r>
        <w:t>«</w:t>
      </w:r>
      <w:r w:rsidRPr="00AE7397">
        <w:t>или причинили ущерб или ущерб законным правам и интересам лица в результате лишения его свободы</w:t>
      </w:r>
      <w:r>
        <w:t>»</w:t>
      </w:r>
      <w:r w:rsidRPr="00AE7397">
        <w:t xml:space="preserve"> (пункт 1), поскольку такое последствие не предусмотрено статьей 2 Конвенции, и эта фраза добавляет требования, которые могут нанести ущерб толкованию и сфере применения преступления насильственного исчезновения.</w:t>
      </w:r>
    </w:p>
    <w:p w14:paraId="6CA5D046" w14:textId="05EF3521" w:rsidR="00B71B56" w:rsidRPr="002E6F4B" w:rsidRDefault="00B71B56" w:rsidP="00B71B56">
      <w:pPr>
        <w:pStyle w:val="SingleTxtG"/>
      </w:pPr>
      <w:r w:rsidRPr="00AE7397">
        <w:t>16.</w:t>
      </w:r>
      <w:r w:rsidRPr="00AE7397">
        <w:tab/>
        <w:t xml:space="preserve">Что касается отказа признать лишение свободы или сокрытие информации о судьбе или местонахождении исчезнувшего лица, то Комитет предлагает государству-участнику использовать точную формулировку, использованную в статье 2 Конвенции, а именно: </w:t>
      </w:r>
      <w:r w:rsidR="0061279B">
        <w:t>«</w:t>
      </w:r>
      <w:r w:rsidRPr="00AE7397">
        <w:t>при последующем отказе признать факт лишения свободы или сокрытии данных о судьбе или местонахождении исчезнувшего лица, вследствие чего это лицо было оставлено без защиты закона</w:t>
      </w:r>
      <w:r w:rsidR="0061279B">
        <w:t>»</w:t>
      </w:r>
      <w:r w:rsidRPr="00AE7397">
        <w:t>.</w:t>
      </w:r>
    </w:p>
    <w:p w14:paraId="3033FDAC" w14:textId="77777777" w:rsidR="00B71B56" w:rsidRPr="002E6F4B" w:rsidRDefault="00B71B56" w:rsidP="00B71B56">
      <w:pPr>
        <w:pStyle w:val="SingleTxtG"/>
      </w:pPr>
      <w:r w:rsidRPr="00AE7397">
        <w:t>17.</w:t>
      </w:r>
      <w:r w:rsidRPr="00AE7397">
        <w:tab/>
        <w:t>Что касается прямого или косвенного участия государства, то Комитет рекомендует государству-участнику:</w:t>
      </w:r>
    </w:p>
    <w:p w14:paraId="55978D38" w14:textId="6AA45E87" w:rsidR="00B71B56" w:rsidRPr="002E6F4B" w:rsidRDefault="00B71B56" w:rsidP="00B71B56">
      <w:pPr>
        <w:pStyle w:val="SingleTxtG"/>
      </w:pPr>
      <w:r w:rsidRPr="00AE7397">
        <w:tab/>
        <w:t xml:space="preserve">а) </w:t>
      </w:r>
      <w:r>
        <w:tab/>
      </w:r>
      <w:r w:rsidRPr="00AE7397">
        <w:t xml:space="preserve">изменить термин </w:t>
      </w:r>
      <w:r>
        <w:t>«</w:t>
      </w:r>
      <w:r w:rsidRPr="00AE7397">
        <w:t>государственное должностное лицо</w:t>
      </w:r>
      <w:r>
        <w:t>»</w:t>
      </w:r>
      <w:r w:rsidRPr="00AE7397">
        <w:t xml:space="preserve"> на </w:t>
      </w:r>
      <w:r>
        <w:t>«</w:t>
      </w:r>
      <w:r w:rsidRPr="00AE7397">
        <w:t>представитель государства</w:t>
      </w:r>
      <w:r>
        <w:t>»</w:t>
      </w:r>
      <w:r w:rsidRPr="00AE7397">
        <w:t xml:space="preserve"> для обеспечения полного соответствия формулировке статьи 2 Конвенции; </w:t>
      </w:r>
    </w:p>
    <w:p w14:paraId="3211801A" w14:textId="2B9485F9" w:rsidR="00B71B56" w:rsidRPr="002E6F4B" w:rsidRDefault="00B71B56" w:rsidP="00B71B56">
      <w:pPr>
        <w:pStyle w:val="SingleTxtG"/>
      </w:pPr>
      <w:r>
        <w:tab/>
      </w:r>
      <w:r w:rsidRPr="00AE7397">
        <w:t xml:space="preserve">b) </w:t>
      </w:r>
      <w:r>
        <w:tab/>
      </w:r>
      <w:r w:rsidRPr="00AE7397">
        <w:t xml:space="preserve">вставить слова </w:t>
      </w:r>
      <w:r>
        <w:t>«</w:t>
      </w:r>
      <w:r w:rsidRPr="00AE7397">
        <w:t>при поддержке</w:t>
      </w:r>
      <w:r>
        <w:t>»</w:t>
      </w:r>
      <w:r w:rsidRPr="00AE7397">
        <w:t xml:space="preserve"> в полном соответствии с формулировкой статьи 2 Конвенции следующего содержания: </w:t>
      </w:r>
      <w:r>
        <w:t>«</w:t>
      </w:r>
      <w:r w:rsidRPr="00AE7397">
        <w:t>действуя с разрешения, при поддержке или с согласия государства</w:t>
      </w:r>
      <w:r>
        <w:t>»</w:t>
      </w:r>
      <w:r w:rsidR="00EB046A">
        <w:t>;</w:t>
      </w:r>
    </w:p>
    <w:p w14:paraId="646C285B" w14:textId="2CD93630" w:rsidR="00B71B56" w:rsidRPr="002E6F4B" w:rsidRDefault="00B71B56" w:rsidP="00B71B56">
      <w:pPr>
        <w:pStyle w:val="SingleTxtG"/>
      </w:pPr>
      <w:r>
        <w:tab/>
      </w:r>
      <w:r w:rsidRPr="00AE7397">
        <w:t xml:space="preserve">с) </w:t>
      </w:r>
      <w:r>
        <w:tab/>
      </w:r>
      <w:r w:rsidRPr="00AE7397">
        <w:t xml:space="preserve">исключить определение </w:t>
      </w:r>
      <w:r>
        <w:t>«</w:t>
      </w:r>
      <w:r w:rsidRPr="00AE7397">
        <w:t>незаконное</w:t>
      </w:r>
      <w:r>
        <w:t>»</w:t>
      </w:r>
      <w:r w:rsidRPr="00AE7397">
        <w:t xml:space="preserve">, используемую в проекте статьи в отношении понятия сокрытия, поскольку это определение предполагало бы возможность </w:t>
      </w:r>
      <w:r>
        <w:t>«</w:t>
      </w:r>
      <w:r w:rsidRPr="00AE7397">
        <w:t>законного</w:t>
      </w:r>
      <w:r>
        <w:t>»</w:t>
      </w:r>
      <w:r w:rsidRPr="00AE7397">
        <w:t xml:space="preserve"> сокрытия судьбы или местонахождения исчезнувшего лица, что несовместимо с абсолютным запретом на насильственное исчезновение, закрепленным в статье 1 Конвенции.</w:t>
      </w:r>
    </w:p>
    <w:p w14:paraId="24550CC4" w14:textId="77777777" w:rsidR="00B71B56" w:rsidRPr="002E6F4B" w:rsidRDefault="00B71B56" w:rsidP="00B71B56">
      <w:pPr>
        <w:pStyle w:val="H4G"/>
      </w:pPr>
      <w:r w:rsidRPr="00AE7397">
        <w:rPr>
          <w:iCs/>
        </w:rPr>
        <w:tab/>
      </w:r>
      <w:r w:rsidRPr="00AE7397">
        <w:rPr>
          <w:iCs/>
        </w:rPr>
        <w:tab/>
        <w:t>Статьи 5, 6 и 7 Конвенции</w:t>
      </w:r>
    </w:p>
    <w:p w14:paraId="6DD78FA5" w14:textId="77777777" w:rsidR="00B71B56" w:rsidRPr="002E6F4B" w:rsidRDefault="00B71B56" w:rsidP="00B71B56">
      <w:pPr>
        <w:pStyle w:val="SingleTxtG"/>
      </w:pPr>
      <w:r w:rsidRPr="00AE7397">
        <w:t>18.</w:t>
      </w:r>
      <w:r w:rsidRPr="00AE7397">
        <w:tab/>
        <w:t>Что касается уголовной ответственности и наказаний, то Комитет отмечает, что в законопроекте рассматриваются элементы статей 6 и 7 Конвенции. Однако Комитет обеспокоен тем, что законопроект не полностью соответствует статьям 6 и 7 Конвенции.</w:t>
      </w:r>
    </w:p>
    <w:p w14:paraId="01AEA1FC" w14:textId="77777777" w:rsidR="00B71B56" w:rsidRPr="002E6F4B" w:rsidRDefault="00B71B56" w:rsidP="00B71B56">
      <w:pPr>
        <w:pStyle w:val="SingleTxtG"/>
      </w:pPr>
      <w:r w:rsidRPr="00AE7397">
        <w:t>19.</w:t>
      </w:r>
      <w:r w:rsidRPr="00AE7397">
        <w:tab/>
        <w:t>Что касается уголовной ответственности, то Комитет рекомендует государству-участнику полностью и точно отразить формулировку статьи 6 Конвенции.</w:t>
      </w:r>
    </w:p>
    <w:p w14:paraId="2388E989" w14:textId="15CBD252" w:rsidR="00B71B56" w:rsidRPr="002E6F4B" w:rsidRDefault="00B71B56" w:rsidP="00B71B56">
      <w:pPr>
        <w:pStyle w:val="SingleTxtG"/>
      </w:pPr>
      <w:r w:rsidRPr="00AE7397">
        <w:t>20.</w:t>
      </w:r>
      <w:r w:rsidRPr="00AE7397">
        <w:tab/>
        <w:t>Отмечая меры наказания, указанные в законопроекте, Комитет повторяет, что эти меры наказания, в частности минимальное наказание в виде одного года лишения свободы при отсутствии отягчающих обстоятельств, несоизмеримы с крайней тяжестью преступления насильственного исчезновения</w:t>
      </w:r>
      <w:r>
        <w:rPr>
          <w:rStyle w:val="aa"/>
        </w:rPr>
        <w:footnoteReference w:id="5"/>
      </w:r>
      <w:r>
        <w:t>.</w:t>
      </w:r>
      <w:r w:rsidRPr="00AE7397">
        <w:rPr>
          <w:vertAlign w:val="superscript"/>
        </w:rPr>
        <w:t xml:space="preserve"> </w:t>
      </w:r>
    </w:p>
    <w:p w14:paraId="5673EDF5" w14:textId="0FDF35C0" w:rsidR="00B71B56" w:rsidRPr="002E6F4B" w:rsidRDefault="00B71B56" w:rsidP="00B71B56">
      <w:pPr>
        <w:pStyle w:val="SingleTxtG"/>
      </w:pPr>
      <w:r w:rsidRPr="00AE7397">
        <w:t>21.</w:t>
      </w:r>
      <w:r w:rsidRPr="00AE7397">
        <w:tab/>
        <w:t xml:space="preserve">Кроме того, Комитет обеспокоен тем, что с помощью формулировки </w:t>
      </w:r>
      <w:r>
        <w:t>«</w:t>
      </w:r>
      <w:r w:rsidRPr="00AE7397">
        <w:t>если только совершение этих деяний не носит характера других правонарушений, предусмотренных в Особенной части настоящего Кодекса</w:t>
      </w:r>
      <w:r>
        <w:t>»</w:t>
      </w:r>
      <w:r w:rsidRPr="00AE7397">
        <w:t>, законопроект увязывает наказание за насильственное исчезновение с наказаниями за другие правонарушения, которые могут быть связаны с ним.</w:t>
      </w:r>
    </w:p>
    <w:p w14:paraId="387CC1E5" w14:textId="77777777" w:rsidR="00B71B56" w:rsidRPr="002E6F4B" w:rsidRDefault="00B71B56" w:rsidP="00B71B56">
      <w:pPr>
        <w:pStyle w:val="SingleTxtG"/>
      </w:pPr>
      <w:r w:rsidRPr="00AE7397">
        <w:t>22.</w:t>
      </w:r>
      <w:r w:rsidRPr="00AE7397">
        <w:tab/>
        <w:t xml:space="preserve">С учетом этого Комитет рекомендует государству-участнику: </w:t>
      </w:r>
    </w:p>
    <w:p w14:paraId="25274BA1" w14:textId="47505F2B" w:rsidR="00B71B56" w:rsidRPr="002E6F4B" w:rsidRDefault="00B71B56" w:rsidP="00B71B56">
      <w:pPr>
        <w:pStyle w:val="SingleTxtG"/>
      </w:pPr>
      <w:r>
        <w:tab/>
      </w:r>
      <w:r w:rsidRPr="00AE7397">
        <w:t xml:space="preserve">а) </w:t>
      </w:r>
      <w:r>
        <w:tab/>
      </w:r>
      <w:r w:rsidRPr="00AE7397">
        <w:t>обеспечить, чтобы меры наказания, предусмотренные в его новом Уголовном кодексе, должным образом учитывали крайнюю тяжесть преступления насильственного исчезновения;</w:t>
      </w:r>
    </w:p>
    <w:p w14:paraId="6F8D265E" w14:textId="715FC41E" w:rsidR="00B71B56" w:rsidRPr="002E6F4B" w:rsidRDefault="00B71B56" w:rsidP="00B71B56">
      <w:pPr>
        <w:pStyle w:val="SingleTxtG"/>
      </w:pPr>
      <w:r>
        <w:tab/>
      </w:r>
      <w:r w:rsidRPr="00AE7397">
        <w:t xml:space="preserve">b) </w:t>
      </w:r>
      <w:r>
        <w:tab/>
      </w:r>
      <w:r w:rsidRPr="00AE7397">
        <w:t>удалить все формулировки, связывающие наказание за насильственное исчезновение с наказанием за другие правонарушения, которые могут быть связаны с ним.</w:t>
      </w:r>
    </w:p>
    <w:p w14:paraId="0DD4A990" w14:textId="77777777" w:rsidR="00DF44CF" w:rsidRDefault="00DF44CF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1505DDE9" w14:textId="1B790C2C" w:rsidR="00B71B56" w:rsidRPr="002E6F4B" w:rsidRDefault="00B71B56" w:rsidP="00B71B56">
      <w:pPr>
        <w:pStyle w:val="SingleTxtG"/>
      </w:pPr>
      <w:r w:rsidRPr="00AE7397">
        <w:lastRenderedPageBreak/>
        <w:t>23.</w:t>
      </w:r>
      <w:r w:rsidRPr="00AE7397">
        <w:tab/>
        <w:t>Кроме того, Комитет обеспокоен формулировками, используемыми в пункте 3 проекта статьи, поскольку они отходят от Конвенции. В частности, Конвенция не устанавливает различия между тем, ложится ли уголовная ответственность на одно лицо или на группу лиц, и затрагивает ли правонарушение одно лицо или несколько лиц. Соответственно, Комитет рекомендует государству-участнику:</w:t>
      </w:r>
    </w:p>
    <w:p w14:paraId="1D1EED91" w14:textId="525C44E1" w:rsidR="00B71B56" w:rsidRPr="002E6F4B" w:rsidRDefault="00B71B56" w:rsidP="00B71B56">
      <w:pPr>
        <w:pStyle w:val="SingleTxtG"/>
      </w:pPr>
      <w:r>
        <w:tab/>
      </w:r>
      <w:r w:rsidRPr="00AE7397">
        <w:t xml:space="preserve">а) </w:t>
      </w:r>
      <w:r>
        <w:tab/>
      </w:r>
      <w:r w:rsidRPr="00AE7397">
        <w:t xml:space="preserve">использовать точную формулировку пункта 2 статьи 7 в отношении смягчающих и отягчающих обстоятельств и исключить примечание, </w:t>
      </w:r>
      <w:r>
        <w:br/>
      </w:r>
      <w:r w:rsidRPr="00AE7397">
        <w:t>не соответствующее Конвенции;</w:t>
      </w:r>
    </w:p>
    <w:p w14:paraId="468C96D0" w14:textId="59DA7A2D" w:rsidR="00B71B56" w:rsidRPr="002E6F4B" w:rsidRDefault="00B71B56" w:rsidP="00B71B56">
      <w:pPr>
        <w:pStyle w:val="SingleTxtG"/>
      </w:pPr>
      <w:r>
        <w:tab/>
      </w:r>
      <w:r w:rsidRPr="00AE7397">
        <w:t xml:space="preserve">b) </w:t>
      </w:r>
      <w:r>
        <w:tab/>
      </w:r>
      <w:r w:rsidRPr="00AE7397">
        <w:t>обеспечить проведение в полном соответствии с Конвенцией и другими международными нормами пересмотра формулировки пункта 3.1. В этой связи Комитет отмечает следующее:</w:t>
      </w:r>
    </w:p>
    <w:p w14:paraId="1A8279D0" w14:textId="7BADB741" w:rsidR="00B71B56" w:rsidRPr="002E6F4B" w:rsidRDefault="00B71B56" w:rsidP="00B71B56">
      <w:pPr>
        <w:pStyle w:val="SingleTxtG"/>
        <w:ind w:left="1701"/>
      </w:pPr>
      <w:r w:rsidRPr="00AE7397">
        <w:t xml:space="preserve">i) </w:t>
      </w:r>
      <w:r>
        <w:tab/>
      </w:r>
      <w:r w:rsidRPr="00AE7397">
        <w:t xml:space="preserve">слово </w:t>
      </w:r>
      <w:r>
        <w:t>«</w:t>
      </w:r>
      <w:r w:rsidRPr="00AE7397">
        <w:t>недееспособность</w:t>
      </w:r>
      <w:r>
        <w:t>»</w:t>
      </w:r>
      <w:r w:rsidRPr="00AE7397">
        <w:t xml:space="preserve"> следует толковать как </w:t>
      </w:r>
      <w:r>
        <w:t>«</w:t>
      </w:r>
      <w:r w:rsidRPr="00AE7397">
        <w:t>инвалидность</w:t>
      </w:r>
      <w:r>
        <w:t>»</w:t>
      </w:r>
      <w:r w:rsidRPr="00AE7397">
        <w:t xml:space="preserve"> </w:t>
      </w:r>
      <w:r>
        <w:br/>
      </w:r>
      <w:r w:rsidRPr="00AE7397">
        <w:t>в соответствии с Конвенцией о правах инвалидов;</w:t>
      </w:r>
    </w:p>
    <w:p w14:paraId="1A87E8A5" w14:textId="3B606273" w:rsidR="00B71B56" w:rsidRPr="002E6F4B" w:rsidRDefault="00B71B56" w:rsidP="00B71B56">
      <w:pPr>
        <w:pStyle w:val="SingleTxtG"/>
        <w:ind w:left="1701"/>
      </w:pPr>
      <w:r w:rsidRPr="00AE7397">
        <w:t xml:space="preserve">ii) </w:t>
      </w:r>
      <w:r>
        <w:tab/>
      </w:r>
      <w:r w:rsidRPr="00AE7397">
        <w:t>текст следует изменить, чтобы ответственность виновных с отягчающими обстоятельствами не ограничивалась случаями, когда виновный не знал об инвалидности потерпевшего;</w:t>
      </w:r>
    </w:p>
    <w:p w14:paraId="6AF4D1BD" w14:textId="38CB46C7" w:rsidR="00B71B56" w:rsidRPr="002E6F4B" w:rsidRDefault="00B71B56" w:rsidP="00B71B56">
      <w:pPr>
        <w:pStyle w:val="SingleTxtG"/>
        <w:ind w:left="1701"/>
      </w:pPr>
      <w:r w:rsidRPr="00AE7397">
        <w:t xml:space="preserve">iii) </w:t>
      </w:r>
      <w:r>
        <w:tab/>
      </w:r>
      <w:r w:rsidRPr="00AE7397">
        <w:t xml:space="preserve">другие условия привлечения виновных к ответственности с отягчающими обстоятельствами, не предусмотренные в статье 2 Конвенции, а именно требование о том, чтобы преступление было совершено в отношении </w:t>
      </w:r>
      <w:r>
        <w:t>«</w:t>
      </w:r>
      <w:r w:rsidRPr="00AE7397">
        <w:t>лица, находящегося под его контролем</w:t>
      </w:r>
      <w:r>
        <w:t>»</w:t>
      </w:r>
      <w:r w:rsidRPr="00AE7397">
        <w:t xml:space="preserve"> или </w:t>
      </w:r>
      <w:r>
        <w:t>«</w:t>
      </w:r>
      <w:r w:rsidRPr="00AE7397">
        <w:t>лица, которое не в состоянии защитить себя</w:t>
      </w:r>
      <w:r>
        <w:t>»</w:t>
      </w:r>
      <w:r w:rsidRPr="00AE7397">
        <w:t>, следует удалить;</w:t>
      </w:r>
    </w:p>
    <w:p w14:paraId="4D1F2AA8" w14:textId="3279A7EB" w:rsidR="00B71B56" w:rsidRPr="002E6F4B" w:rsidRDefault="00B71B56" w:rsidP="00B71B56">
      <w:pPr>
        <w:pStyle w:val="SingleTxtG"/>
      </w:pPr>
      <w:r>
        <w:tab/>
        <w:t xml:space="preserve">c) </w:t>
      </w:r>
      <w:r w:rsidR="00DF44CF">
        <w:tab/>
      </w:r>
      <w:r>
        <w:t>прямо признать насильственное исчезновение преступлением против человечности в соответствии со статьей 5 Конвенции</w:t>
      </w:r>
      <w:r>
        <w:rPr>
          <w:rStyle w:val="aa"/>
        </w:rPr>
        <w:footnoteReference w:id="6"/>
      </w:r>
      <w:r w:rsidR="00767D9E" w:rsidRPr="00767D9E">
        <w:t>.</w:t>
      </w:r>
      <w:r>
        <w:rPr>
          <w:vertAlign w:val="superscript"/>
        </w:rPr>
        <w:t xml:space="preserve"> </w:t>
      </w:r>
    </w:p>
    <w:p w14:paraId="3FB4578E" w14:textId="77777777" w:rsidR="00B71B56" w:rsidRPr="002E6F4B" w:rsidRDefault="00B71B56" w:rsidP="00B71B56">
      <w:pPr>
        <w:pStyle w:val="SingleTxtG"/>
      </w:pPr>
      <w:r w:rsidRPr="00AE7397">
        <w:t>24.</w:t>
      </w:r>
      <w:r w:rsidRPr="00AE7397">
        <w:tab/>
        <w:t xml:space="preserve">Поэтому Комитет повторяет свои рекомендации, содержащиеся в пунктах 17, 19, 21 и 23 его заключительных замечаний, и просит государство-участник предоставить обновленную информацию об их выполнении при представлении своего следующего доклада согласно пункту 4 статьи 29 Конвенции. </w:t>
      </w:r>
    </w:p>
    <w:p w14:paraId="048FCB57" w14:textId="77777777" w:rsidR="00B71B56" w:rsidRPr="002E6F4B" w:rsidRDefault="00B71B56" w:rsidP="00B71B56">
      <w:pPr>
        <w:pStyle w:val="SingleTxtG"/>
        <w:rPr>
          <w:b/>
          <w:bCs/>
        </w:rPr>
      </w:pPr>
      <w:r w:rsidRPr="00AE7397">
        <w:rPr>
          <w:b/>
          <w:bCs/>
        </w:rPr>
        <w:t>Пункт 35: Комитет рекомендует государству-участнику обеспечить, чтобы все сотрудники правоохранительных органов и служб безопасности, как гражданских, так и военных,  медицинский персонал, государственные должностные лица и другие лица, которые могут быть причастны к содержанию под стражей или обращению с лицами, лишенными свободы, включая судей, прокуроров и других должностных лиц, ответственных за отправление правосудия, регулярно проходили специальную подготовку по положениям Конвенции в соответствии с положениями пункта 1 статьи 23.</w:t>
      </w:r>
    </w:p>
    <w:p w14:paraId="1B787989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77DB47B2" w14:textId="69670E5E" w:rsidR="00B71B56" w:rsidRPr="002E6F4B" w:rsidRDefault="00B71B56" w:rsidP="00B71B56">
      <w:pPr>
        <w:pStyle w:val="SingleTxtG"/>
      </w:pPr>
      <w:r w:rsidRPr="00AE7397">
        <w:t>25.</w:t>
      </w:r>
      <w:r w:rsidRPr="00AE7397">
        <w:tab/>
        <w:t>Ответ государства-участника содержится в</w:t>
      </w:r>
      <w:r>
        <w:t xml:space="preserve"> </w:t>
      </w:r>
      <w:hyperlink r:id="rId16" w:history="1">
        <w:r w:rsidRPr="00AE7397">
          <w:rPr>
            <w:rStyle w:val="af1"/>
          </w:rPr>
          <w:t>CED/C/MNG/FCO/1</w:t>
        </w:r>
      </w:hyperlink>
      <w:r w:rsidRPr="00AE7397">
        <w:t>, пункт 4.</w:t>
      </w:r>
    </w:p>
    <w:p w14:paraId="325A6A15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51A46931" w14:textId="319F1054" w:rsidR="00B71B56" w:rsidRPr="002E6F4B" w:rsidRDefault="00B71B56" w:rsidP="00B71B56">
      <w:pPr>
        <w:pStyle w:val="SingleTxtG"/>
      </w:pPr>
      <w:r w:rsidRPr="00AE7397">
        <w:t>26.</w:t>
      </w:r>
      <w:r w:rsidRPr="00AE7397">
        <w:tab/>
      </w:r>
      <w:r w:rsidRPr="00AE7397">
        <w:rPr>
          <w:b/>
          <w:bCs/>
        </w:rPr>
        <w:t xml:space="preserve">[B]: </w:t>
      </w:r>
      <w:r w:rsidRPr="00AE7397">
        <w:t xml:space="preserve">Комитет принимает к сведению представленную государством-участником информацию о том, что ведется работа по созданию рабочей группы, а также отмечает, что в докладе государства-участника не содержится никакой информации о конкретных мерах, принятых в этом отношении. Однако в электронном письме </w:t>
      </w:r>
      <w:r>
        <w:br/>
      </w:r>
      <w:r w:rsidRPr="00AE7397">
        <w:t>от 7 декабря 2022 года Постоянное представительство Монголии</w:t>
      </w:r>
      <w:bookmarkStart w:id="1" w:name="_Hlk75948647"/>
      <w:r w:rsidRPr="00AE7397">
        <w:t xml:space="preserve"> при</w:t>
      </w:r>
      <w:bookmarkStart w:id="2" w:name="_Hlk26365471"/>
      <w:r w:rsidRPr="00AE7397">
        <w:t xml:space="preserve"> Организации Объединенных Наций</w:t>
      </w:r>
      <w:bookmarkStart w:id="3" w:name="_Hlk75950090"/>
      <w:r w:rsidRPr="00AE7397">
        <w:t xml:space="preserve"> и других международных организациях в </w:t>
      </w:r>
      <w:bookmarkEnd w:id="3"/>
      <w:r w:rsidRPr="00AE7397">
        <w:t>Женеве</w:t>
      </w:r>
      <w:bookmarkEnd w:id="1"/>
      <w:bookmarkEnd w:id="2"/>
      <w:r w:rsidRPr="00AE7397">
        <w:t xml:space="preserve"> проинформировало Комитет о том, что в Министерстве юстиции и внутренних дел будет создана межведомственная рабочая группа, ответственная за выполнение рекомендаций Комитета, и что был разработан план действий, предусматривающий организацию многочисленных учебных мероприятий по Конвенции и ее применению для судей, прокуроров, сотрудников правоохранительных органов, юристов и студентов юридических факультетов. Комитет приветствует подтверждение того, что </w:t>
      </w:r>
      <w:r w:rsidRPr="00AE7397">
        <w:lastRenderedPageBreak/>
        <w:t xml:space="preserve">такой прогресс был достигнут, и просит государство-участник представить более полную и обновленную информацию в этой связи, в том числе о том, была ли создана рабочая группа и были ли проведены запланированные учебные мероприятия, в своем следующем докладе согласно пункту 4 статьи 29 Конвенции. </w:t>
      </w:r>
    </w:p>
    <w:p w14:paraId="2B64542B" w14:textId="77777777" w:rsidR="00B71B56" w:rsidRPr="002E6F4B" w:rsidRDefault="00B71B56" w:rsidP="00B71B56">
      <w:pPr>
        <w:pStyle w:val="SingleTxtG"/>
        <w:rPr>
          <w:b/>
          <w:bCs/>
        </w:rPr>
      </w:pPr>
      <w:r w:rsidRPr="00AE7397">
        <w:rPr>
          <w:b/>
          <w:bCs/>
        </w:rPr>
        <w:t>Пункт 39: В свете положений пункта 6 статьи 24 Конвенции Комитет рекомендует государству-участнику принять необходимые меры по пересмотру своего законодательства, чтобы оно надлежащим образом регулировало правовое положение исчезнувших лиц, судьба которых не установлена, и их родственников в таких областях, как социальное обеспечение, финансовые вопросы, семейное право и имущественные права, не требуя, чтобы исчезнувшее лицо было признано умершим. В этой связи Комитет настоятельно призывает государство-участник установить процедуру получения заявления об отсутствии в результате насильственного исчезновения.</w:t>
      </w:r>
    </w:p>
    <w:p w14:paraId="42FDC785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Ответ государства-участника</w:t>
      </w:r>
    </w:p>
    <w:p w14:paraId="1CDC0140" w14:textId="3E423ABC" w:rsidR="00B71B56" w:rsidRPr="002E6F4B" w:rsidRDefault="00B71B56" w:rsidP="00B71B56">
      <w:pPr>
        <w:pStyle w:val="SingleTxtG"/>
      </w:pPr>
      <w:r w:rsidRPr="00AE7397">
        <w:t>27.</w:t>
      </w:r>
      <w:r w:rsidRPr="00AE7397">
        <w:tab/>
        <w:t>Ответ государства-участника содержится в</w:t>
      </w:r>
      <w:r>
        <w:t xml:space="preserve"> </w:t>
      </w:r>
      <w:hyperlink r:id="rId17" w:history="1">
        <w:r w:rsidRPr="00AE7397">
          <w:rPr>
            <w:rStyle w:val="af1"/>
          </w:rPr>
          <w:t>CED/C/MNG/FCO/1</w:t>
        </w:r>
      </w:hyperlink>
      <w:r w:rsidRPr="00AE7397">
        <w:t>, пункт 5.</w:t>
      </w:r>
    </w:p>
    <w:p w14:paraId="3F28B61D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Оценка Комитета</w:t>
      </w:r>
    </w:p>
    <w:p w14:paraId="17DF436A" w14:textId="74ED633D" w:rsidR="00B71B56" w:rsidRPr="002E6F4B" w:rsidRDefault="00B71B56" w:rsidP="00B71B56">
      <w:pPr>
        <w:pStyle w:val="SingleTxtG"/>
      </w:pPr>
      <w:r w:rsidRPr="00AE7397">
        <w:t>28.</w:t>
      </w:r>
      <w:r w:rsidRPr="00AE7397">
        <w:tab/>
      </w:r>
      <w:r w:rsidRPr="00AE7397">
        <w:rPr>
          <w:b/>
          <w:bCs/>
        </w:rPr>
        <w:t>[С]:</w:t>
      </w:r>
      <w:r w:rsidRPr="00AE7397">
        <w:t xml:space="preserve"> Комитет принимает к сведению предоставленную государством-участником информацию о том, что ведется работа по созданию рабочей группы. Тем не менее никакой дополнительной информации не предоставлено. Поэтому Комитет повторяет рекомендацию, содержащуюся в пункте 39 его заключительных замечаний, и просит государство-участник представить обновленную информацию по этому вопросу в его следующем докладе согласно пункту 4 статьи 29 Конвенции. </w:t>
      </w:r>
    </w:p>
    <w:p w14:paraId="6B29FAEB" w14:textId="77777777" w:rsidR="00B71B56" w:rsidRPr="002E6F4B" w:rsidRDefault="00B71B56" w:rsidP="00B71B56">
      <w:pPr>
        <w:pStyle w:val="H23G"/>
      </w:pPr>
      <w:r w:rsidRPr="00AE7397">
        <w:rPr>
          <w:bCs/>
        </w:rPr>
        <w:tab/>
      </w:r>
      <w:r w:rsidRPr="00AE7397">
        <w:rPr>
          <w:bCs/>
        </w:rPr>
        <w:tab/>
        <w:t>Решение Комитета</w:t>
      </w:r>
    </w:p>
    <w:p w14:paraId="448BF92A" w14:textId="78C7F59F" w:rsidR="00B71B56" w:rsidRPr="002E6F4B" w:rsidRDefault="00B71B56" w:rsidP="00B71B56">
      <w:pPr>
        <w:pStyle w:val="SingleTxtG"/>
      </w:pPr>
      <w:r w:rsidRPr="00AE7397">
        <w:t>29.</w:t>
      </w:r>
      <w:r w:rsidRPr="00AE7397">
        <w:tab/>
        <w:t>Комитет постановляет направить письмо государству-участнику с сообщением о своей оценке и предложением государству-участнику представить доклад согласно пункту 4 статьи 29 Конвенции. Этот доклад должен содержать обновленную информацию о мерах, принятых для выполнения всех рекомендаций Комитета, содержащихся в его заключительных замечаниях, и, в частности, трех пунктов, отнесенных к числу приоритетных для последующей деятельности. В этом контексте в письме будет подчеркнуто, что государству-участнику следует принять во внимание конкретные рекомендации и просьбы о предоставлении информации, содержащиеся в настоящем докладе, а также Руководящие принципы поиска пропавших без вести лиц</w:t>
      </w:r>
      <w:r>
        <w:rPr>
          <w:rStyle w:val="aa"/>
        </w:rPr>
        <w:footnoteReference w:id="7"/>
      </w:r>
      <w:r>
        <w:t>.</w:t>
      </w:r>
    </w:p>
    <w:p w14:paraId="48E29A65" w14:textId="1DA03D87" w:rsidR="00B71B56" w:rsidRPr="002E6F4B" w:rsidRDefault="00B71B56" w:rsidP="00B71B56">
      <w:pPr>
        <w:pStyle w:val="SingleTxtG"/>
      </w:pPr>
      <w:r w:rsidRPr="00AE7397">
        <w:t>30.</w:t>
      </w:r>
      <w:r w:rsidRPr="00AE7397">
        <w:tab/>
        <w:t xml:space="preserve">Крайний срок представления государством-участником своего следующего доклада согласно пункту 4 статьи 29 Конвенции </w:t>
      </w:r>
      <w:r>
        <w:t>⸺</w:t>
      </w:r>
      <w:r w:rsidRPr="00AE7397">
        <w:t xml:space="preserve"> 5 апреля 2027 года.</w:t>
      </w:r>
    </w:p>
    <w:p w14:paraId="384A023D" w14:textId="77777777" w:rsidR="00B71B56" w:rsidRPr="002E6F4B" w:rsidRDefault="00B71B56" w:rsidP="00B71B56">
      <w:pPr>
        <w:spacing w:before="240"/>
        <w:jc w:val="center"/>
      </w:pPr>
      <w:r w:rsidRPr="00AE7397">
        <w:rPr>
          <w:u w:val="single"/>
        </w:rPr>
        <w:tab/>
      </w:r>
      <w:r w:rsidRPr="00AE7397">
        <w:rPr>
          <w:u w:val="single"/>
        </w:rPr>
        <w:tab/>
      </w:r>
      <w:r w:rsidRPr="00AE7397">
        <w:rPr>
          <w:u w:val="single"/>
        </w:rPr>
        <w:tab/>
      </w:r>
    </w:p>
    <w:p w14:paraId="5D2E7547" w14:textId="0EA17ECB" w:rsidR="002B0591" w:rsidRPr="00B71B56" w:rsidRDefault="002B0591" w:rsidP="008027E5"/>
    <w:p w14:paraId="0A125B37" w14:textId="77777777" w:rsidR="00381C24" w:rsidRPr="00B71B56" w:rsidRDefault="00381C24" w:rsidP="008027E5"/>
    <w:sectPr w:rsidR="00381C24" w:rsidRPr="00B71B56" w:rsidSect="002B0591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BE255" w14:textId="77777777" w:rsidR="00ED3228" w:rsidRPr="00A312BC" w:rsidRDefault="00ED3228" w:rsidP="00A312BC"/>
  </w:endnote>
  <w:endnote w:type="continuationSeparator" w:id="0">
    <w:p w14:paraId="5BB2DD4F" w14:textId="77777777" w:rsidR="00ED3228" w:rsidRPr="00A312BC" w:rsidRDefault="00ED322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8A622" w14:textId="3EC5AAA2" w:rsidR="002B0591" w:rsidRPr="002B0591" w:rsidRDefault="002B0591">
    <w:pPr>
      <w:pStyle w:val="a8"/>
    </w:pPr>
    <w:r w:rsidRPr="002B0591">
      <w:rPr>
        <w:b/>
        <w:sz w:val="18"/>
      </w:rPr>
      <w:fldChar w:fldCharType="begin"/>
    </w:r>
    <w:r w:rsidRPr="002B0591">
      <w:rPr>
        <w:b/>
        <w:sz w:val="18"/>
      </w:rPr>
      <w:instrText xml:space="preserve"> PAGE  \* MERGEFORMAT </w:instrText>
    </w:r>
    <w:r w:rsidRPr="002B0591">
      <w:rPr>
        <w:b/>
        <w:sz w:val="18"/>
      </w:rPr>
      <w:fldChar w:fldCharType="separate"/>
    </w:r>
    <w:r w:rsidRPr="002B0591">
      <w:rPr>
        <w:b/>
        <w:noProof/>
        <w:sz w:val="18"/>
      </w:rPr>
      <w:t>2</w:t>
    </w:r>
    <w:r w:rsidRPr="002B0591">
      <w:rPr>
        <w:b/>
        <w:sz w:val="18"/>
      </w:rPr>
      <w:fldChar w:fldCharType="end"/>
    </w:r>
    <w:r>
      <w:rPr>
        <w:b/>
        <w:sz w:val="18"/>
      </w:rPr>
      <w:tab/>
    </w:r>
    <w:r>
      <w:t>GE.23-06836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2035" w14:textId="24ACCB67" w:rsidR="002B0591" w:rsidRPr="002B0591" w:rsidRDefault="002B0591" w:rsidP="002B0591">
    <w:pPr>
      <w:pStyle w:val="a8"/>
      <w:tabs>
        <w:tab w:val="clear" w:pos="9639"/>
        <w:tab w:val="right" w:pos="9638"/>
      </w:tabs>
      <w:rPr>
        <w:b/>
        <w:sz w:val="18"/>
      </w:rPr>
    </w:pPr>
    <w:r>
      <w:t>GE.23-06836</w:t>
    </w:r>
    <w:r>
      <w:tab/>
    </w:r>
    <w:r w:rsidRPr="002B0591">
      <w:rPr>
        <w:b/>
        <w:sz w:val="18"/>
      </w:rPr>
      <w:fldChar w:fldCharType="begin"/>
    </w:r>
    <w:r w:rsidRPr="002B0591">
      <w:rPr>
        <w:b/>
        <w:sz w:val="18"/>
      </w:rPr>
      <w:instrText xml:space="preserve"> PAGE  \* MERGEFORMAT </w:instrText>
    </w:r>
    <w:r w:rsidRPr="002B0591">
      <w:rPr>
        <w:b/>
        <w:sz w:val="18"/>
      </w:rPr>
      <w:fldChar w:fldCharType="separate"/>
    </w:r>
    <w:r w:rsidRPr="002B0591">
      <w:rPr>
        <w:b/>
        <w:noProof/>
        <w:sz w:val="18"/>
      </w:rPr>
      <w:t>3</w:t>
    </w:r>
    <w:r w:rsidRPr="002B05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2169" w14:textId="65F73C24" w:rsidR="00042B72" w:rsidRPr="00A96F29" w:rsidRDefault="002B0591" w:rsidP="002B059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BE4BFB6" wp14:editId="37DC6AA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23-06836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F76A39" wp14:editId="479088D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6F29">
      <w:rPr>
        <w:lang w:val="en-US"/>
      </w:rPr>
      <w:t xml:space="preserve">  260623  080923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AC610" w14:textId="77777777" w:rsidR="00ED3228" w:rsidRPr="001075E9" w:rsidRDefault="00ED322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36537C" w14:textId="77777777" w:rsidR="00ED3228" w:rsidRDefault="00ED322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44A712" w14:textId="3E96818C" w:rsidR="00B71B56" w:rsidRPr="002E6F4B" w:rsidRDefault="00B71B56" w:rsidP="00B71B56">
      <w:pPr>
        <w:pStyle w:val="ad"/>
      </w:pPr>
      <w:r w:rsidRPr="00B71B56">
        <w:rPr>
          <w:rStyle w:val="aa"/>
          <w:vertAlign w:val="baseline"/>
        </w:rPr>
        <w:tab/>
      </w:r>
      <w:r w:rsidRPr="00B71B56">
        <w:rPr>
          <w:rStyle w:val="aa"/>
          <w:sz w:val="20"/>
          <w:vertAlign w:val="baseline"/>
        </w:rPr>
        <w:t>*</w:t>
      </w:r>
      <w:r w:rsidRPr="008E515B">
        <w:rPr>
          <w:rStyle w:val="aa"/>
          <w:sz w:val="20"/>
        </w:rPr>
        <w:tab/>
      </w:r>
      <w:r w:rsidRPr="00EA7343">
        <w:t>Принят Комитетом на его семьдесят третьей сессии (20–31 марта 2023 года).</w:t>
      </w:r>
    </w:p>
  </w:footnote>
  <w:footnote w:id="2">
    <w:p w14:paraId="06CA06E7" w14:textId="2EF4B7FE" w:rsidR="00B71B56" w:rsidRPr="00B71B56" w:rsidRDefault="00B71B56" w:rsidP="00B71B56">
      <w:pPr>
        <w:pStyle w:val="ad"/>
        <w:rPr>
          <w:lang w:val="en-US"/>
        </w:rPr>
      </w:pPr>
      <w:r>
        <w:tab/>
      </w:r>
      <w:r w:rsidRPr="00DB35F1">
        <w:rPr>
          <w:rStyle w:val="aa"/>
        </w:rPr>
        <w:footnoteRef/>
      </w:r>
      <w:r w:rsidRPr="002E6F4B">
        <w:rPr>
          <w:lang w:val="en-US"/>
        </w:rPr>
        <w:tab/>
      </w:r>
      <w:hyperlink r:id="rId1" w:history="1">
        <w:r w:rsidRPr="002E6F4B">
          <w:rPr>
            <w:rStyle w:val="af1"/>
            <w:lang w:val="en-US"/>
          </w:rPr>
          <w:t>CED/C/BRA/FCO/1</w:t>
        </w:r>
      </w:hyperlink>
      <w:r w:rsidRPr="002E6F4B">
        <w:rPr>
          <w:lang w:val="en-US"/>
        </w:rPr>
        <w:t xml:space="preserve"> </w:t>
      </w:r>
      <w:r>
        <w:t>и</w:t>
      </w:r>
      <w:r>
        <w:rPr>
          <w:lang w:val="en-US"/>
        </w:rPr>
        <w:t xml:space="preserve"> </w:t>
      </w:r>
      <w:hyperlink r:id="rId2" w:history="1">
        <w:r w:rsidRPr="002E6F4B">
          <w:rPr>
            <w:rStyle w:val="af1"/>
            <w:lang w:val="en-US"/>
          </w:rPr>
          <w:t>CED/C/MNG/FCO/1</w:t>
        </w:r>
      </w:hyperlink>
      <w:r w:rsidRPr="002E6F4B">
        <w:rPr>
          <w:lang w:val="en-US"/>
        </w:rPr>
        <w:t>.</w:t>
      </w:r>
    </w:p>
  </w:footnote>
  <w:footnote w:id="3">
    <w:p w14:paraId="0F778996" w14:textId="58160B97" w:rsidR="00B71B56" w:rsidRPr="00767D9E" w:rsidRDefault="00B71B56" w:rsidP="00B71B56">
      <w:pPr>
        <w:pStyle w:val="ad"/>
      </w:pPr>
      <w:r w:rsidRPr="002E6F4B">
        <w:rPr>
          <w:lang w:val="en-US"/>
        </w:rPr>
        <w:tab/>
      </w:r>
      <w:r w:rsidRPr="00DB35F1">
        <w:rPr>
          <w:rStyle w:val="aa"/>
        </w:rPr>
        <w:footnoteRef/>
      </w:r>
      <w:r w:rsidRPr="00767D9E">
        <w:tab/>
      </w:r>
      <w:hyperlink r:id="rId3" w:history="1">
        <w:r w:rsidRPr="00545269">
          <w:rPr>
            <w:rStyle w:val="af1"/>
          </w:rPr>
          <w:t>А</w:t>
        </w:r>
        <w:r w:rsidRPr="00767D9E">
          <w:rPr>
            <w:rStyle w:val="af1"/>
          </w:rPr>
          <w:t>/70/56</w:t>
        </w:r>
      </w:hyperlink>
      <w:r w:rsidRPr="00767D9E">
        <w:t xml:space="preserve">, </w:t>
      </w:r>
      <w:r>
        <w:t>приложение</w:t>
      </w:r>
      <w:r w:rsidRPr="00767D9E">
        <w:t xml:space="preserve"> </w:t>
      </w:r>
      <w:r w:rsidRPr="002E6F4B">
        <w:rPr>
          <w:lang w:val="en-US"/>
        </w:rPr>
        <w:t>III</w:t>
      </w:r>
      <w:r w:rsidRPr="00767D9E">
        <w:t>.</w:t>
      </w:r>
    </w:p>
  </w:footnote>
  <w:footnote w:id="4">
    <w:p w14:paraId="77E605C6" w14:textId="21349F77" w:rsidR="00B71B56" w:rsidRPr="00A96F29" w:rsidRDefault="00B71B56" w:rsidP="00B71B56">
      <w:pPr>
        <w:pStyle w:val="ad"/>
      </w:pPr>
      <w:r w:rsidRPr="00767D9E">
        <w:tab/>
      </w:r>
      <w:r w:rsidRPr="00DB35F1">
        <w:rPr>
          <w:rStyle w:val="aa"/>
        </w:rPr>
        <w:footnoteRef/>
      </w:r>
      <w:r w:rsidRPr="00A96F29">
        <w:tab/>
      </w:r>
      <w:hyperlink r:id="rId4" w:history="1">
        <w:r w:rsidRPr="00B71B56">
          <w:rPr>
            <w:rStyle w:val="af1"/>
            <w:lang w:val="en-US"/>
          </w:rPr>
          <w:t>CED</w:t>
        </w:r>
        <w:r w:rsidRPr="00A96F29">
          <w:rPr>
            <w:rStyle w:val="af1"/>
          </w:rPr>
          <w:t>/</w:t>
        </w:r>
        <w:r w:rsidRPr="00B71B56">
          <w:rPr>
            <w:rStyle w:val="af1"/>
            <w:lang w:val="en-US"/>
          </w:rPr>
          <w:t>C</w:t>
        </w:r>
        <w:r w:rsidRPr="00A96F29">
          <w:rPr>
            <w:rStyle w:val="af1"/>
          </w:rPr>
          <w:t>/</w:t>
        </w:r>
        <w:r w:rsidRPr="00B71B56">
          <w:rPr>
            <w:rStyle w:val="af1"/>
            <w:lang w:val="en-US"/>
          </w:rPr>
          <w:t>MNG</w:t>
        </w:r>
        <w:r w:rsidRPr="00A96F29">
          <w:rPr>
            <w:rStyle w:val="af1"/>
          </w:rPr>
          <w:t>/</w:t>
        </w:r>
        <w:r w:rsidRPr="00B71B56">
          <w:rPr>
            <w:rStyle w:val="af1"/>
            <w:lang w:val="en-US"/>
          </w:rPr>
          <w:t>CO</w:t>
        </w:r>
        <w:r w:rsidRPr="00A96F29">
          <w:rPr>
            <w:rStyle w:val="af1"/>
          </w:rPr>
          <w:t>/1</w:t>
        </w:r>
      </w:hyperlink>
      <w:r w:rsidRPr="00A96F29">
        <w:t xml:space="preserve">, </w:t>
      </w:r>
      <w:r>
        <w:t>п</w:t>
      </w:r>
      <w:r w:rsidR="00767D9E" w:rsidRPr="00A96F29">
        <w:t>.</w:t>
      </w:r>
      <w:r w:rsidRPr="00A96F29">
        <w:t xml:space="preserve"> 16.</w:t>
      </w:r>
    </w:p>
  </w:footnote>
  <w:footnote w:id="5">
    <w:p w14:paraId="4E78654E" w14:textId="4570250E" w:rsidR="00B71B56" w:rsidRPr="00B71B56" w:rsidRDefault="00B71B56" w:rsidP="00B71B56">
      <w:pPr>
        <w:pStyle w:val="ad"/>
        <w:rPr>
          <w:lang w:val="en-US"/>
        </w:rPr>
      </w:pPr>
      <w:r w:rsidRPr="00A96F29">
        <w:tab/>
      </w:r>
      <w:r w:rsidRPr="00DB35F1">
        <w:rPr>
          <w:rStyle w:val="aa"/>
        </w:rPr>
        <w:footnoteRef/>
      </w:r>
      <w:r w:rsidRPr="00B71B56">
        <w:rPr>
          <w:lang w:val="en-US"/>
        </w:rPr>
        <w:tab/>
      </w:r>
      <w:hyperlink r:id="rId5" w:history="1">
        <w:r w:rsidRPr="00B71B56">
          <w:rPr>
            <w:rStyle w:val="af1"/>
            <w:lang w:val="en-US"/>
          </w:rPr>
          <w:t>CED/C/MNG/CO/1</w:t>
        </w:r>
      </w:hyperlink>
      <w:r w:rsidRPr="00B71B56">
        <w:rPr>
          <w:lang w:val="en-US"/>
        </w:rPr>
        <w:t xml:space="preserve">, </w:t>
      </w:r>
      <w:r>
        <w:t>п</w:t>
      </w:r>
      <w:r w:rsidR="00767D9E" w:rsidRPr="00767D9E">
        <w:rPr>
          <w:lang w:val="en-US"/>
        </w:rPr>
        <w:t>.</w:t>
      </w:r>
      <w:r w:rsidRPr="00B71B56">
        <w:rPr>
          <w:lang w:val="en-US"/>
        </w:rPr>
        <w:t xml:space="preserve"> 22.</w:t>
      </w:r>
    </w:p>
  </w:footnote>
  <w:footnote w:id="6">
    <w:p w14:paraId="7BD33C38" w14:textId="69087FAB" w:rsidR="00B71B56" w:rsidRPr="00B71B56" w:rsidRDefault="00B71B56" w:rsidP="00B71B56">
      <w:pPr>
        <w:pStyle w:val="ad"/>
        <w:rPr>
          <w:lang w:val="en-US"/>
        </w:rPr>
      </w:pPr>
      <w:r w:rsidRPr="00B71B56">
        <w:rPr>
          <w:lang w:val="en-US"/>
        </w:rPr>
        <w:tab/>
      </w:r>
      <w:r w:rsidRPr="00DB35F1">
        <w:rPr>
          <w:rStyle w:val="aa"/>
        </w:rPr>
        <w:footnoteRef/>
      </w:r>
      <w:r w:rsidRPr="00B71B56">
        <w:rPr>
          <w:lang w:val="en-US"/>
        </w:rPr>
        <w:tab/>
      </w:r>
      <w:hyperlink r:id="rId6" w:history="1">
        <w:r w:rsidRPr="00B71B56">
          <w:rPr>
            <w:rStyle w:val="af1"/>
            <w:lang w:val="en-US"/>
          </w:rPr>
          <w:t>CED/C/MNG/CO/1</w:t>
        </w:r>
      </w:hyperlink>
      <w:r w:rsidRPr="00B71B56">
        <w:rPr>
          <w:lang w:val="en-US"/>
        </w:rPr>
        <w:t>,</w:t>
      </w:r>
      <w:r w:rsidRPr="00B71B56">
        <w:rPr>
          <w:b/>
          <w:bCs/>
          <w:lang w:val="en-US"/>
        </w:rPr>
        <w:t xml:space="preserve"> </w:t>
      </w:r>
      <w:r>
        <w:t>п</w:t>
      </w:r>
      <w:r w:rsidRPr="00B71B56">
        <w:rPr>
          <w:lang w:val="en-US"/>
        </w:rPr>
        <w:t>. 19.</w:t>
      </w:r>
    </w:p>
  </w:footnote>
  <w:footnote w:id="7">
    <w:p w14:paraId="71BA3D35" w14:textId="7A1D3155" w:rsidR="00B71B56" w:rsidRPr="00B71B56" w:rsidRDefault="00B71B56" w:rsidP="00B71B56">
      <w:pPr>
        <w:pStyle w:val="ad"/>
        <w:rPr>
          <w:lang w:val="en-US"/>
        </w:rPr>
      </w:pPr>
      <w:r w:rsidRPr="00B71B56">
        <w:rPr>
          <w:lang w:val="en-US"/>
        </w:rPr>
        <w:tab/>
      </w:r>
      <w:r w:rsidRPr="00DB35F1">
        <w:rPr>
          <w:rStyle w:val="aa"/>
        </w:rPr>
        <w:footnoteRef/>
      </w:r>
      <w:r w:rsidRPr="00B71B56">
        <w:rPr>
          <w:lang w:val="en-US"/>
        </w:rPr>
        <w:tab/>
      </w:r>
      <w:hyperlink r:id="rId7" w:history="1">
        <w:r w:rsidRPr="00B71B56">
          <w:rPr>
            <w:rStyle w:val="af1"/>
            <w:lang w:val="en-US"/>
          </w:rPr>
          <w:t>CED/C/7</w:t>
        </w:r>
      </w:hyperlink>
      <w:r w:rsidRPr="00B71B56">
        <w:rPr>
          <w:lang w:val="en-US"/>
        </w:rPr>
        <w:t xml:space="preserve">, </w:t>
      </w:r>
      <w:r>
        <w:t>приложение</w:t>
      </w:r>
      <w:r w:rsidRPr="00B71B56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CAACC" w14:textId="534D3494" w:rsidR="002B0591" w:rsidRPr="002B0591" w:rsidRDefault="00CC305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CED/C/24/2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114BE" w14:textId="5EF77350" w:rsidR="002B0591" w:rsidRPr="002B0591" w:rsidRDefault="00CC3059" w:rsidP="002B059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CED/C/24/2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0685043">
    <w:abstractNumId w:val="16"/>
  </w:num>
  <w:num w:numId="2" w16cid:durableId="1156648124">
    <w:abstractNumId w:val="11"/>
  </w:num>
  <w:num w:numId="3" w16cid:durableId="1627082632">
    <w:abstractNumId w:val="10"/>
  </w:num>
  <w:num w:numId="4" w16cid:durableId="2013753441">
    <w:abstractNumId w:val="17"/>
  </w:num>
  <w:num w:numId="5" w16cid:durableId="723213684">
    <w:abstractNumId w:val="13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5"/>
  </w:num>
  <w:num w:numId="17" w16cid:durableId="367074840">
    <w:abstractNumId w:val="12"/>
  </w:num>
  <w:num w:numId="18" w16cid:durableId="1030301478">
    <w:abstractNumId w:val="14"/>
  </w:num>
  <w:num w:numId="19" w16cid:durableId="1446777858">
    <w:abstractNumId w:val="15"/>
  </w:num>
  <w:num w:numId="20" w16cid:durableId="539512699">
    <w:abstractNumId w:val="12"/>
  </w:num>
  <w:num w:numId="21" w16cid:durableId="7112713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28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B66EA"/>
    <w:rsid w:val="001C7A89"/>
    <w:rsid w:val="00206F9C"/>
    <w:rsid w:val="00215F21"/>
    <w:rsid w:val="0025002C"/>
    <w:rsid w:val="00277A08"/>
    <w:rsid w:val="002A2EFC"/>
    <w:rsid w:val="002B0591"/>
    <w:rsid w:val="002C0E18"/>
    <w:rsid w:val="002D5AAC"/>
    <w:rsid w:val="002E5067"/>
    <w:rsid w:val="002F405F"/>
    <w:rsid w:val="002F7EEC"/>
    <w:rsid w:val="00301299"/>
    <w:rsid w:val="00305C08"/>
    <w:rsid w:val="003078C0"/>
    <w:rsid w:val="00307FB6"/>
    <w:rsid w:val="00317339"/>
    <w:rsid w:val="00322004"/>
    <w:rsid w:val="003402C2"/>
    <w:rsid w:val="00381C24"/>
    <w:rsid w:val="003958D0"/>
    <w:rsid w:val="003B00E5"/>
    <w:rsid w:val="003B1F6C"/>
    <w:rsid w:val="003D578C"/>
    <w:rsid w:val="00407B78"/>
    <w:rsid w:val="00424203"/>
    <w:rsid w:val="00452493"/>
    <w:rsid w:val="00454E07"/>
    <w:rsid w:val="00472C5C"/>
    <w:rsid w:val="00475A37"/>
    <w:rsid w:val="00485510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1279B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767D9E"/>
    <w:rsid w:val="008027E5"/>
    <w:rsid w:val="008215E3"/>
    <w:rsid w:val="008227B1"/>
    <w:rsid w:val="00825F8D"/>
    <w:rsid w:val="00834B71"/>
    <w:rsid w:val="0086445C"/>
    <w:rsid w:val="00877609"/>
    <w:rsid w:val="00894693"/>
    <w:rsid w:val="008A08D7"/>
    <w:rsid w:val="008B6909"/>
    <w:rsid w:val="008F65DA"/>
    <w:rsid w:val="00906890"/>
    <w:rsid w:val="00911BE4"/>
    <w:rsid w:val="00942A43"/>
    <w:rsid w:val="00951972"/>
    <w:rsid w:val="009608F3"/>
    <w:rsid w:val="009A24AC"/>
    <w:rsid w:val="00A14DA8"/>
    <w:rsid w:val="00A312BC"/>
    <w:rsid w:val="00A7454C"/>
    <w:rsid w:val="00A80998"/>
    <w:rsid w:val="00A84021"/>
    <w:rsid w:val="00A84D35"/>
    <w:rsid w:val="00A917B3"/>
    <w:rsid w:val="00A96F29"/>
    <w:rsid w:val="00AB4B51"/>
    <w:rsid w:val="00B10CC7"/>
    <w:rsid w:val="00B36DF7"/>
    <w:rsid w:val="00B539E7"/>
    <w:rsid w:val="00B54E04"/>
    <w:rsid w:val="00B62458"/>
    <w:rsid w:val="00B71B56"/>
    <w:rsid w:val="00B854AF"/>
    <w:rsid w:val="00BC18B2"/>
    <w:rsid w:val="00BD33EE"/>
    <w:rsid w:val="00C106D6"/>
    <w:rsid w:val="00C60F0C"/>
    <w:rsid w:val="00C805C9"/>
    <w:rsid w:val="00C92939"/>
    <w:rsid w:val="00CA1679"/>
    <w:rsid w:val="00CA24E6"/>
    <w:rsid w:val="00CB151C"/>
    <w:rsid w:val="00CC3059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44CF"/>
    <w:rsid w:val="00DF71B9"/>
    <w:rsid w:val="00E61978"/>
    <w:rsid w:val="00E73F76"/>
    <w:rsid w:val="00EA2C9F"/>
    <w:rsid w:val="00EA420E"/>
    <w:rsid w:val="00EB046A"/>
    <w:rsid w:val="00ED0BDA"/>
    <w:rsid w:val="00ED3228"/>
    <w:rsid w:val="00EF1360"/>
    <w:rsid w:val="00EF3220"/>
    <w:rsid w:val="00F41C74"/>
    <w:rsid w:val="00F43903"/>
    <w:rsid w:val="00F5708B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58E30"/>
  <w15:docId w15:val="{B1AFC925-D362-4797-B0A0-90D9F9611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71B5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71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ndocs.org/ru/CED/C/MNG/CO/1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undocs.org/en/CED/C/BRA/FCO/1" TargetMode="External"/><Relationship Id="rId17" Type="http://schemas.openxmlformats.org/officeDocument/2006/relationships/hyperlink" Target="http://undocs.org/en/CED/C/MNG/FCO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en/CED/C/MNG/FCO/1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docs.org/en/CED/C/BRA/FCO/1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ndocs.org/en/CED/C/MNG/FCO/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ndocs.org/en/CED/C/BRA/FCO/1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undocs.org/ru/CED/C/BRA/CO/1" TargetMode="External"/><Relationship Id="rId14" Type="http://schemas.openxmlformats.org/officeDocument/2006/relationships/hyperlink" Target="http://undocs.org/en/CED/C/MNG/FCO/1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70/56" TargetMode="External"/><Relationship Id="rId7" Type="http://schemas.openxmlformats.org/officeDocument/2006/relationships/hyperlink" Target="http://undocs.org/ru/CED/C/7" TargetMode="External"/><Relationship Id="rId2" Type="http://schemas.openxmlformats.org/officeDocument/2006/relationships/hyperlink" Target="http://undocs.org/en/CED/C/MNG/FCO/1" TargetMode="External"/><Relationship Id="rId1" Type="http://schemas.openxmlformats.org/officeDocument/2006/relationships/hyperlink" Target="https://undocs.org/en/CED/C/BRA/FCO/1" TargetMode="External"/><Relationship Id="rId6" Type="http://schemas.openxmlformats.org/officeDocument/2006/relationships/hyperlink" Target="http://undocs.org/ru/CED/C/MNG/CO/1" TargetMode="External"/><Relationship Id="rId5" Type="http://schemas.openxmlformats.org/officeDocument/2006/relationships/hyperlink" Target="http://undocs.org/ru/CED/C/MNG/CO/1" TargetMode="External"/><Relationship Id="rId4" Type="http://schemas.openxmlformats.org/officeDocument/2006/relationships/hyperlink" Target="http://undocs.org/ru/CED/C/MNG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7</Pages>
  <Words>2366</Words>
  <Characters>16932</Characters>
  <Application>Microsoft Office Word</Application>
  <DocSecurity>0</DocSecurity>
  <Lines>330</Lines>
  <Paragraphs>98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CED/C/24/2</dc:title>
  <dc:subject/>
  <dc:creator>Ekaterina SALYNSKAYA</dc:creator>
  <cp:keywords/>
  <cp:lastModifiedBy>Ekaterina Salynskaya</cp:lastModifiedBy>
  <cp:revision>3</cp:revision>
  <cp:lastPrinted>2023-09-08T14:39:00Z</cp:lastPrinted>
  <dcterms:created xsi:type="dcterms:W3CDTF">2023-09-08T14:39:00Z</dcterms:created>
  <dcterms:modified xsi:type="dcterms:W3CDTF">2023-09-08T14:40:00Z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