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04ADA" w:rsidP="00404ADA">
            <w:pPr>
              <w:suppressAutoHyphens w:val="0"/>
              <w:spacing w:after="20"/>
              <w:jc w:val="right"/>
            </w:pPr>
            <w:r w:rsidRPr="00404ADA">
              <w:rPr>
                <w:sz w:val="40"/>
              </w:rPr>
              <w:t>CC</w:t>
            </w:r>
            <w:r w:rsidR="00E123C9">
              <w:rPr>
                <w:sz w:val="40"/>
              </w:rPr>
              <w:t>PR</w:t>
            </w:r>
            <w:r>
              <w:t>/C/ECU/CO/5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04ADA" w:rsidRDefault="00404ADA" w:rsidP="00404ADA">
            <w:pPr>
              <w:suppressAutoHyphens w:val="0"/>
              <w:spacing w:before="240" w:line="240" w:lineRule="exact"/>
            </w:pPr>
            <w:r>
              <w:t>Distr.: General</w:t>
            </w:r>
          </w:p>
          <w:p w:rsidR="00404ADA" w:rsidRDefault="00404ADA" w:rsidP="00404ADA">
            <w:pPr>
              <w:suppressAutoHyphens w:val="0"/>
            </w:pPr>
            <w:r>
              <w:t>4 November 2009</w:t>
            </w:r>
          </w:p>
          <w:p w:rsidR="00404ADA" w:rsidRDefault="00404ADA" w:rsidP="00404ADA">
            <w:pPr>
              <w:suppressAutoHyphens w:val="0"/>
            </w:pPr>
            <w:r>
              <w:t>English</w:t>
            </w:r>
          </w:p>
          <w:p w:rsidR="00B56E9C" w:rsidRDefault="00404ADA" w:rsidP="00404ADA">
            <w:pPr>
              <w:suppressAutoHyphens w:val="0"/>
            </w:pPr>
            <w:r>
              <w:t>Original: Spanish</w:t>
            </w:r>
          </w:p>
        </w:tc>
      </w:tr>
    </w:tbl>
    <w:p w:rsidR="00A45160" w:rsidRPr="00AC5D9B" w:rsidRDefault="00A45160">
      <w:pPr>
        <w:spacing w:before="120"/>
        <w:rPr>
          <w:b/>
          <w:sz w:val="24"/>
          <w:szCs w:val="24"/>
        </w:rPr>
      </w:pPr>
      <w:r>
        <w:rPr>
          <w:b/>
          <w:sz w:val="24"/>
          <w:szCs w:val="24"/>
        </w:rPr>
        <w:t>Human Rights Committee</w:t>
      </w:r>
    </w:p>
    <w:p w:rsidR="00A45160" w:rsidRPr="00A45160" w:rsidRDefault="00A45160" w:rsidP="00A45160">
      <w:pPr>
        <w:rPr>
          <w:b/>
        </w:rPr>
      </w:pPr>
      <w:r w:rsidRPr="00A45160">
        <w:rPr>
          <w:b/>
        </w:rPr>
        <w:t>Ninety-seventh session</w:t>
      </w:r>
    </w:p>
    <w:p w:rsidR="00A45160" w:rsidRPr="00A45160" w:rsidRDefault="00A45160" w:rsidP="00A45160">
      <w:r w:rsidRPr="00A45160">
        <w:t>Geneva, 12–30 October 2009</w:t>
      </w:r>
    </w:p>
    <w:p w:rsidR="00A45160" w:rsidRPr="00A45160" w:rsidRDefault="00A45160" w:rsidP="00A45160">
      <w:pPr>
        <w:pStyle w:val="HChG"/>
      </w:pPr>
      <w:r>
        <w:tab/>
      </w:r>
      <w:r>
        <w:tab/>
        <w:t xml:space="preserve">Consideration </w:t>
      </w:r>
      <w:r w:rsidRPr="00A45160">
        <w:t xml:space="preserve">of reports submitted by States parties </w:t>
      </w:r>
      <w:r>
        <w:t>under</w:t>
      </w:r>
      <w:r w:rsidRPr="00A45160">
        <w:t xml:space="preserve"> article 40 of the Covenant</w:t>
      </w:r>
    </w:p>
    <w:p w:rsidR="00A45160" w:rsidRPr="00A45160" w:rsidRDefault="00A45160" w:rsidP="00A45160">
      <w:pPr>
        <w:pStyle w:val="H1G"/>
      </w:pPr>
      <w:r>
        <w:tab/>
      </w:r>
      <w:r>
        <w:tab/>
      </w:r>
      <w:r w:rsidRPr="00A45160">
        <w:t>Concluding observations by the Human Rights Committee</w:t>
      </w:r>
    </w:p>
    <w:p w:rsidR="00A45160" w:rsidRPr="00A45160" w:rsidRDefault="00A45160" w:rsidP="00A45160">
      <w:pPr>
        <w:pStyle w:val="HChG"/>
      </w:pPr>
      <w:r>
        <w:tab/>
      </w:r>
      <w:r>
        <w:tab/>
      </w:r>
      <w:r w:rsidRPr="00A45160">
        <w:t>Ecuador</w:t>
      </w:r>
    </w:p>
    <w:p w:rsidR="00A45160" w:rsidRPr="00A45160" w:rsidRDefault="00A45160" w:rsidP="00384AED">
      <w:pPr>
        <w:pStyle w:val="SingleTxtG"/>
      </w:pPr>
      <w:r w:rsidRPr="00A45160">
        <w:t>1.</w:t>
      </w:r>
      <w:r>
        <w:tab/>
      </w:r>
      <w:r w:rsidRPr="00A45160">
        <w:t>The Human Rights Committee examined the fifth and sixth periodic reports of Ecuador (CCPR/C/ECU/5) at its 2667th and 2668th meetings (CCPR/C/SR.2667 and 2668) held on 19 and 20 October 2009, and adopted at its 2682nd meeting (CCPR/C/SR.2682), held on 29 October 2009, the following concluding observations.</w:t>
      </w:r>
    </w:p>
    <w:p w:rsidR="00A45160" w:rsidRPr="00A45160" w:rsidRDefault="0090492F" w:rsidP="0090492F">
      <w:pPr>
        <w:pStyle w:val="H1G"/>
      </w:pPr>
      <w:r>
        <w:tab/>
      </w:r>
      <w:r w:rsidR="00A45160" w:rsidRPr="00A45160">
        <w:t>A.</w:t>
      </w:r>
      <w:r w:rsidR="00D534F3">
        <w:tab/>
      </w:r>
      <w:r w:rsidR="00A45160" w:rsidRPr="00A45160">
        <w:t>Introduction</w:t>
      </w:r>
    </w:p>
    <w:p w:rsidR="00A45160" w:rsidRPr="00A45160" w:rsidRDefault="00A45160" w:rsidP="00384AED">
      <w:pPr>
        <w:pStyle w:val="SingleTxtG"/>
      </w:pPr>
      <w:r w:rsidRPr="00A45160">
        <w:t>2.</w:t>
      </w:r>
      <w:r>
        <w:tab/>
      </w:r>
      <w:r w:rsidRPr="00A45160">
        <w:t xml:space="preserve">The Committee welcomes the consolidated periodic report submitted by the State party. It is pleased to have the opportunity to resume the dialogue with the State party and expresses its appreciation of the exchanges pursued with the delegation. However, the Committee regrets that the replies to the list of questions have not been </w:t>
      </w:r>
      <w:r w:rsidR="0090492F">
        <w:t xml:space="preserve">submitted by the State party in keeping with the provisions of </w:t>
      </w:r>
      <w:r w:rsidRPr="00A45160">
        <w:t xml:space="preserve">article 40 of the Covenant, but rather in the name of the Ministry of Justice and Human Rights. It also regrets the shortcomings in the </w:t>
      </w:r>
      <w:r w:rsidR="0090492F">
        <w:t>replies</w:t>
      </w:r>
      <w:r w:rsidRPr="00A45160">
        <w:t xml:space="preserve"> to the questions posed during the dialogue.</w:t>
      </w:r>
    </w:p>
    <w:p w:rsidR="00A45160" w:rsidRPr="00A45160" w:rsidRDefault="0090492F" w:rsidP="0090492F">
      <w:pPr>
        <w:pStyle w:val="H1G"/>
      </w:pPr>
      <w:r>
        <w:tab/>
      </w:r>
      <w:r w:rsidR="00A45160" w:rsidRPr="00A45160">
        <w:t>B.</w:t>
      </w:r>
      <w:r w:rsidR="00D534F3">
        <w:tab/>
      </w:r>
      <w:r w:rsidR="00A45160" w:rsidRPr="00A45160">
        <w:t>Positive aspects</w:t>
      </w:r>
    </w:p>
    <w:p w:rsidR="00A45160" w:rsidRPr="00A45160" w:rsidRDefault="00A45160" w:rsidP="00384AED">
      <w:pPr>
        <w:pStyle w:val="SingleTxtG"/>
      </w:pPr>
      <w:r w:rsidRPr="00A45160">
        <w:t>3.</w:t>
      </w:r>
      <w:r>
        <w:tab/>
      </w:r>
      <w:r w:rsidRPr="00A45160">
        <w:t xml:space="preserve">The Committee notes with satisfaction the legislative reforms carried out by the State party, in particular through the entry into force of the new Constitution in October 2008, the repeal in 2007 of the so-called contempt provisions of the Criminal Code, as well as the declaration in 2006 of the </w:t>
      </w:r>
      <w:r w:rsidR="00833ABC">
        <w:t xml:space="preserve">mandatory preventive detention </w:t>
      </w:r>
      <w:r w:rsidR="0090492F">
        <w:t>(</w:t>
      </w:r>
      <w:r w:rsidRPr="00A45160">
        <w:t>“detención en firme”</w:t>
      </w:r>
      <w:r w:rsidR="0090492F">
        <w:t>)</w:t>
      </w:r>
      <w:r w:rsidRPr="00A45160">
        <w:t xml:space="preserve"> measure as unconstitutional, which implied a progressive lessening of prison numbers, thereby reducing the incidence of overcrowding.</w:t>
      </w:r>
    </w:p>
    <w:p w:rsidR="00A45160" w:rsidRPr="00A45160" w:rsidRDefault="00A45160" w:rsidP="00384AED">
      <w:pPr>
        <w:pStyle w:val="SingleTxtG"/>
      </w:pPr>
      <w:r w:rsidRPr="00A45160">
        <w:t>4.</w:t>
      </w:r>
      <w:r>
        <w:tab/>
      </w:r>
      <w:r w:rsidRPr="00A45160">
        <w:t>The Committee notes the inclusion of the provision for the Public Defender’s Office under t</w:t>
      </w:r>
      <w:r w:rsidR="0090492F">
        <w:t>he current Constitution (art.</w:t>
      </w:r>
      <w:r w:rsidRPr="00A45160">
        <w:t xml:space="preserve"> 191) as a safeguarding mechanism for persons unable to engage the services of a defence counsel to guarantee their rights. It also welcome</w:t>
      </w:r>
      <w:r w:rsidR="0090492F">
        <w:t>s</w:t>
      </w:r>
      <w:r w:rsidRPr="00A45160">
        <w:t xml:space="preserve"> the fact that this legal measure was included in the new Code of the </w:t>
      </w:r>
      <w:r w:rsidR="0090492F">
        <w:t>Judiciary</w:t>
      </w:r>
      <w:r w:rsidRPr="00A45160">
        <w:t>.</w:t>
      </w:r>
    </w:p>
    <w:p w:rsidR="00A45160" w:rsidRPr="00A45160" w:rsidRDefault="00A45160" w:rsidP="00384AED">
      <w:pPr>
        <w:pStyle w:val="SingleTxtG"/>
      </w:pPr>
      <w:r w:rsidRPr="00A45160">
        <w:t>5.</w:t>
      </w:r>
      <w:r>
        <w:tab/>
      </w:r>
      <w:r w:rsidRPr="00A45160">
        <w:t>The Committee notes with satisfaction the decision to declare unconstitutional articles 145 and 147 of the National Security Act</w:t>
      </w:r>
      <w:r w:rsidR="00833ABC">
        <w:t>, whereby</w:t>
      </w:r>
      <w:r w:rsidRPr="00A45160">
        <w:t xml:space="preserve"> civilians </w:t>
      </w:r>
      <w:r w:rsidR="00833ABC">
        <w:t xml:space="preserve">could be </w:t>
      </w:r>
      <w:r w:rsidRPr="00A45160">
        <w:t>tried by military courts for acts committed during states of emergency.</w:t>
      </w:r>
    </w:p>
    <w:p w:rsidR="00A45160" w:rsidRPr="00A45160" w:rsidRDefault="00A45160" w:rsidP="00384AED">
      <w:pPr>
        <w:pStyle w:val="SingleTxtG"/>
      </w:pPr>
      <w:r w:rsidRPr="00A45160">
        <w:t>6.</w:t>
      </w:r>
      <w:r>
        <w:tab/>
      </w:r>
      <w:r w:rsidRPr="00A45160">
        <w:t>The Committee notes the voluntary character of military service under article 161 of the current Constitution.</w:t>
      </w:r>
    </w:p>
    <w:p w:rsidR="00A45160" w:rsidRPr="00A45160" w:rsidRDefault="00A45160" w:rsidP="00384AED">
      <w:pPr>
        <w:pStyle w:val="SingleTxtG"/>
      </w:pPr>
      <w:r w:rsidRPr="00A45160">
        <w:t>7.</w:t>
      </w:r>
      <w:r>
        <w:tab/>
      </w:r>
      <w:r w:rsidRPr="00A45160">
        <w:t xml:space="preserve">The Committee </w:t>
      </w:r>
      <w:r w:rsidR="00833ABC">
        <w:t>welcomes the provision</w:t>
      </w:r>
      <w:r w:rsidRPr="00A45160">
        <w:t xml:space="preserve"> in part II, Rights, chapter 6, article 66, paragraph 29, and article 78 of the Constitution dealing with prevention measures and the eradication of human trafficking as well as the protection and social reintegration of the victims. In this regard it also welcomes the implementation of the National Plan to Combat Human Trafficking and Exploitation.</w:t>
      </w:r>
    </w:p>
    <w:p w:rsidR="00A45160" w:rsidRPr="00A45160" w:rsidRDefault="0090492F" w:rsidP="0090492F">
      <w:pPr>
        <w:pStyle w:val="H1G"/>
      </w:pPr>
      <w:r>
        <w:tab/>
      </w:r>
      <w:r w:rsidR="00A45160" w:rsidRPr="00A45160">
        <w:t>C.</w:t>
      </w:r>
      <w:r w:rsidR="00A45160">
        <w:tab/>
      </w:r>
      <w:r w:rsidR="00A45160" w:rsidRPr="00A45160">
        <w:t>Main grounds of concern and recommendations</w:t>
      </w:r>
    </w:p>
    <w:p w:rsidR="00A45160" w:rsidRPr="00A45160" w:rsidRDefault="00A45160" w:rsidP="00384AED">
      <w:pPr>
        <w:pStyle w:val="SingleTxtG"/>
      </w:pPr>
      <w:r w:rsidRPr="00A45160">
        <w:t>8.</w:t>
      </w:r>
      <w:r>
        <w:tab/>
      </w:r>
      <w:r w:rsidRPr="00A45160">
        <w:t>The Committee notes with satisfaction that the new Constitution establishes the principle of equality between men and women and the principle of non-discrimination. However, the Committee continues to be concerned by the disparity between the de jure and de facto situation with regard to the legal protection of women</w:t>
      </w:r>
      <w:r w:rsidR="0090492F">
        <w:t xml:space="preserve"> and to gender equality (art</w:t>
      </w:r>
      <w:r w:rsidRPr="00A45160">
        <w:t>s</w:t>
      </w:r>
      <w:r w:rsidR="0090492F">
        <w:t>.</w:t>
      </w:r>
      <w:r w:rsidRPr="00A45160">
        <w:t xml:space="preserve"> 2, 3, 25 and 26).</w:t>
      </w:r>
    </w:p>
    <w:p w:rsidR="00A45160" w:rsidRPr="0090492F" w:rsidRDefault="00A45160" w:rsidP="00384AED">
      <w:pPr>
        <w:pStyle w:val="SingleTxtG"/>
        <w:rPr>
          <w:b/>
        </w:rPr>
      </w:pPr>
      <w:r w:rsidRPr="0090492F">
        <w:rPr>
          <w:b/>
        </w:rPr>
        <w:t>The State party should adopt effective measures to guarantee the full implementation of current legislation so as not to discriminate against women. The State party should redouble its efforts to combat discrimination against women in the world of work so as to ensure practical equality of opportunity in obtaining high-level positions in the public and private sector as well as equal pay for equal work.</w:t>
      </w:r>
    </w:p>
    <w:p w:rsidR="00A45160" w:rsidRPr="00A45160" w:rsidRDefault="00A45160" w:rsidP="00384AED">
      <w:pPr>
        <w:pStyle w:val="SingleTxtG"/>
      </w:pPr>
      <w:r w:rsidRPr="00A45160">
        <w:t>9.</w:t>
      </w:r>
      <w:r>
        <w:tab/>
      </w:r>
      <w:r w:rsidRPr="00A45160">
        <w:t xml:space="preserve">The Committee welcomes the creation of the Women’s and Family Commissions and the establishment of specialized units concerned with domestic violence and sexual offences in the Public Prosecutor’s Office in the main districts as well as the introduction of a Programme for the Protection of Victims of Sexual Violence and efforts to ensure the application of </w:t>
      </w:r>
      <w:r w:rsidR="0090492F">
        <w:t>Act</w:t>
      </w:r>
      <w:r w:rsidRPr="00A45160">
        <w:t xml:space="preserve"> 103 on Violence against Women and the Family. Nevertheless, the Committee is concerned at the large number of cases of violence against women and girls and the high level of sexual abuse and harassment ag</w:t>
      </w:r>
      <w:r w:rsidR="00CB5A89">
        <w:t>ainst girls in schools (arts.</w:t>
      </w:r>
      <w:r w:rsidRPr="00A45160">
        <w:t xml:space="preserve"> 3, 7 and 24).</w:t>
      </w:r>
    </w:p>
    <w:p w:rsidR="00A45160" w:rsidRPr="00F86F69" w:rsidRDefault="00A45160" w:rsidP="00384AED">
      <w:pPr>
        <w:pStyle w:val="SingleTxtG"/>
        <w:rPr>
          <w:b/>
        </w:rPr>
      </w:pPr>
      <w:r w:rsidRPr="00F86F69">
        <w:rPr>
          <w:b/>
        </w:rPr>
        <w:t>The State party should:</w:t>
      </w:r>
    </w:p>
    <w:p w:rsidR="00A45160" w:rsidRPr="00F86F69" w:rsidRDefault="00A45160" w:rsidP="00384AED">
      <w:pPr>
        <w:pStyle w:val="SingleTxtG"/>
        <w:rPr>
          <w:b/>
        </w:rPr>
      </w:pPr>
      <w:r w:rsidRPr="00F86F69">
        <w:rPr>
          <w:b/>
        </w:rPr>
        <w:tab/>
        <w:t>(a)</w:t>
      </w:r>
      <w:r w:rsidRPr="00F86F69">
        <w:rPr>
          <w:b/>
        </w:rPr>
        <w:tab/>
        <w:t>Investigate and punish the offenders;</w:t>
      </w:r>
    </w:p>
    <w:p w:rsidR="00A45160" w:rsidRPr="00F86F69" w:rsidRDefault="00A45160" w:rsidP="00384AED">
      <w:pPr>
        <w:pStyle w:val="SingleTxtG"/>
        <w:rPr>
          <w:b/>
        </w:rPr>
      </w:pPr>
      <w:r w:rsidRPr="00F86F69">
        <w:rPr>
          <w:b/>
        </w:rPr>
        <w:tab/>
        <w:t>(b)</w:t>
      </w:r>
      <w:r w:rsidRPr="00F86F69">
        <w:rPr>
          <w:b/>
        </w:rPr>
        <w:tab/>
        <w:t>Ensure effective access to justice by the victims of sexual violence;</w:t>
      </w:r>
    </w:p>
    <w:p w:rsidR="00A45160" w:rsidRPr="00F86F69" w:rsidRDefault="00A45160" w:rsidP="00384AED">
      <w:pPr>
        <w:pStyle w:val="SingleTxtG"/>
        <w:rPr>
          <w:b/>
        </w:rPr>
      </w:pPr>
      <w:r w:rsidRPr="00F86F69">
        <w:rPr>
          <w:b/>
        </w:rPr>
        <w:tab/>
        <w:t>(c)</w:t>
      </w:r>
      <w:r w:rsidRPr="00F86F69">
        <w:rPr>
          <w:b/>
        </w:rPr>
        <w:tab/>
        <w:t>Grant police protection to victims, and establish shelters where they can live in dignity;</w:t>
      </w:r>
    </w:p>
    <w:p w:rsidR="00A45160" w:rsidRPr="00F86F69" w:rsidRDefault="00A45160" w:rsidP="00384AED">
      <w:pPr>
        <w:pStyle w:val="SingleTxtG"/>
        <w:rPr>
          <w:b/>
        </w:rPr>
      </w:pPr>
      <w:r w:rsidRPr="00F86F69">
        <w:rPr>
          <w:b/>
        </w:rPr>
        <w:tab/>
        <w:t>(d)</w:t>
      </w:r>
      <w:r w:rsidRPr="00F86F69">
        <w:rPr>
          <w:b/>
        </w:rPr>
        <w:tab/>
        <w:t>Redouble its efforts to provide an educational environment free of discrimination and violence through awareness-raising campaigns and the training of educational personnel and students;</w:t>
      </w:r>
    </w:p>
    <w:p w:rsidR="00A45160" w:rsidRPr="00F86F69" w:rsidRDefault="00A45160" w:rsidP="00384AED">
      <w:pPr>
        <w:pStyle w:val="SingleTxtG"/>
        <w:rPr>
          <w:b/>
        </w:rPr>
      </w:pPr>
      <w:r w:rsidRPr="00F86F69">
        <w:rPr>
          <w:b/>
        </w:rPr>
        <w:tab/>
        <w:t>(e)</w:t>
      </w:r>
      <w:r w:rsidRPr="00F86F69">
        <w:rPr>
          <w:b/>
        </w:rPr>
        <w:tab/>
        <w:t>Take preventive and awareness-raising measures to counter gender violence, such as the provision of training for police officers, especially in the Women’s Commissions, on women’s rights and gender violence.</w:t>
      </w:r>
    </w:p>
    <w:p w:rsidR="00A45160" w:rsidRPr="00A45160" w:rsidRDefault="00A45160" w:rsidP="00384AED">
      <w:pPr>
        <w:pStyle w:val="SingleTxtG"/>
      </w:pPr>
      <w:r w:rsidRPr="00F86F69">
        <w:rPr>
          <w:b/>
        </w:rPr>
        <w:t>In this connection, the Committee would like to receive in the State party’s next periodic report detailed information on the progress achieved in combating gender violence.</w:t>
      </w:r>
    </w:p>
    <w:p w:rsidR="00A45160" w:rsidRPr="00A45160" w:rsidRDefault="00A45160" w:rsidP="00384AED">
      <w:pPr>
        <w:pStyle w:val="SingleTxtG"/>
      </w:pPr>
      <w:r w:rsidRPr="00A45160">
        <w:t>10.</w:t>
      </w:r>
      <w:r>
        <w:tab/>
      </w:r>
      <w:r w:rsidRPr="00A45160">
        <w:t xml:space="preserve">The Committee welcomes the written explanation from the State party concerning the declarations of states of emergency proclaimed in the current year in the cities of Guayaquil, Quito and Manta. However, the Committee is concerned by the allegations that State agents used force against people participating </w:t>
      </w:r>
      <w:r w:rsidR="00F86F69">
        <w:t>in public demonstrations (art.</w:t>
      </w:r>
      <w:r w:rsidRPr="00A45160">
        <w:t xml:space="preserve"> 4).</w:t>
      </w:r>
    </w:p>
    <w:p w:rsidR="00A45160" w:rsidRPr="00F86F69" w:rsidRDefault="00A45160" w:rsidP="00384AED">
      <w:pPr>
        <w:pStyle w:val="SingleTxtG"/>
        <w:rPr>
          <w:b/>
        </w:rPr>
      </w:pPr>
      <w:r w:rsidRPr="00F86F69">
        <w:rPr>
          <w:b/>
        </w:rPr>
        <w:t xml:space="preserve">The State party should give practical </w:t>
      </w:r>
      <w:r w:rsidR="00F86F69" w:rsidRPr="00F86F69">
        <w:rPr>
          <w:b/>
        </w:rPr>
        <w:t>effect</w:t>
      </w:r>
      <w:r w:rsidRPr="00F86F69">
        <w:rPr>
          <w:b/>
        </w:rPr>
        <w:t xml:space="preserve"> to the provisions of article 4 of the Covenant, as required by article 165 of the Constitution. </w:t>
      </w:r>
      <w:r w:rsidR="00F86F69" w:rsidRPr="00F86F69">
        <w:rPr>
          <w:b/>
        </w:rPr>
        <w:t>The</w:t>
      </w:r>
      <w:r w:rsidRPr="00F86F69">
        <w:rPr>
          <w:b/>
        </w:rPr>
        <w:t xml:space="preserve"> State should </w:t>
      </w:r>
      <w:r w:rsidR="00F86F69" w:rsidRPr="00F86F69">
        <w:rPr>
          <w:b/>
        </w:rPr>
        <w:t xml:space="preserve">likewise </w:t>
      </w:r>
      <w:r w:rsidRPr="00F86F69">
        <w:rPr>
          <w:b/>
        </w:rPr>
        <w:t xml:space="preserve">investigate and sanction those responsible for such acts </w:t>
      </w:r>
      <w:r w:rsidR="00F86F69" w:rsidRPr="00F86F69">
        <w:rPr>
          <w:b/>
        </w:rPr>
        <w:t>and compensate the</w:t>
      </w:r>
      <w:r w:rsidRPr="00F86F69">
        <w:rPr>
          <w:b/>
        </w:rPr>
        <w:t xml:space="preserve"> victims.</w:t>
      </w:r>
    </w:p>
    <w:p w:rsidR="00A45160" w:rsidRPr="00A45160" w:rsidRDefault="00A45160" w:rsidP="00384AED">
      <w:pPr>
        <w:pStyle w:val="SingleTxtG"/>
      </w:pPr>
      <w:r w:rsidRPr="00A45160">
        <w:t>11.</w:t>
      </w:r>
      <w:r>
        <w:tab/>
      </w:r>
      <w:r w:rsidRPr="00A45160">
        <w:t>The Committee welcomes with satisfaction the initiatives taken by the Ministry of Education and Culture to eliminate illiteracy but notes with concern the high rate of illiteracy among gir</w:t>
      </w:r>
      <w:r w:rsidR="00F86F69">
        <w:t>ls living in rural areas (art</w:t>
      </w:r>
      <w:r w:rsidRPr="00A45160">
        <w:t>s</w:t>
      </w:r>
      <w:r w:rsidR="00F86F69">
        <w:t>.</w:t>
      </w:r>
      <w:r w:rsidRPr="00A45160">
        <w:t xml:space="preserve"> 3 and 24).</w:t>
      </w:r>
    </w:p>
    <w:p w:rsidR="00A45160" w:rsidRPr="00F86F69" w:rsidRDefault="00A45160" w:rsidP="00384AED">
      <w:pPr>
        <w:pStyle w:val="SingleTxtG"/>
        <w:rPr>
          <w:b/>
        </w:rPr>
      </w:pPr>
      <w:r w:rsidRPr="00F86F69">
        <w:rPr>
          <w:b/>
        </w:rPr>
        <w:t>The State should redouble its efforts to eradicate illiteracy, particularly amo</w:t>
      </w:r>
      <w:r w:rsidR="00F86F69">
        <w:rPr>
          <w:b/>
        </w:rPr>
        <w:t>ng girls living in rural areas.</w:t>
      </w:r>
    </w:p>
    <w:p w:rsidR="00A45160" w:rsidRPr="00A45160" w:rsidRDefault="00A45160" w:rsidP="00384AED">
      <w:pPr>
        <w:pStyle w:val="SingleTxtG"/>
      </w:pPr>
      <w:r w:rsidRPr="00A45160">
        <w:t>12.</w:t>
      </w:r>
      <w:r>
        <w:tab/>
      </w:r>
      <w:r w:rsidRPr="00A45160">
        <w:t xml:space="preserve">While the Committee notes that discrimination against sexual minorities is prohibited under article 11, paragraph 2, of the new Constitution, it is concerned at the fact that transsexual women have been placed in private clinics or rehabilitation centres in order to undergo so-called sexual reorientation treatments. It also deeply regrets that such persons </w:t>
      </w:r>
      <w:r w:rsidR="00F86F69">
        <w:t>have been subject</w:t>
      </w:r>
      <w:r w:rsidRPr="00A45160">
        <w:t xml:space="preserve"> to forced detention and ill-treatment in rehabilitation clinics in the town of </w:t>
      </w:r>
      <w:r w:rsidR="00F86F69">
        <w:t>Portoviejo in June 2009 (art</w:t>
      </w:r>
      <w:r w:rsidRPr="00A45160">
        <w:t>s</w:t>
      </w:r>
      <w:r w:rsidR="00F86F69">
        <w:t>.</w:t>
      </w:r>
      <w:r w:rsidRPr="00A45160">
        <w:t xml:space="preserve"> 2 and 7).</w:t>
      </w:r>
    </w:p>
    <w:p w:rsidR="00A45160" w:rsidRPr="00F86F69" w:rsidRDefault="00A45160" w:rsidP="00384AED">
      <w:pPr>
        <w:pStyle w:val="SingleTxtG"/>
        <w:rPr>
          <w:b/>
        </w:rPr>
      </w:pPr>
      <w:r w:rsidRPr="00F86F69">
        <w:rPr>
          <w:b/>
        </w:rPr>
        <w:t xml:space="preserve">The State party should take </w:t>
      </w:r>
      <w:r w:rsidR="00F86F69">
        <w:rPr>
          <w:b/>
        </w:rPr>
        <w:t>preventive and protective measures</w:t>
      </w:r>
      <w:r w:rsidRPr="00F86F69">
        <w:rPr>
          <w:b/>
        </w:rPr>
        <w:t xml:space="preserve"> </w:t>
      </w:r>
      <w:r w:rsidR="00F86F69">
        <w:rPr>
          <w:b/>
        </w:rPr>
        <w:t xml:space="preserve">to ensure </w:t>
      </w:r>
      <w:r w:rsidRPr="00F86F69">
        <w:rPr>
          <w:b/>
        </w:rPr>
        <w:t xml:space="preserve">that persons of </w:t>
      </w:r>
      <w:r w:rsidR="00750DC7">
        <w:rPr>
          <w:b/>
        </w:rPr>
        <w:t xml:space="preserve">a </w:t>
      </w:r>
      <w:r w:rsidRPr="00F86F69">
        <w:rPr>
          <w:b/>
        </w:rPr>
        <w:t xml:space="preserve">different sexual orientation are </w:t>
      </w:r>
      <w:r w:rsidR="00750DC7">
        <w:rPr>
          <w:b/>
        </w:rPr>
        <w:t xml:space="preserve">not </w:t>
      </w:r>
      <w:r w:rsidRPr="00F86F69">
        <w:rPr>
          <w:b/>
        </w:rPr>
        <w:t>detained in private clinics or rehabilitation centres in order to be subjected to so-called sexual reorientation treatments. The Committee recommends that the State party investigate the alleged detentions and torture and adopt the necessary remedial measures in accordance with the Constitution.</w:t>
      </w:r>
    </w:p>
    <w:p w:rsidR="00A45160" w:rsidRPr="00A45160" w:rsidRDefault="00A45160" w:rsidP="00384AED">
      <w:pPr>
        <w:pStyle w:val="SingleTxtG"/>
      </w:pPr>
      <w:r w:rsidRPr="00A45160">
        <w:t>13.</w:t>
      </w:r>
      <w:r>
        <w:tab/>
      </w:r>
      <w:r w:rsidRPr="00A45160">
        <w:t>The Committee notes with concern the continued occurrence of cases of ill-treatment of prisoners by the police in the context of police detention, without those responsible being brough</w:t>
      </w:r>
      <w:r w:rsidR="00750DC7">
        <w:t>t to justice in most cases (art.</w:t>
      </w:r>
      <w:r w:rsidRPr="00A45160">
        <w:t xml:space="preserve"> 7).</w:t>
      </w:r>
    </w:p>
    <w:p w:rsidR="00A45160" w:rsidRPr="00F86F69" w:rsidRDefault="00A45160" w:rsidP="00384AED">
      <w:pPr>
        <w:pStyle w:val="SingleTxtG"/>
        <w:rPr>
          <w:b/>
        </w:rPr>
      </w:pPr>
      <w:r w:rsidRPr="00F86F69">
        <w:rPr>
          <w:b/>
        </w:rPr>
        <w:t>The State party should:</w:t>
      </w:r>
    </w:p>
    <w:p w:rsidR="00A45160" w:rsidRPr="00F86F69" w:rsidRDefault="00A45160" w:rsidP="00384AED">
      <w:pPr>
        <w:pStyle w:val="SingleTxtG"/>
        <w:rPr>
          <w:b/>
        </w:rPr>
      </w:pPr>
      <w:r w:rsidRPr="00F86F69">
        <w:rPr>
          <w:b/>
        </w:rPr>
        <w:tab/>
        <w:t>(a)</w:t>
      </w:r>
      <w:r w:rsidRPr="00F86F69">
        <w:rPr>
          <w:b/>
        </w:rPr>
        <w:tab/>
        <w:t>Take immediate and effective measures to put an end to such abuses, monitor, investigate and, where appropriate, prosecute and punish law enforcement officers who commit acts of ill-treatment and compensate the victims. In this connection, the State party should in its next periodic report provide statistics on criminal and disciplinary proceedings initiated for this type of act and the results thereof;</w:t>
      </w:r>
    </w:p>
    <w:p w:rsidR="00A45160" w:rsidRPr="00F86F69" w:rsidRDefault="00A45160" w:rsidP="00384AED">
      <w:pPr>
        <w:pStyle w:val="SingleTxtG"/>
        <w:rPr>
          <w:b/>
        </w:rPr>
      </w:pPr>
      <w:r w:rsidRPr="00F86F69">
        <w:rPr>
          <w:b/>
        </w:rPr>
        <w:tab/>
        <w:t>(b)</w:t>
      </w:r>
      <w:r w:rsidRPr="00F86F69">
        <w:rPr>
          <w:b/>
        </w:rPr>
        <w:tab/>
        <w:t xml:space="preserve">Intensify human rights training for law enforcement </w:t>
      </w:r>
      <w:r w:rsidR="00BB166A">
        <w:rPr>
          <w:b/>
        </w:rPr>
        <w:t>agents so that they do not engage</w:t>
      </w:r>
      <w:r w:rsidRPr="00F86F69">
        <w:rPr>
          <w:b/>
        </w:rPr>
        <w:t xml:space="preserve"> in such conduct.</w:t>
      </w:r>
    </w:p>
    <w:p w:rsidR="00A45160" w:rsidRPr="00A45160" w:rsidRDefault="00A45160" w:rsidP="00384AED">
      <w:pPr>
        <w:pStyle w:val="SingleTxtG"/>
      </w:pPr>
      <w:r w:rsidRPr="00A45160">
        <w:t>14.</w:t>
      </w:r>
      <w:r>
        <w:tab/>
      </w:r>
      <w:r w:rsidRPr="00A45160">
        <w:t xml:space="preserve">While the Committee notes that the Children and Adolescents Code prohibits corporal punishment in schools, it remains concerned </w:t>
      </w:r>
      <w:r w:rsidR="00DF2674">
        <w:t>that</w:t>
      </w:r>
      <w:r w:rsidRPr="00A45160">
        <w:t xml:space="preserve"> corporal punishment </w:t>
      </w:r>
      <w:r w:rsidR="00DF2674">
        <w:t xml:space="preserve">traditionally </w:t>
      </w:r>
      <w:r w:rsidRPr="00A45160">
        <w:t>continues to be accepted and practi</w:t>
      </w:r>
      <w:r w:rsidR="00DF2674">
        <w:t>s</w:t>
      </w:r>
      <w:r w:rsidRPr="00A45160">
        <w:t xml:space="preserve">ed as a form of discipline in the family and other </w:t>
      </w:r>
      <w:r w:rsidR="00DF2674">
        <w:t>contexts</w:t>
      </w:r>
      <w:r w:rsidRPr="00A45160">
        <w:t xml:space="preserve"> (art</w:t>
      </w:r>
      <w:r w:rsidR="00F86F69">
        <w:t>s.</w:t>
      </w:r>
      <w:r w:rsidRPr="00A45160">
        <w:t xml:space="preserve"> 7 and 24).</w:t>
      </w:r>
    </w:p>
    <w:p w:rsidR="00A45160" w:rsidRPr="00DF2674" w:rsidRDefault="00A45160" w:rsidP="00384AED">
      <w:pPr>
        <w:pStyle w:val="SingleTxtG"/>
        <w:rPr>
          <w:b/>
        </w:rPr>
      </w:pPr>
      <w:r w:rsidRPr="00DF2674">
        <w:rPr>
          <w:b/>
        </w:rPr>
        <w:t xml:space="preserve">The State party should </w:t>
      </w:r>
      <w:r w:rsidR="00DF2674" w:rsidRPr="00DF2674">
        <w:rPr>
          <w:b/>
        </w:rPr>
        <w:t>take</w:t>
      </w:r>
      <w:r w:rsidRPr="00DF2674">
        <w:rPr>
          <w:b/>
        </w:rPr>
        <w:t xml:space="preserve"> practical </w:t>
      </w:r>
      <w:r w:rsidR="00DF2674" w:rsidRPr="00DF2674">
        <w:rPr>
          <w:b/>
        </w:rPr>
        <w:t>steps</w:t>
      </w:r>
      <w:r w:rsidRPr="00DF2674">
        <w:rPr>
          <w:b/>
        </w:rPr>
        <w:t xml:space="preserve"> to put an end to corporal punishment. </w:t>
      </w:r>
      <w:r w:rsidR="00DF2674" w:rsidRPr="00DF2674">
        <w:rPr>
          <w:b/>
        </w:rPr>
        <w:t>It</w:t>
      </w:r>
      <w:r w:rsidRPr="00DF2674">
        <w:rPr>
          <w:b/>
        </w:rPr>
        <w:t xml:space="preserve"> should </w:t>
      </w:r>
      <w:r w:rsidR="00DF2674" w:rsidRPr="00DF2674">
        <w:rPr>
          <w:b/>
        </w:rPr>
        <w:t xml:space="preserve">likewise </w:t>
      </w:r>
      <w:r w:rsidRPr="00DF2674">
        <w:rPr>
          <w:b/>
        </w:rPr>
        <w:t>encourage non-violent forms of discipline as alternatives to corporal puni</w:t>
      </w:r>
      <w:r w:rsidR="00DF2674" w:rsidRPr="00DF2674">
        <w:rPr>
          <w:b/>
        </w:rPr>
        <w:t>shment in the education system, and should conduct p</w:t>
      </w:r>
      <w:r w:rsidRPr="00DF2674">
        <w:rPr>
          <w:b/>
        </w:rPr>
        <w:t xml:space="preserve">ublic information campaigns to explain </w:t>
      </w:r>
      <w:r w:rsidR="00DF2674" w:rsidRPr="00DF2674">
        <w:rPr>
          <w:b/>
        </w:rPr>
        <w:t>its</w:t>
      </w:r>
      <w:r w:rsidRPr="00DF2674">
        <w:rPr>
          <w:b/>
        </w:rPr>
        <w:t xml:space="preserve"> harmful effects.</w:t>
      </w:r>
    </w:p>
    <w:p w:rsidR="00A45160" w:rsidRPr="00A45160" w:rsidRDefault="00A45160" w:rsidP="00384AED">
      <w:pPr>
        <w:pStyle w:val="SingleTxtG"/>
      </w:pPr>
      <w:r w:rsidRPr="00A45160">
        <w:t>15.</w:t>
      </w:r>
      <w:r>
        <w:tab/>
      </w:r>
      <w:r w:rsidRPr="00A45160">
        <w:t xml:space="preserve">The Committee regrets not having received clear and precise information from the State party concerning the Truth Commission which was to investigate, bring to light and put an end to impunity for human rights violations committed by agents of the State </w:t>
      </w:r>
      <w:r w:rsidR="00157BDB">
        <w:t>between 1984 and 1988 (art.</w:t>
      </w:r>
      <w:r w:rsidRPr="00A45160">
        <w:t xml:space="preserve"> 6).</w:t>
      </w:r>
    </w:p>
    <w:p w:rsidR="00A45160" w:rsidRPr="00157BDB" w:rsidRDefault="00A45160" w:rsidP="00384AED">
      <w:pPr>
        <w:pStyle w:val="SingleTxtG"/>
        <w:rPr>
          <w:b/>
        </w:rPr>
      </w:pPr>
      <w:r w:rsidRPr="00157BDB">
        <w:rPr>
          <w:b/>
        </w:rPr>
        <w:t xml:space="preserve">The State party should </w:t>
      </w:r>
      <w:r w:rsidR="00157BDB" w:rsidRPr="00157BDB">
        <w:rPr>
          <w:b/>
        </w:rPr>
        <w:t>ensure that</w:t>
      </w:r>
      <w:r w:rsidRPr="00157BDB">
        <w:rPr>
          <w:b/>
        </w:rPr>
        <w:t xml:space="preserve"> human rights violations</w:t>
      </w:r>
      <w:r w:rsidR="00157BDB" w:rsidRPr="00157BDB">
        <w:rPr>
          <w:b/>
        </w:rPr>
        <w:t xml:space="preserve"> are investigated, the perpetrators prosecuted and the victims and their families granted fair compensation, having regard to</w:t>
      </w:r>
      <w:r w:rsidRPr="00157BDB">
        <w:rPr>
          <w:b/>
        </w:rPr>
        <w:t xml:space="preserve"> the provisions of the Truth Commission’s report.</w:t>
      </w:r>
    </w:p>
    <w:p w:rsidR="00157BDB" w:rsidRDefault="00A45160" w:rsidP="00384AED">
      <w:pPr>
        <w:pStyle w:val="SingleTxtG"/>
      </w:pPr>
      <w:r w:rsidRPr="00A45160">
        <w:t>16.</w:t>
      </w:r>
      <w:r>
        <w:tab/>
      </w:r>
      <w:r w:rsidRPr="00A45160">
        <w:t xml:space="preserve">The Committee is concerned about allegations that members of the armed and police forces have been responsible for the death, by discharge of firearms or </w:t>
      </w:r>
      <w:r w:rsidR="00157BDB">
        <w:t xml:space="preserve">use of </w:t>
      </w:r>
      <w:r w:rsidRPr="00A45160">
        <w:t>tear gas, of people participating in public demonstrations (art</w:t>
      </w:r>
      <w:r w:rsidR="00157BDB">
        <w:t>s.</w:t>
      </w:r>
      <w:r w:rsidRPr="00A45160">
        <w:t xml:space="preserve"> 6, 7, 19 and 21).</w:t>
      </w:r>
    </w:p>
    <w:p w:rsidR="00A45160" w:rsidRPr="001D316C" w:rsidRDefault="00A45160" w:rsidP="00384AED">
      <w:pPr>
        <w:pStyle w:val="SingleTxtG"/>
        <w:rPr>
          <w:b/>
        </w:rPr>
      </w:pPr>
      <w:r w:rsidRPr="001D316C">
        <w:rPr>
          <w:b/>
        </w:rPr>
        <w:t xml:space="preserve">The State party should take the necessary </w:t>
      </w:r>
      <w:r w:rsidR="00157BDB" w:rsidRPr="001D316C">
        <w:rPr>
          <w:b/>
        </w:rPr>
        <w:t>steps to put an end to the deaths of participants in public demonstrations at the hand</w:t>
      </w:r>
      <w:r w:rsidR="00833ABC">
        <w:rPr>
          <w:b/>
        </w:rPr>
        <w:t>s</w:t>
      </w:r>
      <w:r w:rsidR="00157BDB" w:rsidRPr="001D316C">
        <w:rPr>
          <w:b/>
        </w:rPr>
        <w:t xml:space="preserve"> of the police, such as</w:t>
      </w:r>
      <w:r w:rsidR="001D316C">
        <w:rPr>
          <w:b/>
        </w:rPr>
        <w:t xml:space="preserve"> through the establishment of commissions</w:t>
      </w:r>
      <w:r w:rsidR="00157BDB" w:rsidRPr="001D316C">
        <w:rPr>
          <w:b/>
        </w:rPr>
        <w:t xml:space="preserve"> to investigate suc</w:t>
      </w:r>
      <w:r w:rsidR="001D316C" w:rsidRPr="001D316C">
        <w:rPr>
          <w:b/>
        </w:rPr>
        <w:t>h acts</w:t>
      </w:r>
      <w:r w:rsidRPr="001D316C">
        <w:rPr>
          <w:b/>
        </w:rPr>
        <w:t>. The Committee urges the State party to investigate the alleged abuses and bring to justice those responsible.</w:t>
      </w:r>
    </w:p>
    <w:p w:rsidR="00A45160" w:rsidRPr="00A45160" w:rsidRDefault="00A45160" w:rsidP="00384AED">
      <w:pPr>
        <w:pStyle w:val="SingleTxtG"/>
      </w:pPr>
      <w:r w:rsidRPr="00A45160">
        <w:t>17.</w:t>
      </w:r>
      <w:r>
        <w:tab/>
      </w:r>
      <w:r w:rsidRPr="00A45160">
        <w:t>While acknowledging the measures taken by the State party to improve detention conditions, the Committee is concerned by the high levels of overcrowding and the poor conditions prevalent in social rehabilitation centres,</w:t>
      </w:r>
      <w:r w:rsidR="00833ABC">
        <w:t xml:space="preserve"> especially</w:t>
      </w:r>
      <w:r w:rsidRPr="00A45160">
        <w:t xml:space="preserve"> </w:t>
      </w:r>
      <w:r w:rsidR="001D316C">
        <w:t>the lack of hygiene, shortage of safe drinking water, violence, inadequate medical attention and shortage of staff</w:t>
      </w:r>
      <w:r w:rsidRPr="00A45160">
        <w:t xml:space="preserve"> (art</w:t>
      </w:r>
      <w:r w:rsidR="001D316C">
        <w:t>.</w:t>
      </w:r>
      <w:r w:rsidRPr="00A45160">
        <w:t xml:space="preserve"> 10).</w:t>
      </w:r>
    </w:p>
    <w:p w:rsidR="00A45160" w:rsidRPr="00833ABC" w:rsidRDefault="00A45160" w:rsidP="00384AED">
      <w:pPr>
        <w:pStyle w:val="SingleTxtG"/>
        <w:rPr>
          <w:b/>
        </w:rPr>
      </w:pPr>
      <w:r w:rsidRPr="00833ABC">
        <w:rPr>
          <w:b/>
        </w:rPr>
        <w:t xml:space="preserve">The State party should intensify its efforts </w:t>
      </w:r>
      <w:r w:rsidR="001D316C" w:rsidRPr="00833ABC">
        <w:rPr>
          <w:b/>
        </w:rPr>
        <w:t>to improve the conditions for all detainees, in total compliance with the Standard Minimum Rules for the Treatment of Prisoners. In particular, it should tackle overcrowding as a matter of priority</w:t>
      </w:r>
      <w:r w:rsidRPr="00833ABC">
        <w:rPr>
          <w:b/>
        </w:rPr>
        <w:t xml:space="preserve">. The State party should provide the Committee with information on progress achieved, with </w:t>
      </w:r>
      <w:r w:rsidR="001D316C" w:rsidRPr="00833ABC">
        <w:rPr>
          <w:b/>
        </w:rPr>
        <w:t>particular regard</w:t>
      </w:r>
      <w:r w:rsidRPr="00833ABC">
        <w:rPr>
          <w:b/>
        </w:rPr>
        <w:t xml:space="preserve"> to the implementation of specific measures </w:t>
      </w:r>
      <w:r w:rsidR="001D316C" w:rsidRPr="00833ABC">
        <w:rPr>
          <w:b/>
        </w:rPr>
        <w:t>to improve the conditions of detainees</w:t>
      </w:r>
      <w:r w:rsidRPr="00833ABC">
        <w:rPr>
          <w:b/>
        </w:rPr>
        <w:t>.</w:t>
      </w:r>
    </w:p>
    <w:p w:rsidR="00A45160" w:rsidRPr="00A45160" w:rsidRDefault="00A45160" w:rsidP="00384AED">
      <w:pPr>
        <w:pStyle w:val="SingleTxtG"/>
      </w:pPr>
      <w:r w:rsidRPr="00A45160">
        <w:t>18.</w:t>
      </w:r>
      <w:r>
        <w:tab/>
      </w:r>
      <w:r w:rsidRPr="00A45160">
        <w:t xml:space="preserve">While noting that article 11.2 of the Constitution </w:t>
      </w:r>
      <w:r w:rsidR="00833ABC">
        <w:t>lays down</w:t>
      </w:r>
      <w:r w:rsidRPr="00A45160">
        <w:t xml:space="preserve"> the principle of non-discrimination on</w:t>
      </w:r>
      <w:r w:rsidR="001D316C">
        <w:t xml:space="preserve"> the</w:t>
      </w:r>
      <w:r w:rsidRPr="00A45160">
        <w:t xml:space="preserve"> grounds of </w:t>
      </w:r>
      <w:r w:rsidR="001D316C">
        <w:t>a person’s</w:t>
      </w:r>
      <w:r w:rsidRPr="00A45160">
        <w:t xml:space="preserve"> criminal record and that the draft amendment to Decree No. 3301 on refugees expressly </w:t>
      </w:r>
      <w:r w:rsidR="001D316C">
        <w:t xml:space="preserve">prohibits the requesting </w:t>
      </w:r>
      <w:r w:rsidRPr="00A45160">
        <w:t xml:space="preserve">of </w:t>
      </w:r>
      <w:r w:rsidR="003C41BD">
        <w:t xml:space="preserve">a </w:t>
      </w:r>
      <w:r w:rsidRPr="00A45160">
        <w:t xml:space="preserve">criminal record </w:t>
      </w:r>
      <w:r w:rsidR="001D316C">
        <w:t xml:space="preserve">certificate </w:t>
      </w:r>
      <w:r w:rsidRPr="00A45160">
        <w:t>and that the Refugees</w:t>
      </w:r>
      <w:r w:rsidR="003C41BD">
        <w:t xml:space="preserve"> Department </w:t>
      </w:r>
      <w:r w:rsidRPr="00A45160">
        <w:t xml:space="preserve">responsible for dealing with requests for refugee status, should not ask for criminal records when handling refugee applications, the Committee regrets that, according to some sources, the practice of </w:t>
      </w:r>
      <w:r w:rsidR="003C41BD">
        <w:t>requesting a</w:t>
      </w:r>
      <w:r w:rsidRPr="00A45160">
        <w:t xml:space="preserve"> criminal record</w:t>
      </w:r>
      <w:r w:rsidR="003C41BD">
        <w:t xml:space="preserve"> certificate</w:t>
      </w:r>
      <w:r w:rsidRPr="00A45160">
        <w:t xml:space="preserve"> as an entrance requirement </w:t>
      </w:r>
      <w:r w:rsidR="003C41BD">
        <w:t>is applied exclusively to</w:t>
      </w:r>
      <w:r w:rsidRPr="00A45160">
        <w:t xml:space="preserve"> Colombian immigrants (arts</w:t>
      </w:r>
      <w:r w:rsidR="003C41BD">
        <w:t>.</w:t>
      </w:r>
      <w:r w:rsidRPr="00A45160">
        <w:t xml:space="preserve"> 2 and 26).</w:t>
      </w:r>
    </w:p>
    <w:p w:rsidR="00A45160" w:rsidRPr="00833ABC" w:rsidRDefault="00A45160" w:rsidP="00384AED">
      <w:pPr>
        <w:pStyle w:val="SingleTxtG"/>
        <w:rPr>
          <w:b/>
        </w:rPr>
      </w:pPr>
      <w:r w:rsidRPr="00833ABC">
        <w:rPr>
          <w:b/>
        </w:rPr>
        <w:t xml:space="preserve">The State party should take the necessary steps to ensure that the </w:t>
      </w:r>
      <w:r w:rsidR="003C41BD" w:rsidRPr="00833ABC">
        <w:rPr>
          <w:b/>
        </w:rPr>
        <w:t xml:space="preserve">constitutional </w:t>
      </w:r>
      <w:r w:rsidRPr="00833ABC">
        <w:rPr>
          <w:b/>
        </w:rPr>
        <w:t xml:space="preserve">principle of non-discrimination on </w:t>
      </w:r>
      <w:r w:rsidR="003C41BD" w:rsidRPr="00833ABC">
        <w:rPr>
          <w:b/>
        </w:rPr>
        <w:t xml:space="preserve">the </w:t>
      </w:r>
      <w:r w:rsidRPr="00833ABC">
        <w:rPr>
          <w:b/>
        </w:rPr>
        <w:t xml:space="preserve">grounds of </w:t>
      </w:r>
      <w:r w:rsidR="003C41BD" w:rsidRPr="00833ABC">
        <w:rPr>
          <w:b/>
        </w:rPr>
        <w:t>a person’s</w:t>
      </w:r>
      <w:r w:rsidRPr="00833ABC">
        <w:rPr>
          <w:b/>
        </w:rPr>
        <w:t xml:space="preserve"> criminal record is reflected in practice. In the light of paragraph 5 of the Committee’s general comment No. 15 on the </w:t>
      </w:r>
      <w:r w:rsidR="00833ABC">
        <w:rPr>
          <w:b/>
        </w:rPr>
        <w:t>position</w:t>
      </w:r>
      <w:r w:rsidRPr="00833ABC">
        <w:rPr>
          <w:b/>
        </w:rPr>
        <w:t xml:space="preserve"> of </w:t>
      </w:r>
      <w:r w:rsidR="00833ABC">
        <w:rPr>
          <w:b/>
        </w:rPr>
        <w:t>aliens</w:t>
      </w:r>
      <w:r w:rsidRPr="00833ABC">
        <w:rPr>
          <w:b/>
        </w:rPr>
        <w:t xml:space="preserve"> under the Covenant, the Committee reminds the State party that, </w:t>
      </w:r>
      <w:r w:rsidR="000F2DB1" w:rsidRPr="00833ABC">
        <w:rPr>
          <w:b/>
        </w:rPr>
        <w:t xml:space="preserve">while the Covenant does not recognize the right of aliens to enter or reside in the territory of a State party, an alien may, in certain circumstances, enjoy the protection of the Covenant, even in relation to entry or residence, for example, when considerations of </w:t>
      </w:r>
      <w:r w:rsidRPr="00833ABC">
        <w:rPr>
          <w:b/>
        </w:rPr>
        <w:t>non-discrimination, prohibition of inhuman treatment and respect for family life</w:t>
      </w:r>
      <w:r w:rsidR="000F2DB1" w:rsidRPr="00833ABC">
        <w:rPr>
          <w:b/>
        </w:rPr>
        <w:t xml:space="preserve"> arise</w:t>
      </w:r>
      <w:r w:rsidRPr="00833ABC">
        <w:rPr>
          <w:b/>
        </w:rPr>
        <w:t>.</w:t>
      </w:r>
    </w:p>
    <w:p w:rsidR="00A45160" w:rsidRPr="00A45160" w:rsidRDefault="00A45160" w:rsidP="00384AED">
      <w:pPr>
        <w:pStyle w:val="SingleTxtG"/>
      </w:pPr>
      <w:r w:rsidRPr="00A45160">
        <w:t>19.</w:t>
      </w:r>
      <w:r>
        <w:tab/>
      </w:r>
      <w:r w:rsidRPr="00A45160">
        <w:t xml:space="preserve">While noting that the specific rights of indigenous peoples are enshrined in chapter IV of the current Constitution, the Committee remains concerned that indigenous peoples and Afro-Ecuadorians continue </w:t>
      </w:r>
      <w:r w:rsidR="002F755D">
        <w:t>in practice to be the victims of</w:t>
      </w:r>
      <w:r w:rsidRPr="00A45160">
        <w:t xml:space="preserve"> racial discrimination. It is also concerned that Title II, article 11.2 of the Constitution does not establish </w:t>
      </w:r>
      <w:r w:rsidR="002F755D">
        <w:t xml:space="preserve">racial </w:t>
      </w:r>
      <w:r w:rsidR="002F755D" w:rsidRPr="00A45160">
        <w:t xml:space="preserve">non-discrimination </w:t>
      </w:r>
      <w:r w:rsidR="002F755D">
        <w:t>as a</w:t>
      </w:r>
      <w:r w:rsidRPr="00A45160">
        <w:t xml:space="preserve"> principle </w:t>
      </w:r>
      <w:r w:rsidR="002F755D">
        <w:t xml:space="preserve">for the exercise </w:t>
      </w:r>
      <w:r w:rsidRPr="00A45160">
        <w:t>of rights (art</w:t>
      </w:r>
      <w:r w:rsidR="002F755D">
        <w:t>.</w:t>
      </w:r>
      <w:r w:rsidRPr="00A45160">
        <w:t xml:space="preserve"> 26).</w:t>
      </w:r>
    </w:p>
    <w:p w:rsidR="00A45160" w:rsidRPr="002F755D" w:rsidRDefault="00A45160" w:rsidP="00384AED">
      <w:pPr>
        <w:pStyle w:val="SingleTxtG"/>
        <w:rPr>
          <w:b/>
        </w:rPr>
      </w:pPr>
      <w:r w:rsidRPr="002F755D">
        <w:rPr>
          <w:b/>
        </w:rPr>
        <w:t>The State party should take appropriate measures to ensure the practical implementation of the Constitutional and legal provisions that guarantee the principle of non-discrimination against indigenous peoples and full compliance with articles 26 and 27 of the Covenant.</w:t>
      </w:r>
    </w:p>
    <w:p w:rsidR="00A45160" w:rsidRPr="00A45160" w:rsidRDefault="00A45160" w:rsidP="00384AED">
      <w:pPr>
        <w:pStyle w:val="SingleTxtG"/>
      </w:pPr>
      <w:r w:rsidRPr="00A45160">
        <w:t>20.</w:t>
      </w:r>
      <w:r>
        <w:tab/>
      </w:r>
      <w:r w:rsidR="00910893">
        <w:t>The Committee requests that the</w:t>
      </w:r>
      <w:r w:rsidRPr="00A45160">
        <w:t xml:space="preserve"> State party</w:t>
      </w:r>
      <w:r w:rsidR="00910893">
        <w:t xml:space="preserve">’s </w:t>
      </w:r>
      <w:r w:rsidRPr="00A45160">
        <w:t>fifth periodic report and these concluding observations</w:t>
      </w:r>
      <w:r w:rsidR="00910893">
        <w:t xml:space="preserve"> be published and widely disseminated to the general public, </w:t>
      </w:r>
      <w:r w:rsidRPr="00A45160">
        <w:t xml:space="preserve">the judicial, legislative and administrative authorities and non-governmental organizations. Printed copies of these documents should be distributed </w:t>
      </w:r>
      <w:r w:rsidR="00910893">
        <w:t>to</w:t>
      </w:r>
      <w:r w:rsidRPr="00A45160">
        <w:t xml:space="preserve"> unive</w:t>
      </w:r>
      <w:r w:rsidR="00910893">
        <w:t>rsities, public libraries, the P</w:t>
      </w:r>
      <w:r w:rsidRPr="00A45160">
        <w:t>arliamentary library and other relevant places. I</w:t>
      </w:r>
      <w:r w:rsidR="00223EF8">
        <w:t>t</w:t>
      </w:r>
      <w:r w:rsidRPr="00A45160">
        <w:t xml:space="preserve"> would </w:t>
      </w:r>
      <w:r w:rsidR="00910893">
        <w:t>also be desirable</w:t>
      </w:r>
      <w:r w:rsidRPr="00A45160">
        <w:t xml:space="preserve"> to distribute a summary of the report and the concluding observations to the indigenous communities in their own languages.</w:t>
      </w:r>
    </w:p>
    <w:p w:rsidR="00A45160" w:rsidRPr="00A45160" w:rsidRDefault="00A45160" w:rsidP="00384AED">
      <w:pPr>
        <w:pStyle w:val="SingleTxtG"/>
      </w:pPr>
      <w:r w:rsidRPr="00A45160">
        <w:t>21.</w:t>
      </w:r>
      <w:r>
        <w:tab/>
      </w:r>
      <w:r w:rsidRPr="00A45160">
        <w:t xml:space="preserve">In accordance with </w:t>
      </w:r>
      <w:r w:rsidR="00223EF8">
        <w:t>rule</w:t>
      </w:r>
      <w:r w:rsidRPr="00A45160">
        <w:t xml:space="preserve"> 71, paragraph 5, of the Committee’s rules of procedure, the State party should </w:t>
      </w:r>
      <w:r w:rsidR="00910893">
        <w:t>submit</w:t>
      </w:r>
      <w:r w:rsidRPr="00A45160">
        <w:t xml:space="preserve">, within one year, relevant information on assessment of the situation and on </w:t>
      </w:r>
      <w:r w:rsidR="00910893">
        <w:t>the</w:t>
      </w:r>
      <w:r w:rsidRPr="00A45160">
        <w:t xml:space="preserve"> implementation of the Committee’s recommendations in paragraphs 9, 13 and 19 above.</w:t>
      </w:r>
    </w:p>
    <w:p w:rsidR="00A45160" w:rsidRPr="00A45160" w:rsidRDefault="00A45160" w:rsidP="00384AED">
      <w:pPr>
        <w:pStyle w:val="SingleTxtG"/>
      </w:pPr>
      <w:r w:rsidRPr="00A45160">
        <w:t>22.</w:t>
      </w:r>
      <w:r>
        <w:tab/>
      </w:r>
      <w:r w:rsidRPr="00A45160">
        <w:t xml:space="preserve">The Committee invites the State party, given that it has not yet submitted its core document, to </w:t>
      </w:r>
      <w:r w:rsidR="00910893">
        <w:t>do so</w:t>
      </w:r>
      <w:r w:rsidRPr="00A45160">
        <w:t xml:space="preserve"> in accordance with the harmonized guidelines on reporting </w:t>
      </w:r>
      <w:r w:rsidR="00910893">
        <w:t>under the</w:t>
      </w:r>
      <w:r w:rsidRPr="00A45160">
        <w:t xml:space="preserve"> international human rights treaties, which were adopted at the </w:t>
      </w:r>
      <w:r w:rsidR="00910893" w:rsidRPr="00A45160">
        <w:t xml:space="preserve">Fifth Inter-Committee Meeting </w:t>
      </w:r>
      <w:r w:rsidRPr="00A45160">
        <w:t xml:space="preserve">of </w:t>
      </w:r>
      <w:r w:rsidR="00910893">
        <w:t xml:space="preserve">the </w:t>
      </w:r>
      <w:r w:rsidRPr="00A45160">
        <w:t>human rights treaty bodies held in June 2006 (HRI/GEN/2/Rev.4).</w:t>
      </w:r>
    </w:p>
    <w:p w:rsidR="00442A83" w:rsidRDefault="00A45160" w:rsidP="00384AED">
      <w:pPr>
        <w:pStyle w:val="SingleTxtG"/>
      </w:pPr>
      <w:r w:rsidRPr="00A45160">
        <w:t>23.</w:t>
      </w:r>
      <w:r>
        <w:tab/>
      </w:r>
      <w:r w:rsidRPr="00A45160">
        <w:t>The Committee requests the State party, in its next report due to be submitted by 30 October 2013 at the latest, to provide information on the remaining recommendations made and on compliance with the Covenant as a whole.</w:t>
      </w:r>
    </w:p>
    <w:p w:rsidR="00910893" w:rsidRPr="00106A43" w:rsidRDefault="00910893">
      <w:pPr>
        <w:spacing w:before="240"/>
        <w:jc w:val="center"/>
        <w:rPr>
          <w:u w:val="single"/>
        </w:rPr>
      </w:pPr>
      <w:r>
        <w:rPr>
          <w:u w:val="single"/>
        </w:rPr>
        <w:tab/>
      </w:r>
      <w:r>
        <w:rPr>
          <w:u w:val="single"/>
        </w:rPr>
        <w:tab/>
      </w:r>
      <w:r>
        <w:rPr>
          <w:u w:val="single"/>
        </w:rPr>
        <w:tab/>
      </w:r>
    </w:p>
    <w:sectPr w:rsidR="00910893" w:rsidRPr="00106A43" w:rsidSect="00404A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79B" w:rsidRDefault="00E7179B"/>
  </w:endnote>
  <w:endnote w:type="continuationSeparator" w:id="0">
    <w:p w:rsidR="00E7179B" w:rsidRDefault="00E7179B"/>
  </w:endnote>
  <w:endnote w:type="continuationNotice" w:id="1">
    <w:p w:rsidR="00E7179B" w:rsidRDefault="00E717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79B" w:rsidRPr="00404ADA" w:rsidRDefault="00E7179B" w:rsidP="00404ADA">
    <w:pPr>
      <w:pStyle w:val="Footer"/>
      <w:tabs>
        <w:tab w:val="right" w:pos="9598"/>
      </w:tabs>
    </w:pPr>
    <w:r w:rsidRPr="00404ADA">
      <w:rPr>
        <w:b/>
        <w:sz w:val="18"/>
      </w:rPr>
      <w:fldChar w:fldCharType="begin"/>
    </w:r>
    <w:r w:rsidRPr="00404ADA">
      <w:rPr>
        <w:b/>
        <w:sz w:val="18"/>
      </w:rPr>
      <w:instrText xml:space="preserve"> PAGE  \* MERGEFORMAT </w:instrText>
    </w:r>
    <w:r w:rsidRPr="00404ADA">
      <w:rPr>
        <w:b/>
        <w:sz w:val="18"/>
      </w:rPr>
      <w:fldChar w:fldCharType="separate"/>
    </w:r>
    <w:r>
      <w:rPr>
        <w:b/>
        <w:noProof/>
        <w:sz w:val="18"/>
      </w:rPr>
      <w:t>4</w:t>
    </w:r>
    <w:r w:rsidRPr="00404ADA">
      <w:rPr>
        <w:b/>
        <w:sz w:val="18"/>
      </w:rPr>
      <w:fldChar w:fldCharType="end"/>
    </w:r>
    <w:r>
      <w:rPr>
        <w:sz w:val="18"/>
      </w:rPr>
      <w:tab/>
    </w:r>
    <w:r>
      <w:t>GE.09-46109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79B" w:rsidRPr="00404ADA" w:rsidRDefault="00E7179B" w:rsidP="00404ADA">
    <w:pPr>
      <w:pStyle w:val="Footer"/>
      <w:tabs>
        <w:tab w:val="right" w:pos="9598"/>
      </w:tabs>
      <w:rPr>
        <w:b/>
        <w:sz w:val="18"/>
      </w:rPr>
    </w:pPr>
    <w:r>
      <w:t>GE.09-46109</w:t>
    </w:r>
    <w:r>
      <w:tab/>
    </w:r>
    <w:r w:rsidRPr="00404ADA">
      <w:rPr>
        <w:b/>
        <w:sz w:val="18"/>
      </w:rPr>
      <w:fldChar w:fldCharType="begin"/>
    </w:r>
    <w:r w:rsidRPr="00404ADA">
      <w:rPr>
        <w:b/>
        <w:sz w:val="18"/>
      </w:rPr>
      <w:instrText xml:space="preserve"> PAGE  \* MERGEFORMAT </w:instrText>
    </w:r>
    <w:r w:rsidRPr="00404ADA">
      <w:rPr>
        <w:b/>
        <w:sz w:val="18"/>
      </w:rPr>
      <w:fldChar w:fldCharType="separate"/>
    </w:r>
    <w:r>
      <w:rPr>
        <w:b/>
        <w:noProof/>
        <w:sz w:val="18"/>
      </w:rPr>
      <w:t>5</w:t>
    </w:r>
    <w:r w:rsidRPr="00404A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79B" w:rsidRDefault="00E7179B">
    <w:pPr>
      <w:pStyle w:val="Footer"/>
    </w:pPr>
    <w:r>
      <w:rPr>
        <w:sz w:val="20"/>
      </w:rPr>
      <w:t>GE.09-46109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231109    241109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79B" w:rsidRPr="000B175B" w:rsidRDefault="00E7179B" w:rsidP="000B175B">
      <w:pPr>
        <w:tabs>
          <w:tab w:val="right" w:pos="2155"/>
        </w:tabs>
        <w:spacing w:after="80"/>
        <w:ind w:left="680"/>
        <w:rPr>
          <w:u w:val="single"/>
        </w:rPr>
      </w:pPr>
      <w:r>
        <w:rPr>
          <w:u w:val="single"/>
        </w:rPr>
        <w:tab/>
      </w:r>
    </w:p>
  </w:footnote>
  <w:footnote w:type="continuationSeparator" w:id="0">
    <w:p w:rsidR="00E7179B" w:rsidRPr="00FC68B7" w:rsidRDefault="00E7179B" w:rsidP="00FC68B7">
      <w:pPr>
        <w:tabs>
          <w:tab w:val="left" w:pos="2155"/>
        </w:tabs>
        <w:spacing w:after="80"/>
        <w:ind w:left="680"/>
        <w:rPr>
          <w:u w:val="single"/>
        </w:rPr>
      </w:pPr>
      <w:r>
        <w:rPr>
          <w:u w:val="single"/>
        </w:rPr>
        <w:tab/>
      </w:r>
    </w:p>
  </w:footnote>
  <w:footnote w:type="continuationNotice" w:id="1">
    <w:p w:rsidR="00E7179B" w:rsidRDefault="00E717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79B" w:rsidRPr="00404ADA" w:rsidRDefault="00E7179B" w:rsidP="00404ADA">
    <w:pPr>
      <w:pStyle w:val="Header"/>
    </w:pPr>
    <w:r>
      <w:t>CC</w:t>
    </w:r>
    <w:r w:rsidRPr="00404ADA">
      <w:t>P</w:t>
    </w:r>
    <w:r>
      <w:t>R</w:t>
    </w:r>
    <w:r w:rsidRPr="00404ADA">
      <w:t>/C/ECU/CO/5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79B" w:rsidRPr="00404ADA" w:rsidRDefault="00E7179B" w:rsidP="00404ADA">
    <w:pPr>
      <w:pStyle w:val="Header"/>
      <w:jc w:val="right"/>
    </w:pPr>
    <w:r>
      <w:t>CC</w:t>
    </w:r>
    <w:r w:rsidRPr="00404ADA">
      <w:t>P</w:t>
    </w:r>
    <w:r>
      <w:t>R</w:t>
    </w:r>
    <w:r w:rsidRPr="00404ADA">
      <w:t>/C/ECU/CO/5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73D"/>
    <w:rsid w:val="00050F6B"/>
    <w:rsid w:val="00057E97"/>
    <w:rsid w:val="00060C3A"/>
    <w:rsid w:val="00072C8C"/>
    <w:rsid w:val="000733B5"/>
    <w:rsid w:val="00081815"/>
    <w:rsid w:val="000931C0"/>
    <w:rsid w:val="000B175B"/>
    <w:rsid w:val="000B3A0F"/>
    <w:rsid w:val="000B4EF7"/>
    <w:rsid w:val="000C2C03"/>
    <w:rsid w:val="000C2D2E"/>
    <w:rsid w:val="000E0415"/>
    <w:rsid w:val="000F2DB1"/>
    <w:rsid w:val="001103AA"/>
    <w:rsid w:val="00157BDB"/>
    <w:rsid w:val="00165F3A"/>
    <w:rsid w:val="00183968"/>
    <w:rsid w:val="001A6686"/>
    <w:rsid w:val="001B4B04"/>
    <w:rsid w:val="001C6663"/>
    <w:rsid w:val="001C7895"/>
    <w:rsid w:val="001D0C8C"/>
    <w:rsid w:val="001D26DF"/>
    <w:rsid w:val="001D316C"/>
    <w:rsid w:val="001D3A03"/>
    <w:rsid w:val="00202DA8"/>
    <w:rsid w:val="00211E0B"/>
    <w:rsid w:val="0021293E"/>
    <w:rsid w:val="00223EF8"/>
    <w:rsid w:val="0023210C"/>
    <w:rsid w:val="002545FA"/>
    <w:rsid w:val="00267F5F"/>
    <w:rsid w:val="00286B4D"/>
    <w:rsid w:val="002F175C"/>
    <w:rsid w:val="002F755D"/>
    <w:rsid w:val="003229D8"/>
    <w:rsid w:val="00352709"/>
    <w:rsid w:val="00367567"/>
    <w:rsid w:val="00371178"/>
    <w:rsid w:val="00384AED"/>
    <w:rsid w:val="003A6810"/>
    <w:rsid w:val="003C2CC4"/>
    <w:rsid w:val="003C41BD"/>
    <w:rsid w:val="003C43D3"/>
    <w:rsid w:val="003D4B23"/>
    <w:rsid w:val="00404ADA"/>
    <w:rsid w:val="00410C89"/>
    <w:rsid w:val="00426B9B"/>
    <w:rsid w:val="00430D95"/>
    <w:rsid w:val="004325CB"/>
    <w:rsid w:val="00436B33"/>
    <w:rsid w:val="00442A83"/>
    <w:rsid w:val="0045495B"/>
    <w:rsid w:val="00487488"/>
    <w:rsid w:val="004955E2"/>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50DC7"/>
    <w:rsid w:val="007629C8"/>
    <w:rsid w:val="00786677"/>
    <w:rsid w:val="007B6BA5"/>
    <w:rsid w:val="007C3390"/>
    <w:rsid w:val="007C4F4B"/>
    <w:rsid w:val="007C784F"/>
    <w:rsid w:val="007E0B2D"/>
    <w:rsid w:val="007F1853"/>
    <w:rsid w:val="007F6611"/>
    <w:rsid w:val="008242D7"/>
    <w:rsid w:val="008257B1"/>
    <w:rsid w:val="00833ABC"/>
    <w:rsid w:val="00843767"/>
    <w:rsid w:val="008679D9"/>
    <w:rsid w:val="008979B1"/>
    <w:rsid w:val="008A1DB2"/>
    <w:rsid w:val="008A6B25"/>
    <w:rsid w:val="008A6C4F"/>
    <w:rsid w:val="008B2335"/>
    <w:rsid w:val="008E0678"/>
    <w:rsid w:val="0090492F"/>
    <w:rsid w:val="00910893"/>
    <w:rsid w:val="00910F40"/>
    <w:rsid w:val="00912C08"/>
    <w:rsid w:val="009223CA"/>
    <w:rsid w:val="0092473D"/>
    <w:rsid w:val="00940F93"/>
    <w:rsid w:val="0095347F"/>
    <w:rsid w:val="009760F3"/>
    <w:rsid w:val="009909F5"/>
    <w:rsid w:val="009A0E8D"/>
    <w:rsid w:val="009B26E7"/>
    <w:rsid w:val="00A00A3F"/>
    <w:rsid w:val="00A01489"/>
    <w:rsid w:val="00A338F1"/>
    <w:rsid w:val="00A45160"/>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B166A"/>
    <w:rsid w:val="00BC2C23"/>
    <w:rsid w:val="00BC74E9"/>
    <w:rsid w:val="00BF68A8"/>
    <w:rsid w:val="00C11A03"/>
    <w:rsid w:val="00C463DD"/>
    <w:rsid w:val="00C4724C"/>
    <w:rsid w:val="00C629A0"/>
    <w:rsid w:val="00C745C3"/>
    <w:rsid w:val="00CB5A89"/>
    <w:rsid w:val="00CE3AF9"/>
    <w:rsid w:val="00CE4A8F"/>
    <w:rsid w:val="00D2031B"/>
    <w:rsid w:val="00D25FE2"/>
    <w:rsid w:val="00D43252"/>
    <w:rsid w:val="00D47EEA"/>
    <w:rsid w:val="00D534F3"/>
    <w:rsid w:val="00D95303"/>
    <w:rsid w:val="00D978C6"/>
    <w:rsid w:val="00DA3111"/>
    <w:rsid w:val="00DA3C1C"/>
    <w:rsid w:val="00DB0C79"/>
    <w:rsid w:val="00DF2674"/>
    <w:rsid w:val="00E123C9"/>
    <w:rsid w:val="00E27346"/>
    <w:rsid w:val="00E7179B"/>
    <w:rsid w:val="00E71BC8"/>
    <w:rsid w:val="00E7260F"/>
    <w:rsid w:val="00E779FC"/>
    <w:rsid w:val="00E851C1"/>
    <w:rsid w:val="00E96630"/>
    <w:rsid w:val="00EB2581"/>
    <w:rsid w:val="00ED7A2A"/>
    <w:rsid w:val="00EF1D7F"/>
    <w:rsid w:val="00F20C3D"/>
    <w:rsid w:val="00F43E9E"/>
    <w:rsid w:val="00F86F69"/>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2232</Words>
  <Characters>11455</Characters>
  <Application>Microsoft Office Word</Application>
  <DocSecurity>4</DocSecurity>
  <Lines>184</Lines>
  <Paragraphs>50</Paragraphs>
  <ScaleCrop>false</ScaleCrop>
  <HeadingPairs>
    <vt:vector size="2" baseType="variant">
      <vt:variant>
        <vt:lpstr>Title</vt:lpstr>
      </vt:variant>
      <vt:variant>
        <vt:i4>1</vt:i4>
      </vt:variant>
    </vt:vector>
  </HeadingPairs>
  <TitlesOfParts>
    <vt:vector size="1" baseType="lpstr">
      <vt:lpstr>0946109</vt:lpstr>
    </vt:vector>
  </TitlesOfParts>
  <Company>CSD</Company>
  <LinksUpToDate>false</LinksUpToDate>
  <CharactersWithSpaces>13637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0946109</dc:title>
  <dc:subject>CCPR/C/ECU/CO/5</dc:subject>
  <dc:creator>Kay-Attipoe</dc:creator>
  <cp:keywords/>
  <dc:description>Final</dc:description>
  <cp:lastModifiedBy>Admieng</cp:lastModifiedBy>
  <cp:revision>2</cp:revision>
  <cp:lastPrinted>2008-01-29T11:04:00Z</cp:lastPrinted>
  <dcterms:created xsi:type="dcterms:W3CDTF">2009-11-24T15:35:00Z</dcterms:created>
  <dcterms:modified xsi:type="dcterms:W3CDTF">2009-11-24T15:35:00Z</dcterms:modified>
</cp:coreProperties>
</file>