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848" w:rsidRDefault="001C7848">
      <w:pPr>
        <w:spacing w:line="60" w:lineRule="exact"/>
      </w:pPr>
      <w:r>
        <w:rPr>
          <w:rStyle w:val="CommentReference"/>
          <w:rFonts w:hint="eastAsia"/>
          <w:vanish/>
        </w:rPr>
        <w:commentReference w:id="0"/>
      </w:r>
    </w:p>
    <w:p w:rsidR="001C7848" w:rsidRDefault="001C7848">
      <w:pPr>
        <w:pStyle w:val="H1"/>
        <w:spacing w:beforeLines="0" w:before="0"/>
        <w:rPr>
          <w:rFonts w:hint="eastAsia"/>
        </w:rPr>
      </w:pPr>
      <w:bookmarkStart w:id="1" w:name="_Toc93172486"/>
      <w:bookmarkStart w:id="2" w:name="_Toc93172672"/>
      <w:bookmarkStart w:id="3" w:name="_Toc188785125"/>
      <w:bookmarkStart w:id="4" w:name="_Toc188785236"/>
      <w:r>
        <w:rPr>
          <w:rFonts w:hint="eastAsia"/>
        </w:rPr>
        <w:t>消除对妇女歧视委员会</w:t>
      </w:r>
      <w:bookmarkEnd w:id="1"/>
      <w:bookmarkEnd w:id="2"/>
      <w:bookmarkEnd w:id="3"/>
      <w:bookmarkEnd w:id="4"/>
    </w:p>
    <w:p w:rsidR="001C7848" w:rsidRDefault="001C7848">
      <w:pPr>
        <w:spacing w:line="360" w:lineRule="atLeast"/>
      </w:pPr>
    </w:p>
    <w:p w:rsidR="001C7848" w:rsidRDefault="001C7848">
      <w:pPr>
        <w:spacing w:line="360" w:lineRule="atLeast"/>
        <w:rPr>
          <w:rFonts w:hint="eastAsia"/>
        </w:rPr>
      </w:pPr>
    </w:p>
    <w:p w:rsidR="001C7848" w:rsidRDefault="001C7848">
      <w:pPr>
        <w:pStyle w:val="HCh"/>
        <w:jc w:val="center"/>
        <w:rPr>
          <w:rFonts w:hint="eastAsia"/>
        </w:rPr>
      </w:pPr>
      <w:bookmarkStart w:id="5" w:name="_Toc188785126"/>
      <w:bookmarkStart w:id="6" w:name="_Toc188785237"/>
      <w:r>
        <w:rPr>
          <w:rFonts w:hint="eastAsia"/>
        </w:rPr>
        <w:t>审议缔约国根据《消除对妇女一切形式歧视公约》</w:t>
      </w:r>
      <w:r>
        <w:br/>
      </w:r>
      <w:r>
        <w:rPr>
          <w:rFonts w:hint="eastAsia"/>
        </w:rPr>
        <w:t>第</w:t>
      </w:r>
      <w:r>
        <w:t>18</w:t>
      </w:r>
      <w:r>
        <w:rPr>
          <w:rFonts w:hint="eastAsia"/>
        </w:rPr>
        <w:t>条提交的报告</w:t>
      </w:r>
      <w:bookmarkEnd w:id="5"/>
      <w:bookmarkEnd w:id="6"/>
    </w:p>
    <w:p w:rsidR="001C7848" w:rsidRDefault="001C7848">
      <w:pPr>
        <w:spacing w:line="360" w:lineRule="auto"/>
        <w:jc w:val="center"/>
        <w:rPr>
          <w:rFonts w:ascii="SimSun" w:hAnsi="SimSun" w:hint="eastAsia"/>
          <w:sz w:val="28"/>
          <w:szCs w:val="28"/>
        </w:rPr>
      </w:pPr>
    </w:p>
    <w:p w:rsidR="001C7848" w:rsidRDefault="001C7848">
      <w:pPr>
        <w:pStyle w:val="H1"/>
        <w:spacing w:before="120"/>
        <w:jc w:val="center"/>
        <w:rPr>
          <w:rFonts w:hint="eastAsia"/>
          <w:bCs/>
        </w:rPr>
      </w:pPr>
      <w:bookmarkStart w:id="7" w:name="_Toc188785127"/>
      <w:bookmarkStart w:id="8" w:name="_Toc188785238"/>
      <w:r>
        <w:rPr>
          <w:rFonts w:hint="eastAsia"/>
          <w:bCs/>
          <w:u w:val="single"/>
        </w:rPr>
        <w:t>缔约国的第六次定期报告</w:t>
      </w:r>
      <w:bookmarkEnd w:id="7"/>
      <w:bookmarkEnd w:id="8"/>
    </w:p>
    <w:p w:rsidR="001C7848" w:rsidRDefault="001C7848">
      <w:pPr>
        <w:rPr>
          <w:rFonts w:hint="eastAsia"/>
        </w:rPr>
      </w:pPr>
    </w:p>
    <w:p w:rsidR="001C7848" w:rsidRDefault="001C7848">
      <w:pPr>
        <w:rPr>
          <w:rFonts w:hint="eastAsia"/>
        </w:rPr>
      </w:pPr>
    </w:p>
    <w:p w:rsidR="001C7848" w:rsidRDefault="001C7848">
      <w:pPr>
        <w:pStyle w:val="HCh"/>
        <w:jc w:val="center"/>
      </w:pPr>
      <w:bookmarkStart w:id="9" w:name="_Toc188785128"/>
      <w:bookmarkStart w:id="10" w:name="_Toc188785239"/>
      <w:r>
        <w:rPr>
          <w:rFonts w:cs="SimHei" w:hint="eastAsia"/>
          <w:szCs w:val="28"/>
        </w:rPr>
        <w:t>芬兰</w:t>
      </w:r>
      <w:r>
        <w:rPr>
          <w:vertAlign w:val="superscript"/>
        </w:rPr>
        <w:t>*</w:t>
      </w:r>
      <w:bookmarkEnd w:id="9"/>
      <w:bookmarkEnd w:id="10"/>
    </w:p>
    <w:p w:rsidR="001C7848" w:rsidRDefault="001C7848">
      <w:pPr>
        <w:pStyle w:val="HCh"/>
        <w:jc w:val="center"/>
        <w:rPr>
          <w:rFonts w:hint="eastAsia"/>
        </w:rPr>
      </w:pPr>
    </w:p>
    <w:p w:rsidR="001C7848" w:rsidRDefault="001C7848">
      <w:pPr>
        <w:rPr>
          <w:rFonts w:hint="eastAsia"/>
        </w:rPr>
      </w:pPr>
    </w:p>
    <w:p w:rsidR="001C7848" w:rsidRDefault="001C7848">
      <w:pPr>
        <w:pStyle w:val="Date"/>
        <w:spacing w:line="60" w:lineRule="exact"/>
        <w:sectPr w:rsidR="001C7848">
          <w:headerReference w:type="even" r:id="rId8"/>
          <w:headerReference w:type="default" r:id="rId9"/>
          <w:footerReference w:type="even" r:id="rId10"/>
          <w:footerReference w:type="default" r:id="rId11"/>
          <w:headerReference w:type="first" r:id="rId12"/>
          <w:footerReference w:type="first" r:id="rId13"/>
          <w:pgSz w:w="12242" w:h="15842" w:code="54"/>
          <w:pgMar w:top="1741" w:right="1196" w:bottom="1899" w:left="1196" w:header="578" w:footer="1032" w:gutter="0"/>
          <w:cols w:space="425"/>
          <w:titlePg/>
        </w:sectPr>
      </w:pPr>
      <w:bookmarkStart w:id="11" w:name="_Toc77496595"/>
    </w:p>
    <w:p w:rsidR="001C7848" w:rsidRDefault="001C7848">
      <w:pPr>
        <w:pStyle w:val="Date"/>
        <w:spacing w:line="60" w:lineRule="exact"/>
        <w:rPr>
          <w:rFonts w:hint="eastAsia"/>
          <w:lang w:val="en-GB"/>
        </w:rPr>
      </w:pPr>
    </w:p>
    <w:bookmarkEnd w:id="11"/>
    <w:p w:rsidR="001C7848" w:rsidRDefault="001C7848">
      <w:pPr>
        <w:pStyle w:val="HCh"/>
        <w:rPr>
          <w:rFonts w:hint="eastAsia"/>
        </w:rPr>
      </w:pPr>
    </w:p>
    <w:p w:rsidR="001C7848" w:rsidRDefault="001C7848">
      <w:pPr>
        <w:pStyle w:val="HCh"/>
        <w:rPr>
          <w:rFonts w:hint="eastAsia"/>
        </w:rPr>
      </w:pPr>
    </w:p>
    <w:p w:rsidR="001C7848" w:rsidRDefault="001C7848">
      <w:pPr>
        <w:pStyle w:val="HCh"/>
        <w:jc w:val="center"/>
        <w:rPr>
          <w:rFonts w:hint="eastAsia"/>
        </w:rPr>
      </w:pPr>
      <w:bookmarkStart w:id="12" w:name="_Toc188785129"/>
      <w:bookmarkStart w:id="13" w:name="_Toc188785240"/>
      <w:r>
        <w:rPr>
          <w:rFonts w:hint="eastAsia"/>
        </w:rPr>
        <w:t>芬兰政府关于《消除对妇女一切形式歧视公约》</w:t>
      </w:r>
      <w:bookmarkEnd w:id="12"/>
      <w:bookmarkEnd w:id="13"/>
    </w:p>
    <w:p w:rsidR="001C7848" w:rsidRDefault="001C7848">
      <w:pPr>
        <w:pStyle w:val="HCh"/>
        <w:jc w:val="center"/>
      </w:pPr>
      <w:bookmarkStart w:id="14" w:name="_Toc188785130"/>
      <w:bookmarkStart w:id="15" w:name="_Toc188785241"/>
      <w:r>
        <w:rPr>
          <w:rFonts w:hint="eastAsia"/>
        </w:rPr>
        <w:t>执行情况的第六次定期报告</w:t>
      </w:r>
      <w:bookmarkEnd w:id="14"/>
      <w:bookmarkEnd w:id="15"/>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p>
    <w:p w:rsidR="001C7848" w:rsidRDefault="001C7848">
      <w:pPr>
        <w:pStyle w:val="Date"/>
        <w:jc w:val="center"/>
        <w:rPr>
          <w:rFonts w:hint="eastAsia"/>
          <w:sz w:val="28"/>
        </w:rPr>
      </w:pPr>
      <w:r>
        <w:rPr>
          <w:rFonts w:hint="eastAsia"/>
          <w:sz w:val="28"/>
        </w:rPr>
        <w:t>2007</w:t>
      </w:r>
      <w:r>
        <w:rPr>
          <w:rFonts w:hint="eastAsia"/>
          <w:sz w:val="28"/>
        </w:rPr>
        <w:t>年</w:t>
      </w:r>
      <w:r>
        <w:rPr>
          <w:rFonts w:hint="eastAsia"/>
          <w:sz w:val="28"/>
        </w:rPr>
        <w:t>10</w:t>
      </w:r>
      <w:r>
        <w:rPr>
          <w:rFonts w:hint="eastAsia"/>
          <w:sz w:val="28"/>
        </w:rPr>
        <w:t>月</w:t>
      </w:r>
    </w:p>
    <w:p w:rsidR="001C7848" w:rsidRDefault="001C7848">
      <w:pPr>
        <w:spacing w:after="120" w:line="360" w:lineRule="exact"/>
        <w:jc w:val="center"/>
        <w:rPr>
          <w:rFonts w:eastAsia="SimHei"/>
          <w:bCs/>
          <w:color w:val="FF0000"/>
          <w:sz w:val="28"/>
          <w:lang w:val="en-GB"/>
        </w:rPr>
      </w:pPr>
      <w:r>
        <w:rPr>
          <w:rFonts w:eastAsia="SimHei"/>
          <w:bCs/>
          <w:color w:val="FF0000"/>
          <w:sz w:val="28"/>
          <w:lang w:val="en-GB"/>
        </w:rPr>
        <w:br w:type="page"/>
      </w:r>
      <w:r>
        <w:rPr>
          <w:rFonts w:eastAsia="SimHei" w:hint="eastAsia"/>
          <w:bCs/>
          <w:color w:val="FF0000"/>
          <w:sz w:val="28"/>
          <w:lang w:val="en-GB"/>
        </w:rPr>
        <w:t>目</w:t>
      </w:r>
      <w:r>
        <w:rPr>
          <w:rFonts w:eastAsia="SimHei"/>
          <w:bCs/>
          <w:color w:val="FF0000"/>
          <w:sz w:val="28"/>
          <w:lang w:val="en-GB"/>
        </w:rPr>
        <w:t xml:space="preserve"> </w:t>
      </w:r>
      <w:r>
        <w:rPr>
          <w:rFonts w:eastAsia="SimHei" w:hint="eastAsia"/>
          <w:bCs/>
          <w:color w:val="FF0000"/>
          <w:sz w:val="28"/>
          <w:lang w:val="en-GB"/>
        </w:rPr>
        <w:t>录</w:t>
      </w:r>
    </w:p>
    <w:p w:rsidR="001C7848" w:rsidRDefault="001C7848">
      <w:pPr>
        <w:spacing w:after="120" w:line="360" w:lineRule="atLeast"/>
        <w:jc w:val="right"/>
        <w:rPr>
          <w:rFonts w:eastAsia="KaiTi_GB2312" w:hint="eastAsia"/>
          <w:color w:val="0000FF"/>
          <w:lang w:val="en-GB"/>
        </w:rPr>
      </w:pPr>
      <w:r>
        <w:rPr>
          <w:rFonts w:eastAsia="KaiTi_GB2312" w:hint="eastAsia"/>
          <w:color w:val="0000FF"/>
          <w:lang w:val="en-GB"/>
        </w:rPr>
        <w:t>页次</w:t>
      </w:r>
    </w:p>
    <w:p w:rsidR="001C7848" w:rsidRDefault="001C7848">
      <w:pPr>
        <w:pStyle w:val="TOC1"/>
        <w:rPr>
          <w:szCs w:val="24"/>
        </w:rPr>
      </w:pPr>
      <w:r>
        <w:fldChar w:fldCharType="begin"/>
      </w:r>
      <w:r>
        <w:instrText xml:space="preserve"> TOC </w:instrText>
      </w:r>
      <w:r>
        <w:rPr>
          <w:rFonts w:hint="eastAsia"/>
        </w:rPr>
        <w:instrText>\o "2-3" \h \z \t "</w:instrText>
      </w:r>
      <w:r>
        <w:rPr>
          <w:rFonts w:hint="eastAsia"/>
        </w:rPr>
        <w:instrText>标题</w:instrText>
      </w:r>
      <w:r>
        <w:rPr>
          <w:rFonts w:hint="eastAsia"/>
        </w:rPr>
        <w:instrText xml:space="preserve"> 1,1,_ H _Ch,1,XLarge,1,_ H_1,1,_H_2,1"</w:instrText>
      </w:r>
      <w:r>
        <w:instrText xml:space="preserve"> </w:instrText>
      </w:r>
      <w:r>
        <w:fldChar w:fldCharType="separate"/>
      </w:r>
    </w:p>
    <w:p w:rsidR="001C7848" w:rsidRDefault="001C7848">
      <w:pPr>
        <w:pStyle w:val="TOC1"/>
        <w:rPr>
          <w:szCs w:val="24"/>
        </w:rPr>
      </w:pPr>
      <w:hyperlink w:anchor="_Toc188785242" w:history="1">
        <w:r>
          <w:rPr>
            <w:rStyle w:val="Hyperlink"/>
            <w:rFonts w:hint="eastAsia"/>
          </w:rPr>
          <w:t>前言</w:t>
        </w:r>
        <w:r>
          <w:rPr>
            <w:webHidden/>
          </w:rPr>
          <w:tab/>
        </w:r>
        <w:r>
          <w:rPr>
            <w:webHidden/>
          </w:rPr>
          <w:fldChar w:fldCharType="begin"/>
        </w:r>
        <w:r>
          <w:rPr>
            <w:webHidden/>
          </w:rPr>
          <w:instrText xml:space="preserve"> PAGEREF _Toc188785242 \h </w:instrText>
        </w:r>
        <w:r>
          <w:rPr>
            <w:webHidden/>
          </w:rPr>
          <w:fldChar w:fldCharType="separate"/>
        </w:r>
        <w:r w:rsidR="007569C0">
          <w:rPr>
            <w:webHidden/>
          </w:rPr>
          <w:t>6</w:t>
        </w:r>
        <w:r>
          <w:rPr>
            <w:webHidden/>
          </w:rPr>
          <w:fldChar w:fldCharType="end"/>
        </w:r>
      </w:hyperlink>
    </w:p>
    <w:p w:rsidR="001C7848" w:rsidRDefault="001C7848">
      <w:pPr>
        <w:pStyle w:val="TOC1"/>
        <w:rPr>
          <w:szCs w:val="24"/>
        </w:rPr>
      </w:pPr>
      <w:hyperlink w:anchor="_Toc188785243" w:history="1">
        <w:r>
          <w:rPr>
            <w:rStyle w:val="Hyperlink"/>
            <w:rFonts w:hint="eastAsia"/>
            <w:szCs w:val="28"/>
          </w:rPr>
          <w:t>第</w:t>
        </w:r>
        <w:r>
          <w:rPr>
            <w:rStyle w:val="Hyperlink"/>
            <w:szCs w:val="28"/>
          </w:rPr>
          <w:t>1</w:t>
        </w:r>
        <w:r>
          <w:rPr>
            <w:rStyle w:val="Hyperlink"/>
            <w:rFonts w:hint="eastAsia"/>
            <w:szCs w:val="28"/>
          </w:rPr>
          <w:t>条</w:t>
        </w:r>
        <w:r>
          <w:rPr>
            <w:webHidden/>
          </w:rPr>
          <w:tab/>
        </w:r>
        <w:r>
          <w:rPr>
            <w:webHidden/>
          </w:rPr>
          <w:fldChar w:fldCharType="begin"/>
        </w:r>
        <w:r>
          <w:rPr>
            <w:webHidden/>
          </w:rPr>
          <w:instrText xml:space="preserve"> PAGEREF _Toc188785243 \h </w:instrText>
        </w:r>
        <w:r>
          <w:rPr>
            <w:webHidden/>
          </w:rPr>
          <w:fldChar w:fldCharType="separate"/>
        </w:r>
        <w:r w:rsidR="007569C0">
          <w:rPr>
            <w:webHidden/>
          </w:rPr>
          <w:t>6</w:t>
        </w:r>
        <w:r>
          <w:rPr>
            <w:webHidden/>
          </w:rPr>
          <w:fldChar w:fldCharType="end"/>
        </w:r>
      </w:hyperlink>
    </w:p>
    <w:p w:rsidR="001C7848" w:rsidRDefault="001C7848">
      <w:pPr>
        <w:pStyle w:val="TOC1"/>
        <w:rPr>
          <w:szCs w:val="24"/>
        </w:rPr>
      </w:pPr>
      <w:hyperlink w:anchor="_Toc188785244" w:history="1">
        <w:r>
          <w:rPr>
            <w:rStyle w:val="Hyperlink"/>
            <w:rFonts w:hint="eastAsia"/>
            <w:szCs w:val="28"/>
          </w:rPr>
          <w:t>第</w:t>
        </w:r>
        <w:r>
          <w:rPr>
            <w:rStyle w:val="Hyperlink"/>
            <w:szCs w:val="28"/>
          </w:rPr>
          <w:t>2</w:t>
        </w:r>
        <w:r>
          <w:rPr>
            <w:rStyle w:val="Hyperlink"/>
            <w:rFonts w:hint="eastAsia"/>
            <w:szCs w:val="28"/>
          </w:rPr>
          <w:t>条</w:t>
        </w:r>
        <w:r>
          <w:rPr>
            <w:webHidden/>
          </w:rPr>
          <w:tab/>
        </w:r>
        <w:r>
          <w:rPr>
            <w:webHidden/>
          </w:rPr>
          <w:fldChar w:fldCharType="begin"/>
        </w:r>
        <w:r>
          <w:rPr>
            <w:webHidden/>
          </w:rPr>
          <w:instrText xml:space="preserve"> PAGEREF _Toc188785244 \h </w:instrText>
        </w:r>
        <w:r>
          <w:rPr>
            <w:webHidden/>
          </w:rPr>
          <w:fldChar w:fldCharType="separate"/>
        </w:r>
        <w:r w:rsidR="007569C0">
          <w:rPr>
            <w:webHidden/>
          </w:rPr>
          <w:t>6</w:t>
        </w:r>
        <w:r>
          <w:rPr>
            <w:webHidden/>
          </w:rPr>
          <w:fldChar w:fldCharType="end"/>
        </w:r>
      </w:hyperlink>
    </w:p>
    <w:p w:rsidR="001C7848" w:rsidRDefault="001C7848">
      <w:pPr>
        <w:pStyle w:val="TOC1"/>
        <w:rPr>
          <w:szCs w:val="24"/>
        </w:rPr>
      </w:pPr>
      <w:hyperlink w:anchor="_Toc188785245" w:history="1">
        <w:r>
          <w:rPr>
            <w:rStyle w:val="Hyperlink"/>
          </w:rPr>
          <w:t xml:space="preserve">1.  </w:t>
        </w:r>
        <w:r>
          <w:rPr>
            <w:rStyle w:val="Hyperlink"/>
            <w:rFonts w:hint="eastAsia"/>
          </w:rPr>
          <w:t>立法</w:t>
        </w:r>
        <w:r>
          <w:rPr>
            <w:webHidden/>
          </w:rPr>
          <w:tab/>
        </w:r>
        <w:r>
          <w:rPr>
            <w:webHidden/>
          </w:rPr>
          <w:fldChar w:fldCharType="begin"/>
        </w:r>
        <w:r>
          <w:rPr>
            <w:webHidden/>
          </w:rPr>
          <w:instrText xml:space="preserve"> PAGEREF _Toc188785245 \h </w:instrText>
        </w:r>
        <w:r>
          <w:rPr>
            <w:webHidden/>
          </w:rPr>
          <w:fldChar w:fldCharType="separate"/>
        </w:r>
        <w:r w:rsidR="007569C0">
          <w:rPr>
            <w:webHidden/>
          </w:rPr>
          <w:t>7</w:t>
        </w:r>
        <w:r>
          <w:rPr>
            <w:webHidden/>
          </w:rPr>
          <w:fldChar w:fldCharType="end"/>
        </w:r>
      </w:hyperlink>
    </w:p>
    <w:p w:rsidR="001C7848" w:rsidRDefault="001C7848">
      <w:pPr>
        <w:pStyle w:val="TOC1"/>
        <w:rPr>
          <w:szCs w:val="24"/>
        </w:rPr>
      </w:pPr>
      <w:hyperlink w:anchor="_Toc188785246" w:history="1">
        <w:r>
          <w:rPr>
            <w:rStyle w:val="Hyperlink"/>
            <w:szCs w:val="21"/>
          </w:rPr>
          <w:t xml:space="preserve">1.1.  </w:t>
        </w:r>
        <w:r>
          <w:rPr>
            <w:rStyle w:val="Hyperlink"/>
            <w:rFonts w:hint="eastAsia"/>
            <w:szCs w:val="21"/>
          </w:rPr>
          <w:t>《男女平等法》的修正</w:t>
        </w:r>
        <w:r>
          <w:rPr>
            <w:webHidden/>
          </w:rPr>
          <w:tab/>
        </w:r>
        <w:r>
          <w:rPr>
            <w:webHidden/>
          </w:rPr>
          <w:fldChar w:fldCharType="begin"/>
        </w:r>
        <w:r>
          <w:rPr>
            <w:webHidden/>
          </w:rPr>
          <w:instrText xml:space="preserve"> PAGEREF _Toc188785246 \h </w:instrText>
        </w:r>
        <w:r>
          <w:rPr>
            <w:webHidden/>
          </w:rPr>
          <w:fldChar w:fldCharType="separate"/>
        </w:r>
        <w:r w:rsidR="007569C0">
          <w:rPr>
            <w:webHidden/>
          </w:rPr>
          <w:t>7</w:t>
        </w:r>
        <w:r>
          <w:rPr>
            <w:webHidden/>
          </w:rPr>
          <w:fldChar w:fldCharType="end"/>
        </w:r>
      </w:hyperlink>
    </w:p>
    <w:p w:rsidR="001C7848" w:rsidRDefault="001C7848">
      <w:pPr>
        <w:pStyle w:val="TOC1"/>
        <w:rPr>
          <w:szCs w:val="24"/>
        </w:rPr>
      </w:pPr>
      <w:hyperlink w:anchor="_Toc188785247" w:history="1">
        <w:r>
          <w:rPr>
            <w:rStyle w:val="Hyperlink"/>
            <w:szCs w:val="21"/>
          </w:rPr>
          <w:t xml:space="preserve">1.2.  </w:t>
        </w:r>
        <w:r>
          <w:rPr>
            <w:rStyle w:val="Hyperlink"/>
            <w:rFonts w:hint="eastAsia"/>
            <w:szCs w:val="21"/>
          </w:rPr>
          <w:t>关于不歧视问题的立法</w:t>
        </w:r>
        <w:r>
          <w:rPr>
            <w:webHidden/>
          </w:rPr>
          <w:tab/>
        </w:r>
        <w:r>
          <w:rPr>
            <w:webHidden/>
          </w:rPr>
          <w:fldChar w:fldCharType="begin"/>
        </w:r>
        <w:r>
          <w:rPr>
            <w:webHidden/>
          </w:rPr>
          <w:instrText xml:space="preserve"> PAGEREF _Toc188785247 \h </w:instrText>
        </w:r>
        <w:r>
          <w:rPr>
            <w:webHidden/>
          </w:rPr>
          <w:fldChar w:fldCharType="separate"/>
        </w:r>
        <w:r w:rsidR="007569C0">
          <w:rPr>
            <w:webHidden/>
          </w:rPr>
          <w:t>8</w:t>
        </w:r>
        <w:r>
          <w:rPr>
            <w:webHidden/>
          </w:rPr>
          <w:fldChar w:fldCharType="end"/>
        </w:r>
      </w:hyperlink>
    </w:p>
    <w:p w:rsidR="001C7848" w:rsidRDefault="001C7848">
      <w:pPr>
        <w:pStyle w:val="TOC1"/>
        <w:rPr>
          <w:szCs w:val="24"/>
        </w:rPr>
      </w:pPr>
      <w:hyperlink w:anchor="_Toc188785248" w:history="1">
        <w:r>
          <w:rPr>
            <w:rStyle w:val="Hyperlink"/>
            <w:szCs w:val="21"/>
          </w:rPr>
          <w:t xml:space="preserve">1.3.  </w:t>
        </w:r>
        <w:r>
          <w:rPr>
            <w:rStyle w:val="Hyperlink"/>
            <w:rFonts w:hint="eastAsia"/>
            <w:szCs w:val="21"/>
          </w:rPr>
          <w:t>对《平等法》执行情况的监督</w:t>
        </w:r>
        <w:r>
          <w:rPr>
            <w:webHidden/>
          </w:rPr>
          <w:tab/>
        </w:r>
        <w:r>
          <w:rPr>
            <w:webHidden/>
          </w:rPr>
          <w:fldChar w:fldCharType="begin"/>
        </w:r>
        <w:r>
          <w:rPr>
            <w:webHidden/>
          </w:rPr>
          <w:instrText xml:space="preserve"> PAGEREF _Toc188785248 \h </w:instrText>
        </w:r>
        <w:r>
          <w:rPr>
            <w:webHidden/>
          </w:rPr>
          <w:fldChar w:fldCharType="separate"/>
        </w:r>
        <w:r w:rsidR="007569C0">
          <w:rPr>
            <w:webHidden/>
          </w:rPr>
          <w:t>9</w:t>
        </w:r>
        <w:r>
          <w:rPr>
            <w:webHidden/>
          </w:rPr>
          <w:fldChar w:fldCharType="end"/>
        </w:r>
      </w:hyperlink>
    </w:p>
    <w:p w:rsidR="001C7848" w:rsidRDefault="001C7848">
      <w:pPr>
        <w:pStyle w:val="TOC1"/>
        <w:rPr>
          <w:szCs w:val="24"/>
        </w:rPr>
      </w:pPr>
      <w:hyperlink w:anchor="_Toc188785249" w:history="1">
        <w:r>
          <w:rPr>
            <w:rStyle w:val="Hyperlink"/>
          </w:rPr>
          <w:t xml:space="preserve">2.  </w:t>
        </w:r>
        <w:r>
          <w:rPr>
            <w:rStyle w:val="Hyperlink"/>
            <w:rFonts w:hint="eastAsia"/>
          </w:rPr>
          <w:t>少数群体</w:t>
        </w:r>
        <w:r>
          <w:rPr>
            <w:webHidden/>
          </w:rPr>
          <w:tab/>
        </w:r>
        <w:r>
          <w:rPr>
            <w:webHidden/>
          </w:rPr>
          <w:fldChar w:fldCharType="begin"/>
        </w:r>
        <w:r>
          <w:rPr>
            <w:webHidden/>
          </w:rPr>
          <w:instrText xml:space="preserve"> PAGEREF _Toc188785249 \h </w:instrText>
        </w:r>
        <w:r>
          <w:rPr>
            <w:webHidden/>
          </w:rPr>
          <w:fldChar w:fldCharType="separate"/>
        </w:r>
        <w:r w:rsidR="007569C0">
          <w:rPr>
            <w:webHidden/>
          </w:rPr>
          <w:t>9</w:t>
        </w:r>
        <w:r>
          <w:rPr>
            <w:webHidden/>
          </w:rPr>
          <w:fldChar w:fldCharType="end"/>
        </w:r>
      </w:hyperlink>
    </w:p>
    <w:p w:rsidR="001C7848" w:rsidRDefault="001C7848">
      <w:pPr>
        <w:pStyle w:val="TOC1"/>
        <w:rPr>
          <w:szCs w:val="24"/>
        </w:rPr>
      </w:pPr>
      <w:hyperlink w:anchor="_Toc188785250" w:history="1">
        <w:r>
          <w:rPr>
            <w:rStyle w:val="Hyperlink"/>
            <w:szCs w:val="21"/>
          </w:rPr>
          <w:t xml:space="preserve">2.1.  </w:t>
        </w:r>
        <w:r>
          <w:rPr>
            <w:rStyle w:val="Hyperlink"/>
            <w:rFonts w:hint="eastAsia"/>
            <w:szCs w:val="21"/>
          </w:rPr>
          <w:t>罗姆妇女</w:t>
        </w:r>
        <w:r>
          <w:rPr>
            <w:webHidden/>
          </w:rPr>
          <w:tab/>
        </w:r>
        <w:r>
          <w:rPr>
            <w:webHidden/>
          </w:rPr>
          <w:fldChar w:fldCharType="begin"/>
        </w:r>
        <w:r>
          <w:rPr>
            <w:webHidden/>
          </w:rPr>
          <w:instrText xml:space="preserve"> PAGEREF _Toc188785250 \h </w:instrText>
        </w:r>
        <w:r>
          <w:rPr>
            <w:webHidden/>
          </w:rPr>
          <w:fldChar w:fldCharType="separate"/>
        </w:r>
        <w:r w:rsidR="007569C0">
          <w:rPr>
            <w:webHidden/>
          </w:rPr>
          <w:t>9</w:t>
        </w:r>
        <w:r>
          <w:rPr>
            <w:webHidden/>
          </w:rPr>
          <w:fldChar w:fldCharType="end"/>
        </w:r>
      </w:hyperlink>
    </w:p>
    <w:p w:rsidR="001C7848" w:rsidRDefault="001C7848">
      <w:pPr>
        <w:pStyle w:val="TOC1"/>
        <w:rPr>
          <w:szCs w:val="24"/>
        </w:rPr>
      </w:pPr>
      <w:hyperlink w:anchor="_Toc188785251" w:history="1">
        <w:r>
          <w:rPr>
            <w:rStyle w:val="Hyperlink"/>
            <w:szCs w:val="21"/>
          </w:rPr>
          <w:t xml:space="preserve">2.2. </w:t>
        </w:r>
        <w:r>
          <w:rPr>
            <w:rStyle w:val="Hyperlink"/>
            <w:rFonts w:hint="eastAsia"/>
            <w:szCs w:val="21"/>
          </w:rPr>
          <w:t>移民妇女</w:t>
        </w:r>
        <w:r>
          <w:rPr>
            <w:webHidden/>
          </w:rPr>
          <w:tab/>
        </w:r>
        <w:r>
          <w:rPr>
            <w:webHidden/>
          </w:rPr>
          <w:fldChar w:fldCharType="begin"/>
        </w:r>
        <w:r>
          <w:rPr>
            <w:webHidden/>
          </w:rPr>
          <w:instrText xml:space="preserve"> PAGEREF _Toc188785251 \h </w:instrText>
        </w:r>
        <w:r>
          <w:rPr>
            <w:webHidden/>
          </w:rPr>
          <w:fldChar w:fldCharType="separate"/>
        </w:r>
        <w:r w:rsidR="007569C0">
          <w:rPr>
            <w:webHidden/>
          </w:rPr>
          <w:t>10</w:t>
        </w:r>
        <w:r>
          <w:rPr>
            <w:webHidden/>
          </w:rPr>
          <w:fldChar w:fldCharType="end"/>
        </w:r>
      </w:hyperlink>
    </w:p>
    <w:p w:rsidR="001C7848" w:rsidRDefault="001C7848">
      <w:pPr>
        <w:pStyle w:val="TOC1"/>
        <w:rPr>
          <w:szCs w:val="24"/>
        </w:rPr>
      </w:pPr>
      <w:hyperlink w:anchor="_Toc188785252" w:history="1">
        <w:r>
          <w:rPr>
            <w:rStyle w:val="Hyperlink"/>
            <w:szCs w:val="21"/>
          </w:rPr>
          <w:t xml:space="preserve">2.3.  </w:t>
        </w:r>
        <w:r>
          <w:rPr>
            <w:rStyle w:val="Hyperlink"/>
            <w:rFonts w:hint="eastAsia"/>
            <w:szCs w:val="21"/>
          </w:rPr>
          <w:t>残疾妇女</w:t>
        </w:r>
        <w:r>
          <w:rPr>
            <w:webHidden/>
          </w:rPr>
          <w:tab/>
        </w:r>
        <w:r>
          <w:rPr>
            <w:webHidden/>
          </w:rPr>
          <w:fldChar w:fldCharType="begin"/>
        </w:r>
        <w:r>
          <w:rPr>
            <w:webHidden/>
          </w:rPr>
          <w:instrText xml:space="preserve"> PAGEREF _Toc188785252 \h </w:instrText>
        </w:r>
        <w:r>
          <w:rPr>
            <w:webHidden/>
          </w:rPr>
          <w:fldChar w:fldCharType="separate"/>
        </w:r>
        <w:r w:rsidR="007569C0">
          <w:rPr>
            <w:webHidden/>
          </w:rPr>
          <w:t>11</w:t>
        </w:r>
        <w:r>
          <w:rPr>
            <w:webHidden/>
          </w:rPr>
          <w:fldChar w:fldCharType="end"/>
        </w:r>
      </w:hyperlink>
    </w:p>
    <w:p w:rsidR="001C7848" w:rsidRDefault="001C7848">
      <w:pPr>
        <w:pStyle w:val="TOC1"/>
        <w:rPr>
          <w:szCs w:val="24"/>
        </w:rPr>
      </w:pPr>
      <w:hyperlink w:anchor="_Toc188785253" w:history="1">
        <w:r>
          <w:rPr>
            <w:rStyle w:val="Hyperlink"/>
            <w:rFonts w:hint="eastAsia"/>
            <w:szCs w:val="28"/>
          </w:rPr>
          <w:t>第</w:t>
        </w:r>
        <w:r>
          <w:rPr>
            <w:rStyle w:val="Hyperlink"/>
            <w:szCs w:val="28"/>
          </w:rPr>
          <w:t>3</w:t>
        </w:r>
        <w:r>
          <w:rPr>
            <w:rStyle w:val="Hyperlink"/>
            <w:rFonts w:hint="eastAsia"/>
            <w:szCs w:val="28"/>
          </w:rPr>
          <w:t>条</w:t>
        </w:r>
        <w:r>
          <w:rPr>
            <w:webHidden/>
          </w:rPr>
          <w:tab/>
        </w:r>
        <w:r>
          <w:rPr>
            <w:webHidden/>
          </w:rPr>
          <w:fldChar w:fldCharType="begin"/>
        </w:r>
        <w:r>
          <w:rPr>
            <w:webHidden/>
          </w:rPr>
          <w:instrText xml:space="preserve"> PAGEREF _Toc188785253 \h </w:instrText>
        </w:r>
        <w:r>
          <w:rPr>
            <w:webHidden/>
          </w:rPr>
          <w:fldChar w:fldCharType="separate"/>
        </w:r>
        <w:r w:rsidR="007569C0">
          <w:rPr>
            <w:webHidden/>
          </w:rPr>
          <w:t>12</w:t>
        </w:r>
        <w:r>
          <w:rPr>
            <w:webHidden/>
          </w:rPr>
          <w:fldChar w:fldCharType="end"/>
        </w:r>
      </w:hyperlink>
    </w:p>
    <w:p w:rsidR="001C7848" w:rsidRDefault="001C7848">
      <w:pPr>
        <w:pStyle w:val="TOC1"/>
        <w:rPr>
          <w:szCs w:val="24"/>
        </w:rPr>
      </w:pPr>
      <w:hyperlink w:anchor="_Toc188785254" w:history="1">
        <w:r>
          <w:rPr>
            <w:rStyle w:val="Hyperlink"/>
          </w:rPr>
          <w:t xml:space="preserve">1.  </w:t>
        </w:r>
        <w:r>
          <w:rPr>
            <w:rStyle w:val="Hyperlink"/>
            <w:rFonts w:hint="eastAsia"/>
          </w:rPr>
          <w:t>政府</w:t>
        </w:r>
        <w:r>
          <w:rPr>
            <w:rStyle w:val="Hyperlink"/>
          </w:rPr>
          <w:t>2003-2007</w:t>
        </w:r>
        <w:r>
          <w:rPr>
            <w:rStyle w:val="Hyperlink"/>
            <w:rFonts w:hint="eastAsia"/>
          </w:rPr>
          <w:t>年方案</w:t>
        </w:r>
        <w:r>
          <w:rPr>
            <w:webHidden/>
          </w:rPr>
          <w:tab/>
        </w:r>
        <w:r>
          <w:rPr>
            <w:webHidden/>
          </w:rPr>
          <w:fldChar w:fldCharType="begin"/>
        </w:r>
        <w:r>
          <w:rPr>
            <w:webHidden/>
          </w:rPr>
          <w:instrText xml:space="preserve"> PAGEREF _Toc188785254 \h </w:instrText>
        </w:r>
        <w:r>
          <w:rPr>
            <w:webHidden/>
          </w:rPr>
          <w:fldChar w:fldCharType="separate"/>
        </w:r>
        <w:r w:rsidR="007569C0">
          <w:rPr>
            <w:webHidden/>
          </w:rPr>
          <w:t>12</w:t>
        </w:r>
        <w:r>
          <w:rPr>
            <w:webHidden/>
          </w:rPr>
          <w:fldChar w:fldCharType="end"/>
        </w:r>
      </w:hyperlink>
    </w:p>
    <w:p w:rsidR="001C7848" w:rsidRDefault="001C7848">
      <w:pPr>
        <w:pStyle w:val="TOC1"/>
        <w:rPr>
          <w:szCs w:val="24"/>
        </w:rPr>
      </w:pPr>
      <w:hyperlink w:anchor="_Toc188785255" w:history="1">
        <w:r>
          <w:rPr>
            <w:rStyle w:val="Hyperlink"/>
          </w:rPr>
          <w:t xml:space="preserve">2.  </w:t>
        </w:r>
        <w:r>
          <w:rPr>
            <w:rStyle w:val="Hyperlink"/>
            <w:rFonts w:hint="eastAsia"/>
          </w:rPr>
          <w:t>政府</w:t>
        </w:r>
        <w:r>
          <w:rPr>
            <w:rStyle w:val="Hyperlink"/>
          </w:rPr>
          <w:t>2007-2011</w:t>
        </w:r>
        <w:r>
          <w:rPr>
            <w:rStyle w:val="Hyperlink"/>
            <w:rFonts w:hint="eastAsia"/>
          </w:rPr>
          <w:t>年方案</w:t>
        </w:r>
        <w:r>
          <w:rPr>
            <w:webHidden/>
          </w:rPr>
          <w:tab/>
        </w:r>
        <w:r>
          <w:rPr>
            <w:webHidden/>
          </w:rPr>
          <w:fldChar w:fldCharType="begin"/>
        </w:r>
        <w:r>
          <w:rPr>
            <w:webHidden/>
          </w:rPr>
          <w:instrText xml:space="preserve"> PAGEREF _Toc188785255 \h </w:instrText>
        </w:r>
        <w:r>
          <w:rPr>
            <w:webHidden/>
          </w:rPr>
          <w:fldChar w:fldCharType="separate"/>
        </w:r>
        <w:r w:rsidR="007569C0">
          <w:rPr>
            <w:webHidden/>
          </w:rPr>
          <w:t>12</w:t>
        </w:r>
        <w:r>
          <w:rPr>
            <w:webHidden/>
          </w:rPr>
          <w:fldChar w:fldCharType="end"/>
        </w:r>
      </w:hyperlink>
    </w:p>
    <w:p w:rsidR="001C7848" w:rsidRDefault="001C7848">
      <w:pPr>
        <w:pStyle w:val="TOC1"/>
        <w:rPr>
          <w:szCs w:val="24"/>
        </w:rPr>
      </w:pPr>
      <w:hyperlink w:anchor="_Toc188785256" w:history="1">
        <w:r>
          <w:rPr>
            <w:rStyle w:val="Hyperlink"/>
          </w:rPr>
          <w:t xml:space="preserve">3.  </w:t>
        </w:r>
        <w:r>
          <w:rPr>
            <w:rStyle w:val="Hyperlink"/>
            <w:rFonts w:hint="eastAsia"/>
          </w:rPr>
          <w:t>将性别平等观点纳入芬兰国家行政部门的主流</w:t>
        </w:r>
        <w:r>
          <w:rPr>
            <w:webHidden/>
          </w:rPr>
          <w:tab/>
        </w:r>
        <w:r>
          <w:rPr>
            <w:webHidden/>
          </w:rPr>
          <w:fldChar w:fldCharType="begin"/>
        </w:r>
        <w:r>
          <w:rPr>
            <w:webHidden/>
          </w:rPr>
          <w:instrText xml:space="preserve"> PAGEREF _Toc188785256 \h </w:instrText>
        </w:r>
        <w:r>
          <w:rPr>
            <w:webHidden/>
          </w:rPr>
          <w:fldChar w:fldCharType="separate"/>
        </w:r>
        <w:r w:rsidR="007569C0">
          <w:rPr>
            <w:webHidden/>
          </w:rPr>
          <w:t>13</w:t>
        </w:r>
        <w:r>
          <w:rPr>
            <w:webHidden/>
          </w:rPr>
          <w:fldChar w:fldCharType="end"/>
        </w:r>
      </w:hyperlink>
    </w:p>
    <w:p w:rsidR="001C7848" w:rsidRDefault="001C7848">
      <w:pPr>
        <w:pStyle w:val="TOC1"/>
        <w:rPr>
          <w:szCs w:val="24"/>
        </w:rPr>
      </w:pPr>
      <w:hyperlink w:anchor="_Toc188785257" w:history="1">
        <w:r>
          <w:rPr>
            <w:rStyle w:val="Hyperlink"/>
          </w:rPr>
          <w:t>4.  2004</w:t>
        </w:r>
        <w:r>
          <w:rPr>
            <w:rStyle w:val="Hyperlink"/>
            <w:rFonts w:hint="eastAsia"/>
          </w:rPr>
          <w:t>年性别晴雨表</w:t>
        </w:r>
        <w:r>
          <w:rPr>
            <w:webHidden/>
          </w:rPr>
          <w:tab/>
        </w:r>
        <w:r>
          <w:rPr>
            <w:webHidden/>
          </w:rPr>
          <w:fldChar w:fldCharType="begin"/>
        </w:r>
        <w:r>
          <w:rPr>
            <w:webHidden/>
          </w:rPr>
          <w:instrText xml:space="preserve"> PAGEREF _Toc188785257 \h </w:instrText>
        </w:r>
        <w:r>
          <w:rPr>
            <w:webHidden/>
          </w:rPr>
          <w:fldChar w:fldCharType="separate"/>
        </w:r>
        <w:r w:rsidR="007569C0">
          <w:rPr>
            <w:webHidden/>
          </w:rPr>
          <w:t>14</w:t>
        </w:r>
        <w:r>
          <w:rPr>
            <w:webHidden/>
          </w:rPr>
          <w:fldChar w:fldCharType="end"/>
        </w:r>
      </w:hyperlink>
    </w:p>
    <w:p w:rsidR="001C7848" w:rsidRDefault="001C7848">
      <w:pPr>
        <w:pStyle w:val="TOC1"/>
        <w:rPr>
          <w:szCs w:val="24"/>
        </w:rPr>
      </w:pPr>
      <w:hyperlink w:anchor="_Toc188785258" w:history="1">
        <w:r>
          <w:rPr>
            <w:rStyle w:val="Hyperlink"/>
          </w:rPr>
          <w:t xml:space="preserve">5.  </w:t>
        </w:r>
        <w:r>
          <w:rPr>
            <w:rStyle w:val="Hyperlink"/>
            <w:rFonts w:hint="eastAsia"/>
          </w:rPr>
          <w:t>芬兰作为国际行动者</w:t>
        </w:r>
        <w:r>
          <w:rPr>
            <w:webHidden/>
          </w:rPr>
          <w:tab/>
        </w:r>
        <w:r>
          <w:rPr>
            <w:webHidden/>
          </w:rPr>
          <w:fldChar w:fldCharType="begin"/>
        </w:r>
        <w:r>
          <w:rPr>
            <w:webHidden/>
          </w:rPr>
          <w:instrText xml:space="preserve"> PAGEREF _Toc188785258 \h </w:instrText>
        </w:r>
        <w:r>
          <w:rPr>
            <w:webHidden/>
          </w:rPr>
          <w:fldChar w:fldCharType="separate"/>
        </w:r>
        <w:r w:rsidR="007569C0">
          <w:rPr>
            <w:webHidden/>
          </w:rPr>
          <w:t>14</w:t>
        </w:r>
        <w:r>
          <w:rPr>
            <w:webHidden/>
          </w:rPr>
          <w:fldChar w:fldCharType="end"/>
        </w:r>
      </w:hyperlink>
    </w:p>
    <w:p w:rsidR="001C7848" w:rsidRDefault="001C7848">
      <w:pPr>
        <w:pStyle w:val="TOC1"/>
        <w:rPr>
          <w:szCs w:val="24"/>
        </w:rPr>
      </w:pPr>
      <w:hyperlink w:anchor="_Toc188785259" w:history="1">
        <w:r>
          <w:rPr>
            <w:rStyle w:val="Hyperlink"/>
            <w:rFonts w:hint="eastAsia"/>
            <w:szCs w:val="28"/>
          </w:rPr>
          <w:t>第</w:t>
        </w:r>
        <w:r>
          <w:rPr>
            <w:rStyle w:val="Hyperlink"/>
            <w:szCs w:val="28"/>
          </w:rPr>
          <w:t>4</w:t>
        </w:r>
        <w:r>
          <w:rPr>
            <w:rStyle w:val="Hyperlink"/>
            <w:rFonts w:hint="eastAsia"/>
            <w:szCs w:val="28"/>
          </w:rPr>
          <w:t>条</w:t>
        </w:r>
        <w:r>
          <w:rPr>
            <w:webHidden/>
          </w:rPr>
          <w:tab/>
        </w:r>
        <w:r>
          <w:rPr>
            <w:webHidden/>
          </w:rPr>
          <w:fldChar w:fldCharType="begin"/>
        </w:r>
        <w:r>
          <w:rPr>
            <w:webHidden/>
          </w:rPr>
          <w:instrText xml:space="preserve"> PAGEREF _Toc188785259 \h </w:instrText>
        </w:r>
        <w:r>
          <w:rPr>
            <w:webHidden/>
          </w:rPr>
          <w:fldChar w:fldCharType="separate"/>
        </w:r>
        <w:r w:rsidR="007569C0">
          <w:rPr>
            <w:webHidden/>
          </w:rPr>
          <w:t>15</w:t>
        </w:r>
        <w:r>
          <w:rPr>
            <w:webHidden/>
          </w:rPr>
          <w:fldChar w:fldCharType="end"/>
        </w:r>
      </w:hyperlink>
    </w:p>
    <w:p w:rsidR="001C7848" w:rsidRDefault="001C7848">
      <w:pPr>
        <w:pStyle w:val="TOC1"/>
        <w:rPr>
          <w:szCs w:val="24"/>
        </w:rPr>
      </w:pPr>
      <w:hyperlink w:anchor="_Toc188785260" w:history="1">
        <w:r>
          <w:rPr>
            <w:rStyle w:val="Hyperlink"/>
          </w:rPr>
          <w:t xml:space="preserve">1.  </w:t>
        </w:r>
        <w:r>
          <w:rPr>
            <w:rStyle w:val="Hyperlink"/>
            <w:rFonts w:hint="eastAsia"/>
          </w:rPr>
          <w:t>《平等法》的配额规定</w:t>
        </w:r>
        <w:r>
          <w:rPr>
            <w:webHidden/>
          </w:rPr>
          <w:tab/>
        </w:r>
        <w:r>
          <w:rPr>
            <w:webHidden/>
          </w:rPr>
          <w:fldChar w:fldCharType="begin"/>
        </w:r>
        <w:r>
          <w:rPr>
            <w:webHidden/>
          </w:rPr>
          <w:instrText xml:space="preserve"> PAGEREF _Toc188785260 \h </w:instrText>
        </w:r>
        <w:r>
          <w:rPr>
            <w:webHidden/>
          </w:rPr>
          <w:fldChar w:fldCharType="separate"/>
        </w:r>
        <w:r w:rsidR="007569C0">
          <w:rPr>
            <w:webHidden/>
          </w:rPr>
          <w:t>15</w:t>
        </w:r>
        <w:r>
          <w:rPr>
            <w:webHidden/>
          </w:rPr>
          <w:fldChar w:fldCharType="end"/>
        </w:r>
      </w:hyperlink>
    </w:p>
    <w:p w:rsidR="001C7848" w:rsidRDefault="001C7848">
      <w:pPr>
        <w:pStyle w:val="TOC1"/>
        <w:rPr>
          <w:szCs w:val="24"/>
        </w:rPr>
      </w:pPr>
      <w:hyperlink w:anchor="_Toc188785261" w:history="1">
        <w:r>
          <w:rPr>
            <w:rStyle w:val="Hyperlink"/>
            <w:rFonts w:hint="eastAsia"/>
            <w:szCs w:val="28"/>
          </w:rPr>
          <w:t>第</w:t>
        </w:r>
        <w:r>
          <w:rPr>
            <w:rStyle w:val="Hyperlink"/>
            <w:szCs w:val="28"/>
          </w:rPr>
          <w:t>5</w:t>
        </w:r>
        <w:r>
          <w:rPr>
            <w:rStyle w:val="Hyperlink"/>
            <w:rFonts w:hint="eastAsia"/>
            <w:szCs w:val="28"/>
          </w:rPr>
          <w:t>条</w:t>
        </w:r>
        <w:r>
          <w:rPr>
            <w:webHidden/>
          </w:rPr>
          <w:tab/>
        </w:r>
        <w:r>
          <w:rPr>
            <w:webHidden/>
          </w:rPr>
          <w:fldChar w:fldCharType="begin"/>
        </w:r>
        <w:r>
          <w:rPr>
            <w:webHidden/>
          </w:rPr>
          <w:instrText xml:space="preserve"> PAGEREF _Toc188785261 \h </w:instrText>
        </w:r>
        <w:r>
          <w:rPr>
            <w:webHidden/>
          </w:rPr>
          <w:fldChar w:fldCharType="separate"/>
        </w:r>
        <w:r w:rsidR="007569C0">
          <w:rPr>
            <w:webHidden/>
          </w:rPr>
          <w:t>15</w:t>
        </w:r>
        <w:r>
          <w:rPr>
            <w:webHidden/>
          </w:rPr>
          <w:fldChar w:fldCharType="end"/>
        </w:r>
      </w:hyperlink>
    </w:p>
    <w:p w:rsidR="001C7848" w:rsidRDefault="001C7848">
      <w:pPr>
        <w:pStyle w:val="TOC1"/>
        <w:rPr>
          <w:szCs w:val="24"/>
        </w:rPr>
      </w:pPr>
      <w:hyperlink w:anchor="_Toc188785262" w:history="1">
        <w:r>
          <w:rPr>
            <w:rStyle w:val="Hyperlink"/>
          </w:rPr>
          <w:t xml:space="preserve">1.  </w:t>
        </w:r>
        <w:r>
          <w:rPr>
            <w:rStyle w:val="Hyperlink"/>
            <w:rFonts w:hint="eastAsia"/>
          </w:rPr>
          <w:t>对妇女的暴力</w:t>
        </w:r>
        <w:r>
          <w:rPr>
            <w:webHidden/>
          </w:rPr>
          <w:tab/>
        </w:r>
        <w:r>
          <w:rPr>
            <w:webHidden/>
          </w:rPr>
          <w:fldChar w:fldCharType="begin"/>
        </w:r>
        <w:r>
          <w:rPr>
            <w:webHidden/>
          </w:rPr>
          <w:instrText xml:space="preserve"> PAGEREF _Toc188785262 \h </w:instrText>
        </w:r>
        <w:r>
          <w:rPr>
            <w:webHidden/>
          </w:rPr>
          <w:fldChar w:fldCharType="separate"/>
        </w:r>
        <w:r w:rsidR="007569C0">
          <w:rPr>
            <w:webHidden/>
          </w:rPr>
          <w:t>16</w:t>
        </w:r>
        <w:r>
          <w:rPr>
            <w:webHidden/>
          </w:rPr>
          <w:fldChar w:fldCharType="end"/>
        </w:r>
      </w:hyperlink>
    </w:p>
    <w:p w:rsidR="001C7848" w:rsidRDefault="001C7848">
      <w:pPr>
        <w:pStyle w:val="TOC1"/>
        <w:rPr>
          <w:szCs w:val="24"/>
        </w:rPr>
      </w:pPr>
      <w:hyperlink w:anchor="_Toc188785263" w:history="1">
        <w:r>
          <w:rPr>
            <w:rStyle w:val="Hyperlink"/>
            <w:szCs w:val="21"/>
          </w:rPr>
          <w:t xml:space="preserve">1.1.  </w:t>
        </w:r>
        <w:r>
          <w:rPr>
            <w:rStyle w:val="Hyperlink"/>
            <w:rFonts w:hint="eastAsia"/>
            <w:szCs w:val="21"/>
          </w:rPr>
          <w:t>关于限制令的立法</w:t>
        </w:r>
        <w:r>
          <w:rPr>
            <w:webHidden/>
          </w:rPr>
          <w:tab/>
        </w:r>
        <w:r>
          <w:rPr>
            <w:webHidden/>
          </w:rPr>
          <w:fldChar w:fldCharType="begin"/>
        </w:r>
        <w:r>
          <w:rPr>
            <w:webHidden/>
          </w:rPr>
          <w:instrText xml:space="preserve"> PAGEREF _Toc188785263 \h </w:instrText>
        </w:r>
        <w:r>
          <w:rPr>
            <w:webHidden/>
          </w:rPr>
          <w:fldChar w:fldCharType="separate"/>
        </w:r>
        <w:r w:rsidR="007569C0">
          <w:rPr>
            <w:webHidden/>
          </w:rPr>
          <w:t>16</w:t>
        </w:r>
        <w:r>
          <w:rPr>
            <w:webHidden/>
          </w:rPr>
          <w:fldChar w:fldCharType="end"/>
        </w:r>
      </w:hyperlink>
    </w:p>
    <w:p w:rsidR="001C7848" w:rsidRDefault="001C7848">
      <w:pPr>
        <w:pStyle w:val="TOC1"/>
        <w:rPr>
          <w:szCs w:val="24"/>
        </w:rPr>
      </w:pPr>
      <w:hyperlink w:anchor="_Toc188785264" w:history="1">
        <w:r>
          <w:rPr>
            <w:rStyle w:val="Hyperlink"/>
            <w:szCs w:val="21"/>
          </w:rPr>
          <w:t xml:space="preserve">1.2.  </w:t>
        </w:r>
        <w:r>
          <w:rPr>
            <w:rStyle w:val="Hyperlink"/>
            <w:rFonts w:hint="eastAsia"/>
            <w:szCs w:val="21"/>
          </w:rPr>
          <w:t>对妇女施暴问题的研究</w:t>
        </w:r>
        <w:r>
          <w:rPr>
            <w:webHidden/>
          </w:rPr>
          <w:tab/>
        </w:r>
        <w:r>
          <w:rPr>
            <w:webHidden/>
          </w:rPr>
          <w:fldChar w:fldCharType="begin"/>
        </w:r>
        <w:r>
          <w:rPr>
            <w:webHidden/>
          </w:rPr>
          <w:instrText xml:space="preserve"> PAGEREF _Toc188785264 \h </w:instrText>
        </w:r>
        <w:r>
          <w:rPr>
            <w:webHidden/>
          </w:rPr>
          <w:fldChar w:fldCharType="separate"/>
        </w:r>
        <w:r w:rsidR="007569C0">
          <w:rPr>
            <w:webHidden/>
          </w:rPr>
          <w:t>16</w:t>
        </w:r>
        <w:r>
          <w:rPr>
            <w:webHidden/>
          </w:rPr>
          <w:fldChar w:fldCharType="end"/>
        </w:r>
      </w:hyperlink>
    </w:p>
    <w:p w:rsidR="001C7848" w:rsidRDefault="001C7848">
      <w:pPr>
        <w:pStyle w:val="TOC1"/>
        <w:rPr>
          <w:szCs w:val="24"/>
        </w:rPr>
      </w:pPr>
      <w:hyperlink w:anchor="_Toc188785265" w:history="1">
        <w:r>
          <w:rPr>
            <w:rStyle w:val="Hyperlink"/>
            <w:szCs w:val="21"/>
          </w:rPr>
          <w:t xml:space="preserve">1.3.  </w:t>
        </w:r>
        <w:r>
          <w:rPr>
            <w:rStyle w:val="Hyperlink"/>
            <w:rFonts w:hint="eastAsia"/>
            <w:szCs w:val="21"/>
          </w:rPr>
          <w:t>家庭暴力和伴侣关系中存在的暴力</w:t>
        </w:r>
        <w:r>
          <w:rPr>
            <w:webHidden/>
          </w:rPr>
          <w:tab/>
        </w:r>
        <w:r>
          <w:rPr>
            <w:webHidden/>
          </w:rPr>
          <w:fldChar w:fldCharType="begin"/>
        </w:r>
        <w:r>
          <w:rPr>
            <w:webHidden/>
          </w:rPr>
          <w:instrText xml:space="preserve"> PAGEREF _Toc188785265 \h </w:instrText>
        </w:r>
        <w:r>
          <w:rPr>
            <w:webHidden/>
          </w:rPr>
          <w:fldChar w:fldCharType="separate"/>
        </w:r>
        <w:r w:rsidR="007569C0">
          <w:rPr>
            <w:webHidden/>
          </w:rPr>
          <w:t>17</w:t>
        </w:r>
        <w:r>
          <w:rPr>
            <w:webHidden/>
          </w:rPr>
          <w:fldChar w:fldCharType="end"/>
        </w:r>
      </w:hyperlink>
    </w:p>
    <w:p w:rsidR="001C7848" w:rsidRDefault="001C7848">
      <w:pPr>
        <w:pStyle w:val="TOC1"/>
        <w:rPr>
          <w:szCs w:val="24"/>
        </w:rPr>
      </w:pPr>
      <w:hyperlink w:anchor="_Toc188785266" w:history="1">
        <w:r>
          <w:rPr>
            <w:rStyle w:val="Hyperlink"/>
            <w:szCs w:val="21"/>
          </w:rPr>
          <w:t xml:space="preserve">1.4.  </w:t>
        </w:r>
        <w:r>
          <w:rPr>
            <w:rStyle w:val="Hyperlink"/>
            <w:rFonts w:hint="eastAsia"/>
            <w:szCs w:val="21"/>
          </w:rPr>
          <w:t>庇护所和安全之家</w:t>
        </w:r>
        <w:r>
          <w:rPr>
            <w:webHidden/>
          </w:rPr>
          <w:tab/>
        </w:r>
        <w:r>
          <w:rPr>
            <w:webHidden/>
          </w:rPr>
          <w:fldChar w:fldCharType="begin"/>
        </w:r>
        <w:r>
          <w:rPr>
            <w:webHidden/>
          </w:rPr>
          <w:instrText xml:space="preserve"> PAGEREF _Toc188785266 \h </w:instrText>
        </w:r>
        <w:r>
          <w:rPr>
            <w:webHidden/>
          </w:rPr>
          <w:fldChar w:fldCharType="separate"/>
        </w:r>
        <w:r w:rsidR="007569C0">
          <w:rPr>
            <w:webHidden/>
          </w:rPr>
          <w:t>17</w:t>
        </w:r>
        <w:r>
          <w:rPr>
            <w:webHidden/>
          </w:rPr>
          <w:fldChar w:fldCharType="end"/>
        </w:r>
      </w:hyperlink>
    </w:p>
    <w:p w:rsidR="001C7848" w:rsidRDefault="001C7848">
      <w:pPr>
        <w:pStyle w:val="TOC1"/>
        <w:rPr>
          <w:szCs w:val="24"/>
        </w:rPr>
      </w:pPr>
      <w:hyperlink w:anchor="_Toc188785267" w:history="1">
        <w:r>
          <w:rPr>
            <w:rStyle w:val="Hyperlink"/>
            <w:szCs w:val="21"/>
          </w:rPr>
          <w:t xml:space="preserve">1.5.  </w:t>
        </w:r>
        <w:r>
          <w:rPr>
            <w:rStyle w:val="Hyperlink"/>
            <w:rFonts w:hint="eastAsia"/>
            <w:szCs w:val="21"/>
          </w:rPr>
          <w:t>对儿童的暴力问题</w:t>
        </w:r>
        <w:r>
          <w:rPr>
            <w:webHidden/>
          </w:rPr>
          <w:tab/>
        </w:r>
        <w:r>
          <w:rPr>
            <w:webHidden/>
          </w:rPr>
          <w:fldChar w:fldCharType="begin"/>
        </w:r>
        <w:r>
          <w:rPr>
            <w:webHidden/>
          </w:rPr>
          <w:instrText xml:space="preserve"> PAGEREF _Toc188785267 \h </w:instrText>
        </w:r>
        <w:r>
          <w:rPr>
            <w:webHidden/>
          </w:rPr>
          <w:fldChar w:fldCharType="separate"/>
        </w:r>
        <w:r w:rsidR="007569C0">
          <w:rPr>
            <w:webHidden/>
          </w:rPr>
          <w:t>18</w:t>
        </w:r>
        <w:r>
          <w:rPr>
            <w:webHidden/>
          </w:rPr>
          <w:fldChar w:fldCharType="end"/>
        </w:r>
      </w:hyperlink>
    </w:p>
    <w:p w:rsidR="001C7848" w:rsidRDefault="001C7848">
      <w:pPr>
        <w:pStyle w:val="TOC1"/>
        <w:rPr>
          <w:szCs w:val="24"/>
        </w:rPr>
      </w:pPr>
      <w:hyperlink w:anchor="_Toc188785268" w:history="1">
        <w:r>
          <w:rPr>
            <w:rStyle w:val="Hyperlink"/>
            <w:szCs w:val="21"/>
          </w:rPr>
          <w:t xml:space="preserve">1.6. </w:t>
        </w:r>
        <w:r>
          <w:rPr>
            <w:rStyle w:val="Hyperlink"/>
            <w:rFonts w:hint="eastAsia"/>
            <w:szCs w:val="21"/>
          </w:rPr>
          <w:t>防止对妇女的暴力</w:t>
        </w:r>
        <w:r>
          <w:rPr>
            <w:webHidden/>
          </w:rPr>
          <w:tab/>
        </w:r>
        <w:r>
          <w:rPr>
            <w:webHidden/>
          </w:rPr>
          <w:fldChar w:fldCharType="begin"/>
        </w:r>
        <w:r>
          <w:rPr>
            <w:webHidden/>
          </w:rPr>
          <w:instrText xml:space="preserve"> PAGEREF _Toc188785268 \h </w:instrText>
        </w:r>
        <w:r>
          <w:rPr>
            <w:webHidden/>
          </w:rPr>
          <w:fldChar w:fldCharType="separate"/>
        </w:r>
        <w:r w:rsidR="007569C0">
          <w:rPr>
            <w:webHidden/>
          </w:rPr>
          <w:t>18</w:t>
        </w:r>
        <w:r>
          <w:rPr>
            <w:webHidden/>
          </w:rPr>
          <w:fldChar w:fldCharType="end"/>
        </w:r>
      </w:hyperlink>
    </w:p>
    <w:p w:rsidR="001C7848" w:rsidRDefault="001C7848">
      <w:pPr>
        <w:pStyle w:val="TOC1"/>
        <w:rPr>
          <w:szCs w:val="24"/>
        </w:rPr>
      </w:pPr>
      <w:hyperlink w:anchor="_Toc188785269" w:history="1">
        <w:r>
          <w:rPr>
            <w:rStyle w:val="Hyperlink"/>
            <w:szCs w:val="21"/>
          </w:rPr>
          <w:t xml:space="preserve">1.7.  </w:t>
        </w:r>
        <w:r>
          <w:rPr>
            <w:rStyle w:val="Hyperlink"/>
            <w:rFonts w:hint="eastAsia"/>
            <w:szCs w:val="21"/>
          </w:rPr>
          <w:t>移民妇女</w:t>
        </w:r>
        <w:r>
          <w:rPr>
            <w:webHidden/>
          </w:rPr>
          <w:tab/>
        </w:r>
        <w:r>
          <w:rPr>
            <w:webHidden/>
          </w:rPr>
          <w:fldChar w:fldCharType="begin"/>
        </w:r>
        <w:r>
          <w:rPr>
            <w:webHidden/>
          </w:rPr>
          <w:instrText xml:space="preserve"> PAGEREF _Toc188785269 \h </w:instrText>
        </w:r>
        <w:r>
          <w:rPr>
            <w:webHidden/>
          </w:rPr>
          <w:fldChar w:fldCharType="separate"/>
        </w:r>
        <w:r w:rsidR="007569C0">
          <w:rPr>
            <w:webHidden/>
          </w:rPr>
          <w:t>19</w:t>
        </w:r>
        <w:r>
          <w:rPr>
            <w:webHidden/>
          </w:rPr>
          <w:fldChar w:fldCharType="end"/>
        </w:r>
      </w:hyperlink>
    </w:p>
    <w:p w:rsidR="001C7848" w:rsidRDefault="001C7848">
      <w:pPr>
        <w:pStyle w:val="TOC1"/>
        <w:rPr>
          <w:szCs w:val="24"/>
        </w:rPr>
      </w:pPr>
      <w:hyperlink w:anchor="_Toc188785270" w:history="1">
        <w:r>
          <w:rPr>
            <w:rStyle w:val="Hyperlink"/>
          </w:rPr>
          <w:t xml:space="preserve">2. </w:t>
        </w:r>
        <w:r>
          <w:rPr>
            <w:rStyle w:val="Hyperlink"/>
            <w:rFonts w:hint="eastAsia"/>
          </w:rPr>
          <w:t>性骚扰和基于性别的骚扰</w:t>
        </w:r>
        <w:r>
          <w:rPr>
            <w:webHidden/>
          </w:rPr>
          <w:tab/>
        </w:r>
        <w:r>
          <w:rPr>
            <w:webHidden/>
          </w:rPr>
          <w:fldChar w:fldCharType="begin"/>
        </w:r>
        <w:r>
          <w:rPr>
            <w:webHidden/>
          </w:rPr>
          <w:instrText xml:space="preserve"> PAGEREF _Toc188785270 \h </w:instrText>
        </w:r>
        <w:r>
          <w:rPr>
            <w:webHidden/>
          </w:rPr>
          <w:fldChar w:fldCharType="separate"/>
        </w:r>
        <w:r w:rsidR="007569C0">
          <w:rPr>
            <w:webHidden/>
          </w:rPr>
          <w:t>21</w:t>
        </w:r>
        <w:r>
          <w:rPr>
            <w:webHidden/>
          </w:rPr>
          <w:fldChar w:fldCharType="end"/>
        </w:r>
      </w:hyperlink>
    </w:p>
    <w:p w:rsidR="001C7848" w:rsidRDefault="001C7848">
      <w:pPr>
        <w:pStyle w:val="TOC1"/>
        <w:rPr>
          <w:szCs w:val="24"/>
        </w:rPr>
      </w:pPr>
      <w:hyperlink w:anchor="_Toc188785271" w:history="1">
        <w:r>
          <w:rPr>
            <w:rStyle w:val="Hyperlink"/>
            <w:szCs w:val="21"/>
          </w:rPr>
          <w:t xml:space="preserve">2.1.  </w:t>
        </w:r>
        <w:r>
          <w:rPr>
            <w:rStyle w:val="Hyperlink"/>
            <w:rFonts w:hint="eastAsia"/>
            <w:szCs w:val="21"/>
          </w:rPr>
          <w:t>立法</w:t>
        </w:r>
        <w:r>
          <w:rPr>
            <w:webHidden/>
          </w:rPr>
          <w:tab/>
        </w:r>
        <w:r>
          <w:rPr>
            <w:webHidden/>
          </w:rPr>
          <w:fldChar w:fldCharType="begin"/>
        </w:r>
        <w:r>
          <w:rPr>
            <w:webHidden/>
          </w:rPr>
          <w:instrText xml:space="preserve"> PAGEREF _Toc188785271 \h </w:instrText>
        </w:r>
        <w:r>
          <w:rPr>
            <w:webHidden/>
          </w:rPr>
          <w:fldChar w:fldCharType="separate"/>
        </w:r>
        <w:r w:rsidR="007569C0">
          <w:rPr>
            <w:webHidden/>
          </w:rPr>
          <w:t>21</w:t>
        </w:r>
        <w:r>
          <w:rPr>
            <w:webHidden/>
          </w:rPr>
          <w:fldChar w:fldCharType="end"/>
        </w:r>
      </w:hyperlink>
    </w:p>
    <w:p w:rsidR="001C7848" w:rsidRDefault="001C7848">
      <w:pPr>
        <w:pStyle w:val="TOC1"/>
        <w:rPr>
          <w:szCs w:val="24"/>
        </w:rPr>
      </w:pPr>
      <w:hyperlink w:anchor="_Toc188785272" w:history="1">
        <w:r>
          <w:rPr>
            <w:rStyle w:val="Hyperlink"/>
            <w:szCs w:val="21"/>
          </w:rPr>
          <w:t xml:space="preserve">2.2.  </w:t>
        </w:r>
        <w:r>
          <w:rPr>
            <w:rStyle w:val="Hyperlink"/>
            <w:rFonts w:hint="eastAsia"/>
            <w:szCs w:val="21"/>
          </w:rPr>
          <w:t>工作场所基于性别的骚扰</w:t>
        </w:r>
        <w:r>
          <w:rPr>
            <w:webHidden/>
          </w:rPr>
          <w:tab/>
        </w:r>
        <w:r>
          <w:rPr>
            <w:webHidden/>
          </w:rPr>
          <w:fldChar w:fldCharType="begin"/>
        </w:r>
        <w:r>
          <w:rPr>
            <w:webHidden/>
          </w:rPr>
          <w:instrText xml:space="preserve"> PAGEREF _Toc188785272 \h </w:instrText>
        </w:r>
        <w:r>
          <w:rPr>
            <w:webHidden/>
          </w:rPr>
          <w:fldChar w:fldCharType="separate"/>
        </w:r>
        <w:r w:rsidR="007569C0">
          <w:rPr>
            <w:webHidden/>
          </w:rPr>
          <w:t>21</w:t>
        </w:r>
        <w:r>
          <w:rPr>
            <w:webHidden/>
          </w:rPr>
          <w:fldChar w:fldCharType="end"/>
        </w:r>
      </w:hyperlink>
    </w:p>
    <w:p w:rsidR="001C7848" w:rsidRDefault="001C7848">
      <w:pPr>
        <w:pStyle w:val="TOC1"/>
        <w:rPr>
          <w:szCs w:val="24"/>
        </w:rPr>
      </w:pPr>
      <w:hyperlink w:anchor="_Toc188785273" w:history="1">
        <w:r>
          <w:rPr>
            <w:rStyle w:val="Hyperlink"/>
          </w:rPr>
          <w:t xml:space="preserve">3.   </w:t>
        </w:r>
        <w:r>
          <w:rPr>
            <w:rStyle w:val="Hyperlink"/>
            <w:rFonts w:hint="eastAsia"/>
          </w:rPr>
          <w:t>媒体促进两性平等</w:t>
        </w:r>
        <w:r>
          <w:rPr>
            <w:webHidden/>
          </w:rPr>
          <w:tab/>
        </w:r>
        <w:r>
          <w:rPr>
            <w:webHidden/>
          </w:rPr>
          <w:fldChar w:fldCharType="begin"/>
        </w:r>
        <w:r>
          <w:rPr>
            <w:webHidden/>
          </w:rPr>
          <w:instrText xml:space="preserve"> PAGEREF _Toc188785273 \h </w:instrText>
        </w:r>
        <w:r>
          <w:rPr>
            <w:webHidden/>
          </w:rPr>
          <w:fldChar w:fldCharType="separate"/>
        </w:r>
        <w:r w:rsidR="007569C0">
          <w:rPr>
            <w:webHidden/>
          </w:rPr>
          <w:t>22</w:t>
        </w:r>
        <w:r>
          <w:rPr>
            <w:webHidden/>
          </w:rPr>
          <w:fldChar w:fldCharType="end"/>
        </w:r>
      </w:hyperlink>
    </w:p>
    <w:p w:rsidR="001C7848" w:rsidRDefault="001C7848">
      <w:pPr>
        <w:pStyle w:val="TOC1"/>
        <w:rPr>
          <w:szCs w:val="24"/>
        </w:rPr>
      </w:pPr>
      <w:hyperlink w:anchor="_Toc188785274" w:history="1">
        <w:r>
          <w:rPr>
            <w:rStyle w:val="Hyperlink"/>
            <w:rFonts w:hint="eastAsia"/>
            <w:szCs w:val="28"/>
          </w:rPr>
          <w:t>第</w:t>
        </w:r>
        <w:r>
          <w:rPr>
            <w:rStyle w:val="Hyperlink"/>
            <w:szCs w:val="28"/>
          </w:rPr>
          <w:t>6</w:t>
        </w:r>
        <w:r>
          <w:rPr>
            <w:rStyle w:val="Hyperlink"/>
            <w:rFonts w:hint="eastAsia"/>
            <w:szCs w:val="28"/>
          </w:rPr>
          <w:t>条</w:t>
        </w:r>
        <w:r>
          <w:rPr>
            <w:webHidden/>
          </w:rPr>
          <w:tab/>
        </w:r>
        <w:r>
          <w:rPr>
            <w:webHidden/>
          </w:rPr>
          <w:fldChar w:fldCharType="begin"/>
        </w:r>
        <w:r>
          <w:rPr>
            <w:webHidden/>
          </w:rPr>
          <w:instrText xml:space="preserve"> PAGEREF _Toc188785274 \h </w:instrText>
        </w:r>
        <w:r>
          <w:rPr>
            <w:webHidden/>
          </w:rPr>
          <w:fldChar w:fldCharType="separate"/>
        </w:r>
        <w:r w:rsidR="007569C0">
          <w:rPr>
            <w:webHidden/>
          </w:rPr>
          <w:t>22</w:t>
        </w:r>
        <w:r>
          <w:rPr>
            <w:webHidden/>
          </w:rPr>
          <w:fldChar w:fldCharType="end"/>
        </w:r>
      </w:hyperlink>
    </w:p>
    <w:p w:rsidR="001C7848" w:rsidRDefault="001C7848">
      <w:pPr>
        <w:pStyle w:val="TOC1"/>
        <w:rPr>
          <w:szCs w:val="24"/>
        </w:rPr>
      </w:pPr>
      <w:hyperlink w:anchor="_Toc188785275" w:history="1">
        <w:r>
          <w:rPr>
            <w:rStyle w:val="Hyperlink"/>
          </w:rPr>
          <w:t>1.</w:t>
        </w:r>
        <w:r>
          <w:rPr>
            <w:rStyle w:val="Hyperlink"/>
            <w:rFonts w:hint="eastAsia"/>
          </w:rPr>
          <w:t xml:space="preserve">　对购买性服务定罪</w:t>
        </w:r>
        <w:r>
          <w:rPr>
            <w:webHidden/>
          </w:rPr>
          <w:tab/>
        </w:r>
        <w:r>
          <w:rPr>
            <w:webHidden/>
          </w:rPr>
          <w:fldChar w:fldCharType="begin"/>
        </w:r>
        <w:r>
          <w:rPr>
            <w:webHidden/>
          </w:rPr>
          <w:instrText xml:space="preserve"> PAGEREF _Toc188785275 \h </w:instrText>
        </w:r>
        <w:r>
          <w:rPr>
            <w:webHidden/>
          </w:rPr>
          <w:fldChar w:fldCharType="separate"/>
        </w:r>
        <w:r w:rsidR="007569C0">
          <w:rPr>
            <w:webHidden/>
          </w:rPr>
          <w:t>23</w:t>
        </w:r>
        <w:r>
          <w:rPr>
            <w:webHidden/>
          </w:rPr>
          <w:fldChar w:fldCharType="end"/>
        </w:r>
      </w:hyperlink>
    </w:p>
    <w:p w:rsidR="001C7848" w:rsidRDefault="001C7848">
      <w:pPr>
        <w:pStyle w:val="TOC1"/>
        <w:rPr>
          <w:szCs w:val="24"/>
        </w:rPr>
      </w:pPr>
      <w:hyperlink w:anchor="_Toc188785276" w:history="1">
        <w:r>
          <w:rPr>
            <w:rStyle w:val="Hyperlink"/>
          </w:rPr>
          <w:t xml:space="preserve">2.  </w:t>
        </w:r>
        <w:r>
          <w:rPr>
            <w:rStyle w:val="Hyperlink"/>
            <w:rFonts w:hint="eastAsia"/>
          </w:rPr>
          <w:t>贩运人口</w:t>
        </w:r>
        <w:r>
          <w:rPr>
            <w:webHidden/>
          </w:rPr>
          <w:tab/>
        </w:r>
        <w:r>
          <w:rPr>
            <w:webHidden/>
          </w:rPr>
          <w:fldChar w:fldCharType="begin"/>
        </w:r>
        <w:r>
          <w:rPr>
            <w:webHidden/>
          </w:rPr>
          <w:instrText xml:space="preserve"> PAGEREF _Toc188785276 \h </w:instrText>
        </w:r>
        <w:r>
          <w:rPr>
            <w:webHidden/>
          </w:rPr>
          <w:fldChar w:fldCharType="separate"/>
        </w:r>
        <w:r w:rsidR="007569C0">
          <w:rPr>
            <w:webHidden/>
          </w:rPr>
          <w:t>24</w:t>
        </w:r>
        <w:r>
          <w:rPr>
            <w:webHidden/>
          </w:rPr>
          <w:fldChar w:fldCharType="end"/>
        </w:r>
      </w:hyperlink>
    </w:p>
    <w:p w:rsidR="001C7848" w:rsidRDefault="001C7848">
      <w:pPr>
        <w:pStyle w:val="TOC1"/>
        <w:rPr>
          <w:szCs w:val="24"/>
        </w:rPr>
      </w:pPr>
      <w:hyperlink w:anchor="_Toc188785277" w:history="1">
        <w:r>
          <w:rPr>
            <w:rStyle w:val="Hyperlink"/>
            <w:szCs w:val="21"/>
          </w:rPr>
          <w:t xml:space="preserve">2.1.  </w:t>
        </w:r>
        <w:r>
          <w:rPr>
            <w:rStyle w:val="Hyperlink"/>
            <w:rFonts w:hint="eastAsia"/>
            <w:szCs w:val="21"/>
          </w:rPr>
          <w:t>国际义务</w:t>
        </w:r>
        <w:r>
          <w:rPr>
            <w:webHidden/>
          </w:rPr>
          <w:tab/>
        </w:r>
        <w:r>
          <w:rPr>
            <w:webHidden/>
          </w:rPr>
          <w:fldChar w:fldCharType="begin"/>
        </w:r>
        <w:r>
          <w:rPr>
            <w:webHidden/>
          </w:rPr>
          <w:instrText xml:space="preserve"> PAGEREF _Toc188785277 \h </w:instrText>
        </w:r>
        <w:r>
          <w:rPr>
            <w:webHidden/>
          </w:rPr>
          <w:fldChar w:fldCharType="separate"/>
        </w:r>
        <w:r w:rsidR="007569C0">
          <w:rPr>
            <w:webHidden/>
          </w:rPr>
          <w:t>24</w:t>
        </w:r>
        <w:r>
          <w:rPr>
            <w:webHidden/>
          </w:rPr>
          <w:fldChar w:fldCharType="end"/>
        </w:r>
      </w:hyperlink>
    </w:p>
    <w:p w:rsidR="001C7848" w:rsidRDefault="001C7848">
      <w:pPr>
        <w:pStyle w:val="TOC1"/>
        <w:rPr>
          <w:szCs w:val="24"/>
        </w:rPr>
      </w:pPr>
      <w:hyperlink w:anchor="_Toc188785278" w:history="1">
        <w:r>
          <w:rPr>
            <w:rStyle w:val="Hyperlink"/>
            <w:szCs w:val="21"/>
          </w:rPr>
          <w:t xml:space="preserve">2.2.  </w:t>
        </w:r>
        <w:r>
          <w:rPr>
            <w:rStyle w:val="Hyperlink"/>
            <w:rFonts w:hint="eastAsia"/>
            <w:szCs w:val="21"/>
          </w:rPr>
          <w:t>立法修正案</w:t>
        </w:r>
        <w:r>
          <w:rPr>
            <w:webHidden/>
          </w:rPr>
          <w:tab/>
        </w:r>
        <w:r>
          <w:rPr>
            <w:webHidden/>
          </w:rPr>
          <w:fldChar w:fldCharType="begin"/>
        </w:r>
        <w:r>
          <w:rPr>
            <w:webHidden/>
          </w:rPr>
          <w:instrText xml:space="preserve"> PAGEREF _Toc188785278 \h </w:instrText>
        </w:r>
        <w:r>
          <w:rPr>
            <w:webHidden/>
          </w:rPr>
          <w:fldChar w:fldCharType="separate"/>
        </w:r>
        <w:r w:rsidR="007569C0">
          <w:rPr>
            <w:webHidden/>
          </w:rPr>
          <w:t>24</w:t>
        </w:r>
        <w:r>
          <w:rPr>
            <w:webHidden/>
          </w:rPr>
          <w:fldChar w:fldCharType="end"/>
        </w:r>
      </w:hyperlink>
    </w:p>
    <w:p w:rsidR="001C7848" w:rsidRDefault="001C7848">
      <w:pPr>
        <w:pStyle w:val="TOC1"/>
        <w:rPr>
          <w:szCs w:val="24"/>
        </w:rPr>
      </w:pPr>
      <w:hyperlink w:anchor="_Toc188785279" w:history="1">
        <w:r>
          <w:rPr>
            <w:rStyle w:val="Hyperlink"/>
            <w:szCs w:val="21"/>
          </w:rPr>
          <w:t xml:space="preserve">2.3.  </w:t>
        </w:r>
        <w:r>
          <w:rPr>
            <w:rStyle w:val="Hyperlink"/>
            <w:rFonts w:hint="eastAsia"/>
            <w:szCs w:val="21"/>
          </w:rPr>
          <w:t>其他国内措施</w:t>
        </w:r>
        <w:r>
          <w:rPr>
            <w:webHidden/>
          </w:rPr>
          <w:tab/>
        </w:r>
        <w:r>
          <w:rPr>
            <w:webHidden/>
          </w:rPr>
          <w:fldChar w:fldCharType="begin"/>
        </w:r>
        <w:r>
          <w:rPr>
            <w:webHidden/>
          </w:rPr>
          <w:instrText xml:space="preserve"> PAGEREF _Toc188785279 \h </w:instrText>
        </w:r>
        <w:r>
          <w:rPr>
            <w:webHidden/>
          </w:rPr>
          <w:fldChar w:fldCharType="separate"/>
        </w:r>
        <w:r w:rsidR="007569C0">
          <w:rPr>
            <w:webHidden/>
          </w:rPr>
          <w:t>25</w:t>
        </w:r>
        <w:r>
          <w:rPr>
            <w:webHidden/>
          </w:rPr>
          <w:fldChar w:fldCharType="end"/>
        </w:r>
      </w:hyperlink>
    </w:p>
    <w:p w:rsidR="001C7848" w:rsidRDefault="001C7848">
      <w:pPr>
        <w:pStyle w:val="TOC1"/>
        <w:rPr>
          <w:szCs w:val="24"/>
        </w:rPr>
      </w:pPr>
      <w:hyperlink w:anchor="_Toc188785280" w:history="1">
        <w:r>
          <w:rPr>
            <w:rStyle w:val="Hyperlink"/>
            <w:szCs w:val="21"/>
          </w:rPr>
          <w:t xml:space="preserve">2.4.  </w:t>
        </w:r>
        <w:r>
          <w:rPr>
            <w:rStyle w:val="Hyperlink"/>
            <w:rFonts w:hint="eastAsia"/>
            <w:szCs w:val="21"/>
          </w:rPr>
          <w:t>国际合作</w:t>
        </w:r>
        <w:r>
          <w:rPr>
            <w:webHidden/>
          </w:rPr>
          <w:tab/>
        </w:r>
        <w:r>
          <w:rPr>
            <w:webHidden/>
          </w:rPr>
          <w:fldChar w:fldCharType="begin"/>
        </w:r>
        <w:r>
          <w:rPr>
            <w:webHidden/>
          </w:rPr>
          <w:instrText xml:space="preserve"> PAGEREF _Toc188785280 \h </w:instrText>
        </w:r>
        <w:r>
          <w:rPr>
            <w:webHidden/>
          </w:rPr>
          <w:fldChar w:fldCharType="separate"/>
        </w:r>
        <w:r w:rsidR="007569C0">
          <w:rPr>
            <w:webHidden/>
          </w:rPr>
          <w:t>26</w:t>
        </w:r>
        <w:r>
          <w:rPr>
            <w:webHidden/>
          </w:rPr>
          <w:fldChar w:fldCharType="end"/>
        </w:r>
      </w:hyperlink>
    </w:p>
    <w:p w:rsidR="001C7848" w:rsidRDefault="001C7848">
      <w:pPr>
        <w:pStyle w:val="TOC1"/>
        <w:rPr>
          <w:szCs w:val="24"/>
        </w:rPr>
      </w:pPr>
      <w:hyperlink w:anchor="_Toc188785281" w:history="1">
        <w:r>
          <w:rPr>
            <w:rStyle w:val="Hyperlink"/>
            <w:rFonts w:hint="eastAsia"/>
            <w:szCs w:val="28"/>
          </w:rPr>
          <w:t>第</w:t>
        </w:r>
        <w:r>
          <w:rPr>
            <w:rStyle w:val="Hyperlink"/>
            <w:szCs w:val="28"/>
          </w:rPr>
          <w:t>7</w:t>
        </w:r>
        <w:r>
          <w:rPr>
            <w:rStyle w:val="Hyperlink"/>
            <w:rFonts w:hint="eastAsia"/>
            <w:szCs w:val="28"/>
          </w:rPr>
          <w:t>条</w:t>
        </w:r>
        <w:r>
          <w:rPr>
            <w:webHidden/>
          </w:rPr>
          <w:tab/>
        </w:r>
        <w:r>
          <w:rPr>
            <w:webHidden/>
          </w:rPr>
          <w:fldChar w:fldCharType="begin"/>
        </w:r>
        <w:r>
          <w:rPr>
            <w:webHidden/>
          </w:rPr>
          <w:instrText xml:space="preserve"> PAGEREF _Toc188785281 \h </w:instrText>
        </w:r>
        <w:r>
          <w:rPr>
            <w:webHidden/>
          </w:rPr>
          <w:fldChar w:fldCharType="separate"/>
        </w:r>
        <w:r w:rsidR="007569C0">
          <w:rPr>
            <w:webHidden/>
          </w:rPr>
          <w:t>26</w:t>
        </w:r>
        <w:r>
          <w:rPr>
            <w:webHidden/>
          </w:rPr>
          <w:fldChar w:fldCharType="end"/>
        </w:r>
      </w:hyperlink>
    </w:p>
    <w:p w:rsidR="001C7848" w:rsidRDefault="001C7848">
      <w:pPr>
        <w:pStyle w:val="TOC1"/>
        <w:rPr>
          <w:szCs w:val="24"/>
        </w:rPr>
      </w:pPr>
      <w:hyperlink w:anchor="_Toc188785282" w:history="1">
        <w:r>
          <w:rPr>
            <w:rStyle w:val="Hyperlink"/>
          </w:rPr>
          <w:t xml:space="preserve">1.  </w:t>
        </w:r>
        <w:r>
          <w:rPr>
            <w:rStyle w:val="Hyperlink"/>
            <w:rFonts w:hint="eastAsia"/>
          </w:rPr>
          <w:t>投票权</w:t>
        </w:r>
        <w:r>
          <w:rPr>
            <w:webHidden/>
          </w:rPr>
          <w:tab/>
        </w:r>
        <w:r>
          <w:rPr>
            <w:webHidden/>
          </w:rPr>
          <w:fldChar w:fldCharType="begin"/>
        </w:r>
        <w:r>
          <w:rPr>
            <w:webHidden/>
          </w:rPr>
          <w:instrText xml:space="preserve"> PAGEREF _Toc188785282 \h </w:instrText>
        </w:r>
        <w:r>
          <w:rPr>
            <w:webHidden/>
          </w:rPr>
          <w:fldChar w:fldCharType="separate"/>
        </w:r>
        <w:r w:rsidR="007569C0">
          <w:rPr>
            <w:webHidden/>
          </w:rPr>
          <w:t>27</w:t>
        </w:r>
        <w:r>
          <w:rPr>
            <w:webHidden/>
          </w:rPr>
          <w:fldChar w:fldCharType="end"/>
        </w:r>
      </w:hyperlink>
    </w:p>
    <w:p w:rsidR="001C7848" w:rsidRDefault="001C7848">
      <w:pPr>
        <w:pStyle w:val="TOC1"/>
        <w:rPr>
          <w:szCs w:val="24"/>
        </w:rPr>
      </w:pPr>
      <w:hyperlink w:anchor="_Toc188785283" w:history="1">
        <w:r>
          <w:rPr>
            <w:rStyle w:val="Hyperlink"/>
          </w:rPr>
          <w:t xml:space="preserve">2.  </w:t>
        </w:r>
        <w:r>
          <w:rPr>
            <w:rStyle w:val="Hyperlink"/>
            <w:rFonts w:hint="eastAsia"/>
          </w:rPr>
          <w:t>政府组成</w:t>
        </w:r>
        <w:r>
          <w:rPr>
            <w:webHidden/>
          </w:rPr>
          <w:tab/>
        </w:r>
        <w:r>
          <w:rPr>
            <w:webHidden/>
          </w:rPr>
          <w:fldChar w:fldCharType="begin"/>
        </w:r>
        <w:r>
          <w:rPr>
            <w:webHidden/>
          </w:rPr>
          <w:instrText xml:space="preserve"> PAGEREF _Toc188785283 \h </w:instrText>
        </w:r>
        <w:r>
          <w:rPr>
            <w:webHidden/>
          </w:rPr>
          <w:fldChar w:fldCharType="separate"/>
        </w:r>
        <w:r w:rsidR="007569C0">
          <w:rPr>
            <w:webHidden/>
          </w:rPr>
          <w:t>27</w:t>
        </w:r>
        <w:r>
          <w:rPr>
            <w:webHidden/>
          </w:rPr>
          <w:fldChar w:fldCharType="end"/>
        </w:r>
      </w:hyperlink>
    </w:p>
    <w:p w:rsidR="001C7848" w:rsidRDefault="001C7848">
      <w:pPr>
        <w:pStyle w:val="TOC1"/>
        <w:rPr>
          <w:szCs w:val="24"/>
        </w:rPr>
      </w:pPr>
      <w:hyperlink w:anchor="_Toc188785284" w:history="1">
        <w:r>
          <w:rPr>
            <w:rStyle w:val="Hyperlink"/>
          </w:rPr>
          <w:t xml:space="preserve">3.  </w:t>
        </w:r>
        <w:r>
          <w:rPr>
            <w:rStyle w:val="Hyperlink"/>
            <w:rFonts w:hint="eastAsia"/>
          </w:rPr>
          <w:t>国家公务员</w:t>
        </w:r>
        <w:r>
          <w:rPr>
            <w:webHidden/>
          </w:rPr>
          <w:tab/>
        </w:r>
        <w:r>
          <w:rPr>
            <w:webHidden/>
          </w:rPr>
          <w:fldChar w:fldCharType="begin"/>
        </w:r>
        <w:r>
          <w:rPr>
            <w:webHidden/>
          </w:rPr>
          <w:instrText xml:space="preserve"> PAGEREF _Toc188785284 \h </w:instrText>
        </w:r>
        <w:r>
          <w:rPr>
            <w:webHidden/>
          </w:rPr>
          <w:fldChar w:fldCharType="separate"/>
        </w:r>
        <w:r w:rsidR="007569C0">
          <w:rPr>
            <w:webHidden/>
          </w:rPr>
          <w:t>27</w:t>
        </w:r>
        <w:r>
          <w:rPr>
            <w:webHidden/>
          </w:rPr>
          <w:fldChar w:fldCharType="end"/>
        </w:r>
      </w:hyperlink>
    </w:p>
    <w:p w:rsidR="001C7848" w:rsidRDefault="001C7848">
      <w:pPr>
        <w:pStyle w:val="TOC1"/>
        <w:rPr>
          <w:szCs w:val="24"/>
        </w:rPr>
      </w:pPr>
      <w:hyperlink w:anchor="_Toc188785285" w:history="1">
        <w:r>
          <w:rPr>
            <w:rStyle w:val="Hyperlink"/>
          </w:rPr>
          <w:t xml:space="preserve">4. </w:t>
        </w:r>
        <w:r>
          <w:rPr>
            <w:rStyle w:val="Hyperlink"/>
            <w:rFonts w:hint="eastAsia"/>
          </w:rPr>
          <w:t>国家对妇女组织的资助</w:t>
        </w:r>
        <w:r>
          <w:rPr>
            <w:webHidden/>
          </w:rPr>
          <w:tab/>
        </w:r>
        <w:r>
          <w:rPr>
            <w:webHidden/>
          </w:rPr>
          <w:fldChar w:fldCharType="begin"/>
        </w:r>
        <w:r>
          <w:rPr>
            <w:webHidden/>
          </w:rPr>
          <w:instrText xml:space="preserve"> PAGEREF _Toc188785285 \h </w:instrText>
        </w:r>
        <w:r>
          <w:rPr>
            <w:webHidden/>
          </w:rPr>
          <w:fldChar w:fldCharType="separate"/>
        </w:r>
        <w:r w:rsidR="007569C0">
          <w:rPr>
            <w:webHidden/>
          </w:rPr>
          <w:t>27</w:t>
        </w:r>
        <w:r>
          <w:rPr>
            <w:webHidden/>
          </w:rPr>
          <w:fldChar w:fldCharType="end"/>
        </w:r>
      </w:hyperlink>
    </w:p>
    <w:p w:rsidR="001C7848" w:rsidRDefault="001C7848">
      <w:pPr>
        <w:pStyle w:val="TOC1"/>
        <w:rPr>
          <w:szCs w:val="24"/>
        </w:rPr>
      </w:pPr>
      <w:hyperlink w:anchor="_Toc188785286" w:history="1">
        <w:r>
          <w:rPr>
            <w:rStyle w:val="Hyperlink"/>
            <w:rFonts w:hint="eastAsia"/>
            <w:szCs w:val="28"/>
          </w:rPr>
          <w:t>第</w:t>
        </w:r>
        <w:r>
          <w:rPr>
            <w:rStyle w:val="Hyperlink"/>
            <w:szCs w:val="28"/>
          </w:rPr>
          <w:t>8</w:t>
        </w:r>
        <w:r>
          <w:rPr>
            <w:rStyle w:val="Hyperlink"/>
            <w:rFonts w:hint="eastAsia"/>
            <w:szCs w:val="28"/>
          </w:rPr>
          <w:t>条</w:t>
        </w:r>
        <w:r>
          <w:rPr>
            <w:webHidden/>
          </w:rPr>
          <w:tab/>
        </w:r>
        <w:r>
          <w:rPr>
            <w:webHidden/>
          </w:rPr>
          <w:fldChar w:fldCharType="begin"/>
        </w:r>
        <w:r>
          <w:rPr>
            <w:webHidden/>
          </w:rPr>
          <w:instrText xml:space="preserve"> PAGEREF _Toc188785286 \h </w:instrText>
        </w:r>
        <w:r>
          <w:rPr>
            <w:webHidden/>
          </w:rPr>
          <w:fldChar w:fldCharType="separate"/>
        </w:r>
        <w:r w:rsidR="007569C0">
          <w:rPr>
            <w:webHidden/>
          </w:rPr>
          <w:t>28</w:t>
        </w:r>
        <w:r>
          <w:rPr>
            <w:webHidden/>
          </w:rPr>
          <w:fldChar w:fldCharType="end"/>
        </w:r>
      </w:hyperlink>
    </w:p>
    <w:p w:rsidR="001C7848" w:rsidRDefault="001C7848">
      <w:pPr>
        <w:pStyle w:val="TOC1"/>
        <w:rPr>
          <w:szCs w:val="24"/>
        </w:rPr>
      </w:pPr>
      <w:hyperlink w:anchor="_Toc188785287" w:history="1">
        <w:r>
          <w:rPr>
            <w:rStyle w:val="Hyperlink"/>
            <w:rFonts w:hint="eastAsia"/>
            <w:szCs w:val="28"/>
          </w:rPr>
          <w:t>第</w:t>
        </w:r>
        <w:r>
          <w:rPr>
            <w:rStyle w:val="Hyperlink"/>
            <w:szCs w:val="28"/>
          </w:rPr>
          <w:t>9</w:t>
        </w:r>
        <w:r>
          <w:rPr>
            <w:rStyle w:val="Hyperlink"/>
            <w:rFonts w:hint="eastAsia"/>
            <w:szCs w:val="28"/>
          </w:rPr>
          <w:t>条</w:t>
        </w:r>
        <w:r>
          <w:rPr>
            <w:webHidden/>
          </w:rPr>
          <w:tab/>
        </w:r>
        <w:r>
          <w:rPr>
            <w:webHidden/>
          </w:rPr>
          <w:fldChar w:fldCharType="begin"/>
        </w:r>
        <w:r>
          <w:rPr>
            <w:webHidden/>
          </w:rPr>
          <w:instrText xml:space="preserve"> PAGEREF _Toc188785287 \h </w:instrText>
        </w:r>
        <w:r>
          <w:rPr>
            <w:webHidden/>
          </w:rPr>
          <w:fldChar w:fldCharType="separate"/>
        </w:r>
        <w:r w:rsidR="007569C0">
          <w:rPr>
            <w:webHidden/>
          </w:rPr>
          <w:t>28</w:t>
        </w:r>
        <w:r>
          <w:rPr>
            <w:webHidden/>
          </w:rPr>
          <w:fldChar w:fldCharType="end"/>
        </w:r>
      </w:hyperlink>
    </w:p>
    <w:p w:rsidR="001C7848" w:rsidRDefault="001C7848">
      <w:pPr>
        <w:pStyle w:val="TOC1"/>
        <w:rPr>
          <w:szCs w:val="24"/>
        </w:rPr>
      </w:pPr>
      <w:hyperlink w:anchor="_Toc188785288" w:history="1">
        <w:r>
          <w:rPr>
            <w:rStyle w:val="Hyperlink"/>
            <w:rFonts w:hint="eastAsia"/>
            <w:szCs w:val="28"/>
          </w:rPr>
          <w:t>第</w:t>
        </w:r>
        <w:r>
          <w:rPr>
            <w:rStyle w:val="Hyperlink"/>
            <w:szCs w:val="28"/>
          </w:rPr>
          <w:t>10</w:t>
        </w:r>
        <w:r>
          <w:rPr>
            <w:rStyle w:val="Hyperlink"/>
            <w:rFonts w:hint="eastAsia"/>
            <w:szCs w:val="28"/>
          </w:rPr>
          <w:t>条</w:t>
        </w:r>
        <w:r>
          <w:rPr>
            <w:webHidden/>
          </w:rPr>
          <w:tab/>
        </w:r>
        <w:r>
          <w:rPr>
            <w:webHidden/>
          </w:rPr>
          <w:fldChar w:fldCharType="begin"/>
        </w:r>
        <w:r>
          <w:rPr>
            <w:webHidden/>
          </w:rPr>
          <w:instrText xml:space="preserve"> PAGEREF _Toc188785288 \h </w:instrText>
        </w:r>
        <w:r>
          <w:rPr>
            <w:webHidden/>
          </w:rPr>
          <w:fldChar w:fldCharType="separate"/>
        </w:r>
        <w:r w:rsidR="007569C0">
          <w:rPr>
            <w:webHidden/>
          </w:rPr>
          <w:t>28</w:t>
        </w:r>
        <w:r>
          <w:rPr>
            <w:webHidden/>
          </w:rPr>
          <w:fldChar w:fldCharType="end"/>
        </w:r>
      </w:hyperlink>
    </w:p>
    <w:p w:rsidR="001C7848" w:rsidRDefault="001C7848">
      <w:pPr>
        <w:pStyle w:val="TOC1"/>
        <w:rPr>
          <w:szCs w:val="24"/>
        </w:rPr>
      </w:pPr>
      <w:hyperlink w:anchor="_Toc188785289" w:history="1">
        <w:r>
          <w:rPr>
            <w:rStyle w:val="Hyperlink"/>
          </w:rPr>
          <w:t xml:space="preserve">1.  </w:t>
        </w:r>
        <w:r>
          <w:rPr>
            <w:rStyle w:val="Hyperlink"/>
            <w:rFonts w:hint="eastAsia"/>
          </w:rPr>
          <w:t>教育机构的平等规划</w:t>
        </w:r>
        <w:r>
          <w:rPr>
            <w:webHidden/>
          </w:rPr>
          <w:tab/>
        </w:r>
        <w:r>
          <w:rPr>
            <w:webHidden/>
          </w:rPr>
          <w:fldChar w:fldCharType="begin"/>
        </w:r>
        <w:r>
          <w:rPr>
            <w:webHidden/>
          </w:rPr>
          <w:instrText xml:space="preserve"> PAGEREF _Toc188785289 \h </w:instrText>
        </w:r>
        <w:r>
          <w:rPr>
            <w:webHidden/>
          </w:rPr>
          <w:fldChar w:fldCharType="separate"/>
        </w:r>
        <w:r w:rsidR="007569C0">
          <w:rPr>
            <w:webHidden/>
          </w:rPr>
          <w:t>29</w:t>
        </w:r>
        <w:r>
          <w:rPr>
            <w:webHidden/>
          </w:rPr>
          <w:fldChar w:fldCharType="end"/>
        </w:r>
      </w:hyperlink>
    </w:p>
    <w:p w:rsidR="001C7848" w:rsidRDefault="001C7848">
      <w:pPr>
        <w:pStyle w:val="TOC1"/>
        <w:rPr>
          <w:szCs w:val="24"/>
        </w:rPr>
      </w:pPr>
      <w:hyperlink w:anchor="_Toc188785290" w:history="1">
        <w:r>
          <w:rPr>
            <w:rStyle w:val="Hyperlink"/>
          </w:rPr>
          <w:t xml:space="preserve">2. </w:t>
        </w:r>
        <w:r>
          <w:rPr>
            <w:rStyle w:val="Hyperlink"/>
            <w:rFonts w:hint="eastAsia"/>
          </w:rPr>
          <w:t>普通教育领域的具体措施</w:t>
        </w:r>
        <w:r>
          <w:rPr>
            <w:webHidden/>
          </w:rPr>
          <w:tab/>
        </w:r>
        <w:r>
          <w:rPr>
            <w:webHidden/>
          </w:rPr>
          <w:fldChar w:fldCharType="begin"/>
        </w:r>
        <w:r>
          <w:rPr>
            <w:webHidden/>
          </w:rPr>
          <w:instrText xml:space="preserve"> PAGEREF _Toc188785290 \h </w:instrText>
        </w:r>
        <w:r>
          <w:rPr>
            <w:webHidden/>
          </w:rPr>
          <w:fldChar w:fldCharType="separate"/>
        </w:r>
        <w:r w:rsidR="007569C0">
          <w:rPr>
            <w:webHidden/>
          </w:rPr>
          <w:t>29</w:t>
        </w:r>
        <w:r>
          <w:rPr>
            <w:webHidden/>
          </w:rPr>
          <w:fldChar w:fldCharType="end"/>
        </w:r>
      </w:hyperlink>
    </w:p>
    <w:p w:rsidR="001C7848" w:rsidRDefault="001C7848">
      <w:pPr>
        <w:pStyle w:val="TOC1"/>
        <w:rPr>
          <w:szCs w:val="24"/>
        </w:rPr>
      </w:pPr>
      <w:hyperlink w:anchor="_Toc188785291" w:history="1">
        <w:r>
          <w:rPr>
            <w:rStyle w:val="Hyperlink"/>
          </w:rPr>
          <w:t xml:space="preserve">3. </w:t>
        </w:r>
        <w:r>
          <w:rPr>
            <w:rStyle w:val="Hyperlink"/>
            <w:rFonts w:hint="eastAsia"/>
          </w:rPr>
          <w:t>学术界的妇女</w:t>
        </w:r>
        <w:r>
          <w:rPr>
            <w:webHidden/>
          </w:rPr>
          <w:tab/>
        </w:r>
        <w:r>
          <w:rPr>
            <w:webHidden/>
          </w:rPr>
          <w:fldChar w:fldCharType="begin"/>
        </w:r>
        <w:r>
          <w:rPr>
            <w:webHidden/>
          </w:rPr>
          <w:instrText xml:space="preserve"> PAGEREF _Toc188785291 \h </w:instrText>
        </w:r>
        <w:r>
          <w:rPr>
            <w:webHidden/>
          </w:rPr>
          <w:fldChar w:fldCharType="separate"/>
        </w:r>
        <w:r w:rsidR="007569C0">
          <w:rPr>
            <w:webHidden/>
          </w:rPr>
          <w:t>30</w:t>
        </w:r>
        <w:r>
          <w:rPr>
            <w:webHidden/>
          </w:rPr>
          <w:fldChar w:fldCharType="end"/>
        </w:r>
      </w:hyperlink>
    </w:p>
    <w:p w:rsidR="001C7848" w:rsidRDefault="001C7848">
      <w:pPr>
        <w:pStyle w:val="TOC1"/>
        <w:rPr>
          <w:szCs w:val="24"/>
        </w:rPr>
      </w:pPr>
      <w:hyperlink w:anchor="_Toc188785292" w:history="1">
        <w:r>
          <w:rPr>
            <w:rStyle w:val="Hyperlink"/>
          </w:rPr>
          <w:t xml:space="preserve">4. </w:t>
        </w:r>
        <w:r>
          <w:rPr>
            <w:rStyle w:val="Hyperlink"/>
            <w:rFonts w:hint="eastAsia"/>
          </w:rPr>
          <w:t>自愿参加国防建设</w:t>
        </w:r>
        <w:r>
          <w:rPr>
            <w:webHidden/>
          </w:rPr>
          <w:tab/>
        </w:r>
        <w:r>
          <w:rPr>
            <w:webHidden/>
          </w:rPr>
          <w:fldChar w:fldCharType="begin"/>
        </w:r>
        <w:r>
          <w:rPr>
            <w:webHidden/>
          </w:rPr>
          <w:instrText xml:space="preserve"> PAGEREF _Toc188785292 \h </w:instrText>
        </w:r>
        <w:r>
          <w:rPr>
            <w:webHidden/>
          </w:rPr>
          <w:fldChar w:fldCharType="separate"/>
        </w:r>
        <w:r w:rsidR="007569C0">
          <w:rPr>
            <w:webHidden/>
          </w:rPr>
          <w:t>31</w:t>
        </w:r>
        <w:r>
          <w:rPr>
            <w:webHidden/>
          </w:rPr>
          <w:fldChar w:fldCharType="end"/>
        </w:r>
      </w:hyperlink>
    </w:p>
    <w:p w:rsidR="001C7848" w:rsidRDefault="001C7848">
      <w:pPr>
        <w:pStyle w:val="TOC1"/>
        <w:rPr>
          <w:szCs w:val="24"/>
        </w:rPr>
      </w:pPr>
      <w:hyperlink w:anchor="_Toc188785293" w:history="1">
        <w:r>
          <w:rPr>
            <w:rStyle w:val="Hyperlink"/>
            <w:rFonts w:hint="eastAsia"/>
            <w:szCs w:val="28"/>
          </w:rPr>
          <w:t>第</w:t>
        </w:r>
        <w:r>
          <w:rPr>
            <w:rStyle w:val="Hyperlink"/>
            <w:szCs w:val="28"/>
          </w:rPr>
          <w:t>11</w:t>
        </w:r>
        <w:r>
          <w:rPr>
            <w:rStyle w:val="Hyperlink"/>
            <w:rFonts w:hint="eastAsia"/>
            <w:szCs w:val="28"/>
          </w:rPr>
          <w:t>条</w:t>
        </w:r>
        <w:r>
          <w:rPr>
            <w:webHidden/>
          </w:rPr>
          <w:tab/>
        </w:r>
        <w:r>
          <w:rPr>
            <w:webHidden/>
          </w:rPr>
          <w:fldChar w:fldCharType="begin"/>
        </w:r>
        <w:r>
          <w:rPr>
            <w:webHidden/>
          </w:rPr>
          <w:instrText xml:space="preserve"> PAGEREF _Toc188785293 \h </w:instrText>
        </w:r>
        <w:r>
          <w:rPr>
            <w:webHidden/>
          </w:rPr>
          <w:fldChar w:fldCharType="separate"/>
        </w:r>
        <w:r w:rsidR="007569C0">
          <w:rPr>
            <w:webHidden/>
          </w:rPr>
          <w:t>31</w:t>
        </w:r>
        <w:r>
          <w:rPr>
            <w:webHidden/>
          </w:rPr>
          <w:fldChar w:fldCharType="end"/>
        </w:r>
      </w:hyperlink>
    </w:p>
    <w:p w:rsidR="001C7848" w:rsidRDefault="001C7848">
      <w:pPr>
        <w:pStyle w:val="TOC1"/>
        <w:rPr>
          <w:szCs w:val="24"/>
        </w:rPr>
      </w:pPr>
      <w:hyperlink w:anchor="_Toc188785294" w:history="1">
        <w:r>
          <w:rPr>
            <w:rStyle w:val="Hyperlink"/>
          </w:rPr>
          <w:t xml:space="preserve">1.  </w:t>
        </w:r>
        <w:r>
          <w:rPr>
            <w:rStyle w:val="Hyperlink"/>
            <w:rFonts w:hint="eastAsia"/>
          </w:rPr>
          <w:t>消除职业生活中的歧视</w:t>
        </w:r>
        <w:r>
          <w:rPr>
            <w:webHidden/>
          </w:rPr>
          <w:tab/>
        </w:r>
        <w:r>
          <w:rPr>
            <w:webHidden/>
          </w:rPr>
          <w:fldChar w:fldCharType="begin"/>
        </w:r>
        <w:r>
          <w:rPr>
            <w:webHidden/>
          </w:rPr>
          <w:instrText xml:space="preserve"> PAGEREF _Toc188785294 \h </w:instrText>
        </w:r>
        <w:r>
          <w:rPr>
            <w:webHidden/>
          </w:rPr>
          <w:fldChar w:fldCharType="separate"/>
        </w:r>
        <w:r w:rsidR="007569C0">
          <w:rPr>
            <w:webHidden/>
          </w:rPr>
          <w:t>32</w:t>
        </w:r>
        <w:r>
          <w:rPr>
            <w:webHidden/>
          </w:rPr>
          <w:fldChar w:fldCharType="end"/>
        </w:r>
      </w:hyperlink>
    </w:p>
    <w:p w:rsidR="001C7848" w:rsidRDefault="001C7848">
      <w:pPr>
        <w:pStyle w:val="TOC1"/>
        <w:rPr>
          <w:szCs w:val="24"/>
        </w:rPr>
      </w:pPr>
      <w:hyperlink w:anchor="_Toc188785295" w:history="1">
        <w:r>
          <w:rPr>
            <w:rStyle w:val="Hyperlink"/>
            <w:szCs w:val="21"/>
          </w:rPr>
          <w:t xml:space="preserve">1.1.  </w:t>
        </w:r>
        <w:r>
          <w:rPr>
            <w:rStyle w:val="Hyperlink"/>
            <w:rFonts w:hint="eastAsia"/>
            <w:szCs w:val="21"/>
          </w:rPr>
          <w:t>工资差距</w:t>
        </w:r>
        <w:r>
          <w:rPr>
            <w:webHidden/>
          </w:rPr>
          <w:tab/>
        </w:r>
        <w:r>
          <w:rPr>
            <w:webHidden/>
          </w:rPr>
          <w:fldChar w:fldCharType="begin"/>
        </w:r>
        <w:r>
          <w:rPr>
            <w:webHidden/>
          </w:rPr>
          <w:instrText xml:space="preserve"> PAGEREF _Toc188785295 \h </w:instrText>
        </w:r>
        <w:r>
          <w:rPr>
            <w:webHidden/>
          </w:rPr>
          <w:fldChar w:fldCharType="separate"/>
        </w:r>
        <w:r w:rsidR="007569C0">
          <w:rPr>
            <w:webHidden/>
          </w:rPr>
          <w:t>32</w:t>
        </w:r>
        <w:r>
          <w:rPr>
            <w:webHidden/>
          </w:rPr>
          <w:fldChar w:fldCharType="end"/>
        </w:r>
      </w:hyperlink>
    </w:p>
    <w:p w:rsidR="001C7848" w:rsidRDefault="001C7848">
      <w:pPr>
        <w:pStyle w:val="TOC1"/>
        <w:rPr>
          <w:szCs w:val="24"/>
        </w:rPr>
      </w:pPr>
      <w:hyperlink w:anchor="_Toc188785296" w:history="1">
        <w:r>
          <w:rPr>
            <w:rStyle w:val="Hyperlink"/>
            <w:szCs w:val="21"/>
          </w:rPr>
          <w:t xml:space="preserve">1.2.  </w:t>
        </w:r>
        <w:r>
          <w:rPr>
            <w:rStyle w:val="Hyperlink"/>
            <w:rFonts w:hint="eastAsia"/>
            <w:szCs w:val="21"/>
          </w:rPr>
          <w:t>固定期的雇用关系</w:t>
        </w:r>
        <w:r>
          <w:rPr>
            <w:webHidden/>
          </w:rPr>
          <w:tab/>
        </w:r>
        <w:r>
          <w:rPr>
            <w:webHidden/>
          </w:rPr>
          <w:fldChar w:fldCharType="begin"/>
        </w:r>
        <w:r>
          <w:rPr>
            <w:webHidden/>
          </w:rPr>
          <w:instrText xml:space="preserve"> PAGEREF _Toc188785296 \h </w:instrText>
        </w:r>
        <w:r>
          <w:rPr>
            <w:webHidden/>
          </w:rPr>
          <w:fldChar w:fldCharType="separate"/>
        </w:r>
        <w:r w:rsidR="007569C0">
          <w:rPr>
            <w:webHidden/>
          </w:rPr>
          <w:t>34</w:t>
        </w:r>
        <w:r>
          <w:rPr>
            <w:webHidden/>
          </w:rPr>
          <w:fldChar w:fldCharType="end"/>
        </w:r>
      </w:hyperlink>
    </w:p>
    <w:p w:rsidR="001C7848" w:rsidRDefault="001C7848">
      <w:pPr>
        <w:pStyle w:val="TOC1"/>
        <w:rPr>
          <w:szCs w:val="24"/>
        </w:rPr>
      </w:pPr>
      <w:hyperlink w:anchor="_Toc188785297" w:history="1">
        <w:r>
          <w:rPr>
            <w:rStyle w:val="Hyperlink"/>
            <w:szCs w:val="21"/>
          </w:rPr>
          <w:t xml:space="preserve">1.3.  </w:t>
        </w:r>
        <w:r>
          <w:rPr>
            <w:rStyle w:val="Hyperlink"/>
            <w:rFonts w:hint="eastAsia"/>
            <w:szCs w:val="21"/>
          </w:rPr>
          <w:t>兼职工作</w:t>
        </w:r>
        <w:r>
          <w:rPr>
            <w:webHidden/>
          </w:rPr>
          <w:tab/>
        </w:r>
        <w:r>
          <w:rPr>
            <w:webHidden/>
          </w:rPr>
          <w:fldChar w:fldCharType="begin"/>
        </w:r>
        <w:r>
          <w:rPr>
            <w:webHidden/>
          </w:rPr>
          <w:instrText xml:space="preserve"> PAGEREF _Toc188785297 \h </w:instrText>
        </w:r>
        <w:r>
          <w:rPr>
            <w:webHidden/>
          </w:rPr>
          <w:fldChar w:fldCharType="separate"/>
        </w:r>
        <w:r w:rsidR="007569C0">
          <w:rPr>
            <w:webHidden/>
          </w:rPr>
          <w:t>34</w:t>
        </w:r>
        <w:r>
          <w:rPr>
            <w:webHidden/>
          </w:rPr>
          <w:fldChar w:fldCharType="end"/>
        </w:r>
      </w:hyperlink>
    </w:p>
    <w:p w:rsidR="001C7848" w:rsidRDefault="001C7848">
      <w:pPr>
        <w:pStyle w:val="TOC1"/>
        <w:rPr>
          <w:szCs w:val="24"/>
        </w:rPr>
      </w:pPr>
      <w:hyperlink w:anchor="_Toc188785298" w:history="1">
        <w:r>
          <w:rPr>
            <w:rStyle w:val="Hyperlink"/>
            <w:szCs w:val="21"/>
          </w:rPr>
          <w:t xml:space="preserve">1.4.  </w:t>
        </w:r>
        <w:r>
          <w:rPr>
            <w:rStyle w:val="Hyperlink"/>
            <w:rFonts w:hint="eastAsia"/>
            <w:szCs w:val="21"/>
          </w:rPr>
          <w:t>基于怀孕或家事假的歧视</w:t>
        </w:r>
        <w:r>
          <w:rPr>
            <w:webHidden/>
          </w:rPr>
          <w:tab/>
        </w:r>
        <w:r>
          <w:rPr>
            <w:webHidden/>
          </w:rPr>
          <w:fldChar w:fldCharType="begin"/>
        </w:r>
        <w:r>
          <w:rPr>
            <w:webHidden/>
          </w:rPr>
          <w:instrText xml:space="preserve"> PAGEREF _Toc188785298 \h </w:instrText>
        </w:r>
        <w:r>
          <w:rPr>
            <w:webHidden/>
          </w:rPr>
          <w:fldChar w:fldCharType="separate"/>
        </w:r>
        <w:r w:rsidR="007569C0">
          <w:rPr>
            <w:webHidden/>
          </w:rPr>
          <w:t>35</w:t>
        </w:r>
        <w:r>
          <w:rPr>
            <w:webHidden/>
          </w:rPr>
          <w:fldChar w:fldCharType="end"/>
        </w:r>
      </w:hyperlink>
    </w:p>
    <w:p w:rsidR="001C7848" w:rsidRDefault="001C7848">
      <w:pPr>
        <w:pStyle w:val="TOC1"/>
        <w:rPr>
          <w:szCs w:val="24"/>
        </w:rPr>
      </w:pPr>
      <w:hyperlink w:anchor="_Toc188785299" w:history="1">
        <w:r>
          <w:rPr>
            <w:rStyle w:val="Hyperlink"/>
          </w:rPr>
          <w:t xml:space="preserve">2.   </w:t>
        </w:r>
        <w:r>
          <w:rPr>
            <w:rStyle w:val="Hyperlink"/>
            <w:rFonts w:hint="eastAsia"/>
          </w:rPr>
          <w:t>妇女失业率</w:t>
        </w:r>
        <w:r>
          <w:rPr>
            <w:webHidden/>
          </w:rPr>
          <w:tab/>
        </w:r>
        <w:r>
          <w:rPr>
            <w:webHidden/>
          </w:rPr>
          <w:fldChar w:fldCharType="begin"/>
        </w:r>
        <w:r>
          <w:rPr>
            <w:webHidden/>
          </w:rPr>
          <w:instrText xml:space="preserve"> PAGEREF _Toc188785299 \h </w:instrText>
        </w:r>
        <w:r>
          <w:rPr>
            <w:webHidden/>
          </w:rPr>
          <w:fldChar w:fldCharType="separate"/>
        </w:r>
        <w:r w:rsidR="007569C0">
          <w:rPr>
            <w:webHidden/>
          </w:rPr>
          <w:t>35</w:t>
        </w:r>
        <w:r>
          <w:rPr>
            <w:webHidden/>
          </w:rPr>
          <w:fldChar w:fldCharType="end"/>
        </w:r>
      </w:hyperlink>
    </w:p>
    <w:p w:rsidR="001C7848" w:rsidRDefault="001C7848">
      <w:pPr>
        <w:pStyle w:val="TOC1"/>
        <w:rPr>
          <w:szCs w:val="24"/>
        </w:rPr>
      </w:pPr>
      <w:hyperlink w:anchor="_Toc188785300" w:history="1">
        <w:r>
          <w:rPr>
            <w:rStyle w:val="Hyperlink"/>
          </w:rPr>
          <w:t xml:space="preserve">3.  </w:t>
        </w:r>
        <w:r>
          <w:rPr>
            <w:rStyle w:val="Hyperlink"/>
            <w:rFonts w:hint="eastAsia"/>
          </w:rPr>
          <w:t>社会保障</w:t>
        </w:r>
        <w:r>
          <w:rPr>
            <w:webHidden/>
          </w:rPr>
          <w:tab/>
        </w:r>
        <w:r>
          <w:rPr>
            <w:webHidden/>
          </w:rPr>
          <w:fldChar w:fldCharType="begin"/>
        </w:r>
        <w:r>
          <w:rPr>
            <w:webHidden/>
          </w:rPr>
          <w:instrText xml:space="preserve"> PAGEREF _Toc188785300 \h </w:instrText>
        </w:r>
        <w:r>
          <w:rPr>
            <w:webHidden/>
          </w:rPr>
          <w:fldChar w:fldCharType="separate"/>
        </w:r>
        <w:r w:rsidR="007569C0">
          <w:rPr>
            <w:webHidden/>
          </w:rPr>
          <w:t>36</w:t>
        </w:r>
        <w:r>
          <w:rPr>
            <w:webHidden/>
          </w:rPr>
          <w:fldChar w:fldCharType="end"/>
        </w:r>
      </w:hyperlink>
    </w:p>
    <w:p w:rsidR="001C7848" w:rsidRDefault="001C7848">
      <w:pPr>
        <w:pStyle w:val="TOC1"/>
        <w:rPr>
          <w:szCs w:val="24"/>
        </w:rPr>
      </w:pPr>
      <w:hyperlink w:anchor="_Toc188785301" w:history="1">
        <w:r>
          <w:rPr>
            <w:rStyle w:val="Hyperlink"/>
            <w:szCs w:val="21"/>
          </w:rPr>
          <w:t xml:space="preserve">3.1.  </w:t>
        </w:r>
        <w:r>
          <w:rPr>
            <w:rStyle w:val="Hyperlink"/>
            <w:rFonts w:hint="eastAsia"/>
            <w:szCs w:val="21"/>
          </w:rPr>
          <w:t>育儿假、家长津贴和生育津贴</w:t>
        </w:r>
        <w:r>
          <w:rPr>
            <w:webHidden/>
          </w:rPr>
          <w:tab/>
        </w:r>
        <w:r>
          <w:rPr>
            <w:webHidden/>
          </w:rPr>
          <w:fldChar w:fldCharType="begin"/>
        </w:r>
        <w:r>
          <w:rPr>
            <w:webHidden/>
          </w:rPr>
          <w:instrText xml:space="preserve"> PAGEREF _Toc188785301 \h </w:instrText>
        </w:r>
        <w:r>
          <w:rPr>
            <w:webHidden/>
          </w:rPr>
          <w:fldChar w:fldCharType="separate"/>
        </w:r>
        <w:r w:rsidR="007569C0">
          <w:rPr>
            <w:webHidden/>
          </w:rPr>
          <w:t>36</w:t>
        </w:r>
        <w:r>
          <w:rPr>
            <w:webHidden/>
          </w:rPr>
          <w:fldChar w:fldCharType="end"/>
        </w:r>
      </w:hyperlink>
    </w:p>
    <w:p w:rsidR="001C7848" w:rsidRDefault="001C7848">
      <w:pPr>
        <w:pStyle w:val="TOC1"/>
        <w:rPr>
          <w:szCs w:val="24"/>
        </w:rPr>
      </w:pPr>
      <w:hyperlink w:anchor="_Toc188785302" w:history="1">
        <w:r>
          <w:rPr>
            <w:rStyle w:val="Hyperlink"/>
            <w:szCs w:val="21"/>
          </w:rPr>
          <w:t xml:space="preserve">3.2. </w:t>
        </w:r>
        <w:r>
          <w:rPr>
            <w:rStyle w:val="Hyperlink"/>
            <w:rFonts w:hint="eastAsia"/>
            <w:szCs w:val="21"/>
          </w:rPr>
          <w:t>养老金制度</w:t>
        </w:r>
        <w:r>
          <w:rPr>
            <w:webHidden/>
          </w:rPr>
          <w:tab/>
        </w:r>
        <w:r>
          <w:rPr>
            <w:webHidden/>
          </w:rPr>
          <w:fldChar w:fldCharType="begin"/>
        </w:r>
        <w:r>
          <w:rPr>
            <w:webHidden/>
          </w:rPr>
          <w:instrText xml:space="preserve"> PAGEREF _Toc188785302 \h </w:instrText>
        </w:r>
        <w:r>
          <w:rPr>
            <w:webHidden/>
          </w:rPr>
          <w:fldChar w:fldCharType="separate"/>
        </w:r>
        <w:r w:rsidR="007569C0">
          <w:rPr>
            <w:webHidden/>
          </w:rPr>
          <w:t>36</w:t>
        </w:r>
        <w:r>
          <w:rPr>
            <w:webHidden/>
          </w:rPr>
          <w:fldChar w:fldCharType="end"/>
        </w:r>
      </w:hyperlink>
    </w:p>
    <w:p w:rsidR="001C7848" w:rsidRDefault="001C7848">
      <w:pPr>
        <w:pStyle w:val="TOC1"/>
        <w:rPr>
          <w:szCs w:val="24"/>
        </w:rPr>
      </w:pPr>
      <w:hyperlink w:anchor="_Toc188785303" w:history="1">
        <w:r>
          <w:rPr>
            <w:rStyle w:val="Hyperlink"/>
            <w:szCs w:val="21"/>
          </w:rPr>
          <w:t xml:space="preserve">3.3.  </w:t>
        </w:r>
        <w:r>
          <w:rPr>
            <w:rStyle w:val="Hyperlink"/>
            <w:rFonts w:hint="eastAsia"/>
            <w:szCs w:val="21"/>
          </w:rPr>
          <w:t>残疾人</w:t>
        </w:r>
        <w:r>
          <w:rPr>
            <w:webHidden/>
          </w:rPr>
          <w:tab/>
        </w:r>
        <w:r>
          <w:rPr>
            <w:webHidden/>
          </w:rPr>
          <w:fldChar w:fldCharType="begin"/>
        </w:r>
        <w:r>
          <w:rPr>
            <w:webHidden/>
          </w:rPr>
          <w:instrText xml:space="preserve"> PAGEREF _Toc188785303 \h </w:instrText>
        </w:r>
        <w:r>
          <w:rPr>
            <w:webHidden/>
          </w:rPr>
          <w:fldChar w:fldCharType="separate"/>
        </w:r>
        <w:r w:rsidR="007569C0">
          <w:rPr>
            <w:webHidden/>
          </w:rPr>
          <w:t>37</w:t>
        </w:r>
        <w:r>
          <w:rPr>
            <w:webHidden/>
          </w:rPr>
          <w:fldChar w:fldCharType="end"/>
        </w:r>
      </w:hyperlink>
    </w:p>
    <w:p w:rsidR="001C7848" w:rsidRDefault="001C7848">
      <w:pPr>
        <w:pStyle w:val="TOC1"/>
        <w:rPr>
          <w:szCs w:val="24"/>
        </w:rPr>
      </w:pPr>
      <w:hyperlink w:anchor="_Toc188785304" w:history="1">
        <w:r>
          <w:rPr>
            <w:rStyle w:val="Hyperlink"/>
            <w:szCs w:val="21"/>
          </w:rPr>
          <w:t xml:space="preserve">3.4.  </w:t>
        </w:r>
        <w:r>
          <w:rPr>
            <w:rStyle w:val="Hyperlink"/>
            <w:rFonts w:hint="eastAsia"/>
            <w:szCs w:val="21"/>
          </w:rPr>
          <w:t>维护社会安全与发展的性别影响分析方法</w:t>
        </w:r>
        <w:r>
          <w:rPr>
            <w:webHidden/>
          </w:rPr>
          <w:tab/>
        </w:r>
        <w:r>
          <w:rPr>
            <w:webHidden/>
          </w:rPr>
          <w:fldChar w:fldCharType="begin"/>
        </w:r>
        <w:r>
          <w:rPr>
            <w:webHidden/>
          </w:rPr>
          <w:instrText xml:space="preserve"> PAGEREF _Toc188785304 \h </w:instrText>
        </w:r>
        <w:r>
          <w:rPr>
            <w:webHidden/>
          </w:rPr>
          <w:fldChar w:fldCharType="separate"/>
        </w:r>
        <w:r w:rsidR="007569C0">
          <w:rPr>
            <w:webHidden/>
          </w:rPr>
          <w:t>38</w:t>
        </w:r>
        <w:r>
          <w:rPr>
            <w:webHidden/>
          </w:rPr>
          <w:fldChar w:fldCharType="end"/>
        </w:r>
      </w:hyperlink>
    </w:p>
    <w:p w:rsidR="001C7848" w:rsidRDefault="001C7848">
      <w:pPr>
        <w:pStyle w:val="TOC1"/>
        <w:rPr>
          <w:szCs w:val="24"/>
        </w:rPr>
      </w:pPr>
      <w:hyperlink w:anchor="_Toc188785305" w:history="1">
        <w:r>
          <w:rPr>
            <w:rStyle w:val="Hyperlink"/>
            <w:rFonts w:hint="eastAsia"/>
            <w:szCs w:val="28"/>
          </w:rPr>
          <w:t>第</w:t>
        </w:r>
        <w:r>
          <w:rPr>
            <w:rStyle w:val="Hyperlink"/>
            <w:szCs w:val="28"/>
          </w:rPr>
          <w:t>12</w:t>
        </w:r>
        <w:r>
          <w:rPr>
            <w:rStyle w:val="Hyperlink"/>
            <w:rFonts w:hint="eastAsia"/>
            <w:szCs w:val="28"/>
          </w:rPr>
          <w:t>条</w:t>
        </w:r>
        <w:r>
          <w:rPr>
            <w:webHidden/>
          </w:rPr>
          <w:tab/>
        </w:r>
        <w:r>
          <w:rPr>
            <w:webHidden/>
          </w:rPr>
          <w:fldChar w:fldCharType="begin"/>
        </w:r>
        <w:r>
          <w:rPr>
            <w:webHidden/>
          </w:rPr>
          <w:instrText xml:space="preserve"> PAGEREF _Toc188785305 \h </w:instrText>
        </w:r>
        <w:r>
          <w:rPr>
            <w:webHidden/>
          </w:rPr>
          <w:fldChar w:fldCharType="separate"/>
        </w:r>
        <w:r w:rsidR="007569C0">
          <w:rPr>
            <w:webHidden/>
          </w:rPr>
          <w:t>39</w:t>
        </w:r>
        <w:r>
          <w:rPr>
            <w:webHidden/>
          </w:rPr>
          <w:fldChar w:fldCharType="end"/>
        </w:r>
      </w:hyperlink>
    </w:p>
    <w:p w:rsidR="001C7848" w:rsidRDefault="001C7848">
      <w:pPr>
        <w:pStyle w:val="TOC1"/>
        <w:rPr>
          <w:szCs w:val="24"/>
        </w:rPr>
      </w:pPr>
      <w:hyperlink w:anchor="_Toc188785306" w:history="1">
        <w:r>
          <w:rPr>
            <w:rStyle w:val="Hyperlink"/>
          </w:rPr>
          <w:t xml:space="preserve">1.  </w:t>
        </w:r>
        <w:r>
          <w:rPr>
            <w:rStyle w:val="Hyperlink"/>
            <w:rFonts w:hint="eastAsia"/>
          </w:rPr>
          <w:t>促进健康</w:t>
        </w:r>
        <w:r>
          <w:rPr>
            <w:webHidden/>
          </w:rPr>
          <w:tab/>
        </w:r>
        <w:r>
          <w:rPr>
            <w:webHidden/>
          </w:rPr>
          <w:fldChar w:fldCharType="begin"/>
        </w:r>
        <w:r>
          <w:rPr>
            <w:webHidden/>
          </w:rPr>
          <w:instrText xml:space="preserve"> PAGEREF _Toc188785306 \h </w:instrText>
        </w:r>
        <w:r>
          <w:rPr>
            <w:webHidden/>
          </w:rPr>
          <w:fldChar w:fldCharType="separate"/>
        </w:r>
        <w:r w:rsidR="007569C0">
          <w:rPr>
            <w:webHidden/>
          </w:rPr>
          <w:t>39</w:t>
        </w:r>
        <w:r>
          <w:rPr>
            <w:webHidden/>
          </w:rPr>
          <w:fldChar w:fldCharType="end"/>
        </w:r>
      </w:hyperlink>
    </w:p>
    <w:p w:rsidR="001C7848" w:rsidRDefault="001C7848">
      <w:pPr>
        <w:pStyle w:val="TOC1"/>
        <w:rPr>
          <w:szCs w:val="24"/>
        </w:rPr>
      </w:pPr>
      <w:hyperlink w:anchor="_Toc188785307" w:history="1">
        <w:r>
          <w:rPr>
            <w:rStyle w:val="Hyperlink"/>
            <w:szCs w:val="21"/>
          </w:rPr>
          <w:t xml:space="preserve">1.1.  </w:t>
        </w:r>
        <w:r>
          <w:rPr>
            <w:rStyle w:val="Hyperlink"/>
            <w:rFonts w:hint="eastAsia"/>
            <w:szCs w:val="21"/>
          </w:rPr>
          <w:t>概要</w:t>
        </w:r>
        <w:r>
          <w:rPr>
            <w:webHidden/>
          </w:rPr>
          <w:tab/>
        </w:r>
        <w:r>
          <w:rPr>
            <w:webHidden/>
          </w:rPr>
          <w:fldChar w:fldCharType="begin"/>
        </w:r>
        <w:r>
          <w:rPr>
            <w:webHidden/>
          </w:rPr>
          <w:instrText xml:space="preserve"> PAGEREF _Toc188785307 \h </w:instrText>
        </w:r>
        <w:r>
          <w:rPr>
            <w:webHidden/>
          </w:rPr>
          <w:fldChar w:fldCharType="separate"/>
        </w:r>
        <w:r w:rsidR="007569C0">
          <w:rPr>
            <w:webHidden/>
          </w:rPr>
          <w:t>39</w:t>
        </w:r>
        <w:r>
          <w:rPr>
            <w:webHidden/>
          </w:rPr>
          <w:fldChar w:fldCharType="end"/>
        </w:r>
      </w:hyperlink>
    </w:p>
    <w:p w:rsidR="001C7848" w:rsidRDefault="001C7848">
      <w:pPr>
        <w:pStyle w:val="TOC1"/>
        <w:rPr>
          <w:szCs w:val="24"/>
        </w:rPr>
      </w:pPr>
      <w:hyperlink w:anchor="_Toc188785308" w:history="1">
        <w:r>
          <w:rPr>
            <w:rStyle w:val="Hyperlink"/>
            <w:szCs w:val="21"/>
          </w:rPr>
          <w:t xml:space="preserve">1.2.  </w:t>
        </w:r>
        <w:r>
          <w:rPr>
            <w:rStyle w:val="Hyperlink"/>
            <w:rFonts w:hint="eastAsia"/>
            <w:szCs w:val="21"/>
          </w:rPr>
          <w:t>特别是女孩的吸烟问题</w:t>
        </w:r>
        <w:r>
          <w:rPr>
            <w:webHidden/>
          </w:rPr>
          <w:tab/>
        </w:r>
        <w:r>
          <w:rPr>
            <w:webHidden/>
          </w:rPr>
          <w:fldChar w:fldCharType="begin"/>
        </w:r>
        <w:r>
          <w:rPr>
            <w:webHidden/>
          </w:rPr>
          <w:instrText xml:space="preserve"> PAGEREF _Toc188785308 \h </w:instrText>
        </w:r>
        <w:r>
          <w:rPr>
            <w:webHidden/>
          </w:rPr>
          <w:fldChar w:fldCharType="separate"/>
        </w:r>
        <w:r w:rsidR="007569C0">
          <w:rPr>
            <w:webHidden/>
          </w:rPr>
          <w:t>39</w:t>
        </w:r>
        <w:r>
          <w:rPr>
            <w:webHidden/>
          </w:rPr>
          <w:fldChar w:fldCharType="end"/>
        </w:r>
      </w:hyperlink>
    </w:p>
    <w:p w:rsidR="001C7848" w:rsidRDefault="001C7848">
      <w:pPr>
        <w:pStyle w:val="TOC1"/>
        <w:rPr>
          <w:szCs w:val="24"/>
        </w:rPr>
      </w:pPr>
      <w:hyperlink w:anchor="_Toc188785309" w:history="1">
        <w:r>
          <w:rPr>
            <w:rStyle w:val="Hyperlink"/>
            <w:szCs w:val="21"/>
          </w:rPr>
          <w:t xml:space="preserve">1.3.  </w:t>
        </w:r>
        <w:r>
          <w:rPr>
            <w:rStyle w:val="Hyperlink"/>
            <w:rFonts w:hint="eastAsia"/>
            <w:szCs w:val="21"/>
          </w:rPr>
          <w:t>女孩的吸毒问题</w:t>
        </w:r>
        <w:r>
          <w:rPr>
            <w:webHidden/>
          </w:rPr>
          <w:tab/>
        </w:r>
        <w:r>
          <w:rPr>
            <w:webHidden/>
          </w:rPr>
          <w:fldChar w:fldCharType="begin"/>
        </w:r>
        <w:r>
          <w:rPr>
            <w:webHidden/>
          </w:rPr>
          <w:instrText xml:space="preserve"> PAGEREF _Toc188785309 \h </w:instrText>
        </w:r>
        <w:r>
          <w:rPr>
            <w:webHidden/>
          </w:rPr>
          <w:fldChar w:fldCharType="separate"/>
        </w:r>
        <w:r w:rsidR="007569C0">
          <w:rPr>
            <w:webHidden/>
          </w:rPr>
          <w:t>40</w:t>
        </w:r>
        <w:r>
          <w:rPr>
            <w:webHidden/>
          </w:rPr>
          <w:fldChar w:fldCharType="end"/>
        </w:r>
      </w:hyperlink>
    </w:p>
    <w:p w:rsidR="001C7848" w:rsidRDefault="001C7848">
      <w:pPr>
        <w:pStyle w:val="TOC1"/>
        <w:rPr>
          <w:szCs w:val="24"/>
        </w:rPr>
      </w:pPr>
      <w:hyperlink w:anchor="_Toc188785310" w:history="1">
        <w:r>
          <w:rPr>
            <w:rStyle w:val="Hyperlink"/>
          </w:rPr>
          <w:t xml:space="preserve">2.  </w:t>
        </w:r>
        <w:r>
          <w:rPr>
            <w:rStyle w:val="Hyperlink"/>
            <w:rFonts w:hint="eastAsia"/>
          </w:rPr>
          <w:t>孕期和孕后的保健</w:t>
        </w:r>
        <w:r>
          <w:rPr>
            <w:webHidden/>
          </w:rPr>
          <w:tab/>
        </w:r>
        <w:r>
          <w:rPr>
            <w:webHidden/>
          </w:rPr>
          <w:fldChar w:fldCharType="begin"/>
        </w:r>
        <w:r>
          <w:rPr>
            <w:webHidden/>
          </w:rPr>
          <w:instrText xml:space="preserve"> PAGEREF _Toc188785310 \h </w:instrText>
        </w:r>
        <w:r>
          <w:rPr>
            <w:webHidden/>
          </w:rPr>
          <w:fldChar w:fldCharType="separate"/>
        </w:r>
        <w:r w:rsidR="007569C0">
          <w:rPr>
            <w:webHidden/>
          </w:rPr>
          <w:t>40</w:t>
        </w:r>
        <w:r>
          <w:rPr>
            <w:webHidden/>
          </w:rPr>
          <w:fldChar w:fldCharType="end"/>
        </w:r>
      </w:hyperlink>
    </w:p>
    <w:p w:rsidR="001C7848" w:rsidRDefault="001C7848">
      <w:pPr>
        <w:pStyle w:val="TOC1"/>
        <w:rPr>
          <w:szCs w:val="24"/>
        </w:rPr>
      </w:pPr>
      <w:hyperlink w:anchor="_Toc188785311" w:history="1">
        <w:r>
          <w:rPr>
            <w:rStyle w:val="Hyperlink"/>
          </w:rPr>
          <w:t xml:space="preserve">3. </w:t>
        </w:r>
        <w:r>
          <w:rPr>
            <w:rStyle w:val="Hyperlink"/>
            <w:rFonts w:hint="eastAsia"/>
          </w:rPr>
          <w:t xml:space="preserve"> </w:t>
        </w:r>
        <w:r>
          <w:rPr>
            <w:rStyle w:val="Hyperlink"/>
            <w:rFonts w:hint="eastAsia"/>
          </w:rPr>
          <w:t>计</w:t>
        </w:r>
        <w:r>
          <w:rPr>
            <w:rStyle w:val="Hyperlink"/>
            <w:rFonts w:hint="eastAsia"/>
          </w:rPr>
          <w:t>划</w:t>
        </w:r>
        <w:r>
          <w:rPr>
            <w:rStyle w:val="Hyperlink"/>
            <w:rFonts w:hint="eastAsia"/>
          </w:rPr>
          <w:t>生育和堕胎</w:t>
        </w:r>
        <w:r>
          <w:rPr>
            <w:webHidden/>
          </w:rPr>
          <w:tab/>
        </w:r>
        <w:r>
          <w:rPr>
            <w:webHidden/>
          </w:rPr>
          <w:fldChar w:fldCharType="begin"/>
        </w:r>
        <w:r>
          <w:rPr>
            <w:webHidden/>
          </w:rPr>
          <w:instrText xml:space="preserve"> PAGEREF _Toc188785311 \h </w:instrText>
        </w:r>
        <w:r>
          <w:rPr>
            <w:webHidden/>
          </w:rPr>
          <w:fldChar w:fldCharType="separate"/>
        </w:r>
        <w:r w:rsidR="007569C0">
          <w:rPr>
            <w:webHidden/>
          </w:rPr>
          <w:t>41</w:t>
        </w:r>
        <w:r>
          <w:rPr>
            <w:webHidden/>
          </w:rPr>
          <w:fldChar w:fldCharType="end"/>
        </w:r>
      </w:hyperlink>
    </w:p>
    <w:p w:rsidR="001C7848" w:rsidRDefault="001C7848">
      <w:pPr>
        <w:pStyle w:val="TOC1"/>
        <w:rPr>
          <w:szCs w:val="24"/>
        </w:rPr>
      </w:pPr>
      <w:hyperlink w:anchor="_Toc188785312" w:history="1">
        <w:r>
          <w:rPr>
            <w:rStyle w:val="Hyperlink"/>
            <w:szCs w:val="21"/>
          </w:rPr>
          <w:t xml:space="preserve">3.1.  </w:t>
        </w:r>
        <w:r>
          <w:rPr>
            <w:rStyle w:val="Hyperlink"/>
            <w:rFonts w:hint="eastAsia"/>
            <w:szCs w:val="21"/>
          </w:rPr>
          <w:t>《人工生殖法》</w:t>
        </w:r>
        <w:r>
          <w:rPr>
            <w:webHidden/>
          </w:rPr>
          <w:tab/>
        </w:r>
        <w:r>
          <w:rPr>
            <w:webHidden/>
          </w:rPr>
          <w:fldChar w:fldCharType="begin"/>
        </w:r>
        <w:r>
          <w:rPr>
            <w:webHidden/>
          </w:rPr>
          <w:instrText xml:space="preserve"> PAGEREF _Toc188785312 \h </w:instrText>
        </w:r>
        <w:r>
          <w:rPr>
            <w:webHidden/>
          </w:rPr>
          <w:fldChar w:fldCharType="separate"/>
        </w:r>
        <w:r w:rsidR="007569C0">
          <w:rPr>
            <w:webHidden/>
          </w:rPr>
          <w:t>41</w:t>
        </w:r>
        <w:r>
          <w:rPr>
            <w:webHidden/>
          </w:rPr>
          <w:fldChar w:fldCharType="end"/>
        </w:r>
      </w:hyperlink>
    </w:p>
    <w:p w:rsidR="001C7848" w:rsidRDefault="001C7848">
      <w:pPr>
        <w:pStyle w:val="TOC1"/>
        <w:rPr>
          <w:szCs w:val="24"/>
        </w:rPr>
      </w:pPr>
      <w:hyperlink w:anchor="_Toc188785313" w:history="1">
        <w:r>
          <w:rPr>
            <w:rStyle w:val="Hyperlink"/>
            <w:szCs w:val="21"/>
          </w:rPr>
          <w:t xml:space="preserve">3.2.  </w:t>
        </w:r>
        <w:r>
          <w:rPr>
            <w:rStyle w:val="Hyperlink"/>
            <w:rFonts w:hint="eastAsia"/>
            <w:szCs w:val="21"/>
          </w:rPr>
          <w:t>堕胎</w:t>
        </w:r>
        <w:r>
          <w:rPr>
            <w:webHidden/>
          </w:rPr>
          <w:tab/>
        </w:r>
        <w:r>
          <w:rPr>
            <w:webHidden/>
          </w:rPr>
          <w:fldChar w:fldCharType="begin"/>
        </w:r>
        <w:r>
          <w:rPr>
            <w:webHidden/>
          </w:rPr>
          <w:instrText xml:space="preserve"> PAGEREF _Toc188785313 \h </w:instrText>
        </w:r>
        <w:r>
          <w:rPr>
            <w:webHidden/>
          </w:rPr>
          <w:fldChar w:fldCharType="separate"/>
        </w:r>
        <w:r w:rsidR="007569C0">
          <w:rPr>
            <w:webHidden/>
          </w:rPr>
          <w:t>41</w:t>
        </w:r>
        <w:r>
          <w:rPr>
            <w:webHidden/>
          </w:rPr>
          <w:fldChar w:fldCharType="end"/>
        </w:r>
      </w:hyperlink>
    </w:p>
    <w:p w:rsidR="001C7848" w:rsidRDefault="001C7848">
      <w:pPr>
        <w:pStyle w:val="TOC1"/>
        <w:rPr>
          <w:szCs w:val="24"/>
        </w:rPr>
      </w:pPr>
      <w:hyperlink w:anchor="_Toc188785314" w:history="1">
        <w:r>
          <w:rPr>
            <w:rStyle w:val="Hyperlink"/>
          </w:rPr>
          <w:t xml:space="preserve">4.  </w:t>
        </w:r>
        <w:r>
          <w:rPr>
            <w:rStyle w:val="Hyperlink"/>
            <w:rFonts w:hint="eastAsia"/>
          </w:rPr>
          <w:t>性传染病</w:t>
        </w:r>
        <w:r>
          <w:rPr>
            <w:webHidden/>
          </w:rPr>
          <w:tab/>
        </w:r>
        <w:r>
          <w:rPr>
            <w:webHidden/>
          </w:rPr>
          <w:fldChar w:fldCharType="begin"/>
        </w:r>
        <w:r>
          <w:rPr>
            <w:webHidden/>
          </w:rPr>
          <w:instrText xml:space="preserve"> PAGEREF _Toc188785314 \h </w:instrText>
        </w:r>
        <w:r>
          <w:rPr>
            <w:webHidden/>
          </w:rPr>
          <w:fldChar w:fldCharType="separate"/>
        </w:r>
        <w:r w:rsidR="007569C0">
          <w:rPr>
            <w:webHidden/>
          </w:rPr>
          <w:t>41</w:t>
        </w:r>
        <w:r>
          <w:rPr>
            <w:webHidden/>
          </w:rPr>
          <w:fldChar w:fldCharType="end"/>
        </w:r>
      </w:hyperlink>
    </w:p>
    <w:p w:rsidR="001C7848" w:rsidRDefault="001C7848">
      <w:pPr>
        <w:pStyle w:val="TOC1"/>
        <w:rPr>
          <w:szCs w:val="24"/>
        </w:rPr>
      </w:pPr>
      <w:hyperlink w:anchor="_Toc188785315" w:history="1">
        <w:r>
          <w:rPr>
            <w:rStyle w:val="Hyperlink"/>
            <w:rFonts w:hint="eastAsia"/>
            <w:szCs w:val="28"/>
          </w:rPr>
          <w:t>第</w:t>
        </w:r>
        <w:r>
          <w:rPr>
            <w:rStyle w:val="Hyperlink"/>
            <w:szCs w:val="28"/>
          </w:rPr>
          <w:t>13</w:t>
        </w:r>
        <w:r>
          <w:rPr>
            <w:rStyle w:val="Hyperlink"/>
            <w:rFonts w:hint="eastAsia"/>
            <w:szCs w:val="28"/>
          </w:rPr>
          <w:t>条</w:t>
        </w:r>
        <w:r>
          <w:rPr>
            <w:webHidden/>
          </w:rPr>
          <w:tab/>
        </w:r>
        <w:r>
          <w:rPr>
            <w:webHidden/>
          </w:rPr>
          <w:fldChar w:fldCharType="begin"/>
        </w:r>
        <w:r>
          <w:rPr>
            <w:webHidden/>
          </w:rPr>
          <w:instrText xml:space="preserve"> PAGEREF _Toc188785315 \h </w:instrText>
        </w:r>
        <w:r>
          <w:rPr>
            <w:webHidden/>
          </w:rPr>
          <w:fldChar w:fldCharType="separate"/>
        </w:r>
        <w:r w:rsidR="007569C0">
          <w:rPr>
            <w:webHidden/>
          </w:rPr>
          <w:t>41</w:t>
        </w:r>
        <w:r>
          <w:rPr>
            <w:webHidden/>
          </w:rPr>
          <w:fldChar w:fldCharType="end"/>
        </w:r>
      </w:hyperlink>
    </w:p>
    <w:p w:rsidR="001C7848" w:rsidRDefault="001C7848">
      <w:pPr>
        <w:pStyle w:val="TOC1"/>
        <w:rPr>
          <w:szCs w:val="24"/>
        </w:rPr>
      </w:pPr>
      <w:hyperlink w:anchor="_Toc188785316" w:history="1">
        <w:r>
          <w:rPr>
            <w:rStyle w:val="Hyperlink"/>
            <w:rFonts w:hint="eastAsia"/>
            <w:szCs w:val="28"/>
          </w:rPr>
          <w:t>第</w:t>
        </w:r>
        <w:r>
          <w:rPr>
            <w:rStyle w:val="Hyperlink"/>
            <w:szCs w:val="28"/>
          </w:rPr>
          <w:t>14</w:t>
        </w:r>
        <w:r>
          <w:rPr>
            <w:rStyle w:val="Hyperlink"/>
            <w:rFonts w:hint="eastAsia"/>
            <w:szCs w:val="28"/>
          </w:rPr>
          <w:t>条</w:t>
        </w:r>
        <w:r>
          <w:rPr>
            <w:webHidden/>
          </w:rPr>
          <w:tab/>
        </w:r>
        <w:r>
          <w:rPr>
            <w:webHidden/>
          </w:rPr>
          <w:fldChar w:fldCharType="begin"/>
        </w:r>
        <w:r>
          <w:rPr>
            <w:webHidden/>
          </w:rPr>
          <w:instrText xml:space="preserve"> PAGEREF _Toc188785316 \h </w:instrText>
        </w:r>
        <w:r>
          <w:rPr>
            <w:webHidden/>
          </w:rPr>
          <w:fldChar w:fldCharType="separate"/>
        </w:r>
        <w:r w:rsidR="007569C0">
          <w:rPr>
            <w:webHidden/>
          </w:rPr>
          <w:t>42</w:t>
        </w:r>
        <w:r>
          <w:rPr>
            <w:webHidden/>
          </w:rPr>
          <w:fldChar w:fldCharType="end"/>
        </w:r>
      </w:hyperlink>
    </w:p>
    <w:p w:rsidR="001C7848" w:rsidRDefault="001C7848">
      <w:pPr>
        <w:pStyle w:val="TOC1"/>
        <w:rPr>
          <w:szCs w:val="24"/>
        </w:rPr>
      </w:pPr>
      <w:hyperlink w:anchor="_Toc188785317" w:history="1">
        <w:r>
          <w:rPr>
            <w:rStyle w:val="Hyperlink"/>
          </w:rPr>
          <w:t xml:space="preserve">1.  </w:t>
        </w:r>
        <w:r>
          <w:rPr>
            <w:rStyle w:val="Hyperlink"/>
            <w:rFonts w:hint="eastAsia"/>
          </w:rPr>
          <w:t>农村地区发展</w:t>
        </w:r>
        <w:r>
          <w:rPr>
            <w:webHidden/>
          </w:rPr>
          <w:tab/>
        </w:r>
        <w:r>
          <w:rPr>
            <w:webHidden/>
          </w:rPr>
          <w:fldChar w:fldCharType="begin"/>
        </w:r>
        <w:r>
          <w:rPr>
            <w:webHidden/>
          </w:rPr>
          <w:instrText xml:space="preserve"> PAGEREF _Toc188785317 \h </w:instrText>
        </w:r>
        <w:r>
          <w:rPr>
            <w:webHidden/>
          </w:rPr>
          <w:fldChar w:fldCharType="separate"/>
        </w:r>
        <w:r w:rsidR="007569C0">
          <w:rPr>
            <w:webHidden/>
          </w:rPr>
          <w:t>42</w:t>
        </w:r>
        <w:r>
          <w:rPr>
            <w:webHidden/>
          </w:rPr>
          <w:fldChar w:fldCharType="end"/>
        </w:r>
      </w:hyperlink>
    </w:p>
    <w:p w:rsidR="001C7848" w:rsidRDefault="001C7848">
      <w:pPr>
        <w:pStyle w:val="TOC1"/>
        <w:rPr>
          <w:szCs w:val="24"/>
        </w:rPr>
      </w:pPr>
      <w:hyperlink w:anchor="_Toc188785318" w:history="1">
        <w:r>
          <w:rPr>
            <w:rStyle w:val="Hyperlink"/>
            <w:rFonts w:hint="eastAsia"/>
            <w:szCs w:val="28"/>
          </w:rPr>
          <w:t>第</w:t>
        </w:r>
        <w:r>
          <w:rPr>
            <w:rStyle w:val="Hyperlink"/>
            <w:szCs w:val="28"/>
          </w:rPr>
          <w:t>15</w:t>
        </w:r>
        <w:r>
          <w:rPr>
            <w:rStyle w:val="Hyperlink"/>
            <w:rFonts w:hint="eastAsia"/>
            <w:szCs w:val="28"/>
          </w:rPr>
          <w:t>条</w:t>
        </w:r>
        <w:r>
          <w:rPr>
            <w:webHidden/>
          </w:rPr>
          <w:tab/>
        </w:r>
        <w:r>
          <w:rPr>
            <w:webHidden/>
          </w:rPr>
          <w:fldChar w:fldCharType="begin"/>
        </w:r>
        <w:r>
          <w:rPr>
            <w:webHidden/>
          </w:rPr>
          <w:instrText xml:space="preserve"> PAGEREF _Toc188785318 \h </w:instrText>
        </w:r>
        <w:r>
          <w:rPr>
            <w:webHidden/>
          </w:rPr>
          <w:fldChar w:fldCharType="separate"/>
        </w:r>
        <w:r w:rsidR="007569C0">
          <w:rPr>
            <w:webHidden/>
          </w:rPr>
          <w:t>43</w:t>
        </w:r>
        <w:r>
          <w:rPr>
            <w:webHidden/>
          </w:rPr>
          <w:fldChar w:fldCharType="end"/>
        </w:r>
      </w:hyperlink>
    </w:p>
    <w:p w:rsidR="001C7848" w:rsidRDefault="001C7848">
      <w:pPr>
        <w:pStyle w:val="TOC1"/>
        <w:rPr>
          <w:szCs w:val="24"/>
        </w:rPr>
      </w:pPr>
      <w:hyperlink w:anchor="_Toc188785319" w:history="1">
        <w:r>
          <w:rPr>
            <w:rStyle w:val="Hyperlink"/>
            <w:rFonts w:hint="eastAsia"/>
            <w:szCs w:val="28"/>
          </w:rPr>
          <w:t>第</w:t>
        </w:r>
        <w:r>
          <w:rPr>
            <w:rStyle w:val="Hyperlink"/>
            <w:szCs w:val="28"/>
          </w:rPr>
          <w:t>16</w:t>
        </w:r>
        <w:r>
          <w:rPr>
            <w:rStyle w:val="Hyperlink"/>
            <w:rFonts w:hint="eastAsia"/>
            <w:szCs w:val="28"/>
          </w:rPr>
          <w:t>条</w:t>
        </w:r>
        <w:r>
          <w:rPr>
            <w:webHidden/>
          </w:rPr>
          <w:tab/>
        </w:r>
        <w:r>
          <w:rPr>
            <w:webHidden/>
          </w:rPr>
          <w:fldChar w:fldCharType="begin"/>
        </w:r>
        <w:r>
          <w:rPr>
            <w:webHidden/>
          </w:rPr>
          <w:instrText xml:space="preserve"> PAGEREF _Toc188785319 \h </w:instrText>
        </w:r>
        <w:r>
          <w:rPr>
            <w:webHidden/>
          </w:rPr>
          <w:fldChar w:fldCharType="separate"/>
        </w:r>
        <w:r w:rsidR="007569C0">
          <w:rPr>
            <w:webHidden/>
          </w:rPr>
          <w:t>43</w:t>
        </w:r>
        <w:r>
          <w:rPr>
            <w:webHidden/>
          </w:rPr>
          <w:fldChar w:fldCharType="end"/>
        </w:r>
      </w:hyperlink>
    </w:p>
    <w:p w:rsidR="001C7848" w:rsidRDefault="001C7848">
      <w:pPr>
        <w:pStyle w:val="TOC1"/>
        <w:rPr>
          <w:szCs w:val="24"/>
        </w:rPr>
      </w:pPr>
      <w:hyperlink w:anchor="_Toc188785320" w:history="1">
        <w:r>
          <w:rPr>
            <w:rStyle w:val="Hyperlink"/>
            <w:rFonts w:hint="eastAsia"/>
            <w:szCs w:val="28"/>
          </w:rPr>
          <w:t>附录</w:t>
        </w:r>
        <w:r>
          <w:rPr>
            <w:webHidden/>
          </w:rPr>
          <w:tab/>
        </w:r>
        <w:r>
          <w:rPr>
            <w:webHidden/>
          </w:rPr>
          <w:fldChar w:fldCharType="begin"/>
        </w:r>
        <w:r>
          <w:rPr>
            <w:webHidden/>
          </w:rPr>
          <w:instrText xml:space="preserve"> PAGEREF _Toc188785320 \h </w:instrText>
        </w:r>
        <w:r>
          <w:rPr>
            <w:webHidden/>
          </w:rPr>
          <w:fldChar w:fldCharType="separate"/>
        </w:r>
        <w:r w:rsidR="007569C0">
          <w:rPr>
            <w:webHidden/>
          </w:rPr>
          <w:t>45</w:t>
        </w:r>
        <w:r>
          <w:rPr>
            <w:webHidden/>
          </w:rPr>
          <w:fldChar w:fldCharType="end"/>
        </w:r>
      </w:hyperlink>
    </w:p>
    <w:p w:rsidR="001C7848" w:rsidRDefault="001C7848" w:rsidP="00EF0192">
      <w:pPr>
        <w:tabs>
          <w:tab w:val="right" w:leader="middleDot" w:pos="9840"/>
        </w:tabs>
        <w:spacing w:after="60" w:line="360" w:lineRule="exact"/>
        <w:ind w:left="31680" w:hangingChars="200" w:firstLine="31680"/>
        <w:rPr>
          <w:rFonts w:hint="eastAsia"/>
        </w:rPr>
      </w:pPr>
      <w:r>
        <w:fldChar w:fldCharType="end"/>
      </w:r>
      <w:r>
        <w:rPr>
          <w:rFonts w:hint="eastAsia"/>
          <w:szCs w:val="30"/>
        </w:rPr>
        <w:t>秘书处的说明：本报告附录将按收到时使用的语言提供给委员会成员。</w:t>
      </w:r>
    </w:p>
    <w:p w:rsidR="001C7848" w:rsidRDefault="001C7848">
      <w:pPr>
        <w:pStyle w:val="H1"/>
        <w:spacing w:before="120"/>
        <w:rPr>
          <w:rFonts w:hint="eastAsia"/>
        </w:rPr>
      </w:pPr>
      <w:r>
        <w:rPr>
          <w:kern w:val="0"/>
          <w:lang w:val="en-GB"/>
        </w:rPr>
        <w:br w:type="page"/>
      </w:r>
      <w:bookmarkStart w:id="16" w:name="_Toc181766646"/>
      <w:bookmarkStart w:id="17" w:name="_Toc188785242"/>
      <w:r>
        <w:rPr>
          <w:rFonts w:hint="eastAsia"/>
        </w:rPr>
        <w:t>前言</w:t>
      </w:r>
      <w:bookmarkEnd w:id="16"/>
      <w:bookmarkEnd w:id="17"/>
    </w:p>
    <w:p w:rsidR="001C7848" w:rsidRDefault="001C7848">
      <w:pPr>
        <w:spacing w:after="240" w:line="360" w:lineRule="exact"/>
        <w:ind w:right="-69"/>
        <w:rPr>
          <w:rFonts w:hint="eastAsia"/>
          <w:szCs w:val="30"/>
        </w:rPr>
      </w:pPr>
      <w:r>
        <w:rPr>
          <w:rFonts w:hint="eastAsia"/>
          <w:szCs w:val="30"/>
        </w:rPr>
        <w:t>联合国《消除对妇女一切形式歧视公约》于</w:t>
      </w:r>
      <w:r>
        <w:rPr>
          <w:rFonts w:hint="eastAsia"/>
          <w:szCs w:val="30"/>
        </w:rPr>
        <w:t>1979</w:t>
      </w:r>
      <w:r>
        <w:rPr>
          <w:rFonts w:hint="eastAsia"/>
          <w:szCs w:val="30"/>
        </w:rPr>
        <w:t>年获得通过。自</w:t>
      </w:r>
      <w:r>
        <w:rPr>
          <w:rFonts w:hint="eastAsia"/>
          <w:szCs w:val="30"/>
        </w:rPr>
        <w:t>1986</w:t>
      </w:r>
      <w:r>
        <w:rPr>
          <w:rFonts w:hint="eastAsia"/>
          <w:szCs w:val="30"/>
        </w:rPr>
        <w:t>年以来，芬兰一直是该公约缔约国（</w:t>
      </w:r>
      <w:r>
        <w:rPr>
          <w:szCs w:val="30"/>
        </w:rPr>
        <w:t>SopS 67-68/1986</w:t>
      </w:r>
      <w:r>
        <w:rPr>
          <w:rFonts w:hint="eastAsia"/>
          <w:szCs w:val="30"/>
        </w:rPr>
        <w:t xml:space="preserve">）。　</w:t>
      </w:r>
    </w:p>
    <w:p w:rsidR="001C7848" w:rsidRDefault="001C7848">
      <w:pPr>
        <w:spacing w:after="240" w:line="360" w:lineRule="exact"/>
        <w:ind w:right="-69"/>
        <w:rPr>
          <w:rFonts w:hint="eastAsia"/>
          <w:szCs w:val="30"/>
        </w:rPr>
      </w:pPr>
      <w:r>
        <w:rPr>
          <w:rFonts w:hint="eastAsia"/>
          <w:szCs w:val="30"/>
        </w:rPr>
        <w:t>本文件是</w:t>
      </w:r>
      <w:r>
        <w:rPr>
          <w:rFonts w:hint="eastAsia"/>
          <w:bCs/>
          <w:szCs w:val="30"/>
        </w:rPr>
        <w:t>芬兰政府关于《消除对妇女一切形式歧视公约》执行情况的第六次定期报告。该报告</w:t>
      </w:r>
      <w:r>
        <w:rPr>
          <w:szCs w:val="30"/>
        </w:rPr>
        <w:t>涵盖</w:t>
      </w:r>
      <w:r>
        <w:rPr>
          <w:szCs w:val="30"/>
        </w:rPr>
        <w:t>2003</w:t>
      </w:r>
      <w:r>
        <w:rPr>
          <w:szCs w:val="30"/>
        </w:rPr>
        <w:t>年</w:t>
      </w:r>
      <w:r>
        <w:rPr>
          <w:szCs w:val="30"/>
        </w:rPr>
        <w:t>10</w:t>
      </w:r>
      <w:r>
        <w:rPr>
          <w:szCs w:val="30"/>
        </w:rPr>
        <w:t>月</w:t>
      </w:r>
      <w:r>
        <w:rPr>
          <w:rFonts w:hint="eastAsia"/>
          <w:szCs w:val="30"/>
        </w:rPr>
        <w:t>-</w:t>
      </w:r>
      <w:r>
        <w:rPr>
          <w:szCs w:val="30"/>
        </w:rPr>
        <w:t>2007</w:t>
      </w:r>
      <w:r>
        <w:rPr>
          <w:szCs w:val="30"/>
        </w:rPr>
        <w:t>年</w:t>
      </w:r>
      <w:r>
        <w:rPr>
          <w:szCs w:val="30"/>
        </w:rPr>
        <w:t>9</w:t>
      </w:r>
      <w:r>
        <w:rPr>
          <w:szCs w:val="30"/>
        </w:rPr>
        <w:t>月</w:t>
      </w:r>
      <w:r>
        <w:rPr>
          <w:rFonts w:hint="eastAsia"/>
          <w:szCs w:val="30"/>
        </w:rPr>
        <w:t>这一时期。上一次的报告是于</w:t>
      </w:r>
      <w:r>
        <w:rPr>
          <w:rFonts w:hint="eastAsia"/>
          <w:szCs w:val="30"/>
        </w:rPr>
        <w:t>2004</w:t>
      </w:r>
      <w:r>
        <w:rPr>
          <w:rFonts w:hint="eastAsia"/>
          <w:szCs w:val="30"/>
        </w:rPr>
        <w:t>年</w:t>
      </w:r>
      <w:r>
        <w:rPr>
          <w:rFonts w:hint="eastAsia"/>
          <w:szCs w:val="30"/>
        </w:rPr>
        <w:t>2</w:t>
      </w:r>
      <w:r>
        <w:rPr>
          <w:rFonts w:hint="eastAsia"/>
          <w:szCs w:val="30"/>
        </w:rPr>
        <w:t xml:space="preserve">月提交的。　</w:t>
      </w:r>
    </w:p>
    <w:p w:rsidR="001C7848" w:rsidRDefault="001C7848">
      <w:pPr>
        <w:spacing w:after="240" w:line="360" w:lineRule="exact"/>
        <w:ind w:right="-69"/>
        <w:rPr>
          <w:rFonts w:hint="eastAsia"/>
          <w:szCs w:val="30"/>
        </w:rPr>
      </w:pPr>
      <w:r>
        <w:rPr>
          <w:rFonts w:hint="eastAsia"/>
          <w:szCs w:val="30"/>
        </w:rPr>
        <w:t>本报告由外交部、人权法院和公约股与其他几个部委和行政当局合作编写。为编写报告，还曾要求非政府组织提交一份书面陈述。</w:t>
      </w:r>
      <w:r>
        <w:rPr>
          <w:rFonts w:hint="eastAsia"/>
          <w:szCs w:val="30"/>
        </w:rPr>
        <w:t>2007</w:t>
      </w:r>
      <w:r>
        <w:rPr>
          <w:rFonts w:hint="eastAsia"/>
          <w:szCs w:val="30"/>
        </w:rPr>
        <w:t>年</w:t>
      </w:r>
      <w:r>
        <w:rPr>
          <w:rFonts w:hint="eastAsia"/>
          <w:szCs w:val="30"/>
        </w:rPr>
        <w:t>9</w:t>
      </w:r>
      <w:r>
        <w:rPr>
          <w:rFonts w:hint="eastAsia"/>
          <w:szCs w:val="30"/>
        </w:rPr>
        <w:t>月，还组织了一次听证会，以向行政当局、非政府组织、工会和咨询委员会提供机会，对报告草案发表它们的意见与看法。</w:t>
      </w:r>
    </w:p>
    <w:p w:rsidR="001C7848" w:rsidRDefault="001C7848">
      <w:pPr>
        <w:spacing w:after="240" w:line="360" w:lineRule="exact"/>
        <w:ind w:right="-69"/>
        <w:rPr>
          <w:rFonts w:hint="eastAsia"/>
          <w:szCs w:val="30"/>
        </w:rPr>
      </w:pPr>
      <w:r>
        <w:rPr>
          <w:rFonts w:hint="eastAsia"/>
          <w:szCs w:val="30"/>
        </w:rPr>
        <w:t>本报告于</w:t>
      </w:r>
      <w:r>
        <w:rPr>
          <w:rFonts w:hint="eastAsia"/>
          <w:szCs w:val="30"/>
        </w:rPr>
        <w:t>2007</w:t>
      </w:r>
      <w:r>
        <w:rPr>
          <w:rFonts w:hint="eastAsia"/>
          <w:szCs w:val="30"/>
        </w:rPr>
        <w:t>年</w:t>
      </w:r>
      <w:r>
        <w:rPr>
          <w:rFonts w:hint="eastAsia"/>
          <w:szCs w:val="30"/>
        </w:rPr>
        <w:t>11</w:t>
      </w:r>
      <w:r>
        <w:rPr>
          <w:rFonts w:hint="eastAsia"/>
          <w:szCs w:val="30"/>
        </w:rPr>
        <w:t xml:space="preserve">月提交给联合国秘书长。　</w:t>
      </w:r>
    </w:p>
    <w:p w:rsidR="001C7848" w:rsidRDefault="001C7848">
      <w:pPr>
        <w:spacing w:after="240" w:line="360" w:lineRule="exact"/>
        <w:ind w:right="-69"/>
        <w:rPr>
          <w:rFonts w:hint="eastAsia"/>
          <w:szCs w:val="30"/>
        </w:rPr>
      </w:pPr>
      <w:r>
        <w:rPr>
          <w:rFonts w:hint="eastAsia"/>
          <w:szCs w:val="30"/>
        </w:rPr>
        <w:t xml:space="preserve">外交部法律司人权法院和公约股可能需要更多的资料，以进一步了解各种人权公约以及定期提交的人权公约执行情况报告。　</w:t>
      </w:r>
    </w:p>
    <w:p w:rsidR="001C7848" w:rsidRDefault="001C7848">
      <w:pPr>
        <w:spacing w:after="240" w:line="360" w:lineRule="exact"/>
        <w:ind w:right="-69"/>
        <w:jc w:val="center"/>
        <w:rPr>
          <w:rFonts w:eastAsia="SimHei" w:hint="eastAsia"/>
          <w:color w:val="FF0000"/>
          <w:szCs w:val="30"/>
        </w:rPr>
      </w:pPr>
      <w:r>
        <w:rPr>
          <w:rFonts w:eastAsia="SimHei" w:hint="eastAsia"/>
          <w:color w:val="FF0000"/>
          <w:szCs w:val="30"/>
        </w:rPr>
        <w:t>外交部</w:t>
      </w:r>
    </w:p>
    <w:p w:rsidR="001C7848" w:rsidRDefault="001C7848">
      <w:pPr>
        <w:spacing w:after="240" w:line="360" w:lineRule="exact"/>
        <w:ind w:right="-69"/>
        <w:jc w:val="center"/>
        <w:rPr>
          <w:rFonts w:eastAsia="SimHei" w:hint="eastAsia"/>
          <w:color w:val="FF0000"/>
          <w:szCs w:val="30"/>
        </w:rPr>
      </w:pPr>
      <w:r>
        <w:rPr>
          <w:rFonts w:eastAsia="SimHei" w:hint="eastAsia"/>
          <w:color w:val="FF0000"/>
          <w:szCs w:val="30"/>
        </w:rPr>
        <w:t>法律司</w:t>
      </w:r>
    </w:p>
    <w:p w:rsidR="001C7848" w:rsidRDefault="001C7848">
      <w:pPr>
        <w:spacing w:after="240" w:line="360" w:lineRule="exact"/>
        <w:ind w:right="-69"/>
        <w:jc w:val="center"/>
        <w:rPr>
          <w:rFonts w:eastAsia="SimHei"/>
          <w:color w:val="FF0000"/>
          <w:szCs w:val="30"/>
        </w:rPr>
      </w:pPr>
      <w:r>
        <w:rPr>
          <w:rFonts w:eastAsia="SimHei" w:hint="eastAsia"/>
          <w:color w:val="FF0000"/>
          <w:szCs w:val="30"/>
        </w:rPr>
        <w:t>人权法院和公约股</w:t>
      </w:r>
    </w:p>
    <w:p w:rsidR="001C7848" w:rsidRDefault="001C7848">
      <w:pPr>
        <w:spacing w:after="240" w:line="360" w:lineRule="exact"/>
        <w:ind w:right="-69"/>
        <w:jc w:val="center"/>
        <w:rPr>
          <w:rFonts w:eastAsia="SimHei"/>
          <w:color w:val="FF0000"/>
          <w:szCs w:val="30"/>
        </w:rPr>
      </w:pPr>
      <w:r>
        <w:rPr>
          <w:rFonts w:eastAsia="SimHei"/>
          <w:color w:val="FF0000"/>
          <w:szCs w:val="30"/>
          <w:lang w:val="en-GB"/>
        </w:rPr>
        <w:t>（</w:t>
      </w:r>
      <w:r>
        <w:rPr>
          <w:rFonts w:eastAsia="SimHei"/>
          <w:color w:val="FF0000"/>
          <w:szCs w:val="30"/>
        </w:rPr>
        <w:t>OIK-31</w:t>
      </w:r>
      <w:r>
        <w:rPr>
          <w:rFonts w:eastAsia="SimHei"/>
          <w:color w:val="FF0000"/>
          <w:szCs w:val="30"/>
          <w:lang w:val="en-GB"/>
        </w:rPr>
        <w:t>）</w:t>
      </w:r>
    </w:p>
    <w:p w:rsidR="001C7848" w:rsidRDefault="001C7848">
      <w:pPr>
        <w:spacing w:after="240" w:line="360" w:lineRule="exact"/>
        <w:ind w:right="-69"/>
        <w:jc w:val="center"/>
        <w:rPr>
          <w:rFonts w:eastAsia="SimHei"/>
          <w:color w:val="FF0000"/>
          <w:szCs w:val="30"/>
        </w:rPr>
      </w:pPr>
      <w:r>
        <w:rPr>
          <w:rFonts w:eastAsia="SimHei"/>
          <w:color w:val="FF0000"/>
          <w:szCs w:val="30"/>
        </w:rPr>
        <w:t xml:space="preserve">PB 176, 00161 </w:t>
      </w:r>
      <w:smartTag w:uri="urn:schemas-microsoft-com:office:smarttags" w:element="place">
        <w:smartTag w:uri="urn:schemas-microsoft-com:office:smarttags" w:element="City">
          <w:r>
            <w:rPr>
              <w:rFonts w:eastAsia="SimHei"/>
              <w:color w:val="FF0000"/>
              <w:szCs w:val="30"/>
            </w:rPr>
            <w:t>HELSINKI</w:t>
          </w:r>
        </w:smartTag>
      </w:smartTag>
    </w:p>
    <w:p w:rsidR="001C7848" w:rsidRDefault="001C7848">
      <w:pPr>
        <w:spacing w:after="240" w:line="360" w:lineRule="exact"/>
        <w:ind w:right="-69"/>
        <w:jc w:val="center"/>
        <w:rPr>
          <w:rFonts w:eastAsia="SimHei"/>
          <w:color w:val="FF0000"/>
          <w:szCs w:val="30"/>
        </w:rPr>
      </w:pPr>
      <w:r>
        <w:rPr>
          <w:rFonts w:eastAsia="SimHei" w:hint="eastAsia"/>
          <w:color w:val="FF0000"/>
          <w:szCs w:val="30"/>
        </w:rPr>
        <w:t>电话：</w:t>
      </w:r>
      <w:r>
        <w:rPr>
          <w:rFonts w:eastAsia="SimHei"/>
          <w:color w:val="FF0000"/>
          <w:szCs w:val="30"/>
        </w:rPr>
        <w:t>（</w:t>
      </w:r>
      <w:r>
        <w:rPr>
          <w:rFonts w:eastAsia="SimHei"/>
          <w:color w:val="FF0000"/>
          <w:szCs w:val="30"/>
        </w:rPr>
        <w:t>09</w:t>
      </w:r>
      <w:r>
        <w:rPr>
          <w:rFonts w:eastAsia="SimHei"/>
          <w:color w:val="FF0000"/>
          <w:szCs w:val="30"/>
        </w:rPr>
        <w:t>）</w:t>
      </w:r>
      <w:r>
        <w:rPr>
          <w:rFonts w:eastAsia="SimHei"/>
          <w:color w:val="FF0000"/>
          <w:szCs w:val="30"/>
        </w:rPr>
        <w:t xml:space="preserve">1605 5704, </w:t>
      </w:r>
      <w:r>
        <w:rPr>
          <w:rFonts w:eastAsia="SimHei" w:hint="eastAsia"/>
          <w:color w:val="FF0000"/>
          <w:szCs w:val="30"/>
        </w:rPr>
        <w:t>传真：</w:t>
      </w:r>
      <w:r>
        <w:rPr>
          <w:rFonts w:eastAsia="SimHei"/>
          <w:color w:val="FF0000"/>
          <w:szCs w:val="30"/>
        </w:rPr>
        <w:t>（</w:t>
      </w:r>
      <w:r>
        <w:rPr>
          <w:rFonts w:eastAsia="SimHei"/>
          <w:color w:val="FF0000"/>
          <w:szCs w:val="30"/>
        </w:rPr>
        <w:t>09</w:t>
      </w:r>
      <w:r>
        <w:rPr>
          <w:rFonts w:eastAsia="SimHei"/>
          <w:color w:val="FF0000"/>
          <w:szCs w:val="30"/>
        </w:rPr>
        <w:t>）</w:t>
      </w:r>
      <w:r>
        <w:rPr>
          <w:rFonts w:eastAsia="SimHei"/>
          <w:color w:val="FF0000"/>
          <w:szCs w:val="30"/>
        </w:rPr>
        <w:t xml:space="preserve">1605 5951, </w:t>
      </w:r>
      <w:r>
        <w:rPr>
          <w:rFonts w:eastAsia="SimHei" w:hint="eastAsia"/>
          <w:color w:val="FF0000"/>
          <w:szCs w:val="30"/>
        </w:rPr>
        <w:t>电子邮件：</w:t>
      </w:r>
      <w:r>
        <w:rPr>
          <w:rFonts w:eastAsia="SimHei"/>
          <w:color w:val="FF0000"/>
          <w:szCs w:val="30"/>
        </w:rPr>
        <w:t xml:space="preserve"> OIK-31@formin.fi</w:t>
      </w:r>
    </w:p>
    <w:p w:rsidR="001C7848" w:rsidRDefault="001C7848">
      <w:pPr>
        <w:pStyle w:val="HCh"/>
      </w:pPr>
      <w:bookmarkStart w:id="18" w:name="_Toc188785243"/>
      <w:r>
        <w:rPr>
          <w:rFonts w:hint="eastAsia"/>
        </w:rPr>
        <w:t>第1条</w:t>
      </w:r>
      <w:bookmarkEnd w:id="18"/>
      <w:r>
        <w:tab/>
      </w:r>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在本公约中，“对妇女的歧视”一词指基于性别而作的任何区别、排斥或限制，其影响或目的均足以妨碍或否认妇女不论已婚未婚在男女平等的基础上认识、享有或行使在政治、经济、社会、文化、公民或任何其他方面的人权和基本自由。</w:t>
      </w:r>
    </w:p>
    <w:p w:rsidR="001C7848" w:rsidRDefault="001C7848">
      <w:pPr>
        <w:pStyle w:val="HCh"/>
        <w:rPr>
          <w:rFonts w:hint="eastAsia"/>
        </w:rPr>
      </w:pPr>
      <w:bookmarkStart w:id="19" w:name="_Toc188785244"/>
      <w:r>
        <w:rPr>
          <w:rFonts w:hint="eastAsia"/>
        </w:rPr>
        <w:t>第2条</w:t>
      </w:r>
      <w:bookmarkEnd w:id="19"/>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缔约各国谴责对妇女一切形式的歧视，协议立即用一切适当办法，推行消除对妇女歧视的政策。为此目的，承担：</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男女平等的原则如尚未列入本国宪法或其他有关法律者，应将其列入，并以法律或其他适当方法，保证实现这项原则；</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采取适当立法和其他措施，包括在适当情况下实行制裁，以禁止对妇女的一切歧视；</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c</w:t>
      </w:r>
      <w:r>
        <w:rPr>
          <w:rFonts w:eastAsia="KaiTi_GB2312"/>
          <w:iCs/>
          <w:color w:val="0000FF"/>
          <w:szCs w:val="30"/>
        </w:rPr>
        <w:t>）</w:t>
      </w:r>
      <w:r>
        <w:rPr>
          <w:rFonts w:eastAsia="KaiTi_GB2312" w:hint="eastAsia"/>
          <w:iCs/>
          <w:color w:val="0000FF"/>
          <w:szCs w:val="30"/>
        </w:rPr>
        <w:t>为妇女确立与男子平等权利的法律保护，通过各国的主管法庭及其他公共机构，保证切实保护妇女不受任何歧视；</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d</w:t>
      </w:r>
      <w:r>
        <w:rPr>
          <w:rFonts w:eastAsia="KaiTi_GB2312"/>
          <w:iCs/>
          <w:color w:val="0000FF"/>
          <w:szCs w:val="30"/>
        </w:rPr>
        <w:t>）</w:t>
      </w:r>
      <w:r>
        <w:rPr>
          <w:rFonts w:eastAsia="KaiTi_GB2312" w:hint="eastAsia"/>
          <w:iCs/>
          <w:color w:val="0000FF"/>
          <w:szCs w:val="30"/>
        </w:rPr>
        <w:t>不采取任何歧视妇女的行为或做法，并保证政府当局和公共机构的行动都不违背这项义务；</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e</w:t>
      </w:r>
      <w:r>
        <w:rPr>
          <w:rFonts w:eastAsia="KaiTi_GB2312"/>
          <w:iCs/>
          <w:color w:val="0000FF"/>
          <w:szCs w:val="30"/>
        </w:rPr>
        <w:t>）</w:t>
      </w:r>
      <w:r>
        <w:rPr>
          <w:rFonts w:eastAsia="KaiTi_GB2312" w:hint="eastAsia"/>
          <w:iCs/>
          <w:color w:val="0000FF"/>
          <w:szCs w:val="30"/>
        </w:rPr>
        <w:t>采取一切适当措施，消除任何个人、组织或企业对妇女的歧视；</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f</w:t>
      </w:r>
      <w:r>
        <w:rPr>
          <w:rFonts w:eastAsia="KaiTi_GB2312"/>
          <w:iCs/>
          <w:color w:val="0000FF"/>
          <w:szCs w:val="30"/>
        </w:rPr>
        <w:t>）</w:t>
      </w:r>
      <w:r>
        <w:rPr>
          <w:rFonts w:eastAsia="KaiTi_GB2312" w:hint="eastAsia"/>
          <w:iCs/>
          <w:color w:val="0000FF"/>
          <w:szCs w:val="30"/>
        </w:rPr>
        <w:t>采取一切适当措施，包括制定法律，以修改或废除构成对妇女歧视的现行法律、规章、习俗和惯例；</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g</w:t>
      </w:r>
      <w:r>
        <w:rPr>
          <w:rFonts w:eastAsia="KaiTi_GB2312"/>
          <w:iCs/>
          <w:color w:val="0000FF"/>
          <w:szCs w:val="30"/>
        </w:rPr>
        <w:t>）</w:t>
      </w:r>
      <w:r>
        <w:rPr>
          <w:rFonts w:eastAsia="KaiTi_GB2312" w:hint="eastAsia"/>
          <w:iCs/>
          <w:color w:val="0000FF"/>
          <w:szCs w:val="30"/>
        </w:rPr>
        <w:t>废止本国刑法内构成对妇女歧视的一切规定。</w:t>
      </w:r>
    </w:p>
    <w:p w:rsidR="001C7848" w:rsidRDefault="001C7848">
      <w:pPr>
        <w:pStyle w:val="H1"/>
        <w:spacing w:before="120"/>
        <w:jc w:val="both"/>
        <w:rPr>
          <w:rFonts w:hint="eastAsia"/>
        </w:rPr>
      </w:pPr>
      <w:bookmarkStart w:id="20" w:name="_Toc181766649"/>
      <w:bookmarkStart w:id="21" w:name="_Toc188785245"/>
      <w:r>
        <w:t xml:space="preserve">1.  </w:t>
      </w:r>
      <w:bookmarkEnd w:id="20"/>
      <w:r>
        <w:rPr>
          <w:rFonts w:hint="eastAsia"/>
        </w:rPr>
        <w:t>立法</w:t>
      </w:r>
      <w:bookmarkEnd w:id="21"/>
    </w:p>
    <w:p w:rsidR="001C7848" w:rsidRDefault="001C7848">
      <w:pPr>
        <w:pStyle w:val="H2"/>
        <w:rPr>
          <w:rFonts w:hint="eastAsia"/>
        </w:rPr>
      </w:pPr>
      <w:bookmarkStart w:id="22" w:name="_Toc181766650"/>
      <w:bookmarkStart w:id="23" w:name="_Toc188785246"/>
      <w:r>
        <w:t>1.1.</w:t>
      </w:r>
      <w:bookmarkEnd w:id="22"/>
      <w:r>
        <w:rPr>
          <w:rFonts w:hint="eastAsia"/>
        </w:rPr>
        <w:t xml:space="preserve">  </w:t>
      </w:r>
      <w:r>
        <w:rPr>
          <w:rFonts w:hint="eastAsia"/>
          <w:u w:val="single"/>
        </w:rPr>
        <w:t>《男女平等法》的修正</w:t>
      </w:r>
      <w:bookmarkEnd w:id="23"/>
    </w:p>
    <w:p w:rsidR="001C7848" w:rsidRDefault="001C7848">
      <w:pPr>
        <w:pStyle w:val="STMleipteksti"/>
        <w:tabs>
          <w:tab w:val="left" w:pos="600"/>
        </w:tabs>
        <w:spacing w:after="240" w:line="360" w:lineRule="exact"/>
        <w:ind w:left="0" w:right="-69"/>
        <w:jc w:val="both"/>
        <w:rPr>
          <w:rFonts w:hint="eastAsia"/>
          <w:sz w:val="21"/>
          <w:szCs w:val="30"/>
          <w:lang w:val="en-GB" w:eastAsia="zh-CN"/>
        </w:rPr>
      </w:pPr>
      <w:r>
        <w:rPr>
          <w:rFonts w:hint="eastAsia"/>
          <w:sz w:val="21"/>
          <w:szCs w:val="30"/>
          <w:lang w:val="en-US" w:eastAsia="zh-CN"/>
        </w:rPr>
        <w:t>1</w:t>
      </w:r>
      <w:r>
        <w:rPr>
          <w:rFonts w:hint="eastAsia"/>
          <w:sz w:val="21"/>
          <w:szCs w:val="30"/>
          <w:lang w:val="en-GB" w:eastAsia="zh-CN"/>
        </w:rPr>
        <w:t>．</w:t>
      </w:r>
      <w:r>
        <w:rPr>
          <w:rFonts w:hint="eastAsia"/>
          <w:sz w:val="21"/>
          <w:szCs w:val="30"/>
          <w:lang w:val="en-US" w:eastAsia="zh-CN"/>
        </w:rPr>
        <w:tab/>
      </w:r>
      <w:r>
        <w:rPr>
          <w:rFonts w:hint="eastAsia"/>
          <w:sz w:val="21"/>
          <w:szCs w:val="30"/>
          <w:lang w:val="en-GB" w:eastAsia="zh-CN"/>
        </w:rPr>
        <w:t>《男女平等法》（</w:t>
      </w:r>
      <w:r>
        <w:rPr>
          <w:rFonts w:hint="eastAsia"/>
          <w:sz w:val="21"/>
          <w:szCs w:val="30"/>
          <w:lang w:val="en-GB" w:eastAsia="zh-CN"/>
        </w:rPr>
        <w:t>609/1986</w:t>
      </w:r>
      <w:r>
        <w:rPr>
          <w:rFonts w:hint="eastAsia"/>
          <w:sz w:val="21"/>
          <w:szCs w:val="30"/>
          <w:lang w:val="en-GB" w:eastAsia="zh-CN"/>
        </w:rPr>
        <w:t>，下文称《平等法》）于</w:t>
      </w:r>
      <w:r>
        <w:rPr>
          <w:rFonts w:hint="eastAsia"/>
          <w:sz w:val="21"/>
          <w:szCs w:val="30"/>
          <w:lang w:val="en-GB" w:eastAsia="zh-CN"/>
        </w:rPr>
        <w:t>1987</w:t>
      </w:r>
      <w:r>
        <w:rPr>
          <w:rFonts w:hint="eastAsia"/>
          <w:sz w:val="21"/>
          <w:szCs w:val="30"/>
          <w:lang w:val="en-GB" w:eastAsia="zh-CN"/>
        </w:rPr>
        <w:t>年</w:t>
      </w:r>
      <w:r>
        <w:rPr>
          <w:rFonts w:hint="eastAsia"/>
          <w:sz w:val="21"/>
          <w:szCs w:val="30"/>
          <w:lang w:val="en-GB" w:eastAsia="zh-CN"/>
        </w:rPr>
        <w:t>1</w:t>
      </w:r>
      <w:r>
        <w:rPr>
          <w:rFonts w:hint="eastAsia"/>
          <w:sz w:val="21"/>
          <w:szCs w:val="30"/>
          <w:lang w:val="en-GB" w:eastAsia="zh-CN"/>
        </w:rPr>
        <w:t>月</w:t>
      </w:r>
      <w:r>
        <w:rPr>
          <w:rFonts w:hint="eastAsia"/>
          <w:sz w:val="21"/>
          <w:szCs w:val="30"/>
          <w:lang w:val="en-GB" w:eastAsia="zh-CN"/>
        </w:rPr>
        <w:t>1</w:t>
      </w:r>
      <w:r>
        <w:rPr>
          <w:rFonts w:hint="eastAsia"/>
          <w:sz w:val="21"/>
          <w:szCs w:val="30"/>
          <w:lang w:val="en-GB" w:eastAsia="zh-CN"/>
        </w:rPr>
        <w:t>日生效。《平等法》的第二次全面修改于</w:t>
      </w:r>
      <w:r>
        <w:rPr>
          <w:rFonts w:hint="eastAsia"/>
          <w:sz w:val="21"/>
          <w:szCs w:val="30"/>
          <w:lang w:val="en-GB" w:eastAsia="zh-CN"/>
        </w:rPr>
        <w:t>2005</w:t>
      </w:r>
      <w:r>
        <w:rPr>
          <w:rFonts w:hint="eastAsia"/>
          <w:sz w:val="21"/>
          <w:szCs w:val="30"/>
          <w:lang w:val="en-GB" w:eastAsia="zh-CN"/>
        </w:rPr>
        <w:t>年</w:t>
      </w:r>
      <w:r>
        <w:rPr>
          <w:rFonts w:hint="eastAsia"/>
          <w:sz w:val="21"/>
          <w:szCs w:val="30"/>
          <w:lang w:val="en-GB" w:eastAsia="zh-CN"/>
        </w:rPr>
        <w:t>6</w:t>
      </w:r>
      <w:r>
        <w:rPr>
          <w:rFonts w:hint="eastAsia"/>
          <w:sz w:val="21"/>
          <w:szCs w:val="30"/>
          <w:lang w:val="en-GB" w:eastAsia="zh-CN"/>
        </w:rPr>
        <w:t>月</w:t>
      </w:r>
      <w:r>
        <w:rPr>
          <w:rFonts w:hint="eastAsia"/>
          <w:sz w:val="21"/>
          <w:szCs w:val="30"/>
          <w:lang w:val="en-GB" w:eastAsia="zh-CN"/>
        </w:rPr>
        <w:t>1</w:t>
      </w:r>
      <w:r>
        <w:rPr>
          <w:rFonts w:hint="eastAsia"/>
          <w:sz w:val="21"/>
          <w:szCs w:val="30"/>
          <w:lang w:val="en-GB" w:eastAsia="zh-CN"/>
        </w:rPr>
        <w:t>日生效（</w:t>
      </w:r>
      <w:r>
        <w:rPr>
          <w:sz w:val="21"/>
          <w:szCs w:val="30"/>
          <w:lang w:val="en-GB" w:eastAsia="zh-CN"/>
        </w:rPr>
        <w:t>15.4.2005/232; HE 1959/2004</w:t>
      </w:r>
      <w:r>
        <w:rPr>
          <w:rFonts w:hint="eastAsia"/>
          <w:sz w:val="21"/>
          <w:szCs w:val="30"/>
          <w:lang w:val="en-GB" w:eastAsia="zh-CN"/>
        </w:rPr>
        <w:t>）。</w:t>
      </w:r>
      <w:r>
        <w:rPr>
          <w:rStyle w:val="FootnoteReference"/>
          <w:sz w:val="21"/>
          <w:szCs w:val="30"/>
        </w:rPr>
        <w:footnoteReference w:id="1"/>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i/>
          <w:iCs/>
          <w:szCs w:val="30"/>
        </w:rPr>
      </w:pPr>
      <w:r>
        <w:rPr>
          <w:rFonts w:hint="eastAsia"/>
          <w:szCs w:val="30"/>
          <w:lang w:val="en-GB"/>
        </w:rPr>
        <w:t>修</w:t>
      </w:r>
      <w:r>
        <w:rPr>
          <w:rFonts w:hint="eastAsia"/>
          <w:szCs w:val="30"/>
        </w:rPr>
        <w:t>改《平等法》的原因是，有必要将《平等法》与成立欧洲共同体的《条约》、</w:t>
      </w:r>
      <w:r>
        <w:rPr>
          <w:rFonts w:hint="eastAsia"/>
          <w:szCs w:val="30"/>
        </w:rPr>
        <w:t>2002</w:t>
      </w:r>
      <w:r>
        <w:rPr>
          <w:rFonts w:hint="eastAsia"/>
          <w:szCs w:val="30"/>
        </w:rPr>
        <w:t>年修订的《平等待遇指令》、</w:t>
      </w:r>
      <w:r>
        <w:rPr>
          <w:rStyle w:val="FootnoteReference"/>
          <w:szCs w:val="30"/>
        </w:rPr>
        <w:footnoteReference w:id="2"/>
      </w:r>
      <w:r>
        <w:rPr>
          <w:rFonts w:hint="eastAsia"/>
          <w:szCs w:val="30"/>
        </w:rPr>
        <w:t>《举证责任指令》</w:t>
      </w:r>
      <w:r>
        <w:rPr>
          <w:rStyle w:val="FootnoteReference"/>
          <w:szCs w:val="30"/>
        </w:rPr>
        <w:footnoteReference w:id="3"/>
      </w:r>
      <w:r>
        <w:rPr>
          <w:rFonts w:hint="eastAsia"/>
          <w:szCs w:val="30"/>
        </w:rPr>
        <w:t>和《育儿假指令》</w:t>
      </w:r>
      <w:r>
        <w:rPr>
          <w:rStyle w:val="FootnoteReference"/>
          <w:szCs w:val="30"/>
        </w:rPr>
        <w:footnoteReference w:id="4"/>
      </w:r>
      <w:r>
        <w:rPr>
          <w:rFonts w:hint="eastAsia"/>
          <w:szCs w:val="30"/>
        </w:rPr>
        <w:t>中规定的平等条款以及欧洲法院的各项决定协调一致，另外，也是为了使《平等法》符合芬兰政府</w:t>
      </w:r>
      <w:r>
        <w:rPr>
          <w:rFonts w:hint="eastAsia"/>
          <w:szCs w:val="30"/>
        </w:rPr>
        <w:t>2003-2007</w:t>
      </w:r>
      <w:r>
        <w:rPr>
          <w:rFonts w:hint="eastAsia"/>
          <w:szCs w:val="30"/>
        </w:rPr>
        <w:t>年方案中关于平等问题的书面记录和其他立法修正案，并按要求改进对《平等法》的适用和监测做法。在拟订立法提案时，也考虑到了北欧国家平等立法的演变。</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w:t>
      </w:r>
      <w:r>
        <w:rPr>
          <w:rFonts w:hint="eastAsia"/>
          <w:szCs w:val="30"/>
          <w:lang w:val="en-GB"/>
        </w:rPr>
        <w:t>2005</w:t>
      </w:r>
      <w:r>
        <w:rPr>
          <w:rFonts w:hint="eastAsia"/>
          <w:szCs w:val="30"/>
          <w:lang w:val="en-GB"/>
        </w:rPr>
        <w:t>年平等法》的修改使主流化原则得到执行，从而突出了政府当局在其所有活动中所承担的促进平等义务。</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全面禁止歧视条款得到补充并变得更加准确。直接和间接歧视定义被列入了全面禁止歧视条款，而且骚扰被界定为歧视行为。根据《平等法》，骚扰不仅是指性骚扰，还指基于性别的骚扰，即使有关行为性质上并不是性骚扰。下达歧视的命令或指示也被界定为歧视。</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职业生活中禁止歧视的具体条款变得更加准确，并规定了雇主有义务采取监督对策消除骚扰行为。在教育机构和利益集团中禁止歧视属于补偿程序范畴，被列入了《平等法》。</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针对禁止歧视具体条款所指的情况，在《平等法》中加进了关于举证责任的单独条款。根据该条款，如果一个人认为自己是歧视行为的受害者，并依照《平等法》向法院或主管机关提出上诉，且事实证明此事件是一种性别歧视，则被告须证明没有违反《男女平等法》，此行为只是出于可以接受的理由，而不是因为性别原因。尽管如此，该条款仍不适用于刑事案件的审理。</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关于工作歧视的规定扩大了适用范围，以使对雇主的规定相应地适用于雇用另一个公司员工的公司，如果该公司以雇主身份行使权力的话。必要时，这方面规定还可适用于相当于任何其他种类雇用关系的合法专员。</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除雇用雇员的情况外，最高赔偿额被撤销。赔偿程序的适用范围被扩大到一般教育机构，提供基础教育的机构除外。除了雇主以外，教育机构和利益集团还有义务支付违反禁止歧视条款的赔偿。按照《侵权责任法》或其他法案，接受赔偿也并不妨碍犯罪者要求赔偿经济损失。《平等法》更准确地阐明了雇主促进平等的义务，指出提前预防歧视也是促进平等。</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对《平等法》最重要的一项修改，是加强了平等规划的义务并使之更加准确。按照《平等法》，在雇用关系中，如果雇主雇用的员工人数超过</w:t>
      </w:r>
      <w:r>
        <w:rPr>
          <w:rFonts w:hint="eastAsia"/>
          <w:szCs w:val="30"/>
          <w:lang w:val="en-GB"/>
        </w:rPr>
        <w:t>30</w:t>
      </w:r>
      <w:r>
        <w:rPr>
          <w:rFonts w:hint="eastAsia"/>
          <w:szCs w:val="30"/>
          <w:lang w:val="en-GB"/>
        </w:rPr>
        <w:t>人，雇主就必须每年制订一</w:t>
      </w:r>
      <w:r>
        <w:rPr>
          <w:rFonts w:hint="eastAsia"/>
          <w:szCs w:val="30"/>
        </w:rPr>
        <w:t>项</w:t>
      </w:r>
      <w:r>
        <w:rPr>
          <w:szCs w:val="30"/>
        </w:rPr>
        <w:t>平等计划</w:t>
      </w:r>
      <w:r>
        <w:rPr>
          <w:rFonts w:hint="eastAsia"/>
          <w:szCs w:val="30"/>
        </w:rPr>
        <w:t>并</w:t>
      </w:r>
      <w:r>
        <w:rPr>
          <w:szCs w:val="30"/>
        </w:rPr>
        <w:t>实施促进平等</w:t>
      </w:r>
      <w:r>
        <w:rPr>
          <w:rFonts w:hint="eastAsia"/>
          <w:szCs w:val="30"/>
        </w:rPr>
        <w:t>的</w:t>
      </w:r>
      <w:r>
        <w:rPr>
          <w:szCs w:val="30"/>
        </w:rPr>
        <w:t>措施</w:t>
      </w:r>
      <w:r>
        <w:rPr>
          <w:rFonts w:hint="eastAsia"/>
          <w:szCs w:val="30"/>
        </w:rPr>
        <w:t>。</w:t>
      </w:r>
      <w:r>
        <w:rPr>
          <w:rFonts w:hint="eastAsia"/>
          <w:szCs w:val="30"/>
          <w:lang w:val="en-GB"/>
        </w:rPr>
        <w:t>《平等法》规定了该计划内容的最低要求。</w:t>
      </w:r>
      <w:r>
        <w:rPr>
          <w:szCs w:val="30"/>
          <w:lang w:val="en-GB"/>
        </w:rPr>
        <w:t xml:space="preserve"> </w:t>
      </w:r>
      <w:r>
        <w:rPr>
          <w:rFonts w:hint="eastAsia"/>
          <w:szCs w:val="30"/>
          <w:lang w:val="en-GB"/>
        </w:rPr>
        <w:t>平等计划还必须包括对每种工作所付工资的审查。</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rPr>
      </w:pPr>
      <w:r>
        <w:rPr>
          <w:rFonts w:hint="eastAsia"/>
          <w:szCs w:val="30"/>
          <w:lang w:val="en-GB"/>
        </w:rPr>
        <w:t>平等委员会可责成雇主拟订平等计划，在一定期限内没有履行拟订此计划义务的雇主要被罚款。</w:t>
      </w:r>
      <w:r>
        <w:rPr>
          <w:rFonts w:hint="eastAsia"/>
          <w:szCs w:val="30"/>
        </w:rPr>
        <w:t>如果雇主没有按平等问题监察员的要求，在规定的合理期限内制订计划，监察员可将有关义务和处罚的事项提交平等委员会审理。</w:t>
      </w:r>
      <w:r>
        <w:rPr>
          <w:rStyle w:val="FootnoteReference"/>
          <w:szCs w:val="30"/>
        </w:rPr>
        <w:footnoteReference w:id="5"/>
      </w:r>
    </w:p>
    <w:p w:rsidR="001C7848" w:rsidRDefault="001C7848">
      <w:pPr>
        <w:pStyle w:val="H2"/>
        <w:rPr>
          <w:rFonts w:hint="eastAsia"/>
          <w:u w:val="single"/>
        </w:rPr>
      </w:pPr>
      <w:bookmarkStart w:id="24" w:name="_Toc181766651"/>
      <w:bookmarkStart w:id="25" w:name="_Toc188785247"/>
      <w:r>
        <w:t>1.2.</w:t>
      </w:r>
      <w:r>
        <w:rPr>
          <w:rFonts w:hint="eastAsia"/>
        </w:rPr>
        <w:t xml:space="preserve">  </w:t>
      </w:r>
      <w:r>
        <w:rPr>
          <w:rFonts w:hint="eastAsia"/>
          <w:u w:val="single"/>
        </w:rPr>
        <w:t>关于不歧视问题的立法</w:t>
      </w:r>
      <w:bookmarkEnd w:id="24"/>
      <w:bookmarkEnd w:id="25"/>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《不歧视法》（</w:t>
      </w:r>
      <w:r>
        <w:rPr>
          <w:rFonts w:hint="eastAsia"/>
          <w:szCs w:val="30"/>
          <w:lang w:val="en-GB"/>
        </w:rPr>
        <w:t>21/2004</w:t>
      </w:r>
      <w:r>
        <w:rPr>
          <w:rFonts w:hint="eastAsia"/>
          <w:szCs w:val="30"/>
          <w:lang w:val="en-GB"/>
        </w:rPr>
        <w:t>）于</w:t>
      </w:r>
      <w:r>
        <w:rPr>
          <w:rFonts w:hint="eastAsia"/>
          <w:szCs w:val="30"/>
          <w:lang w:val="en-GB"/>
        </w:rPr>
        <w:t>2004</w:t>
      </w:r>
      <w:r>
        <w:rPr>
          <w:rFonts w:hint="eastAsia"/>
          <w:szCs w:val="30"/>
          <w:lang w:val="en-GB"/>
        </w:rPr>
        <w:t>年</w:t>
      </w:r>
      <w:r>
        <w:rPr>
          <w:rFonts w:hint="eastAsia"/>
          <w:szCs w:val="30"/>
          <w:lang w:val="en-GB"/>
        </w:rPr>
        <w:t>2</w:t>
      </w:r>
      <w:r>
        <w:rPr>
          <w:rFonts w:hint="eastAsia"/>
          <w:szCs w:val="30"/>
          <w:lang w:val="en-GB"/>
        </w:rPr>
        <w:t>月</w:t>
      </w:r>
      <w:r>
        <w:rPr>
          <w:rFonts w:hint="eastAsia"/>
          <w:szCs w:val="30"/>
          <w:lang w:val="en-GB"/>
        </w:rPr>
        <w:t>1</w:t>
      </w:r>
      <w:r>
        <w:rPr>
          <w:rFonts w:hint="eastAsia"/>
          <w:szCs w:val="30"/>
          <w:lang w:val="en-GB"/>
        </w:rPr>
        <w:t>日生效，该法落实了关于不分种族或人种的平等待遇原则的欧洲理事会指令（</w:t>
      </w:r>
      <w:r>
        <w:rPr>
          <w:szCs w:val="30"/>
          <w:lang w:val="en-GB"/>
        </w:rPr>
        <w:t>2000/43/EC</w:t>
      </w:r>
      <w:r>
        <w:rPr>
          <w:rFonts w:hint="eastAsia"/>
          <w:szCs w:val="30"/>
          <w:lang w:val="en-GB"/>
        </w:rPr>
        <w:t>），以及制定就业和职业平等待遇一般性框架的欧洲理事会指令（</w:t>
      </w:r>
      <w:r>
        <w:rPr>
          <w:szCs w:val="30"/>
          <w:lang w:val="en-GB"/>
        </w:rPr>
        <w:t>2000/78/EC</w:t>
      </w:r>
      <w:r>
        <w:rPr>
          <w:rFonts w:hint="eastAsia"/>
          <w:szCs w:val="30"/>
          <w:lang w:val="en-GB"/>
        </w:rPr>
        <w:t>）。</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rPr>
        <w:t>2007</w:t>
      </w:r>
      <w:r>
        <w:rPr>
          <w:rFonts w:hint="eastAsia"/>
          <w:szCs w:val="30"/>
        </w:rPr>
        <w:t>年</w:t>
      </w:r>
      <w:r>
        <w:rPr>
          <w:rFonts w:hint="eastAsia"/>
          <w:szCs w:val="30"/>
        </w:rPr>
        <w:t>1</w:t>
      </w:r>
      <w:r>
        <w:rPr>
          <w:rFonts w:hint="eastAsia"/>
          <w:szCs w:val="30"/>
        </w:rPr>
        <w:t>月</w:t>
      </w:r>
      <w:r>
        <w:rPr>
          <w:rFonts w:hint="eastAsia"/>
          <w:szCs w:val="30"/>
        </w:rPr>
        <w:t>25</w:t>
      </w:r>
      <w:r>
        <w:rPr>
          <w:rFonts w:hint="eastAsia"/>
          <w:szCs w:val="30"/>
        </w:rPr>
        <w:t>日，司法部成立了一个委员会，其任务是修改芬兰的不歧视立法。除此之外，委员会还负责确定是否有必要修改其他法案中关于不歧视、平等和歧视问题的条款。在修改该法案的</w:t>
      </w:r>
      <w:r>
        <w:rPr>
          <w:rFonts w:hint="eastAsia"/>
          <w:szCs w:val="30"/>
          <w:lang w:val="en-GB"/>
        </w:rPr>
        <w:t>过程中，还将酌情更新处理歧视问题的管理机构，即少数群体权利监察员和平等问题监察员的职位、职责和权限。委员会应当在</w:t>
      </w:r>
      <w:r>
        <w:rPr>
          <w:rFonts w:hint="eastAsia"/>
          <w:szCs w:val="30"/>
          <w:lang w:val="en-GB"/>
        </w:rPr>
        <w:t>2008</w:t>
      </w:r>
      <w:r>
        <w:rPr>
          <w:rFonts w:hint="eastAsia"/>
          <w:szCs w:val="30"/>
          <w:lang w:val="en-GB"/>
        </w:rPr>
        <w:t>年</w:t>
      </w:r>
      <w:r>
        <w:rPr>
          <w:rFonts w:hint="eastAsia"/>
          <w:szCs w:val="30"/>
          <w:lang w:val="en-GB"/>
        </w:rPr>
        <w:t>1</w:t>
      </w:r>
      <w:r>
        <w:rPr>
          <w:rFonts w:hint="eastAsia"/>
          <w:szCs w:val="30"/>
          <w:lang w:val="en-GB"/>
        </w:rPr>
        <w:t>月</w:t>
      </w:r>
      <w:r>
        <w:rPr>
          <w:rFonts w:hint="eastAsia"/>
          <w:szCs w:val="30"/>
          <w:lang w:val="en-GB"/>
        </w:rPr>
        <w:t>31</w:t>
      </w:r>
      <w:r>
        <w:rPr>
          <w:rFonts w:hint="eastAsia"/>
          <w:szCs w:val="30"/>
          <w:lang w:val="en-GB"/>
        </w:rPr>
        <w:t>日之前提交一份初步报告，说明所需修改的范围和各种修改选择方案，并在</w:t>
      </w:r>
      <w:r>
        <w:rPr>
          <w:rFonts w:hint="eastAsia"/>
          <w:szCs w:val="30"/>
          <w:lang w:val="en-GB"/>
        </w:rPr>
        <w:t>2009</w:t>
      </w:r>
      <w:r>
        <w:rPr>
          <w:rFonts w:hint="eastAsia"/>
          <w:szCs w:val="30"/>
          <w:lang w:val="en-GB"/>
        </w:rPr>
        <w:t>年</w:t>
      </w:r>
      <w:r>
        <w:rPr>
          <w:rFonts w:hint="eastAsia"/>
          <w:szCs w:val="30"/>
          <w:lang w:val="en-GB"/>
        </w:rPr>
        <w:t>1</w:t>
      </w:r>
      <w:r>
        <w:rPr>
          <w:rFonts w:hint="eastAsia"/>
          <w:szCs w:val="30"/>
          <w:lang w:val="en-GB"/>
        </w:rPr>
        <w:t>月</w:t>
      </w:r>
      <w:r>
        <w:rPr>
          <w:rFonts w:hint="eastAsia"/>
          <w:szCs w:val="30"/>
          <w:lang w:val="en-GB"/>
        </w:rPr>
        <w:t>31</w:t>
      </w:r>
      <w:r>
        <w:rPr>
          <w:rFonts w:hint="eastAsia"/>
          <w:szCs w:val="30"/>
          <w:lang w:val="en-GB"/>
        </w:rPr>
        <w:t>日之前提交不歧视立法修改提案，但是，鉴于委员会迄今所做的工作，这个期限似乎需延长到</w:t>
      </w:r>
      <w:r>
        <w:rPr>
          <w:rFonts w:hint="eastAsia"/>
          <w:szCs w:val="30"/>
          <w:lang w:val="en-GB"/>
        </w:rPr>
        <w:t>2009</w:t>
      </w:r>
      <w:r>
        <w:rPr>
          <w:rFonts w:hint="eastAsia"/>
          <w:szCs w:val="30"/>
          <w:lang w:val="en-GB"/>
        </w:rPr>
        <w:t>年秋季。</w:t>
      </w:r>
    </w:p>
    <w:p w:rsidR="001C7848" w:rsidRDefault="001C7848">
      <w:pPr>
        <w:pStyle w:val="H2"/>
        <w:rPr>
          <w:rFonts w:hint="eastAsia"/>
          <w:u w:val="single"/>
        </w:rPr>
      </w:pPr>
      <w:bookmarkStart w:id="26" w:name="_Toc181766652"/>
      <w:bookmarkStart w:id="27" w:name="_Toc188785248"/>
      <w:r>
        <w:t>1.3.</w:t>
      </w:r>
      <w:bookmarkEnd w:id="26"/>
      <w:r>
        <w:rPr>
          <w:rFonts w:hint="eastAsia"/>
        </w:rPr>
        <w:t xml:space="preserve">  </w:t>
      </w:r>
      <w:r>
        <w:rPr>
          <w:rFonts w:hint="eastAsia"/>
          <w:u w:val="single"/>
        </w:rPr>
        <w:t>对《平等法》执行情况的监督</w:t>
      </w:r>
      <w:bookmarkEnd w:id="27"/>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rPr>
        <w:t>由于对执行</w:t>
      </w:r>
      <w:r>
        <w:rPr>
          <w:rFonts w:hint="eastAsia"/>
          <w:szCs w:val="30"/>
          <w:lang w:val="en-GB"/>
        </w:rPr>
        <w:t>《平等法》的监督需要设施的扩大</w:t>
      </w:r>
      <w:r>
        <w:rPr>
          <w:szCs w:val="30"/>
        </w:rPr>
        <w:t>和</w:t>
      </w:r>
      <w:r>
        <w:rPr>
          <w:rFonts w:hint="eastAsia"/>
          <w:szCs w:val="30"/>
        </w:rPr>
        <w:t>大批</w:t>
      </w:r>
      <w:r>
        <w:rPr>
          <w:szCs w:val="30"/>
        </w:rPr>
        <w:t>人</w:t>
      </w:r>
      <w:r>
        <w:rPr>
          <w:rFonts w:hint="eastAsia"/>
          <w:szCs w:val="30"/>
        </w:rPr>
        <w:t>员的</w:t>
      </w:r>
      <w:r>
        <w:rPr>
          <w:szCs w:val="30"/>
        </w:rPr>
        <w:t>参与</w:t>
      </w:r>
      <w:r>
        <w:rPr>
          <w:rFonts w:hint="eastAsia"/>
          <w:szCs w:val="30"/>
        </w:rPr>
        <w:t>，所以</w:t>
      </w:r>
      <w:r>
        <w:rPr>
          <w:rFonts w:hint="eastAsia"/>
          <w:szCs w:val="30"/>
          <w:lang w:val="en-GB"/>
        </w:rPr>
        <w:t>《平等法》的修改赋予了平等问题监察员新的职责。仅就工作场所和教育机构而言，监察员就要负责监督约</w:t>
      </w:r>
      <w:r>
        <w:rPr>
          <w:rFonts w:hint="eastAsia"/>
          <w:szCs w:val="30"/>
          <w:lang w:val="en-GB"/>
        </w:rPr>
        <w:t>5 000-6 000</w:t>
      </w:r>
      <w:r>
        <w:rPr>
          <w:rFonts w:hint="eastAsia"/>
          <w:szCs w:val="30"/>
          <w:lang w:val="en-GB"/>
        </w:rPr>
        <w:t>个工作场所和</w:t>
      </w:r>
      <w:r>
        <w:rPr>
          <w:rFonts w:hint="eastAsia"/>
          <w:szCs w:val="30"/>
          <w:lang w:val="en-GB"/>
        </w:rPr>
        <w:t>1 000</w:t>
      </w:r>
      <w:r>
        <w:rPr>
          <w:rFonts w:hint="eastAsia"/>
          <w:szCs w:val="30"/>
          <w:lang w:val="en-GB"/>
        </w:rPr>
        <w:t>多个教育机构制订平等计划的情况。在对《平等法》进行有效监督方面，一个很大的问题是，由于《平等法》的修改，只设立了一个新的平等问题监察员职位。平等问题监察员办公室总共只有</w:t>
      </w:r>
      <w:r>
        <w:rPr>
          <w:szCs w:val="30"/>
          <w:lang w:val="en-GB"/>
        </w:rPr>
        <w:t>10</w:t>
      </w:r>
      <w:r>
        <w:rPr>
          <w:rFonts w:hint="eastAsia"/>
          <w:szCs w:val="30"/>
          <w:lang w:val="en-GB"/>
        </w:rPr>
        <w:t>.</w:t>
      </w:r>
      <w:r>
        <w:rPr>
          <w:szCs w:val="30"/>
          <w:lang w:val="en-GB"/>
        </w:rPr>
        <w:t>5</w:t>
      </w:r>
      <w:r>
        <w:rPr>
          <w:rFonts w:hint="eastAsia"/>
          <w:szCs w:val="30"/>
          <w:lang w:val="en-GB"/>
        </w:rPr>
        <w:t>个职位，其数目不足以有效监督《平等法》在职业生活和其他社会生活领域的实施，也无法完成积极促进平等的任务，而促进平等是平等问题监察员的一项职责。</w:t>
      </w:r>
    </w:p>
    <w:p w:rsidR="001C7848" w:rsidRDefault="001C7848">
      <w:pPr>
        <w:pStyle w:val="H1"/>
        <w:spacing w:before="120"/>
        <w:jc w:val="both"/>
        <w:rPr>
          <w:rFonts w:hint="eastAsia"/>
        </w:rPr>
      </w:pPr>
      <w:bookmarkStart w:id="28" w:name="_Toc181766653"/>
      <w:bookmarkStart w:id="29" w:name="_Toc188785249"/>
      <w:r>
        <w:t>2.</w:t>
      </w:r>
      <w:bookmarkEnd w:id="28"/>
      <w:r>
        <w:rPr>
          <w:rFonts w:hint="eastAsia"/>
        </w:rPr>
        <w:t xml:space="preserve">  少数群体</w:t>
      </w:r>
      <w:bookmarkEnd w:id="29"/>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委员会最后在基于以前定期报告的结论中表示了对生活在芬兰的移民妇女和少数民族妇女，尤其是罗姆和萨米妇女持续受到歧视的关注，这些妇女因其性别和种族背景而受到双重歧视。</w:t>
      </w:r>
    </w:p>
    <w:p w:rsidR="001C7848" w:rsidRDefault="001C7848">
      <w:pPr>
        <w:pStyle w:val="H2"/>
        <w:rPr>
          <w:rFonts w:hint="eastAsia"/>
          <w:u w:val="single"/>
        </w:rPr>
      </w:pPr>
      <w:bookmarkStart w:id="30" w:name="_Toc181766654"/>
      <w:bookmarkStart w:id="31" w:name="_Toc188785250"/>
      <w:r>
        <w:t xml:space="preserve">2.1.  </w:t>
      </w:r>
      <w:bookmarkEnd w:id="30"/>
      <w:r>
        <w:rPr>
          <w:rFonts w:hint="eastAsia"/>
          <w:u w:val="single"/>
        </w:rPr>
        <w:t>罗姆妇女</w:t>
      </w:r>
      <w:bookmarkEnd w:id="31"/>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根据罗姆人事务咨询委员会的看法，芬兰罗姆人的生活条件和平等问题在过去几年已有定期的改进。首先很明显的是，在罗姆人参加的活动中，考虑到了制定和加强立法并向有关机构分配资源。按</w:t>
      </w:r>
      <w:r>
        <w:rPr>
          <w:rFonts w:hint="eastAsia"/>
          <w:szCs w:val="30"/>
          <w:lang w:val="en-GB"/>
        </w:rPr>
        <w:t>2004</w:t>
      </w:r>
      <w:r>
        <w:rPr>
          <w:rFonts w:hint="eastAsia"/>
          <w:szCs w:val="30"/>
          <w:lang w:val="en-GB"/>
        </w:rPr>
        <w:t>年生效的《不歧视法》规定，政府当局有责任制定不歧视计划，委员会认为，这是为罗姆人提供更多的服务和提高其平等地位的一种积极手段。</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罗姆人事务咨询委员会认为，虽然对立法进行了更新和修改，但罗姆妇女在劳动力市场及获得私营部门的服务方面仍然受到歧视。罗姆妇女的民族服装，尤其会带来歧视。另一方面，罗姆妇女比以前更了解自己的权利。关于就业机会，罗姆人事务咨询委员会认为，主要罗姆妇女的教育水平低下给她们就业造成了困难。</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2005</w:t>
      </w:r>
      <w:r>
        <w:rPr>
          <w:rFonts w:hint="eastAsia"/>
          <w:szCs w:val="30"/>
          <w:lang w:val="en-GB"/>
        </w:rPr>
        <w:t>年少数群体权利监察员的年度报告对罗姆人面临的住房问题表示关注，报告涉及</w:t>
      </w:r>
      <w:r>
        <w:rPr>
          <w:rFonts w:hint="eastAsia"/>
          <w:szCs w:val="30"/>
          <w:lang w:val="en-GB"/>
        </w:rPr>
        <w:t>2005</w:t>
      </w:r>
      <w:r>
        <w:rPr>
          <w:rFonts w:hint="eastAsia"/>
          <w:szCs w:val="30"/>
          <w:lang w:val="en-GB"/>
        </w:rPr>
        <w:t>年监察员办公室悬而未决的</w:t>
      </w:r>
      <w:r>
        <w:rPr>
          <w:rFonts w:hint="eastAsia"/>
          <w:szCs w:val="30"/>
          <w:lang w:val="en-GB"/>
        </w:rPr>
        <w:t>70</w:t>
      </w:r>
      <w:r>
        <w:rPr>
          <w:rFonts w:hint="eastAsia"/>
          <w:szCs w:val="30"/>
          <w:lang w:val="en-GB"/>
        </w:rPr>
        <w:t>个案例。向监察员举报的案件大多涉及单身母亲及其子女，她们面临着经济困难和其他与住房、驱逐和无家可归相关的日常问题。罗姆妇女的境况对其子女具有影响。由于生活不稳定，其子女在接受教育方面处于不利地位。</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一般而言，芬兰支助和服务组织也向罗姆妇女提供了适当的援助。例如，母亲和婴儿诊所提供的服务、产妇津贴和研究补助金等，实际上也是针对全体人民的福利，旨在维持每一个人在各种生活条件下的基本收入水平。</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罗姆妇女失业率比主要人口失业率要高。据罗姆人事务咨询委员会称，这种情况与国家的整个经济和就业形势无直接关系，主要是由于罗姆人对妇女的态度和普遍低下的教育水平。尽管如此，在罗姆妇女的就业方面仍取得了明显进展，尤其是年轻妇女和女童，比以往更加积极参加补充教育和成人教育。关于成人大学生，在其学习期间，子女日托和生活费成了问题。劳动部已对罗姆人就业情况展开了调查。该调查预定于</w:t>
      </w:r>
      <w:r>
        <w:rPr>
          <w:rFonts w:hint="eastAsia"/>
          <w:szCs w:val="30"/>
          <w:lang w:val="en-GB"/>
        </w:rPr>
        <w:t>2007</w:t>
      </w:r>
      <w:r>
        <w:rPr>
          <w:rFonts w:hint="eastAsia"/>
          <w:szCs w:val="30"/>
          <w:lang w:val="en-GB"/>
        </w:rPr>
        <w:t>年年底完成。</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为子女安排日托是妇女就业的关键条件。在社会事务和卫生领域，发展对罗姆人的服务与罗姆儿童的学前教育紧密相连。在</w:t>
      </w:r>
      <w:r>
        <w:rPr>
          <w:rFonts w:hint="eastAsia"/>
          <w:szCs w:val="30"/>
          <w:lang w:val="en-GB"/>
        </w:rPr>
        <w:t>2003</w:t>
      </w:r>
      <w:r>
        <w:rPr>
          <w:rFonts w:hint="eastAsia"/>
          <w:szCs w:val="30"/>
          <w:lang w:val="en-GB"/>
        </w:rPr>
        <w:t>年学前教育新的核心课程（国家福利、卫生和资金研究与发展中心，指南</w:t>
      </w:r>
      <w:r>
        <w:rPr>
          <w:rFonts w:hint="eastAsia"/>
          <w:szCs w:val="30"/>
          <w:lang w:val="en-GB"/>
        </w:rPr>
        <w:t>26</w:t>
      </w:r>
      <w:r>
        <w:rPr>
          <w:rFonts w:hint="eastAsia"/>
          <w:szCs w:val="30"/>
          <w:lang w:val="en-GB"/>
        </w:rPr>
        <w:t>）中，首次考虑了罗姆儿童作为拥有本民族语言和文化的群体的需要。此外，市政当局已受邀申请项目，资助针对语言和文化少数群体的服务，该项目来自于社会事务部门于</w:t>
      </w:r>
      <w:r>
        <w:rPr>
          <w:rFonts w:hint="eastAsia"/>
          <w:szCs w:val="30"/>
          <w:lang w:val="en-GB"/>
        </w:rPr>
        <w:t>2003</w:t>
      </w:r>
      <w:r>
        <w:rPr>
          <w:rFonts w:hint="eastAsia"/>
          <w:szCs w:val="30"/>
          <w:lang w:val="en-GB"/>
        </w:rPr>
        <w:t>年启动的发展方案。事实上，在</w:t>
      </w:r>
      <w:r>
        <w:rPr>
          <w:rFonts w:hint="eastAsia"/>
          <w:szCs w:val="30"/>
          <w:lang w:val="en-GB"/>
        </w:rPr>
        <w:t>2004-2005</w:t>
      </w:r>
      <w:r>
        <w:rPr>
          <w:rFonts w:hint="eastAsia"/>
          <w:szCs w:val="30"/>
          <w:lang w:val="en-GB"/>
        </w:rPr>
        <w:t>年期间，罗姆儿童的三项学前教育项目已经启动。这些项目旨在提高罗姆儿童在学前教育和初等教育中很低的参与水平。</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关于芬兰罗姆人的民间活动，值得注意的是，罗姆妇女积极参与了各种组织活动。</w:t>
      </w:r>
      <w:r>
        <w:rPr>
          <w:rFonts w:hint="eastAsia"/>
          <w:szCs w:val="30"/>
          <w:lang w:val="en-GB"/>
        </w:rPr>
        <w:t>2006</w:t>
      </w:r>
      <w:r>
        <w:rPr>
          <w:rFonts w:hint="eastAsia"/>
          <w:szCs w:val="30"/>
          <w:lang w:val="en-GB"/>
        </w:rPr>
        <w:t>年，有两个罗姆妇女组织最先在芬兰成立，其中一个是全国性妇女组织——基督教罗姆妇女协会</w:t>
      </w:r>
      <w:r>
        <w:rPr>
          <w:szCs w:val="30"/>
          <w:lang w:val="en-GB"/>
        </w:rPr>
        <w:t xml:space="preserve">Kromanary </w:t>
      </w:r>
      <w:r>
        <w:rPr>
          <w:rFonts w:hint="eastAsia"/>
          <w:szCs w:val="30"/>
          <w:lang w:val="en-GB"/>
        </w:rPr>
        <w:t>，另一个是当地妇女组织，即罗姆妇女协会</w:t>
      </w:r>
      <w:r>
        <w:rPr>
          <w:szCs w:val="30"/>
          <w:lang w:val="en-GB"/>
        </w:rPr>
        <w:t>Jyväskylä</w:t>
      </w:r>
      <w:r>
        <w:rPr>
          <w:rFonts w:hint="eastAsia"/>
          <w:szCs w:val="30"/>
          <w:lang w:val="en-GB"/>
        </w:rPr>
        <w:t>。此外，芬兰罗姆人论坛最近于</w:t>
      </w:r>
      <w:r>
        <w:rPr>
          <w:rFonts w:hint="eastAsia"/>
          <w:szCs w:val="30"/>
          <w:lang w:val="en-GB"/>
        </w:rPr>
        <w:t>2007</w:t>
      </w:r>
      <w:r>
        <w:rPr>
          <w:rFonts w:hint="eastAsia"/>
          <w:szCs w:val="30"/>
          <w:lang w:val="en-GB"/>
        </w:rPr>
        <w:t>年</w:t>
      </w:r>
      <w:r>
        <w:rPr>
          <w:rFonts w:hint="eastAsia"/>
          <w:szCs w:val="30"/>
          <w:lang w:val="en-GB"/>
        </w:rPr>
        <w:t>3</w:t>
      </w:r>
      <w:r>
        <w:rPr>
          <w:rFonts w:hint="eastAsia"/>
          <w:szCs w:val="30"/>
          <w:lang w:val="en-GB"/>
        </w:rPr>
        <w:t>月</w:t>
      </w:r>
      <w:r>
        <w:rPr>
          <w:rFonts w:hint="eastAsia"/>
          <w:szCs w:val="30"/>
          <w:lang w:val="en-GB"/>
        </w:rPr>
        <w:t>24</w:t>
      </w:r>
      <w:r>
        <w:rPr>
          <w:rFonts w:hint="eastAsia"/>
          <w:szCs w:val="30"/>
          <w:lang w:val="en-GB"/>
        </w:rPr>
        <w:t>日成立。</w:t>
      </w:r>
    </w:p>
    <w:p w:rsidR="001C7848" w:rsidRDefault="001C7848">
      <w:pPr>
        <w:pStyle w:val="H2"/>
        <w:rPr>
          <w:rFonts w:hint="eastAsia"/>
          <w:u w:val="single"/>
        </w:rPr>
      </w:pPr>
      <w:bookmarkStart w:id="32" w:name="_Toc181766655"/>
      <w:bookmarkStart w:id="33" w:name="_Toc188785251"/>
      <w:r>
        <w:t>2.2.</w:t>
      </w:r>
      <w:bookmarkEnd w:id="32"/>
      <w:r>
        <w:rPr>
          <w:rFonts w:hint="eastAsia"/>
        </w:rPr>
        <w:t xml:space="preserve"> </w:t>
      </w:r>
      <w:r>
        <w:rPr>
          <w:rFonts w:hint="eastAsia"/>
          <w:u w:val="single"/>
        </w:rPr>
        <w:t>移民妇女</w:t>
      </w:r>
      <w:bookmarkEnd w:id="33"/>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多元文化妇女协会</w:t>
      </w:r>
      <w:r>
        <w:rPr>
          <w:szCs w:val="30"/>
          <w:lang w:val="en-GB"/>
        </w:rPr>
        <w:t>Monika- Naiset liittory</w:t>
      </w:r>
      <w:r>
        <w:rPr>
          <w:rFonts w:hint="eastAsia"/>
          <w:szCs w:val="30"/>
          <w:lang w:val="en-GB"/>
        </w:rPr>
        <w:t>成立于</w:t>
      </w:r>
      <w:r>
        <w:rPr>
          <w:rFonts w:hint="eastAsia"/>
          <w:szCs w:val="30"/>
          <w:lang w:val="en-GB"/>
        </w:rPr>
        <w:t>1998</w:t>
      </w:r>
      <w:r>
        <w:rPr>
          <w:rFonts w:hint="eastAsia"/>
          <w:szCs w:val="30"/>
          <w:lang w:val="en-GB"/>
        </w:rPr>
        <w:t>年，其目的是提高芬兰移民妇女的地位，并为移民妇女及其子女提供更多的服务，这些人是伴侣或亲密关系暴力行为的受害者。协会努力防止排斥移民妇女，并帮助她们融入芬兰社会，同时还与其他组织合作加强这方面工作。作为芬兰移民妇女的一个保护组织，该协会在全国有</w:t>
      </w:r>
      <w:r>
        <w:rPr>
          <w:rFonts w:hint="eastAsia"/>
          <w:szCs w:val="30"/>
          <w:lang w:val="en-GB"/>
        </w:rPr>
        <w:t>14</w:t>
      </w:r>
      <w:r>
        <w:rPr>
          <w:rFonts w:hint="eastAsia"/>
          <w:szCs w:val="30"/>
          <w:lang w:val="en-GB"/>
        </w:rPr>
        <w:t>个成员组织。</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在为编写本定期报告提交的说明中，</w:t>
      </w:r>
      <w:r>
        <w:rPr>
          <w:szCs w:val="30"/>
          <w:lang w:val="en-GB"/>
        </w:rPr>
        <w:t xml:space="preserve">Monika-Naiset liittory </w:t>
      </w:r>
      <w:r>
        <w:rPr>
          <w:rFonts w:hint="eastAsia"/>
          <w:szCs w:val="30"/>
          <w:lang w:val="en-GB"/>
        </w:rPr>
        <w:t>强调了芬兰语不熟练在芬兰寻找工作的困难。如果妇女得不到积极参与职业生活的机会，她和家人的福利就会受到损失。这尤其会对儿童和未成年人产生影响。</w:t>
      </w:r>
      <w:r>
        <w:rPr>
          <w:szCs w:val="30"/>
          <w:lang w:val="en-GB"/>
        </w:rPr>
        <w:t xml:space="preserve">Monika-Naiset liittory </w:t>
      </w:r>
      <w:r>
        <w:rPr>
          <w:rFonts w:hint="eastAsia"/>
          <w:szCs w:val="30"/>
          <w:lang w:val="en-GB"/>
        </w:rPr>
        <w:t>指出，移民的收入比主要人口的收入低三分之二。根据调查，移民妇女在劳动力市场处于最弱势的地位，而且在劳动力市场不景气的情况下，这些妇女会最先被裁掉。</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在为编写本定期报告提交的说明中，芬兰妇发基金委员会指出：在芬兰，移民妇女甚至对自己的母语也完全不能读写，这给她们学习芬兰语造成了更大的困难，因此难以融入芬兰社会和利用芬兰所提供的服务。</w:t>
      </w:r>
    </w:p>
    <w:p w:rsidR="001C7848" w:rsidRDefault="001C7848">
      <w:pPr>
        <w:pStyle w:val="H2"/>
        <w:rPr>
          <w:rFonts w:hint="eastAsia"/>
          <w:u w:val="single"/>
        </w:rPr>
      </w:pPr>
      <w:bookmarkStart w:id="34" w:name="_Toc181766656"/>
      <w:bookmarkStart w:id="35" w:name="_Toc188785252"/>
      <w:r>
        <w:t>2.3.</w:t>
      </w:r>
      <w:r>
        <w:rPr>
          <w:rFonts w:hint="eastAsia"/>
        </w:rPr>
        <w:t xml:space="preserve">  </w:t>
      </w:r>
      <w:r>
        <w:rPr>
          <w:rFonts w:hint="eastAsia"/>
          <w:u w:val="single"/>
        </w:rPr>
        <w:t>残疾妇女</w:t>
      </w:r>
      <w:bookmarkEnd w:id="34"/>
      <w:bookmarkEnd w:id="35"/>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2006</w:t>
      </w:r>
      <w:r>
        <w:rPr>
          <w:rFonts w:hint="eastAsia"/>
          <w:szCs w:val="30"/>
          <w:lang w:val="en-GB"/>
        </w:rPr>
        <w:t>年</w:t>
      </w:r>
      <w:r>
        <w:rPr>
          <w:rFonts w:hint="eastAsia"/>
          <w:szCs w:val="30"/>
          <w:lang w:val="en-GB"/>
        </w:rPr>
        <w:t>5</w:t>
      </w:r>
      <w:r>
        <w:rPr>
          <w:rFonts w:hint="eastAsia"/>
          <w:szCs w:val="30"/>
          <w:lang w:val="en-GB"/>
        </w:rPr>
        <w:t>月，芬兰政府向议会提交了关于残疾人政策的初次报告。</w:t>
      </w:r>
      <w:r>
        <w:rPr>
          <w:lang w:val="en-GB"/>
        </w:rPr>
        <w:footnoteReference w:id="6"/>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作为残疾人政策报告的一部分，国家残疾人委员会开展了一项调查研究，</w:t>
      </w:r>
      <w:r>
        <w:rPr>
          <w:vertAlign w:val="superscript"/>
        </w:rPr>
        <w:footnoteReference w:id="7"/>
      </w:r>
      <w:r>
        <w:rPr>
          <w:rFonts w:hint="eastAsia"/>
          <w:szCs w:val="30"/>
          <w:lang w:val="en-GB"/>
        </w:rPr>
        <w:t>目的是了解芬兰各残疾人组织的看法。在接受调查的组织中，有</w:t>
      </w:r>
      <w:r>
        <w:rPr>
          <w:rFonts w:hint="eastAsia"/>
          <w:szCs w:val="30"/>
          <w:lang w:val="en-GB"/>
        </w:rPr>
        <w:t>80%</w:t>
      </w:r>
      <w:r>
        <w:rPr>
          <w:rFonts w:hint="eastAsia"/>
          <w:szCs w:val="30"/>
          <w:lang w:val="en-GB"/>
        </w:rPr>
        <w:t>认为人们对残疾人和残疾的态度普遍有好转，但对残疾人仍抱有一成不变的定型观念。残疾人被视为同一种人，没有类别、性别或个性上的差异。一般来说，人们普遍将残疾妇女排在第一，妇女排在第二。</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残疾人政策报告强调，残疾人有权享受平等待遇、参加各种活动和在必要的支助措施下获得支助。残疾妇女有权学习和工作、拥有收入、享受家庭生活和从事各种爱好，并有权作为社会正式成员发表自己的意见。</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rFonts w:hint="eastAsia"/>
          <w:szCs w:val="30"/>
          <w:lang w:val="en-GB"/>
        </w:rPr>
      </w:pPr>
      <w:r>
        <w:rPr>
          <w:rFonts w:hint="eastAsia"/>
          <w:szCs w:val="30"/>
          <w:lang w:val="en-GB"/>
        </w:rPr>
        <w:t>社会事务和卫生部对将性别观点纳入芬兰国家行政部门主流的工作进行了调查。</w:t>
      </w:r>
      <w:r>
        <w:rPr>
          <w:lang w:val="en-GB"/>
        </w:rPr>
        <w:footnoteReference w:id="8"/>
      </w:r>
      <w:r>
        <w:rPr>
          <w:rFonts w:hint="eastAsia"/>
          <w:szCs w:val="30"/>
          <w:lang w:val="en-GB"/>
        </w:rPr>
        <w:t>但在编制统计数据和信息方面仍没有充分考虑到妇女的观点。特别是关于残疾妇女的信息很少。</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en-GB"/>
        </w:rPr>
      </w:pPr>
      <w:r>
        <w:rPr>
          <w:rFonts w:hint="eastAsia"/>
          <w:szCs w:val="30"/>
          <w:lang w:val="en-GB"/>
        </w:rPr>
        <w:t>以“残疾妇女应出现在所有舞台”为主题的研讨会是芬兰残疾妇女在</w:t>
      </w:r>
      <w:r>
        <w:rPr>
          <w:rFonts w:hint="eastAsia"/>
          <w:szCs w:val="30"/>
          <w:lang w:val="en-GB"/>
        </w:rPr>
        <w:t>2003</w:t>
      </w:r>
      <w:r>
        <w:rPr>
          <w:rFonts w:hint="eastAsia"/>
          <w:szCs w:val="30"/>
          <w:lang w:val="en-GB"/>
        </w:rPr>
        <w:t>年欧洲残疾人年框架内组织的一次最重要的活动。这次活动由芬兰行动不便残疾人协会、门槛协会、芬兰视障者联合会、芬兰多发性硬化症协会、芬兰听力困难者联合会、芬兰关节炎协会以及全国残疾人理事会共同举办。在研讨会的努力下，成立了一个残疾妇女组织网络。该网络有</w:t>
      </w:r>
      <w:r>
        <w:rPr>
          <w:rFonts w:hint="eastAsia"/>
          <w:szCs w:val="30"/>
          <w:lang w:val="en-GB"/>
        </w:rPr>
        <w:t>14</w:t>
      </w:r>
      <w:r>
        <w:rPr>
          <w:rFonts w:hint="eastAsia"/>
          <w:szCs w:val="30"/>
          <w:lang w:val="en-GB"/>
        </w:rPr>
        <w:t>个不同机构，包括感官、心理、大脑损伤和身体残疾主要防治组织以及国家残疾人理事会、芬兰残疾人论坛和残疾移民支助中心。该网络的核心目标将纳入妇女组织部门的主流。该网络承担的第一项任务是针对残疾妇女的具体情况制定目标方案。目标方案公布活动在议会以</w:t>
      </w:r>
      <w:r>
        <w:rPr>
          <w:rFonts w:hint="eastAsia"/>
          <w:szCs w:val="30"/>
          <w:lang w:val="en-GB"/>
        </w:rPr>
        <w:t>2006</w:t>
      </w:r>
      <w:r>
        <w:rPr>
          <w:rFonts w:hint="eastAsia"/>
          <w:szCs w:val="30"/>
          <w:lang w:val="en-GB"/>
        </w:rPr>
        <w:t>年国际妇女节“我本来就是个女人”为主题举行。</w:t>
      </w:r>
    </w:p>
    <w:p w:rsidR="001C7848" w:rsidRDefault="001C7848">
      <w:pPr>
        <w:pStyle w:val="HCh"/>
        <w:jc w:val="both"/>
        <w:rPr>
          <w:rFonts w:hint="eastAsia"/>
        </w:rPr>
      </w:pPr>
      <w:r>
        <w:br w:type="page"/>
      </w:r>
      <w:bookmarkStart w:id="36" w:name="_Toc188785253"/>
      <w:r>
        <w:rPr>
          <w:rFonts w:hint="eastAsia"/>
        </w:rPr>
        <w:t>第3条</w:t>
      </w:r>
      <w:bookmarkEnd w:id="36"/>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缔约各国应承担在所有领域，特别是在政治、社会、经济、文化领域，采取一切适当措施，包括制定法律，保证妇女得到充分发展和进步，以确保妇女在与男子平等的基础上，行使和享有人权和基本自由。</w:t>
      </w:r>
    </w:p>
    <w:p w:rsidR="001C7848" w:rsidRDefault="001C7848">
      <w:pPr>
        <w:pStyle w:val="H1"/>
        <w:spacing w:before="120"/>
        <w:jc w:val="both"/>
        <w:rPr>
          <w:rFonts w:hint="eastAsia"/>
        </w:rPr>
      </w:pPr>
      <w:bookmarkStart w:id="37" w:name="_Toc181766658"/>
      <w:bookmarkStart w:id="38" w:name="_Toc188785254"/>
      <w:r>
        <w:t xml:space="preserve">1.  </w:t>
      </w:r>
      <w:r>
        <w:rPr>
          <w:rFonts w:hint="eastAsia"/>
        </w:rPr>
        <w:t>政府2003-2007年方案</w:t>
      </w:r>
      <w:bookmarkEnd w:id="37"/>
      <w:bookmarkEnd w:id="38"/>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lang w:val="fi-FI"/>
        </w:rPr>
      </w:pPr>
      <w:r>
        <w:rPr>
          <w:rFonts w:hint="eastAsia"/>
          <w:color w:val="000000"/>
          <w:szCs w:val="30"/>
        </w:rPr>
        <w:t>由</w:t>
      </w:r>
      <w:r>
        <w:rPr>
          <w:color w:val="000000"/>
          <w:szCs w:val="30"/>
        </w:rPr>
        <w:t>马蒂万哈宁总理</w:t>
      </w:r>
      <w:r>
        <w:rPr>
          <w:rFonts w:hint="eastAsia"/>
          <w:color w:val="000000"/>
          <w:szCs w:val="30"/>
        </w:rPr>
        <w:t>领导的</w:t>
      </w:r>
      <w:r>
        <w:rPr>
          <w:color w:val="000000"/>
          <w:szCs w:val="30"/>
        </w:rPr>
        <w:t>第</w:t>
      </w:r>
      <w:r>
        <w:rPr>
          <w:rFonts w:hint="eastAsia"/>
          <w:color w:val="000000"/>
          <w:szCs w:val="30"/>
        </w:rPr>
        <w:t>一</w:t>
      </w:r>
      <w:r>
        <w:rPr>
          <w:color w:val="000000"/>
          <w:szCs w:val="30"/>
        </w:rPr>
        <w:t>届政府</w:t>
      </w:r>
      <w:r>
        <w:rPr>
          <w:rFonts w:hint="eastAsia"/>
          <w:color w:val="000000"/>
          <w:szCs w:val="30"/>
        </w:rPr>
        <w:t>（</w:t>
      </w:r>
      <w:r>
        <w:rPr>
          <w:rFonts w:hint="eastAsia"/>
          <w:color w:val="000000"/>
          <w:szCs w:val="30"/>
        </w:rPr>
        <w:t>2003-2007</w:t>
      </w:r>
      <w:r>
        <w:rPr>
          <w:rFonts w:hint="eastAsia"/>
          <w:color w:val="000000"/>
          <w:szCs w:val="30"/>
        </w:rPr>
        <w:t>年）在</w:t>
      </w:r>
      <w:r>
        <w:rPr>
          <w:color w:val="000000"/>
          <w:szCs w:val="30"/>
        </w:rPr>
        <w:t>政</w:t>
      </w:r>
      <w:r>
        <w:rPr>
          <w:rFonts w:hint="eastAsia"/>
          <w:color w:val="000000"/>
          <w:szCs w:val="30"/>
        </w:rPr>
        <w:t>府</w:t>
      </w:r>
      <w:r>
        <w:rPr>
          <w:color w:val="000000"/>
          <w:szCs w:val="30"/>
        </w:rPr>
        <w:t>方案</w:t>
      </w:r>
      <w:r>
        <w:rPr>
          <w:rFonts w:hint="eastAsia"/>
          <w:color w:val="000000"/>
          <w:szCs w:val="30"/>
        </w:rPr>
        <w:t>中确定</w:t>
      </w:r>
      <w:r>
        <w:rPr>
          <w:rFonts w:hint="eastAsia"/>
          <w:szCs w:val="30"/>
        </w:rPr>
        <w:t>了促进实现平等的各项目标。芬兰政府已致力于制定一项实现平等国家行动计划，并申明促进两性平等是整个政府的责任。根据政府方案和《北京行动纲要》的重点，芬兰政府拟订了实现平等国家行动计划框架，其中包括近</w:t>
      </w:r>
      <w:r>
        <w:rPr>
          <w:rFonts w:hint="eastAsia"/>
          <w:szCs w:val="30"/>
        </w:rPr>
        <w:t>100</w:t>
      </w:r>
      <w:r>
        <w:rPr>
          <w:rFonts w:hint="eastAsia"/>
          <w:szCs w:val="30"/>
        </w:rPr>
        <w:t>项促进平等的措施。在行动计划准备阶段，政府组织了两场听证会，听取非政府组织的意见，并寄发了计划草案以征求各方意见。</w:t>
      </w:r>
      <w:r>
        <w:rPr>
          <w:rFonts w:hint="eastAsia"/>
          <w:szCs w:val="30"/>
        </w:rPr>
        <w:t>2004</w:t>
      </w:r>
      <w:r>
        <w:rPr>
          <w:rFonts w:hint="eastAsia"/>
          <w:szCs w:val="30"/>
        </w:rPr>
        <w:t>年</w:t>
      </w:r>
      <w:r>
        <w:rPr>
          <w:rFonts w:hint="eastAsia"/>
          <w:szCs w:val="30"/>
        </w:rPr>
        <w:t>12</w:t>
      </w:r>
      <w:r>
        <w:rPr>
          <w:rFonts w:hint="eastAsia"/>
          <w:szCs w:val="30"/>
        </w:rPr>
        <w:t>月，该计划作为国务委员会的一项原则决定被政府采纳。计划中规定的措施在</w:t>
      </w:r>
      <w:r>
        <w:rPr>
          <w:rFonts w:hint="eastAsia"/>
          <w:szCs w:val="30"/>
        </w:rPr>
        <w:t>2003-2007</w:t>
      </w:r>
      <w:r>
        <w:rPr>
          <w:rFonts w:hint="eastAsia"/>
          <w:szCs w:val="30"/>
        </w:rPr>
        <w:t>年期间实施。</w:t>
      </w:r>
    </w:p>
    <w:p w:rsidR="001C7848" w:rsidRDefault="001C7848" w:rsidP="001C7848">
      <w:pPr>
        <w:numPr>
          <w:ilvl w:val="0"/>
          <w:numId w:val="12"/>
        </w:numPr>
        <w:tabs>
          <w:tab w:val="clear" w:pos="360"/>
          <w:tab w:val="left" w:pos="600"/>
        </w:tabs>
        <w:overflowPunct w:val="0"/>
        <w:autoSpaceDE w:val="0"/>
        <w:autoSpaceDN w:val="0"/>
        <w:spacing w:after="240" w:line="360" w:lineRule="exact"/>
        <w:ind w:left="0" w:right="-69" w:firstLine="0"/>
        <w:rPr>
          <w:szCs w:val="30"/>
        </w:rPr>
      </w:pPr>
      <w:r>
        <w:rPr>
          <w:rFonts w:hint="eastAsia"/>
          <w:szCs w:val="30"/>
        </w:rPr>
        <w:t>由于政府方案确定的平等目标很宏大</w:t>
      </w:r>
      <w:r>
        <w:rPr>
          <w:rFonts w:hint="eastAsia"/>
          <w:szCs w:val="30"/>
          <w:lang w:val="fi-FI"/>
        </w:rPr>
        <w:t>，所以</w:t>
      </w:r>
      <w:r>
        <w:rPr>
          <w:rFonts w:hint="eastAsia"/>
          <w:szCs w:val="30"/>
        </w:rPr>
        <w:t>实现平等国家行动计划范围相当广泛。其成果的最后评估证明，平等计划的大部分措施已得到落实，而且还根据其中的一些措施制定了补充措施。各部委平等计划联合工作组在贯彻政府平等计划和将平等观点主流化方面加强了行政部门间合作。各部委正着手成立处理相关平等问题的组织。</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在国有公司和部分由国家所有的公司董事会增加妇女人数，这是实现平等国家行动计划所确定的措施，这一措施将公司董事会妇女提名人数的比例平均提升了</w:t>
      </w:r>
      <w:r>
        <w:rPr>
          <w:rFonts w:hint="eastAsia"/>
          <w:szCs w:val="30"/>
        </w:rPr>
        <w:t>40%</w:t>
      </w:r>
      <w:r>
        <w:rPr>
          <w:rFonts w:hint="eastAsia"/>
          <w:szCs w:val="30"/>
        </w:rPr>
        <w:t>。在任期内，该届政府与主要劳动力市场组织合作，启动了同等价值工作同等报酬的三方方案，并加强了女企业家的地位。</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由雇主承担的雇员家事假开支日益降低。为使雇员更好地兼顾工作与家庭生活采取了另外一些便利措施，例如，组织有关人员在下午照看上小学的儿童，将临时留在家中照看生病子女的父母的权利扩大，使那些不和子女共同生活的父母也享有这种权利，改善养父母享受家事假的权利，以及将有残疾子女的父母的权利扩大，允许其请部分托儿假等。</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一种新的理念，即“男子与平等”，成为平等政策对话的主题。为了这一理念更加主流化，实现平等方案工作组努力与政府的各项政策方案配合，但这方面收效甚微。</w:t>
      </w:r>
    </w:p>
    <w:p w:rsidR="001C7848" w:rsidRDefault="001C7848">
      <w:pPr>
        <w:pStyle w:val="H1"/>
        <w:spacing w:before="120"/>
        <w:jc w:val="both"/>
        <w:rPr>
          <w:rFonts w:hint="eastAsia"/>
        </w:rPr>
      </w:pPr>
      <w:bookmarkStart w:id="39" w:name="_Toc181766659"/>
      <w:bookmarkStart w:id="40" w:name="_Toc188785255"/>
      <w:r>
        <w:t xml:space="preserve">2.  </w:t>
      </w:r>
      <w:r>
        <w:rPr>
          <w:rFonts w:hint="eastAsia"/>
        </w:rPr>
        <w:t>政府2007-2011年方案</w:t>
      </w:r>
      <w:bookmarkEnd w:id="39"/>
      <w:bookmarkEnd w:id="40"/>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lang w:val="en-GB"/>
        </w:rPr>
        <w:t>由马蒂万哈宁总理领导的第二届政府在政府方案（</w:t>
      </w:r>
      <w:r>
        <w:rPr>
          <w:rFonts w:hint="eastAsia"/>
          <w:szCs w:val="30"/>
          <w:lang w:val="en-GB"/>
        </w:rPr>
        <w:t>2007</w:t>
      </w:r>
      <w:r>
        <w:rPr>
          <w:rFonts w:hint="eastAsia"/>
          <w:szCs w:val="30"/>
          <w:lang w:val="en-GB"/>
        </w:rPr>
        <w:t>年</w:t>
      </w:r>
      <w:r>
        <w:rPr>
          <w:rFonts w:hint="eastAsia"/>
          <w:szCs w:val="30"/>
          <w:lang w:val="en-GB"/>
        </w:rPr>
        <w:t>4</w:t>
      </w:r>
      <w:r>
        <w:rPr>
          <w:rFonts w:hint="eastAsia"/>
          <w:szCs w:val="30"/>
          <w:lang w:val="en-GB"/>
        </w:rPr>
        <w:t>月</w:t>
      </w:r>
      <w:r>
        <w:rPr>
          <w:rFonts w:hint="eastAsia"/>
          <w:szCs w:val="30"/>
          <w:lang w:val="en-GB"/>
        </w:rPr>
        <w:t>16</w:t>
      </w:r>
      <w:r>
        <w:rPr>
          <w:rFonts w:hint="eastAsia"/>
          <w:szCs w:val="30"/>
          <w:lang w:val="en-GB"/>
        </w:rPr>
        <w:t>日公布）中专门增加了一个分章，题为“增进男女平等”。</w:t>
      </w:r>
      <w:r>
        <w:rPr>
          <w:rFonts w:hint="eastAsia"/>
          <w:szCs w:val="30"/>
        </w:rPr>
        <w:t>该方案指出，两性平等是芬兰社会的核心价值观，整个政府完全致力于在所有决策中促进两性平等。本届政府将落实上届政府为实施同等价值工作同等报酬原则所启动的三方方案，并实现明显降低基于性别的工资差别这一目标。</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政府方案表明，政府将促进妇女事业和提高妇女的领导地位，并减少劳动力市场基于性别的分工。所有决策都将促进工作与家庭生活的协调，并鼓励父亲进一步行使其休家事假的权利。育儿假将延长至两周。</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政府方案还说明，“政府将确保从一开始就将性别观点纳入法律起草、预算编制和其他重要项目的主流。各部委将组织培训，以促进这项工作。”在学前教育和师范教育中，将更加重视提高性别认识。性别观点还将纳入社会和卫生服务，并缩小卫生部门的两性差别。公共当局和妇女组织实现两性平等活动的条件和资源将得到加强。</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此外，政府将在选举期间向议会提交男女平等问题报告。政府将继续支持劳动力市场组织促进两性平等和平等报酬的活动。政府准备通过加强向市政部门的资金转移，支持市政部门的工资协议，以促进女性主导行业有酬工资的竞争性。</w:t>
      </w:r>
    </w:p>
    <w:p w:rsidR="001C7848" w:rsidRDefault="001C7848">
      <w:pPr>
        <w:pStyle w:val="H1"/>
        <w:spacing w:before="120"/>
        <w:jc w:val="both"/>
        <w:rPr>
          <w:rFonts w:hint="eastAsia"/>
        </w:rPr>
      </w:pPr>
      <w:bookmarkStart w:id="41" w:name="_Toc181766660"/>
      <w:bookmarkStart w:id="42" w:name="_Toc188785256"/>
      <w:r>
        <w:t xml:space="preserve">3.  </w:t>
      </w:r>
      <w:r>
        <w:rPr>
          <w:rFonts w:hint="eastAsia"/>
        </w:rPr>
        <w:t>将性别平等观点纳入芬兰国家行政部门的主流</w:t>
      </w:r>
      <w:bookmarkEnd w:id="41"/>
      <w:bookmarkEnd w:id="42"/>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芬兰致力于将性别观点纳入芬兰国家行政部门的主流，因为芬兰于</w:t>
      </w:r>
      <w:r>
        <w:rPr>
          <w:rFonts w:hint="eastAsia"/>
          <w:szCs w:val="30"/>
        </w:rPr>
        <w:t>1995</w:t>
      </w:r>
      <w:r>
        <w:rPr>
          <w:rFonts w:hint="eastAsia"/>
          <w:szCs w:val="30"/>
        </w:rPr>
        <w:t>年签署了《联合国北京行动纲要》，并成为欧盟成员国，成立欧盟的《条约》要求将两性平等观点主流化。</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将两性平等观点纳入国家行政部门主流的目标是建立行政和业务程序，将支</w:t>
      </w:r>
      <w:r>
        <w:rPr>
          <w:szCs w:val="30"/>
        </w:rPr>
        <w:t>持</w:t>
      </w:r>
      <w:r>
        <w:rPr>
          <w:rFonts w:hint="eastAsia"/>
          <w:szCs w:val="30"/>
        </w:rPr>
        <w:t>促进两性平等</w:t>
      </w:r>
      <w:r>
        <w:rPr>
          <w:szCs w:val="30"/>
        </w:rPr>
        <w:t>作为各部委和</w:t>
      </w:r>
      <w:r>
        <w:rPr>
          <w:rFonts w:hint="eastAsia"/>
          <w:szCs w:val="30"/>
        </w:rPr>
        <w:t>政府当局</w:t>
      </w:r>
      <w:r>
        <w:rPr>
          <w:szCs w:val="30"/>
        </w:rPr>
        <w:t>正常程序</w:t>
      </w:r>
      <w:r>
        <w:rPr>
          <w:rFonts w:hint="eastAsia"/>
          <w:szCs w:val="30"/>
        </w:rPr>
        <w:t>的一</w:t>
      </w:r>
      <w:r>
        <w:rPr>
          <w:szCs w:val="30"/>
        </w:rPr>
        <w:t>部分。</w:t>
      </w:r>
      <w:r>
        <w:rPr>
          <w:rFonts w:hint="eastAsia"/>
          <w:szCs w:val="30"/>
        </w:rPr>
        <w:t>从政治角度讲，将两性平等正式纳入国际准则、《平等条约》、政府方案和实现平等国家行动计划以来，主流化的作用更大了。</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目前，参与将性别观点主流化的行动者组织涵盖芬兰的所有部委。主流化由政府</w:t>
      </w:r>
      <w:r>
        <w:rPr>
          <w:rFonts w:hint="eastAsia"/>
          <w:szCs w:val="30"/>
        </w:rPr>
        <w:t>2003-2007</w:t>
      </w:r>
      <w:r>
        <w:rPr>
          <w:rFonts w:hint="eastAsia"/>
          <w:szCs w:val="30"/>
        </w:rPr>
        <w:t>年两性平等方案部际监测小组和各部委平等问题工作组实施。而且，各部委还有自己的平等问题联络人员。</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两性平等主流化的第一项措施是对现行两性平等立法的影响进行评估。</w:t>
      </w:r>
      <w:r>
        <w:rPr>
          <w:rFonts w:hint="eastAsia"/>
          <w:szCs w:val="30"/>
        </w:rPr>
        <w:t>2004</w:t>
      </w:r>
      <w:r>
        <w:rPr>
          <w:rFonts w:hint="eastAsia"/>
          <w:szCs w:val="30"/>
        </w:rPr>
        <w:t>年，社会事务和卫生部为评估两性立法的影响制定了国务委员会公务员指南。根据司法部关于起草政府法案的指示，必须对评估性别影响的必要性做出评价，作为制定立法的第一步，评价工作必须在必要时进行。从</w:t>
      </w:r>
      <w:r>
        <w:rPr>
          <w:rFonts w:hint="eastAsia"/>
          <w:szCs w:val="30"/>
        </w:rPr>
        <w:t>2004</w:t>
      </w:r>
      <w:r>
        <w:rPr>
          <w:rFonts w:hint="eastAsia"/>
          <w:szCs w:val="30"/>
        </w:rPr>
        <w:t>年开始，各部委还在性别主流化和性别影响评估方面合作组织了培训。</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各部委按政策框架和其他各部的方案合作，将性别平等问题纳入考虑范围。性别观点还被列入一些被认为与两性平等有关的单个项目和方案。社会事务和卫生部以及财政部共同进行了注重性别的预算编制工作。</w:t>
      </w:r>
      <w:r>
        <w:rPr>
          <w:rFonts w:hint="eastAsia"/>
          <w:szCs w:val="30"/>
        </w:rPr>
        <w:t>2008</w:t>
      </w:r>
      <w:r>
        <w:rPr>
          <w:rFonts w:hint="eastAsia"/>
          <w:szCs w:val="30"/>
        </w:rPr>
        <w:t>年国家预算编制按照新的指示，将性别观点纳入了考虑范围。性别影响评估与政府法案的起草和其他项目一起完成。性别观点还被列入绩效评估辅导工作。另外，还从性别观点出发编制了统计资料和数据。</w:t>
      </w:r>
    </w:p>
    <w:p w:rsidR="001C7848" w:rsidRDefault="001C7848">
      <w:pPr>
        <w:pStyle w:val="H1"/>
        <w:spacing w:before="120"/>
        <w:jc w:val="both"/>
        <w:rPr>
          <w:rFonts w:hint="eastAsia"/>
        </w:rPr>
      </w:pPr>
      <w:bookmarkStart w:id="43" w:name="_Toc181766661"/>
      <w:bookmarkStart w:id="44" w:name="_Toc188785257"/>
      <w:r>
        <w:t>4.</w:t>
      </w:r>
      <w:r>
        <w:rPr>
          <w:rFonts w:hint="eastAsia"/>
        </w:rPr>
        <w:t xml:space="preserve">  2004年性别晴雨表</w:t>
      </w:r>
      <w:bookmarkEnd w:id="43"/>
      <w:bookmarkEnd w:id="44"/>
    </w:p>
    <w:p w:rsidR="001C7848" w:rsidRDefault="001C7848" w:rsidP="001C7848">
      <w:pPr>
        <w:numPr>
          <w:ilvl w:val="0"/>
          <w:numId w:val="12"/>
        </w:numPr>
        <w:overflowPunct w:val="0"/>
        <w:autoSpaceDE w:val="0"/>
        <w:autoSpaceDN w:val="0"/>
        <w:spacing w:after="240" w:line="360" w:lineRule="exact"/>
        <w:ind w:left="0" w:right="-69" w:firstLine="0"/>
        <w:rPr>
          <w:szCs w:val="30"/>
          <w:lang w:val="fi-FI"/>
        </w:rPr>
      </w:pPr>
      <w:r>
        <w:rPr>
          <w:rFonts w:hint="eastAsia"/>
          <w:szCs w:val="30"/>
        </w:rPr>
        <w:t>由芬兰国家统计局完成的第三次芬兰性别晴雨表</w:t>
      </w:r>
      <w:r>
        <w:rPr>
          <w:rFonts w:hint="eastAsia"/>
          <w:szCs w:val="30"/>
        </w:rPr>
        <w:t xml:space="preserve"> </w:t>
      </w:r>
      <w:r>
        <w:rPr>
          <w:rStyle w:val="FootnoteReference"/>
          <w:szCs w:val="30"/>
          <w:lang w:val="fi-FI"/>
        </w:rPr>
        <w:footnoteReference w:id="9"/>
      </w:r>
      <w:r>
        <w:rPr>
          <w:rFonts w:hint="eastAsia"/>
          <w:szCs w:val="30"/>
          <w:lang w:val="fi-FI"/>
        </w:rPr>
        <w:t>于</w:t>
      </w:r>
      <w:r>
        <w:rPr>
          <w:rFonts w:hint="eastAsia"/>
          <w:szCs w:val="30"/>
          <w:lang w:val="fi-FI"/>
        </w:rPr>
        <w:t>2004</w:t>
      </w:r>
      <w:r>
        <w:rPr>
          <w:rFonts w:hint="eastAsia"/>
          <w:szCs w:val="30"/>
          <w:lang w:val="fi-FI"/>
        </w:rPr>
        <w:t>年公布。</w:t>
      </w:r>
      <w:r>
        <w:rPr>
          <w:rFonts w:hint="eastAsia"/>
          <w:szCs w:val="30"/>
        </w:rPr>
        <w:t>前两次于</w:t>
      </w:r>
      <w:r>
        <w:rPr>
          <w:rFonts w:hint="eastAsia"/>
          <w:szCs w:val="30"/>
        </w:rPr>
        <w:t>1998</w:t>
      </w:r>
      <w:r>
        <w:rPr>
          <w:rFonts w:hint="eastAsia"/>
          <w:szCs w:val="30"/>
        </w:rPr>
        <w:t>年和</w:t>
      </w:r>
      <w:r>
        <w:rPr>
          <w:rFonts w:hint="eastAsia"/>
          <w:szCs w:val="30"/>
        </w:rPr>
        <w:t>2001</w:t>
      </w:r>
      <w:r>
        <w:rPr>
          <w:rFonts w:hint="eastAsia"/>
          <w:szCs w:val="30"/>
        </w:rPr>
        <w:t>年公布。性别晴雨表是利用男女的评价、态度和个人经历研究两性间的工作分工和权力关系及其在当时社会状况中的可接受性。</w:t>
      </w:r>
      <w:r>
        <w:rPr>
          <w:szCs w:val="30"/>
        </w:rPr>
        <w:t xml:space="preserve"> </w:t>
      </w:r>
      <w:r>
        <w:rPr>
          <w:rFonts w:hint="eastAsia"/>
          <w:szCs w:val="30"/>
        </w:rPr>
        <w:t>不同时期所得结果的比较提供了两性间相互关系的持续和中断。性别晴雨表研究课题大致反映了芬兰关于两性平等的辩论。下一次的性别晴雨表预定于</w:t>
      </w:r>
      <w:r>
        <w:rPr>
          <w:rFonts w:hint="eastAsia"/>
          <w:szCs w:val="30"/>
        </w:rPr>
        <w:t>2008</w:t>
      </w:r>
      <w:r>
        <w:rPr>
          <w:rFonts w:hint="eastAsia"/>
          <w:szCs w:val="30"/>
        </w:rPr>
        <w:t>年完成。</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根据性别晴雨表</w:t>
      </w:r>
      <w:r>
        <w:rPr>
          <w:rFonts w:hint="eastAsia"/>
          <w:szCs w:val="30"/>
          <w:lang w:val="fi-FI"/>
        </w:rPr>
        <w:t>，</w:t>
      </w:r>
      <w:r>
        <w:rPr>
          <w:rFonts w:hint="eastAsia"/>
          <w:szCs w:val="30"/>
        </w:rPr>
        <w:t>芬兰妇女和男子大多同意共同分担家庭责任和日常家务，并共同抚养子女。</w:t>
      </w:r>
      <w:r>
        <w:rPr>
          <w:rFonts w:hint="eastAsia"/>
          <w:szCs w:val="30"/>
          <w:lang w:val="fi-FI"/>
        </w:rPr>
        <w:t>这种态度表明，在芬兰男女共同养家的模式已占主导地位并得到普及。尽管如此，</w:t>
      </w:r>
      <w:r>
        <w:rPr>
          <w:rFonts w:hint="eastAsia"/>
          <w:szCs w:val="30"/>
          <w:lang w:val="fi-FI"/>
        </w:rPr>
        <w:t>1998-2004</w:t>
      </w:r>
      <w:r>
        <w:rPr>
          <w:rFonts w:hint="eastAsia"/>
          <w:szCs w:val="30"/>
          <w:lang w:val="fi-FI"/>
        </w:rPr>
        <w:t>年的研究仍显示：妇</w:t>
      </w:r>
      <w:r>
        <w:rPr>
          <w:szCs w:val="30"/>
        </w:rPr>
        <w:t>女承担</w:t>
      </w:r>
      <w:r>
        <w:rPr>
          <w:rFonts w:hint="eastAsia"/>
          <w:szCs w:val="30"/>
        </w:rPr>
        <w:t>比男子</w:t>
      </w:r>
      <w:r>
        <w:rPr>
          <w:szCs w:val="30"/>
        </w:rPr>
        <w:t>更大的日常家庭责任</w:t>
      </w:r>
      <w:r>
        <w:rPr>
          <w:rFonts w:hint="eastAsia"/>
          <w:szCs w:val="30"/>
        </w:rPr>
        <w:t>这种情况并没有什么改变。</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性别睛雨表显示：直到</w:t>
      </w:r>
      <w:r>
        <w:rPr>
          <w:rFonts w:hint="eastAsia"/>
          <w:szCs w:val="30"/>
        </w:rPr>
        <w:t>2004</w:t>
      </w:r>
      <w:r>
        <w:rPr>
          <w:rFonts w:hint="eastAsia"/>
          <w:szCs w:val="30"/>
        </w:rPr>
        <w:t>年，在工作中请法定家事假更可能是妇女而非男子的权利。家事假特别适用于私营部门，而且请的家事假比严格控制的最低线要长。但是，自</w:t>
      </w:r>
      <w:r>
        <w:rPr>
          <w:rFonts w:hint="eastAsia"/>
          <w:szCs w:val="30"/>
        </w:rPr>
        <w:t>2001</w:t>
      </w:r>
      <w:r>
        <w:rPr>
          <w:rFonts w:hint="eastAsia"/>
          <w:szCs w:val="30"/>
        </w:rPr>
        <w:t>年性别晴雨表公布以来，情况已有好转。</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1998</w:t>
      </w:r>
      <w:r>
        <w:rPr>
          <w:rFonts w:hint="eastAsia"/>
          <w:szCs w:val="30"/>
        </w:rPr>
        <w:t>年到</w:t>
      </w:r>
      <w:r>
        <w:rPr>
          <w:rFonts w:hint="eastAsia"/>
          <w:szCs w:val="30"/>
        </w:rPr>
        <w:t>2001</w:t>
      </w:r>
      <w:r>
        <w:rPr>
          <w:rFonts w:hint="eastAsia"/>
          <w:szCs w:val="30"/>
        </w:rPr>
        <w:t>年期间，妇女在某些生活领域遇到的一些异性，往往对她们持轻视或伤害的态度，这种情况十分严重。到</w:t>
      </w:r>
      <w:r>
        <w:rPr>
          <w:rFonts w:hint="eastAsia"/>
          <w:szCs w:val="30"/>
        </w:rPr>
        <w:t>2004</w:t>
      </w:r>
      <w:r>
        <w:rPr>
          <w:rFonts w:hint="eastAsia"/>
          <w:szCs w:val="30"/>
        </w:rPr>
        <w:t>年，无论是女性还是男性，遭遇到异性这种行为的情况越来越多了。但是，即使在</w:t>
      </w:r>
      <w:r>
        <w:rPr>
          <w:rFonts w:hint="eastAsia"/>
          <w:szCs w:val="30"/>
        </w:rPr>
        <w:t>2004</w:t>
      </w:r>
      <w:r>
        <w:rPr>
          <w:rFonts w:hint="eastAsia"/>
          <w:szCs w:val="30"/>
        </w:rPr>
        <w:t>年，仍有二分之一的女性说在两年前遭受过男性的性骚扰。</w:t>
      </w:r>
    </w:p>
    <w:p w:rsidR="001C7848" w:rsidRDefault="001C7848">
      <w:pPr>
        <w:pStyle w:val="H1"/>
        <w:spacing w:before="120"/>
        <w:jc w:val="both"/>
        <w:rPr>
          <w:rFonts w:hint="eastAsia"/>
        </w:rPr>
      </w:pPr>
      <w:bookmarkStart w:id="45" w:name="_Toc181766662"/>
      <w:bookmarkStart w:id="46" w:name="_Toc188785258"/>
      <w:r>
        <w:t>5.</w:t>
      </w:r>
      <w:r>
        <w:rPr>
          <w:rFonts w:hint="eastAsia"/>
        </w:rPr>
        <w:t xml:space="preserve">  芬兰作为国际行动者</w:t>
      </w:r>
      <w:bookmarkEnd w:id="45"/>
      <w:bookmarkEnd w:id="46"/>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根据芬兰发展政策指导方针和平等战略（</w:t>
      </w:r>
      <w:r>
        <w:rPr>
          <w:rFonts w:hint="eastAsia"/>
          <w:szCs w:val="30"/>
        </w:rPr>
        <w:t>2003-2007</w:t>
      </w:r>
      <w:r>
        <w:rPr>
          <w:rFonts w:hint="eastAsia"/>
          <w:szCs w:val="30"/>
        </w:rPr>
        <w:t>年），芬兰支持实现妇女的权利，将平等观点纳入所有项目和活动的主流，实施旨在支持妇女权利和防止对妇女的暴力的特殊项目。</w:t>
      </w:r>
      <w:r>
        <w:rPr>
          <w:rFonts w:hint="eastAsia"/>
          <w:szCs w:val="30"/>
        </w:rPr>
        <w:t xml:space="preserve"> </w:t>
      </w:r>
      <w:r>
        <w:rPr>
          <w:rFonts w:hint="eastAsia"/>
          <w:szCs w:val="30"/>
        </w:rPr>
        <w:t>妇女权利与平等还是芬兰在各个领域推行发展合作政策的主题；政府的一切活动都必须考虑到平等问题。</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芬兰积极支持实现妇女的权利，为此，它从战略角度采取了各种不同的发展合作手段，如双边、多边和人道主义援助，预算援助，行业援助以及通过非政府组织提供的援助。</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除了向联合国组织提供一般性支持外，芬兰还支持妇发基金防止暴力侵害妇女的活动，艾滋病规划署针对妇女的艾滋病毒</w:t>
      </w:r>
      <w:r>
        <w:rPr>
          <w:rFonts w:hint="eastAsia"/>
          <w:szCs w:val="30"/>
        </w:rPr>
        <w:t>/</w:t>
      </w:r>
      <w:r>
        <w:rPr>
          <w:rFonts w:hint="eastAsia"/>
          <w:szCs w:val="30"/>
        </w:rPr>
        <w:t>艾滋病特别项目，以及</w:t>
      </w:r>
      <w:r>
        <w:rPr>
          <w:rFonts w:hint="eastAsia"/>
          <w:szCs w:val="30"/>
        </w:rPr>
        <w:t>UNFPAN</w:t>
      </w:r>
      <w:r>
        <w:rPr>
          <w:rFonts w:hint="eastAsia"/>
          <w:szCs w:val="30"/>
        </w:rPr>
        <w:t>基金的生殖保健项目。</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芬兰积极参与执行联合国安理会第</w:t>
      </w:r>
      <w:r>
        <w:rPr>
          <w:rFonts w:hint="eastAsia"/>
          <w:szCs w:val="30"/>
        </w:rPr>
        <w:t>1325</w:t>
      </w:r>
      <w:r>
        <w:rPr>
          <w:rFonts w:hint="eastAsia"/>
          <w:szCs w:val="30"/>
        </w:rPr>
        <w:t>号决议“妇女、和平与安全”。芬兰于</w:t>
      </w:r>
      <w:r>
        <w:rPr>
          <w:rFonts w:hint="eastAsia"/>
          <w:szCs w:val="30"/>
        </w:rPr>
        <w:t>2007</w:t>
      </w:r>
      <w:r>
        <w:rPr>
          <w:rFonts w:hint="eastAsia"/>
          <w:szCs w:val="30"/>
        </w:rPr>
        <w:t>年成立一个负责制定国家行动方案的工作组。此外，芬兰还</w:t>
      </w:r>
      <w:r>
        <w:rPr>
          <w:szCs w:val="30"/>
        </w:rPr>
        <w:t>资助</w:t>
      </w:r>
      <w:r>
        <w:rPr>
          <w:rFonts w:hint="eastAsia"/>
          <w:szCs w:val="30"/>
        </w:rPr>
        <w:t>联合国维和部</w:t>
      </w:r>
      <w:r>
        <w:rPr>
          <w:szCs w:val="30"/>
        </w:rPr>
        <w:t>聘请</w:t>
      </w:r>
      <w:r>
        <w:rPr>
          <w:rFonts w:hint="eastAsia"/>
          <w:szCs w:val="30"/>
        </w:rPr>
        <w:t>一名</w:t>
      </w:r>
      <w:r>
        <w:rPr>
          <w:szCs w:val="30"/>
        </w:rPr>
        <w:t>平等</w:t>
      </w:r>
      <w:r>
        <w:rPr>
          <w:rFonts w:hint="eastAsia"/>
          <w:szCs w:val="30"/>
        </w:rPr>
        <w:t>培训员，以提高参加维和行动人员对尊重妇女与女童权利重要性的认识。</w:t>
      </w:r>
    </w:p>
    <w:p w:rsidR="001C7848" w:rsidRDefault="001C7848">
      <w:pPr>
        <w:pStyle w:val="HCh"/>
        <w:jc w:val="both"/>
      </w:pPr>
      <w:bookmarkStart w:id="47" w:name="_Toc188785259"/>
      <w:r>
        <w:rPr>
          <w:rFonts w:hint="eastAsia"/>
        </w:rPr>
        <w:t>第4条</w:t>
      </w:r>
      <w:bookmarkEnd w:id="47"/>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1.</w:t>
      </w:r>
      <w:r>
        <w:rPr>
          <w:rFonts w:eastAsia="KaiTi_GB2312" w:hint="eastAsia"/>
          <w:iCs/>
          <w:color w:val="0000FF"/>
          <w:szCs w:val="30"/>
        </w:rPr>
        <w:t xml:space="preserve">  </w:t>
      </w:r>
      <w:r>
        <w:rPr>
          <w:rFonts w:eastAsia="KaiTi_GB2312" w:hint="eastAsia"/>
          <w:iCs/>
          <w:color w:val="0000FF"/>
          <w:szCs w:val="30"/>
        </w:rPr>
        <w:t>缔约各国为加速实现男女事实上的平等而采取的暂行特别措施，不得视为本公约所指的歧视，亦不得因此导致维持不平等的标准或另立标准；这些措施应在男女机会和待遇平等的目的达到之后，停止采用。</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2.</w:t>
      </w:r>
      <w:r>
        <w:rPr>
          <w:rFonts w:eastAsia="KaiTi_GB2312" w:hint="eastAsia"/>
          <w:iCs/>
          <w:color w:val="0000FF"/>
          <w:szCs w:val="30"/>
        </w:rPr>
        <w:t xml:space="preserve">  </w:t>
      </w:r>
      <w:r>
        <w:rPr>
          <w:rFonts w:eastAsia="KaiTi_GB2312" w:hint="eastAsia"/>
          <w:iCs/>
          <w:color w:val="0000FF"/>
          <w:szCs w:val="30"/>
        </w:rPr>
        <w:t>缔约各国为保护母性而采取的特别措施，包括本公约所列各项措施，不得视为歧视。</w:t>
      </w:r>
    </w:p>
    <w:p w:rsidR="001C7848" w:rsidRDefault="001C7848">
      <w:pPr>
        <w:pStyle w:val="H1"/>
        <w:spacing w:before="120"/>
        <w:jc w:val="both"/>
        <w:rPr>
          <w:rFonts w:hint="eastAsia"/>
        </w:rPr>
      </w:pPr>
      <w:bookmarkStart w:id="48" w:name="_Toc181766664"/>
      <w:bookmarkStart w:id="49" w:name="_Toc188785260"/>
      <w:r>
        <w:t xml:space="preserve">1.  </w:t>
      </w:r>
      <w:r>
        <w:rPr>
          <w:rFonts w:hint="eastAsia"/>
        </w:rPr>
        <w:t>《平等法》的配额规定</w:t>
      </w:r>
      <w:bookmarkEnd w:id="48"/>
      <w:bookmarkEnd w:id="49"/>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根据《平等法》第</w:t>
      </w:r>
      <w:r>
        <w:rPr>
          <w:rFonts w:hint="eastAsia"/>
          <w:szCs w:val="30"/>
        </w:rPr>
        <w:t>4</w:t>
      </w:r>
      <w:r>
        <w:rPr>
          <w:rFonts w:hint="eastAsia"/>
          <w:szCs w:val="30"/>
        </w:rPr>
        <w:t>（</w:t>
      </w:r>
      <w:r>
        <w:rPr>
          <w:rFonts w:hint="eastAsia"/>
          <w:szCs w:val="30"/>
        </w:rPr>
        <w:t>2</w:t>
      </w:r>
      <w:r>
        <w:rPr>
          <w:rFonts w:hint="eastAsia"/>
          <w:szCs w:val="30"/>
        </w:rPr>
        <w:t>）条</w:t>
      </w:r>
      <w:r>
        <w:rPr>
          <w:szCs w:val="30"/>
        </w:rPr>
        <w:t>（</w:t>
      </w:r>
      <w:r>
        <w:rPr>
          <w:szCs w:val="30"/>
        </w:rPr>
        <w:t>17.2.1995/206</w:t>
      </w:r>
      <w:r>
        <w:rPr>
          <w:szCs w:val="30"/>
        </w:rPr>
        <w:t>）</w:t>
      </w:r>
      <w:r>
        <w:rPr>
          <w:rFonts w:hint="eastAsia"/>
          <w:szCs w:val="30"/>
        </w:rPr>
        <w:t>，国家委员会、有关委员会、咨询委员会和其他相应机构以及不包括市政委员会在内的市政机构，除另有特殊原因外，必须有</w:t>
      </w:r>
      <w:r>
        <w:rPr>
          <w:szCs w:val="30"/>
        </w:rPr>
        <w:t>至少</w:t>
      </w:r>
      <w:r>
        <w:rPr>
          <w:szCs w:val="30"/>
        </w:rPr>
        <w:t>40</w:t>
      </w:r>
      <w:r>
        <w:rPr>
          <w:rFonts w:hint="eastAsia"/>
          <w:szCs w:val="30"/>
        </w:rPr>
        <w:t>%</w:t>
      </w:r>
      <w:r>
        <w:rPr>
          <w:szCs w:val="30"/>
        </w:rPr>
        <w:t>的女性和男性</w:t>
      </w:r>
      <w:r>
        <w:rPr>
          <w:rFonts w:hint="eastAsia"/>
          <w:szCs w:val="30"/>
        </w:rPr>
        <w:t>配额。</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w:t>
      </w:r>
      <w:r>
        <w:rPr>
          <w:rFonts w:hint="eastAsia"/>
          <w:szCs w:val="30"/>
        </w:rPr>
        <w:t>2005</w:t>
      </w:r>
      <w:r>
        <w:rPr>
          <w:rFonts w:hint="eastAsia"/>
          <w:szCs w:val="30"/>
        </w:rPr>
        <w:t>年《平等法》的修正（</w:t>
      </w:r>
      <w:r>
        <w:rPr>
          <w:szCs w:val="30"/>
        </w:rPr>
        <w:t>15.4.2005/232</w:t>
      </w:r>
      <w:r>
        <w:rPr>
          <w:rFonts w:hint="eastAsia"/>
          <w:szCs w:val="30"/>
        </w:rPr>
        <w:t>）中，配额规定还扩大至市政间合作机构。根据《平等法》第</w:t>
      </w:r>
      <w:r>
        <w:rPr>
          <w:rFonts w:hint="eastAsia"/>
          <w:szCs w:val="30"/>
        </w:rPr>
        <w:t>4a</w:t>
      </w:r>
      <w:r>
        <w:rPr>
          <w:rFonts w:hint="eastAsia"/>
          <w:szCs w:val="30"/>
        </w:rPr>
        <w:t>条（</w:t>
      </w:r>
      <w:r>
        <w:rPr>
          <w:szCs w:val="30"/>
        </w:rPr>
        <w:t>15.4.2005/232</w:t>
      </w:r>
      <w:r>
        <w:rPr>
          <w:rFonts w:hint="eastAsia"/>
          <w:szCs w:val="30"/>
        </w:rPr>
        <w:t>），如果以市政当局或国家作为主要股东的机构、办事处或公司，有由民选官员组成的行政理事会、董事会或其他管理或行政理事会，该机构的男女人数应相等，除非另有特殊原因。要求为本条所提机构提名候选人的公共当局和所有机构应尽可能为每名成员成额提名一名女性和男性。</w:t>
      </w:r>
    </w:p>
    <w:p w:rsidR="001C7848" w:rsidRDefault="001C7848" w:rsidP="001C7848">
      <w:pPr>
        <w:numPr>
          <w:ilvl w:val="0"/>
          <w:numId w:val="12"/>
        </w:numPr>
        <w:overflowPunct w:val="0"/>
        <w:autoSpaceDE w:val="0"/>
        <w:autoSpaceDN w:val="0"/>
        <w:spacing w:after="240" w:line="360" w:lineRule="exact"/>
        <w:ind w:left="0" w:right="-69" w:firstLine="0"/>
        <w:rPr>
          <w:szCs w:val="30"/>
          <w:lang w:val="fi-FI"/>
        </w:rPr>
      </w:pPr>
      <w:r>
        <w:rPr>
          <w:rFonts w:hint="eastAsia"/>
          <w:szCs w:val="30"/>
        </w:rPr>
        <w:t>另外，将配额规定扩大到国有公司应在委员会审议阶段进行，但作出的一项决定背离了有关方案的规定，即各部委应在自愿基础上增加在国有公司董事会中的女性比例。该程序得到</w:t>
      </w:r>
      <w:r>
        <w:rPr>
          <w:szCs w:val="30"/>
        </w:rPr>
        <w:t>2003-2007</w:t>
      </w:r>
      <w:r>
        <w:rPr>
          <w:rFonts w:hint="eastAsia"/>
          <w:szCs w:val="30"/>
        </w:rPr>
        <w:t>年实现两性平等国家行动计划的确认，行动计划要求国有公司或国有联营公司将妇女人数增至</w:t>
      </w:r>
      <w:r>
        <w:rPr>
          <w:rFonts w:hint="eastAsia"/>
          <w:szCs w:val="30"/>
        </w:rPr>
        <w:t>40%</w:t>
      </w:r>
      <w:r>
        <w:rPr>
          <w:rFonts w:hint="eastAsia"/>
          <w:szCs w:val="30"/>
        </w:rPr>
        <w:t>。这个目标也已经实现。</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lang w:val="fi-FI"/>
        </w:rPr>
        <w:t>另外，芬兰</w:t>
      </w:r>
      <w:r>
        <w:rPr>
          <w:rFonts w:hint="eastAsia"/>
          <w:szCs w:val="30"/>
        </w:rPr>
        <w:t>福音路德教会已接受了教会和公理会行政机构和其他机构的性别配额规定。《平等法》规定的性别配额自</w:t>
      </w:r>
      <w:r>
        <w:rPr>
          <w:rFonts w:hint="eastAsia"/>
          <w:szCs w:val="30"/>
        </w:rPr>
        <w:t>2004</w:t>
      </w:r>
      <w:r>
        <w:rPr>
          <w:rFonts w:hint="eastAsia"/>
          <w:szCs w:val="30"/>
        </w:rPr>
        <w:t>年</w:t>
      </w:r>
      <w:r>
        <w:rPr>
          <w:rFonts w:hint="eastAsia"/>
          <w:szCs w:val="30"/>
        </w:rPr>
        <w:t>1</w:t>
      </w:r>
      <w:r>
        <w:rPr>
          <w:rFonts w:hint="eastAsia"/>
          <w:szCs w:val="30"/>
        </w:rPr>
        <w:t>月</w:t>
      </w:r>
      <w:r>
        <w:rPr>
          <w:rFonts w:hint="eastAsia"/>
          <w:szCs w:val="30"/>
        </w:rPr>
        <w:t>1</w:t>
      </w:r>
      <w:r>
        <w:rPr>
          <w:rFonts w:hint="eastAsia"/>
          <w:szCs w:val="30"/>
        </w:rPr>
        <w:t>日以来已在行政机构和教区机构生效。根据规定，当选男女成员比例至少为</w:t>
      </w:r>
      <w:r>
        <w:rPr>
          <w:rFonts w:hint="eastAsia"/>
          <w:szCs w:val="30"/>
        </w:rPr>
        <w:t xml:space="preserve"> 40%</w:t>
      </w:r>
      <w:r>
        <w:rPr>
          <w:rFonts w:hint="eastAsia"/>
          <w:szCs w:val="30"/>
        </w:rPr>
        <w:t>。配额准则尤其适用于教区理事会、教区委员会、理事会、委员会和工作组。</w:t>
      </w:r>
    </w:p>
    <w:p w:rsidR="001C7848" w:rsidRDefault="001C7848">
      <w:pPr>
        <w:pStyle w:val="HCh"/>
        <w:jc w:val="both"/>
        <w:rPr>
          <w:rFonts w:hint="eastAsia"/>
        </w:rPr>
      </w:pPr>
      <w:bookmarkStart w:id="50" w:name="_Toc188785261"/>
      <w:r>
        <w:rPr>
          <w:rFonts w:hint="eastAsia"/>
        </w:rPr>
        <w:t>第5条</w:t>
      </w:r>
      <w:bookmarkEnd w:id="50"/>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缔约各国应采取一切适当措施：</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改变男女的社会和文化行为模式，以消除基于性别而分尊卑观念或基于男女任务定型观念的偏见、习俗和一切其他做法；</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保证家庭教育应包括正确了解母性的社会功能和确认教养子女是父母的共同责任，但了解到在任何情况下应首先考虑子女的利益。</w:t>
      </w:r>
    </w:p>
    <w:p w:rsidR="001C7848" w:rsidRDefault="001C7848">
      <w:pPr>
        <w:pStyle w:val="H1"/>
        <w:spacing w:before="120"/>
        <w:jc w:val="both"/>
        <w:rPr>
          <w:rFonts w:hint="eastAsia"/>
        </w:rPr>
      </w:pPr>
      <w:bookmarkStart w:id="51" w:name="_Toc181766666"/>
      <w:bookmarkStart w:id="52" w:name="_Toc188785262"/>
      <w:r>
        <w:t xml:space="preserve">1.  </w:t>
      </w:r>
      <w:bookmarkEnd w:id="51"/>
      <w:r>
        <w:rPr>
          <w:rFonts w:hint="eastAsia"/>
        </w:rPr>
        <w:t>对妇女的暴力</w:t>
      </w:r>
      <w:bookmarkEnd w:id="52"/>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在根据以前定期报告提交的结论中，消除对妇女歧视委员会对芬兰暴力侵害妇女事件的高发率表示关注。委员会还对工作场所严重的性骚扰表示关注。</w:t>
      </w:r>
    </w:p>
    <w:p w:rsidR="001C7848" w:rsidRDefault="001C7848">
      <w:pPr>
        <w:pStyle w:val="H2"/>
        <w:rPr>
          <w:rFonts w:hint="eastAsia"/>
          <w:u w:val="single"/>
        </w:rPr>
      </w:pPr>
      <w:bookmarkStart w:id="53" w:name="_Toc181766667"/>
      <w:bookmarkStart w:id="54" w:name="_Toc188785263"/>
      <w:r>
        <w:t>1.1.</w:t>
      </w:r>
      <w:r>
        <w:rPr>
          <w:rFonts w:hint="eastAsia"/>
        </w:rPr>
        <w:t xml:space="preserve">  </w:t>
      </w:r>
      <w:r>
        <w:rPr>
          <w:rFonts w:hint="eastAsia"/>
          <w:u w:val="single"/>
        </w:rPr>
        <w:t>关于限制令的立法</w:t>
      </w:r>
      <w:bookmarkEnd w:id="53"/>
      <w:bookmarkEnd w:id="54"/>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lang w:val="fi-FI"/>
        </w:rPr>
        <w:t>《限制令法案》（</w:t>
      </w:r>
      <w:r>
        <w:rPr>
          <w:szCs w:val="30"/>
          <w:lang w:val="fi-FI"/>
        </w:rPr>
        <w:t>898/1998</w:t>
      </w:r>
      <w:r>
        <w:rPr>
          <w:rFonts w:hint="eastAsia"/>
          <w:szCs w:val="30"/>
          <w:lang w:val="fi-FI"/>
        </w:rPr>
        <w:t>）</w:t>
      </w:r>
      <w:r>
        <w:rPr>
          <w:rFonts w:hint="eastAsia"/>
          <w:szCs w:val="30"/>
        </w:rPr>
        <w:t>于</w:t>
      </w:r>
      <w:r>
        <w:rPr>
          <w:rFonts w:hint="eastAsia"/>
          <w:szCs w:val="30"/>
          <w:lang w:val="fi-FI"/>
        </w:rPr>
        <w:t>2005</w:t>
      </w:r>
      <w:r>
        <w:rPr>
          <w:rFonts w:hint="eastAsia"/>
          <w:szCs w:val="30"/>
        </w:rPr>
        <w:t>年初进行补充</w:t>
      </w:r>
      <w:r>
        <w:rPr>
          <w:rFonts w:hint="eastAsia"/>
          <w:szCs w:val="30"/>
          <w:lang w:val="fi-FI"/>
        </w:rPr>
        <w:t>，</w:t>
      </w:r>
      <w:r>
        <w:rPr>
          <w:rFonts w:hint="eastAsia"/>
          <w:szCs w:val="30"/>
        </w:rPr>
        <w:t>以便当人们受到限制令保护以及被施予限制令的人住在同一家庭</w:t>
      </w:r>
      <w:r>
        <w:rPr>
          <w:rFonts w:hint="eastAsia"/>
          <w:szCs w:val="30"/>
          <w:lang w:val="fi-FI"/>
        </w:rPr>
        <w:t>（</w:t>
      </w:r>
      <w:r>
        <w:rPr>
          <w:szCs w:val="30"/>
          <w:lang w:val="fi-FI"/>
        </w:rPr>
        <w:t>711/2004</w:t>
      </w:r>
      <w:r>
        <w:rPr>
          <w:rFonts w:hint="eastAsia"/>
          <w:szCs w:val="30"/>
          <w:lang w:val="fi-FI"/>
        </w:rPr>
        <w:t>）时也能适用。以前，如果有关方住在一起，就不能下达限制令。关于家庭内限制令的新条款也适用于不为形成伴侣关系而住在一起的人的情况。</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被施予家庭内限制令的人应当离开住处不得回来。他还不得以任何方式会见或接触受限制令保护的人。也不允许跟踪受保护人。该保护令可能还会扩大到在其他一些特定地方的停留，如共同居住的房屋附近。</w:t>
      </w:r>
    </w:p>
    <w:p w:rsidR="001C7848" w:rsidRDefault="001C7848">
      <w:pPr>
        <w:pStyle w:val="H2"/>
        <w:rPr>
          <w:rFonts w:hint="eastAsia"/>
          <w:u w:val="single"/>
        </w:rPr>
      </w:pPr>
      <w:bookmarkStart w:id="55" w:name="_Toc181766668"/>
      <w:bookmarkStart w:id="56" w:name="_Toc188785264"/>
      <w:r>
        <w:t>1.2.</w:t>
      </w:r>
      <w:bookmarkEnd w:id="55"/>
      <w:r>
        <w:rPr>
          <w:rFonts w:hint="eastAsia"/>
        </w:rPr>
        <w:t xml:space="preserve">  </w:t>
      </w:r>
      <w:r>
        <w:rPr>
          <w:rFonts w:hint="eastAsia"/>
          <w:u w:val="single"/>
        </w:rPr>
        <w:t>对妇女施暴问题的研究</w:t>
      </w:r>
      <w:bookmarkEnd w:id="56"/>
    </w:p>
    <w:p w:rsidR="001C7848" w:rsidRDefault="001C7848" w:rsidP="001C7848">
      <w:pPr>
        <w:numPr>
          <w:ilvl w:val="0"/>
          <w:numId w:val="12"/>
        </w:numPr>
        <w:overflowPunct w:val="0"/>
        <w:autoSpaceDE w:val="0"/>
        <w:autoSpaceDN w:val="0"/>
        <w:spacing w:after="240" w:line="360" w:lineRule="exact"/>
        <w:ind w:left="0" w:right="-69" w:firstLine="0"/>
        <w:rPr>
          <w:szCs w:val="30"/>
          <w:lang w:val="fi-FI"/>
        </w:rPr>
      </w:pPr>
      <w:r>
        <w:rPr>
          <w:rFonts w:hint="eastAsia"/>
          <w:szCs w:val="30"/>
        </w:rPr>
        <w:t>1997</w:t>
      </w:r>
      <w:r>
        <w:rPr>
          <w:rFonts w:hint="eastAsia"/>
          <w:szCs w:val="30"/>
        </w:rPr>
        <w:t>年，在芬兰第一次开展了一项题为“忠诚、希望和殴打”的人口调查研究，调查了暴力侵害妇女和男人对女人施暴的情况，重点是伴侣关系中的暴力。研究以调查方式进行。研究报告的发表已使芬兰妇女遭受暴力的情况成为公共对话的主题。</w:t>
      </w:r>
      <w:r>
        <w:rPr>
          <w:rFonts w:hint="eastAsia"/>
          <w:szCs w:val="30"/>
        </w:rPr>
        <w:t>2005</w:t>
      </w:r>
      <w:r>
        <w:rPr>
          <w:rFonts w:hint="eastAsia"/>
          <w:szCs w:val="30"/>
        </w:rPr>
        <w:t>年重新进行了调查。</w:t>
      </w:r>
      <w:r>
        <w:rPr>
          <w:rStyle w:val="FootnoteReference"/>
          <w:szCs w:val="30"/>
          <w:lang w:val="fi-FI"/>
        </w:rPr>
        <w:footnoteReference w:id="10"/>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根据</w:t>
      </w:r>
      <w:r>
        <w:rPr>
          <w:rFonts w:hint="eastAsia"/>
          <w:szCs w:val="30"/>
          <w:lang w:val="fi-FI"/>
        </w:rPr>
        <w:t>2005</w:t>
      </w:r>
      <w:r>
        <w:rPr>
          <w:rFonts w:hint="eastAsia"/>
          <w:szCs w:val="30"/>
        </w:rPr>
        <w:t>年完成的调查结果</w:t>
      </w:r>
      <w:r>
        <w:rPr>
          <w:rFonts w:hint="eastAsia"/>
          <w:szCs w:val="30"/>
          <w:lang w:val="fi-FI"/>
        </w:rPr>
        <w:t>，成年妇女遭受的暴力自</w:t>
      </w:r>
      <w:r>
        <w:rPr>
          <w:rFonts w:hint="eastAsia"/>
          <w:szCs w:val="30"/>
          <w:lang w:val="fi-FI"/>
        </w:rPr>
        <w:t>1997</w:t>
      </w:r>
      <w:r>
        <w:rPr>
          <w:rFonts w:hint="eastAsia"/>
          <w:szCs w:val="30"/>
          <w:lang w:val="fi-FI"/>
        </w:rPr>
        <w:t>年以来略有上升。暴力组成有所变化，伴侣之间暴力行为的发生率略有下降。相反，伴侣之外的暴力和暴力威胁则更为常见。</w:t>
      </w:r>
      <w:r>
        <w:rPr>
          <w:rFonts w:hint="eastAsia"/>
          <w:szCs w:val="30"/>
          <w:lang w:val="fi-FI"/>
        </w:rPr>
        <w:t xml:space="preserve"> </w:t>
      </w:r>
      <w:r>
        <w:rPr>
          <w:rFonts w:hint="eastAsia"/>
          <w:szCs w:val="30"/>
        </w:rPr>
        <w:t>伴侣之外的暴力事件（被不知名者、熟人、伙伴、同事等施暴）日益增加。</w:t>
      </w:r>
      <w:r>
        <w:rPr>
          <w:rFonts w:hint="eastAsia"/>
          <w:szCs w:val="30"/>
        </w:rPr>
        <w:t xml:space="preserve"> </w:t>
      </w:r>
      <w:r>
        <w:rPr>
          <w:rFonts w:hint="eastAsia"/>
          <w:szCs w:val="30"/>
        </w:rPr>
        <w:t>伴侣之外的性暴力或威胁性行为自</w:t>
      </w:r>
      <w:r>
        <w:rPr>
          <w:rFonts w:hint="eastAsia"/>
          <w:szCs w:val="30"/>
        </w:rPr>
        <w:t>1997</w:t>
      </w:r>
      <w:r>
        <w:rPr>
          <w:rFonts w:hint="eastAsia"/>
          <w:szCs w:val="30"/>
        </w:rPr>
        <w:t>年以来增加了</w:t>
      </w:r>
      <w:r>
        <w:rPr>
          <w:rFonts w:hint="eastAsia"/>
          <w:szCs w:val="30"/>
        </w:rPr>
        <w:t>20%</w:t>
      </w:r>
      <w:r>
        <w:rPr>
          <w:rFonts w:hint="eastAsia"/>
          <w:szCs w:val="30"/>
        </w:rPr>
        <w:t>。人身施暴发生率没有上升。生活在伴侣关系中的妇女，其中</w:t>
      </w:r>
      <w:r>
        <w:rPr>
          <w:rFonts w:hint="eastAsia"/>
          <w:szCs w:val="30"/>
        </w:rPr>
        <w:t>19.6%</w:t>
      </w:r>
      <w:r>
        <w:rPr>
          <w:rFonts w:hint="eastAsia"/>
          <w:szCs w:val="30"/>
        </w:rPr>
        <w:t>是其现配偶身体或性暴力或暴力威胁的受害者（</w:t>
      </w:r>
      <w:r>
        <w:rPr>
          <w:rFonts w:hint="eastAsia"/>
          <w:szCs w:val="30"/>
        </w:rPr>
        <w:t>1997</w:t>
      </w:r>
      <w:r>
        <w:rPr>
          <w:rFonts w:hint="eastAsia"/>
          <w:szCs w:val="30"/>
        </w:rPr>
        <w:t>年占</w:t>
      </w:r>
      <w:r>
        <w:rPr>
          <w:rFonts w:hint="eastAsia"/>
          <w:szCs w:val="30"/>
        </w:rPr>
        <w:t>22.2%</w:t>
      </w:r>
      <w:r>
        <w:rPr>
          <w:rFonts w:hint="eastAsia"/>
          <w:szCs w:val="30"/>
        </w:rPr>
        <w:t>）。已婚或与他人同居的妇女，其中</w:t>
      </w:r>
      <w:r>
        <w:rPr>
          <w:rFonts w:hint="eastAsia"/>
          <w:szCs w:val="30"/>
        </w:rPr>
        <w:t>49%</w:t>
      </w:r>
      <w:r>
        <w:rPr>
          <w:rFonts w:hint="eastAsia"/>
          <w:szCs w:val="30"/>
        </w:rPr>
        <w:t>是其前配偶暴力或暴力威胁的受害者（</w:t>
      </w:r>
      <w:r>
        <w:rPr>
          <w:rFonts w:hint="eastAsia"/>
          <w:szCs w:val="30"/>
        </w:rPr>
        <w:t>1997</w:t>
      </w:r>
      <w:r>
        <w:rPr>
          <w:rFonts w:hint="eastAsia"/>
          <w:szCs w:val="30"/>
        </w:rPr>
        <w:t>年占</w:t>
      </w:r>
      <w:r>
        <w:rPr>
          <w:rFonts w:hint="eastAsia"/>
          <w:szCs w:val="30"/>
        </w:rPr>
        <w:t>49.9%</w:t>
      </w:r>
      <w:r>
        <w:rPr>
          <w:rFonts w:hint="eastAsia"/>
          <w:szCs w:val="30"/>
        </w:rPr>
        <w:t>）。</w:t>
      </w:r>
    </w:p>
    <w:p w:rsidR="001C7848" w:rsidRDefault="001C7848" w:rsidP="001C7848">
      <w:pPr>
        <w:numPr>
          <w:ilvl w:val="0"/>
          <w:numId w:val="12"/>
        </w:numPr>
        <w:overflowPunct w:val="0"/>
        <w:autoSpaceDE w:val="0"/>
        <w:autoSpaceDN w:val="0"/>
        <w:spacing w:after="240" w:line="360" w:lineRule="exact"/>
        <w:ind w:left="0" w:right="-69" w:firstLine="0"/>
        <w:rPr>
          <w:szCs w:val="30"/>
          <w:lang w:val="fi-FI"/>
        </w:rPr>
      </w:pPr>
      <w:r>
        <w:rPr>
          <w:rFonts w:hint="eastAsia"/>
          <w:szCs w:val="30"/>
        </w:rPr>
        <w:t>根据芬兰统计局的死亡原因统计数据，因暴力致死的妇女人数近年来有所下降。根据这些统计数字，芬兰每年死亡的妇女人数在过去十年从</w:t>
      </w:r>
      <w:r>
        <w:rPr>
          <w:rFonts w:hint="eastAsia"/>
          <w:szCs w:val="30"/>
        </w:rPr>
        <w:t>29</w:t>
      </w:r>
      <w:r>
        <w:rPr>
          <w:rFonts w:hint="eastAsia"/>
          <w:szCs w:val="30"/>
        </w:rPr>
        <w:t>人上升到</w:t>
      </w:r>
      <w:r>
        <w:rPr>
          <w:rFonts w:hint="eastAsia"/>
          <w:szCs w:val="30"/>
        </w:rPr>
        <w:t>53</w:t>
      </w:r>
      <w:r>
        <w:rPr>
          <w:rFonts w:hint="eastAsia"/>
          <w:szCs w:val="30"/>
        </w:rPr>
        <w:t>人。在</w:t>
      </w:r>
      <w:r>
        <w:rPr>
          <w:rFonts w:hint="eastAsia"/>
          <w:szCs w:val="30"/>
        </w:rPr>
        <w:t>2004</w:t>
      </w:r>
      <w:r>
        <w:rPr>
          <w:rFonts w:hint="eastAsia"/>
          <w:szCs w:val="30"/>
        </w:rPr>
        <w:t>年和</w:t>
      </w:r>
      <w:r>
        <w:rPr>
          <w:rFonts w:hint="eastAsia"/>
          <w:szCs w:val="30"/>
        </w:rPr>
        <w:t>2005</w:t>
      </w:r>
      <w:r>
        <w:rPr>
          <w:rFonts w:hint="eastAsia"/>
          <w:szCs w:val="30"/>
        </w:rPr>
        <w:t>年，因暴力致死的妇女人数为</w:t>
      </w:r>
      <w:r>
        <w:rPr>
          <w:rFonts w:hint="eastAsia"/>
          <w:szCs w:val="30"/>
        </w:rPr>
        <w:t>30</w:t>
      </w:r>
      <w:r>
        <w:rPr>
          <w:rFonts w:hint="eastAsia"/>
          <w:szCs w:val="30"/>
        </w:rPr>
        <w:t>人。芬兰凶杀案发生率一般较高，与其人口数字相比这一点很明显，芬兰妇女被杀人数高于任何其他欧洲国家。另一方面，与其他国家相比，芬兰发生的男性致命暴力事件多于女性致命暴力事件。</w:t>
      </w:r>
      <w:r>
        <w:rPr>
          <w:rFonts w:hint="eastAsia"/>
          <w:szCs w:val="30"/>
        </w:rPr>
        <w:t>2006</w:t>
      </w:r>
      <w:r>
        <w:rPr>
          <w:rFonts w:hint="eastAsia"/>
          <w:szCs w:val="30"/>
        </w:rPr>
        <w:t>年死亡原因统计数据将于</w:t>
      </w:r>
      <w:r>
        <w:rPr>
          <w:rFonts w:hint="eastAsia"/>
          <w:szCs w:val="30"/>
        </w:rPr>
        <w:t>2007</w:t>
      </w:r>
      <w:r>
        <w:rPr>
          <w:rFonts w:hint="eastAsia"/>
          <w:szCs w:val="30"/>
        </w:rPr>
        <w:t>年</w:t>
      </w:r>
      <w:r>
        <w:rPr>
          <w:rFonts w:hint="eastAsia"/>
          <w:szCs w:val="30"/>
        </w:rPr>
        <w:t>11</w:t>
      </w:r>
      <w:r>
        <w:rPr>
          <w:rFonts w:hint="eastAsia"/>
          <w:szCs w:val="30"/>
        </w:rPr>
        <w:t>月</w:t>
      </w:r>
      <w:r>
        <w:rPr>
          <w:rFonts w:hint="eastAsia"/>
          <w:szCs w:val="30"/>
        </w:rPr>
        <w:t>5</w:t>
      </w:r>
      <w:r>
        <w:rPr>
          <w:rFonts w:hint="eastAsia"/>
          <w:szCs w:val="30"/>
        </w:rPr>
        <w:t>日公布。</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lang w:val="fi-FI"/>
        </w:rPr>
        <w:t>由于</w:t>
      </w:r>
      <w:r>
        <w:rPr>
          <w:rFonts w:hint="eastAsia"/>
          <w:szCs w:val="30"/>
          <w:lang w:val="fi-FI"/>
        </w:rPr>
        <w:t>1999</w:t>
      </w:r>
      <w:r>
        <w:rPr>
          <w:rFonts w:hint="eastAsia"/>
          <w:szCs w:val="30"/>
          <w:lang w:val="fi-FI"/>
        </w:rPr>
        <w:t>年完成了对性犯罪刑法条款的修正，强奸因正式指控而被定罪，</w:t>
      </w:r>
      <w:r>
        <w:rPr>
          <w:rFonts w:hint="eastAsia"/>
          <w:szCs w:val="30"/>
        </w:rPr>
        <w:t>导致指控的强奸案数字上升。</w:t>
      </w:r>
      <w:r>
        <w:rPr>
          <w:rFonts w:hint="eastAsia"/>
          <w:szCs w:val="30"/>
          <w:lang w:val="fi-FI"/>
        </w:rPr>
        <w:t>在</w:t>
      </w:r>
      <w:r>
        <w:rPr>
          <w:rFonts w:hint="eastAsia"/>
          <w:szCs w:val="30"/>
          <w:lang w:val="fi-FI"/>
        </w:rPr>
        <w:t>1999-2003</w:t>
      </w:r>
      <w:r>
        <w:rPr>
          <w:rFonts w:hint="eastAsia"/>
          <w:szCs w:val="30"/>
          <w:lang w:val="fi-FI"/>
        </w:rPr>
        <w:t>年，向警方报案的强奸案中平均</w:t>
      </w:r>
      <w:r>
        <w:rPr>
          <w:rFonts w:hint="eastAsia"/>
          <w:szCs w:val="30"/>
          <w:lang w:val="fi-FI"/>
        </w:rPr>
        <w:t>15%</w:t>
      </w:r>
      <w:r>
        <w:rPr>
          <w:rFonts w:hint="eastAsia"/>
          <w:szCs w:val="30"/>
          <w:lang w:val="fi-FI"/>
        </w:rPr>
        <w:t>是向法庭提出指控，性犯罪通常是隐藏性犯罪，只有少数强奸案被报警。交由法庭审理的这类案件很不多。</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向警方举报的对妇女施暴案件增加，至少部分原因是警方的行动已变得越来越有效。警方可更有效地干预有关情况，而且警方的案件比以往更准确。普通公众也更了解了这些罪行，并更乐于报案。这些事实有助于说明上述调查结果和向警方报案的数字之间现行研究结果的差别。由于人们更乐于向警方报案，以及警方的行动变得更为有效，所以当局似乎更能获得对妇女施暴情况的可靠信息，使当局能够更好地控制并更有效地采取相关措施。无论如何，这意味着警方在随时采取干预行动方面又向前迈进了一步。</w:t>
      </w:r>
    </w:p>
    <w:p w:rsidR="001C7848" w:rsidRDefault="001C7848">
      <w:pPr>
        <w:pStyle w:val="H2"/>
        <w:rPr>
          <w:rFonts w:hint="eastAsia"/>
          <w:u w:val="single"/>
        </w:rPr>
      </w:pPr>
      <w:bookmarkStart w:id="57" w:name="_Toc181766669"/>
      <w:bookmarkStart w:id="58" w:name="_Toc188785265"/>
      <w:r>
        <w:t>1.3.</w:t>
      </w:r>
      <w:bookmarkEnd w:id="57"/>
      <w:r>
        <w:rPr>
          <w:rFonts w:hint="eastAsia"/>
        </w:rPr>
        <w:t xml:space="preserve">  </w:t>
      </w:r>
      <w:r>
        <w:rPr>
          <w:rFonts w:hint="eastAsia"/>
          <w:u w:val="single"/>
        </w:rPr>
        <w:t>家庭暴力和伴侣关系中存在的暴力</w:t>
      </w:r>
      <w:bookmarkEnd w:id="58"/>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妇女比男性更常遭受亲密关系中的暴力。虽然家庭暴力和伴侣关系中的暴力报警率不断上升，但对妇女的暴力行为大多仍不为警方所知。自</w:t>
      </w:r>
      <w:r>
        <w:rPr>
          <w:rFonts w:hint="eastAsia"/>
          <w:szCs w:val="30"/>
        </w:rPr>
        <w:t>1997</w:t>
      </w:r>
      <w:r>
        <w:rPr>
          <w:rFonts w:hint="eastAsia"/>
          <w:szCs w:val="30"/>
        </w:rPr>
        <w:t>年以来，家庭暴力和伴侣关系中的暴力发生率明显上升。</w:t>
      </w:r>
      <w:r>
        <w:rPr>
          <w:rFonts w:hint="eastAsia"/>
          <w:szCs w:val="30"/>
        </w:rPr>
        <w:t xml:space="preserve"> </w:t>
      </w:r>
      <w:r>
        <w:rPr>
          <w:rStyle w:val="FootnoteReference"/>
          <w:szCs w:val="30"/>
          <w:lang w:val="fi-FI"/>
        </w:rPr>
        <w:footnoteReference w:id="11"/>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据警方提供的统计数据称，对妇女的家庭暴力事件从</w:t>
      </w:r>
      <w:r>
        <w:rPr>
          <w:rFonts w:hint="eastAsia"/>
          <w:szCs w:val="30"/>
        </w:rPr>
        <w:t>1997</w:t>
      </w:r>
      <w:r>
        <w:rPr>
          <w:rFonts w:hint="eastAsia"/>
          <w:szCs w:val="30"/>
        </w:rPr>
        <w:t>年至</w:t>
      </w:r>
      <w:r>
        <w:rPr>
          <w:rFonts w:hint="eastAsia"/>
          <w:szCs w:val="30"/>
        </w:rPr>
        <w:t>2005</w:t>
      </w:r>
      <w:r>
        <w:rPr>
          <w:rFonts w:hint="eastAsia"/>
          <w:szCs w:val="30"/>
        </w:rPr>
        <w:t>年上升了</w:t>
      </w:r>
      <w:r>
        <w:rPr>
          <w:rFonts w:hint="eastAsia"/>
          <w:szCs w:val="30"/>
        </w:rPr>
        <w:t>47%</w:t>
      </w:r>
      <w:r>
        <w:rPr>
          <w:rFonts w:hint="eastAsia"/>
          <w:szCs w:val="30"/>
        </w:rPr>
        <w:t>，伴侣关系的暴力事件上升了</w:t>
      </w:r>
      <w:r>
        <w:rPr>
          <w:rFonts w:hint="eastAsia"/>
          <w:szCs w:val="30"/>
        </w:rPr>
        <w:t>38%</w:t>
      </w:r>
      <w:r>
        <w:rPr>
          <w:rFonts w:hint="eastAsia"/>
          <w:szCs w:val="30"/>
        </w:rPr>
        <w:t>。警方的统计数据将家庭暴力界定为对居住在同一住所彼此成为家人的人的暴力，所以引用的数字包括除伴侣关系外其他类型的家庭暴力。所有家庭暴力的</w:t>
      </w:r>
      <w:r>
        <w:rPr>
          <w:rFonts w:hint="eastAsia"/>
          <w:szCs w:val="30"/>
        </w:rPr>
        <w:t>79%</w:t>
      </w:r>
      <w:r>
        <w:rPr>
          <w:rFonts w:hint="eastAsia"/>
          <w:szCs w:val="30"/>
        </w:rPr>
        <w:t>和伴侣关系的</w:t>
      </w:r>
      <w:r>
        <w:rPr>
          <w:rFonts w:hint="eastAsia"/>
          <w:szCs w:val="30"/>
        </w:rPr>
        <w:t>90%</w:t>
      </w:r>
      <w:r>
        <w:rPr>
          <w:rFonts w:hint="eastAsia"/>
          <w:szCs w:val="30"/>
        </w:rPr>
        <w:t>直接针对妇女（</w:t>
      </w:r>
      <w:r>
        <w:rPr>
          <w:rFonts w:hint="eastAsia"/>
          <w:szCs w:val="30"/>
        </w:rPr>
        <w:t>1987-2005</w:t>
      </w:r>
      <w:r>
        <w:rPr>
          <w:rFonts w:hint="eastAsia"/>
          <w:szCs w:val="30"/>
        </w:rPr>
        <w:t>年的平均数）。</w:t>
      </w:r>
      <w:r>
        <w:rPr>
          <w:szCs w:val="30"/>
        </w:rPr>
        <w:t xml:space="preserve"> </w:t>
      </w:r>
      <w:r>
        <w:rPr>
          <w:rStyle w:val="FootnoteReference"/>
          <w:szCs w:val="30"/>
          <w:lang w:val="fi-FI"/>
        </w:rPr>
        <w:footnoteReference w:id="12"/>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根据芬兰统计局汇编的数据，在平均涉及伴侣关系的案例中，死于家庭暴力的妇女平均人数在</w:t>
      </w:r>
      <w:r>
        <w:rPr>
          <w:rFonts w:hint="eastAsia"/>
          <w:szCs w:val="30"/>
        </w:rPr>
        <w:t>2000-2004</w:t>
      </w:r>
      <w:r>
        <w:rPr>
          <w:rFonts w:hint="eastAsia"/>
          <w:szCs w:val="30"/>
        </w:rPr>
        <w:t>年为</w:t>
      </w:r>
      <w:r>
        <w:rPr>
          <w:rFonts w:hint="eastAsia"/>
          <w:szCs w:val="30"/>
        </w:rPr>
        <w:t>23.17</w:t>
      </w:r>
      <w:r>
        <w:rPr>
          <w:rFonts w:hint="eastAsia"/>
          <w:szCs w:val="30"/>
        </w:rPr>
        <w:t>人。</w:t>
      </w:r>
      <w:r>
        <w:rPr>
          <w:rFonts w:hint="eastAsia"/>
          <w:szCs w:val="30"/>
        </w:rPr>
        <w:t>1995-1999</w:t>
      </w:r>
      <w:r>
        <w:rPr>
          <w:rFonts w:hint="eastAsia"/>
          <w:szCs w:val="30"/>
        </w:rPr>
        <w:t>年相应的数字为</w:t>
      </w:r>
      <w:r>
        <w:rPr>
          <w:rFonts w:hint="eastAsia"/>
          <w:szCs w:val="30"/>
        </w:rPr>
        <w:t>25</w:t>
      </w:r>
      <w:r>
        <w:rPr>
          <w:rFonts w:hint="eastAsia"/>
          <w:szCs w:val="30"/>
        </w:rPr>
        <w:t>和</w:t>
      </w:r>
      <w:r>
        <w:rPr>
          <w:rFonts w:hint="eastAsia"/>
          <w:szCs w:val="30"/>
        </w:rPr>
        <w:t>20</w:t>
      </w:r>
      <w:r>
        <w:rPr>
          <w:rFonts w:hint="eastAsia"/>
          <w:szCs w:val="30"/>
        </w:rPr>
        <w:t>人。</w:t>
      </w:r>
    </w:p>
    <w:p w:rsidR="001C7848" w:rsidRDefault="001C7848">
      <w:pPr>
        <w:pStyle w:val="H2"/>
        <w:rPr>
          <w:rFonts w:hint="eastAsia"/>
          <w:u w:val="single"/>
        </w:rPr>
      </w:pPr>
      <w:bookmarkStart w:id="59" w:name="_Toc181766670"/>
      <w:bookmarkStart w:id="60" w:name="_Toc188785266"/>
      <w:r>
        <w:t>1.4.</w:t>
      </w:r>
      <w:r>
        <w:rPr>
          <w:rFonts w:hint="eastAsia"/>
        </w:rPr>
        <w:t xml:space="preserve">  </w:t>
      </w:r>
      <w:r>
        <w:rPr>
          <w:rFonts w:hint="eastAsia"/>
          <w:u w:val="single"/>
        </w:rPr>
        <w:t>庇护所和安全之家</w:t>
      </w:r>
      <w:bookmarkEnd w:id="59"/>
      <w:bookmarkEnd w:id="60"/>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庇护所和安全之家服务仍然不够。特别是，在芬兰广大的北部和东部地区没有庇护所。在芬兰，没有所谓的容易进入的援助中心和场所，使暴力受害者或受到暴力威胁的人可在那里短期停留。在专业人员的培训方面，识别暴力和干预暴力情况做得还不够。</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芬兰母亲和儿童家园与庇护所联合会在针对本报告的声明中称：房屋和空地的数量不适应目前的需要。在整个国家，</w:t>
      </w:r>
      <w:r>
        <w:rPr>
          <w:rFonts w:hint="eastAsia"/>
          <w:szCs w:val="30"/>
        </w:rPr>
        <w:t>14</w:t>
      </w:r>
      <w:r>
        <w:rPr>
          <w:rFonts w:hint="eastAsia"/>
          <w:szCs w:val="30"/>
        </w:rPr>
        <w:t>个家园或所有家园的</w:t>
      </w:r>
      <w:r>
        <w:rPr>
          <w:rFonts w:hint="eastAsia"/>
          <w:szCs w:val="30"/>
        </w:rPr>
        <w:t>76%</w:t>
      </w:r>
      <w:r>
        <w:rPr>
          <w:rFonts w:hint="eastAsia"/>
          <w:szCs w:val="30"/>
        </w:rPr>
        <w:t>由联合会成员协会维持。自</w:t>
      </w:r>
      <w:r>
        <w:rPr>
          <w:rFonts w:hint="eastAsia"/>
          <w:szCs w:val="30"/>
        </w:rPr>
        <w:t>2002</w:t>
      </w:r>
      <w:r>
        <w:rPr>
          <w:rFonts w:hint="eastAsia"/>
          <w:szCs w:val="30"/>
        </w:rPr>
        <w:t>年以来，联合会还维持了一个庇护所之家，其联系信息登在互联网的救助热线上。每年，这个庇护所之家向约</w:t>
      </w:r>
      <w:r>
        <w:rPr>
          <w:rFonts w:hint="eastAsia"/>
          <w:szCs w:val="30"/>
        </w:rPr>
        <w:t>26 500</w:t>
      </w:r>
      <w:r>
        <w:rPr>
          <w:rFonts w:hint="eastAsia"/>
          <w:szCs w:val="30"/>
        </w:rPr>
        <w:t>名来访者提供服务，其人数每年增加</w:t>
      </w:r>
      <w:r>
        <w:rPr>
          <w:rFonts w:hint="eastAsia"/>
          <w:szCs w:val="30"/>
        </w:rPr>
        <w:t>10%</w:t>
      </w:r>
      <w:r>
        <w:rPr>
          <w:rFonts w:hint="eastAsia"/>
          <w:szCs w:val="30"/>
        </w:rPr>
        <w:t>。特别是住在农村地区的年轻妇女和儿童接受了网络帮助热线的服务。</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芬兰行动不便者协会在针对本报告的声明中称：残疾妇女在其一生中有可能遭受的暴力是非残疾妇女的大约三倍。</w:t>
      </w:r>
      <w:r>
        <w:rPr>
          <w:rFonts w:hint="eastAsia"/>
          <w:szCs w:val="30"/>
        </w:rPr>
        <w:t xml:space="preserve"> </w:t>
      </w:r>
      <w:r>
        <w:rPr>
          <w:rFonts w:hint="eastAsia"/>
          <w:szCs w:val="30"/>
        </w:rPr>
        <w:t>即使是这样，残疾妇女仍难以进行庇护所之家，也没有人员帮助残疾妇女处理其日常事务。</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由多元文化妇女协会资助的</w:t>
      </w:r>
      <w:r>
        <w:rPr>
          <w:szCs w:val="30"/>
        </w:rPr>
        <w:t xml:space="preserve">Mona </w:t>
      </w:r>
      <w:r>
        <w:rPr>
          <w:rFonts w:hint="eastAsia"/>
          <w:szCs w:val="30"/>
        </w:rPr>
        <w:t>家园，是芬兰第一个为遭受暴力的移民妇女和儿童建立的受资助家园。自</w:t>
      </w:r>
      <w:r>
        <w:rPr>
          <w:rFonts w:hint="eastAsia"/>
          <w:szCs w:val="30"/>
        </w:rPr>
        <w:t>2004</w:t>
      </w:r>
      <w:r>
        <w:rPr>
          <w:rFonts w:hint="eastAsia"/>
          <w:szCs w:val="30"/>
        </w:rPr>
        <w:t>年</w:t>
      </w:r>
      <w:r>
        <w:rPr>
          <w:rFonts w:hint="eastAsia"/>
          <w:szCs w:val="30"/>
        </w:rPr>
        <w:t>7</w:t>
      </w:r>
      <w:r>
        <w:rPr>
          <w:rFonts w:hint="eastAsia"/>
          <w:szCs w:val="30"/>
        </w:rPr>
        <w:t>月以来，该家园一直在一个秘密的地方运作，向来自不同文化因伴侣或亲密关系中的暴力而发现自己处于即时生命危险的妇女和儿童（如处于和名声相关的暴力威胁的人）提供住宿和特别服务。</w:t>
      </w:r>
      <w:r>
        <w:rPr>
          <w:rFonts w:hint="eastAsia"/>
          <w:szCs w:val="30"/>
        </w:rPr>
        <w:t xml:space="preserve"> </w:t>
      </w:r>
      <w:r>
        <w:rPr>
          <w:szCs w:val="30"/>
        </w:rPr>
        <w:t xml:space="preserve">Mona </w:t>
      </w:r>
      <w:r>
        <w:rPr>
          <w:rFonts w:hint="eastAsia"/>
          <w:szCs w:val="30"/>
        </w:rPr>
        <w:t>家园用好几种少数民族语言提供服务。</w:t>
      </w:r>
      <w:r>
        <w:rPr>
          <w:rFonts w:hint="eastAsia"/>
          <w:szCs w:val="30"/>
        </w:rPr>
        <w:t>2005</w:t>
      </w:r>
      <w:r>
        <w:rPr>
          <w:rFonts w:hint="eastAsia"/>
          <w:szCs w:val="30"/>
        </w:rPr>
        <w:t>年，</w:t>
      </w:r>
      <w:r>
        <w:rPr>
          <w:szCs w:val="30"/>
        </w:rPr>
        <w:t xml:space="preserve">Mona </w:t>
      </w:r>
      <w:r>
        <w:rPr>
          <w:rFonts w:hint="eastAsia"/>
          <w:szCs w:val="30"/>
        </w:rPr>
        <w:t>家园为</w:t>
      </w:r>
      <w:r>
        <w:rPr>
          <w:rFonts w:hint="eastAsia"/>
          <w:szCs w:val="30"/>
        </w:rPr>
        <w:t>26</w:t>
      </w:r>
      <w:r>
        <w:rPr>
          <w:rFonts w:hint="eastAsia"/>
          <w:szCs w:val="30"/>
        </w:rPr>
        <w:t>名妇女和她们的</w:t>
      </w:r>
      <w:r>
        <w:rPr>
          <w:rFonts w:hint="eastAsia"/>
          <w:szCs w:val="30"/>
        </w:rPr>
        <w:t>14</w:t>
      </w:r>
      <w:r>
        <w:rPr>
          <w:rFonts w:hint="eastAsia"/>
          <w:szCs w:val="30"/>
        </w:rPr>
        <w:t>名子女提供了住宿。</w:t>
      </w:r>
      <w:r>
        <w:rPr>
          <w:rFonts w:hint="eastAsia"/>
          <w:szCs w:val="30"/>
        </w:rPr>
        <w:t>2006</w:t>
      </w:r>
      <w:r>
        <w:rPr>
          <w:rFonts w:hint="eastAsia"/>
          <w:szCs w:val="30"/>
        </w:rPr>
        <w:t>年，截止</w:t>
      </w:r>
      <w:r>
        <w:rPr>
          <w:rFonts w:hint="eastAsia"/>
          <w:szCs w:val="30"/>
        </w:rPr>
        <w:t>8</w:t>
      </w:r>
      <w:r>
        <w:rPr>
          <w:rFonts w:hint="eastAsia"/>
          <w:szCs w:val="30"/>
        </w:rPr>
        <w:t>月底，有</w:t>
      </w:r>
      <w:r>
        <w:rPr>
          <w:rFonts w:hint="eastAsia"/>
          <w:szCs w:val="30"/>
        </w:rPr>
        <w:t>27</w:t>
      </w:r>
      <w:r>
        <w:rPr>
          <w:rFonts w:hint="eastAsia"/>
          <w:szCs w:val="30"/>
        </w:rPr>
        <w:t>名妇女和</w:t>
      </w:r>
      <w:r>
        <w:rPr>
          <w:rFonts w:hint="eastAsia"/>
          <w:szCs w:val="30"/>
        </w:rPr>
        <w:t>28</w:t>
      </w:r>
      <w:r>
        <w:rPr>
          <w:rFonts w:hint="eastAsia"/>
          <w:szCs w:val="30"/>
        </w:rPr>
        <w:t>名儿童住进该家园。在该家园居住的妇女和儿童来自</w:t>
      </w:r>
      <w:r>
        <w:rPr>
          <w:rFonts w:hint="eastAsia"/>
          <w:szCs w:val="30"/>
        </w:rPr>
        <w:t>22</w:t>
      </w:r>
      <w:r>
        <w:rPr>
          <w:rFonts w:hint="eastAsia"/>
          <w:szCs w:val="30"/>
        </w:rPr>
        <w:t>个不同国家。</w:t>
      </w:r>
    </w:p>
    <w:p w:rsidR="001C7848" w:rsidRDefault="001C7848">
      <w:pPr>
        <w:pStyle w:val="H2"/>
        <w:rPr>
          <w:rFonts w:hint="eastAsia"/>
          <w:u w:val="single"/>
        </w:rPr>
      </w:pPr>
      <w:bookmarkStart w:id="61" w:name="_Toc181766671"/>
      <w:bookmarkStart w:id="62" w:name="_Toc188785267"/>
      <w:r>
        <w:t xml:space="preserve">1.5. </w:t>
      </w:r>
      <w:r>
        <w:rPr>
          <w:rFonts w:hint="eastAsia"/>
          <w:u w:val="single"/>
        </w:rPr>
        <w:t xml:space="preserve"> 对儿童的暴力</w:t>
      </w:r>
      <w:bookmarkEnd w:id="61"/>
      <w:r>
        <w:rPr>
          <w:rFonts w:hint="eastAsia"/>
          <w:u w:val="single"/>
        </w:rPr>
        <w:t>问题</w:t>
      </w:r>
      <w:bookmarkEnd w:id="62"/>
    </w:p>
    <w:p w:rsidR="001C7848" w:rsidRDefault="001C7848" w:rsidP="001C7848">
      <w:pPr>
        <w:numPr>
          <w:ilvl w:val="0"/>
          <w:numId w:val="12"/>
        </w:numPr>
        <w:overflowPunct w:val="0"/>
        <w:autoSpaceDE w:val="0"/>
        <w:autoSpaceDN w:val="0"/>
        <w:spacing w:after="240" w:line="360" w:lineRule="exact"/>
        <w:ind w:left="0" w:right="-69" w:firstLine="0"/>
        <w:rPr>
          <w:szCs w:val="30"/>
          <w:lang w:val="fi-FI"/>
        </w:rPr>
      </w:pPr>
      <w:r>
        <w:rPr>
          <w:rFonts w:hint="eastAsia"/>
          <w:szCs w:val="30"/>
        </w:rPr>
        <w:t>联合国儿童权利委员会在就芬兰政府第三次定期报告得出的结论中指出</w:t>
      </w:r>
      <w:r>
        <w:rPr>
          <w:rFonts w:hint="eastAsia"/>
          <w:szCs w:val="30"/>
          <w:lang w:val="fi-FI"/>
        </w:rPr>
        <w:t>，</w:t>
      </w:r>
      <w:r>
        <w:rPr>
          <w:rStyle w:val="FootnoteReference"/>
          <w:szCs w:val="30"/>
          <w:lang w:val="fi-FI"/>
        </w:rPr>
        <w:footnoteReference w:id="13"/>
      </w:r>
      <w:r>
        <w:rPr>
          <w:rFonts w:hint="eastAsia"/>
          <w:szCs w:val="30"/>
          <w:lang w:val="fi-FI"/>
        </w:rPr>
        <w:t>家庭内对儿童的暴力和性虐待是全面实现芬兰儿童权利的最严重障碍之一（第</w:t>
      </w:r>
      <w:r>
        <w:rPr>
          <w:rFonts w:hint="eastAsia"/>
          <w:szCs w:val="30"/>
          <w:lang w:val="fi-FI"/>
        </w:rPr>
        <w:t>31</w:t>
      </w:r>
      <w:r>
        <w:rPr>
          <w:rFonts w:hint="eastAsia"/>
          <w:szCs w:val="30"/>
          <w:lang w:val="fi-FI"/>
        </w:rPr>
        <w:t>条结论）。</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lang w:val="fi-FI"/>
        </w:rPr>
        <w:t>2006</w:t>
      </w:r>
      <w:r>
        <w:rPr>
          <w:rFonts w:hint="eastAsia"/>
          <w:szCs w:val="30"/>
          <w:lang w:val="fi-FI"/>
        </w:rPr>
        <w:t>年，</w:t>
      </w:r>
      <w:r>
        <w:rPr>
          <w:rFonts w:hint="eastAsia"/>
          <w:szCs w:val="30"/>
        </w:rPr>
        <w:t>在警察举报罪行报案制度中记录的对儿童性犯罪的总数量约为</w:t>
      </w:r>
      <w:r>
        <w:rPr>
          <w:rFonts w:hint="eastAsia"/>
          <w:szCs w:val="30"/>
        </w:rPr>
        <w:t>1 000</w:t>
      </w:r>
      <w:r>
        <w:rPr>
          <w:rFonts w:hint="eastAsia"/>
          <w:szCs w:val="30"/>
        </w:rPr>
        <w:t>起。显然，最通常的罪名是“性虐待儿童”。在大多数案件中，女孩是性犯罪的受害者，</w:t>
      </w:r>
      <w:r>
        <w:rPr>
          <w:rFonts w:hint="eastAsia"/>
          <w:szCs w:val="30"/>
        </w:rPr>
        <w:t>2006</w:t>
      </w:r>
      <w:r>
        <w:rPr>
          <w:rFonts w:hint="eastAsia"/>
          <w:szCs w:val="30"/>
        </w:rPr>
        <w:t>年，在</w:t>
      </w:r>
      <w:r>
        <w:rPr>
          <w:rFonts w:hint="eastAsia"/>
          <w:szCs w:val="30"/>
        </w:rPr>
        <w:t>200</w:t>
      </w:r>
      <w:r>
        <w:rPr>
          <w:rFonts w:hint="eastAsia"/>
          <w:szCs w:val="30"/>
        </w:rPr>
        <w:t>起案件中，</w:t>
      </w:r>
      <w:r>
        <w:rPr>
          <w:rFonts w:hint="eastAsia"/>
          <w:szCs w:val="30"/>
        </w:rPr>
        <w:t>14</w:t>
      </w:r>
      <w:r>
        <w:rPr>
          <w:rFonts w:hint="eastAsia"/>
          <w:szCs w:val="30"/>
        </w:rPr>
        <w:t>岁的女孩是性犯罪的受害人。这些数字表明，性犯罪显然是针对性别的现象。</w:t>
      </w:r>
      <w:r>
        <w:rPr>
          <w:rStyle w:val="FootnoteReference"/>
          <w:szCs w:val="30"/>
          <w:lang w:val="fi-FI"/>
        </w:rPr>
        <w:footnoteReference w:id="14"/>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关于其他类型的暴力，情况却相反；除性虐待比女孩多外，男孩是暴力的受害者。根据调查，女孩和男孩遭受的暴力差别似乎分为两类。当考虑到不界定行动者的暴力时，男孩似乎比女孩更经常成为暴力受害人。这主要涉及其他年轻人施加的暴力。当问及关于其父母施加的暴力，女孩说比男孩面临的暴力多。</w:t>
      </w:r>
      <w:r>
        <w:rPr>
          <w:rStyle w:val="FootnoteReference"/>
          <w:szCs w:val="30"/>
        </w:rPr>
        <w:footnoteReference w:id="15"/>
      </w:r>
    </w:p>
    <w:p w:rsidR="001C7848" w:rsidRDefault="001C7848">
      <w:pPr>
        <w:pStyle w:val="H2"/>
        <w:rPr>
          <w:rFonts w:hint="eastAsia"/>
          <w:u w:val="single"/>
        </w:rPr>
      </w:pPr>
      <w:bookmarkStart w:id="63" w:name="_Toc181766672"/>
      <w:bookmarkStart w:id="64" w:name="_Toc188785268"/>
      <w:r>
        <w:rPr>
          <w:u w:val="single"/>
        </w:rPr>
        <w:t xml:space="preserve">1.6. </w:t>
      </w:r>
      <w:bookmarkEnd w:id="63"/>
      <w:r>
        <w:rPr>
          <w:rFonts w:hint="eastAsia"/>
          <w:u w:val="single"/>
        </w:rPr>
        <w:t>防止对妇女的暴力</w:t>
      </w:r>
      <w:bookmarkEnd w:id="64"/>
    </w:p>
    <w:p w:rsidR="001C7848" w:rsidRDefault="001C7848" w:rsidP="001C7848">
      <w:pPr>
        <w:numPr>
          <w:ilvl w:val="0"/>
          <w:numId w:val="12"/>
        </w:numPr>
        <w:overflowPunct w:val="0"/>
        <w:autoSpaceDE w:val="0"/>
        <w:autoSpaceDN w:val="0"/>
        <w:spacing w:after="240" w:line="360" w:lineRule="exact"/>
        <w:ind w:left="0" w:right="-69" w:firstLine="0"/>
        <w:rPr>
          <w:szCs w:val="30"/>
          <w:lang w:val="fi-FI"/>
        </w:rPr>
      </w:pPr>
      <w:r>
        <w:rPr>
          <w:rFonts w:hint="eastAsia"/>
          <w:szCs w:val="30"/>
        </w:rPr>
        <w:t>防止对妇女的暴力已成为芬兰政府方案和行政部门一些行动方案防止和减少暴力的目标</w:t>
      </w:r>
      <w:r>
        <w:rPr>
          <w:rFonts w:hint="eastAsia"/>
          <w:szCs w:val="30"/>
          <w:lang w:val="fi-FI"/>
        </w:rPr>
        <w:t>，行动方案包括内政部的家庭安全方案、司法部减少暴力的国家方案以及</w:t>
      </w:r>
      <w:r>
        <w:rPr>
          <w:rFonts w:hint="eastAsia"/>
          <w:szCs w:val="30"/>
        </w:rPr>
        <w:t>社会事务和卫生部防止家庭暴力和亲密伴侣暴力的行动方案。政府实现平等国家行动计划包括几个标题，其目的是防止伴侣关系的暴力中的暴力和对妇女的暴力，并制止卖淫行为。</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lang w:val="fi-FI"/>
        </w:rPr>
        <w:t>减少对妇女的暴力在芬兰政府于</w:t>
      </w:r>
      <w:r>
        <w:rPr>
          <w:rFonts w:hint="eastAsia"/>
          <w:szCs w:val="30"/>
          <w:lang w:val="fi-FI"/>
        </w:rPr>
        <w:t>2006</w:t>
      </w:r>
      <w:r>
        <w:rPr>
          <w:rFonts w:hint="eastAsia"/>
          <w:szCs w:val="30"/>
          <w:lang w:val="fi-FI"/>
        </w:rPr>
        <w:t>年</w:t>
      </w:r>
      <w:r>
        <w:rPr>
          <w:rFonts w:hint="eastAsia"/>
          <w:szCs w:val="30"/>
          <w:lang w:val="fi-FI"/>
        </w:rPr>
        <w:t>12</w:t>
      </w:r>
      <w:r>
        <w:rPr>
          <w:rFonts w:hint="eastAsia"/>
          <w:szCs w:val="30"/>
          <w:lang w:val="fi-FI"/>
        </w:rPr>
        <w:t>月</w:t>
      </w:r>
      <w:r>
        <w:rPr>
          <w:rFonts w:hint="eastAsia"/>
          <w:szCs w:val="30"/>
          <w:lang w:val="fi-FI"/>
        </w:rPr>
        <w:t>14</w:t>
      </w:r>
      <w:r>
        <w:rPr>
          <w:rFonts w:hint="eastAsia"/>
          <w:szCs w:val="30"/>
          <w:lang w:val="fi-FI"/>
        </w:rPr>
        <w:t>日通过的原则决定中占有重要位置。根据有关决定，将通过提高干预能力，提供援助并促进获得援助的机会来减少对妇女的暴力。</w:t>
      </w:r>
      <w:r>
        <w:rPr>
          <w:rFonts w:hint="eastAsia"/>
          <w:szCs w:val="30"/>
        </w:rPr>
        <w:t>受害人会更容易地就暴力事件提出指控，行为人将对其行为负责并被要求对受害人进行护理。旨在使人们停止使用暴力的各种方案将会为公众更了解。另外，还将加强有关部门，特别是社会行政部门与警方的合作，以便提供快速服务，确保牢不可破的援助链的存在。</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在保健方面，按照原则决定，将会加强护理受害人的做法和确认攻击受害人的手段，并培训相关人员。此外，其目标是在全国建立</w:t>
      </w:r>
      <w:r>
        <w:rPr>
          <w:rFonts w:hint="eastAsia"/>
          <w:szCs w:val="30"/>
        </w:rPr>
        <w:t>24</w:t>
      </w:r>
      <w:r>
        <w:rPr>
          <w:rFonts w:hint="eastAsia"/>
          <w:szCs w:val="30"/>
        </w:rPr>
        <w:t>小时社会服务应急系统。社会工作人员必须拟订针对暴力受害人的服务、援助和安全计划。</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根据原则决定，将通过改进警方侦查工作，使受害人更易于举报暴力事件，从而提高抓获犯罪人的机率。警方应协助为那些感觉受到暴力威胁的人制定安全计划。按照限制令在会面期间做出安全安排以改善安全状况，并开发新的技术，对限制令进行电子监视。在地区一级，确保全面的庇护家园服务得到充分普及，并为暴力行为女受害者免费提供</w:t>
      </w:r>
      <w:r>
        <w:rPr>
          <w:rFonts w:hint="eastAsia"/>
          <w:szCs w:val="30"/>
        </w:rPr>
        <w:t>24</w:t>
      </w:r>
      <w:r>
        <w:rPr>
          <w:rFonts w:hint="eastAsia"/>
          <w:szCs w:val="30"/>
        </w:rPr>
        <w:t>小时电话咨询服务。</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根据政府方案，社会事务和卫生部制定了防止家庭暴力和亲密伴侣暴力行动方案（</w:t>
      </w:r>
      <w:r>
        <w:rPr>
          <w:szCs w:val="30"/>
        </w:rPr>
        <w:t>2004-2007</w:t>
      </w:r>
      <w:r>
        <w:rPr>
          <w:rFonts w:hint="eastAsia"/>
          <w:szCs w:val="30"/>
        </w:rPr>
        <w:t>年），其目的是创建一个覆盖全国的基础性、支助性和特殊服务网络，为遭受暴力的儿童和年轻人提供更加有效的服务，并加强处理暴力案件的工作人员的专业技能。国家省级办事处负责执行防止家庭暴力和亲密伴侣暴力行动方案。为了促进与全国方案有关活动，省级办事处成立了地区跨专业团体负责开展这些活动，省级办事处由地区当局和组织的代表组成。为落实行动方案，政府已向各省划拨了单独拨款。</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欧盟</w:t>
      </w:r>
      <w:r>
        <w:rPr>
          <w:szCs w:val="30"/>
        </w:rPr>
        <w:t xml:space="preserve">Daphne II </w:t>
      </w:r>
      <w:r>
        <w:rPr>
          <w:rFonts w:hint="eastAsia"/>
          <w:szCs w:val="30"/>
        </w:rPr>
        <w:t>方案</w:t>
      </w:r>
      <w:r>
        <w:rPr>
          <w:rStyle w:val="FootnoteReference"/>
          <w:szCs w:val="30"/>
          <w:lang w:val="fi-FI"/>
        </w:rPr>
        <w:footnoteReference w:id="16"/>
      </w:r>
      <w:r>
        <w:rPr>
          <w:rFonts w:hint="eastAsia"/>
          <w:szCs w:val="30"/>
        </w:rPr>
        <w:t>是一项防止和打击对儿童、年轻人和妇女的所有暴力行为的方案。在</w:t>
      </w:r>
      <w:r>
        <w:rPr>
          <w:szCs w:val="30"/>
        </w:rPr>
        <w:t xml:space="preserve">Daphne II </w:t>
      </w:r>
      <w:r>
        <w:rPr>
          <w:rFonts w:hint="eastAsia"/>
          <w:szCs w:val="30"/>
        </w:rPr>
        <w:t>框架内，</w:t>
      </w:r>
      <w:r>
        <w:rPr>
          <w:szCs w:val="30"/>
        </w:rPr>
        <w:t>2004-2006</w:t>
      </w:r>
      <w:r>
        <w:rPr>
          <w:rFonts w:hint="eastAsia"/>
          <w:szCs w:val="30"/>
        </w:rPr>
        <w:t>年芬兰有</w:t>
      </w:r>
      <w:r>
        <w:rPr>
          <w:rFonts w:hint="eastAsia"/>
          <w:szCs w:val="30"/>
        </w:rPr>
        <w:t>9</w:t>
      </w:r>
      <w:r>
        <w:rPr>
          <w:rFonts w:hint="eastAsia"/>
          <w:szCs w:val="30"/>
        </w:rPr>
        <w:t>个项目获得通过。在此框架内，芬兰有机会与其他欧洲国家合作，共同制定并比较旨在减少对妇女暴力的各种措施。</w:t>
      </w:r>
    </w:p>
    <w:p w:rsidR="001C7848" w:rsidRDefault="001C7848">
      <w:pPr>
        <w:pStyle w:val="H2"/>
        <w:rPr>
          <w:rFonts w:hint="eastAsia"/>
          <w:u w:val="single"/>
        </w:rPr>
      </w:pPr>
      <w:bookmarkStart w:id="65" w:name="_Toc181766673"/>
      <w:bookmarkStart w:id="66" w:name="_Toc188785269"/>
      <w:r>
        <w:t xml:space="preserve">1.7.  </w:t>
      </w:r>
      <w:bookmarkEnd w:id="65"/>
      <w:r>
        <w:rPr>
          <w:rFonts w:hint="eastAsia"/>
          <w:u w:val="single"/>
        </w:rPr>
        <w:t>移民妇女</w:t>
      </w:r>
      <w:bookmarkEnd w:id="66"/>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最近几年</w:t>
      </w:r>
      <w:r>
        <w:rPr>
          <w:rFonts w:hint="eastAsia"/>
          <w:szCs w:val="30"/>
          <w:lang w:val="fi-FI"/>
        </w:rPr>
        <w:t>，</w:t>
      </w:r>
      <w:r>
        <w:rPr>
          <w:rFonts w:hint="eastAsia"/>
          <w:szCs w:val="30"/>
        </w:rPr>
        <w:t>移民妇女在伴侣关系中受到的暴力侵害以及预防这种暴力的工作已引起人们的重视。通常，遭受歧视的移民并不了解其权利或为他们提供的服务。大多数移民需要非芬兰语或瑞典语的服务，许多移民使用自己的母语。</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例如，警察局和司法部就限制令和受害人的权利问题编写了多种语言的小册子。劳动部帮助司法部支付了制作限制令小册子的费用，内政部将之翻译成移民所讲的语言。可登录</w:t>
      </w:r>
      <w:r>
        <w:rPr>
          <w:szCs w:val="30"/>
        </w:rPr>
        <w:t>http://www.poliisi.fi/suomi/</w:t>
      </w:r>
      <w:r>
        <w:rPr>
          <w:rFonts w:hint="eastAsia"/>
          <w:szCs w:val="30"/>
        </w:rPr>
        <w:t xml:space="preserve"> </w:t>
      </w:r>
      <w:r>
        <w:rPr>
          <w:szCs w:val="30"/>
        </w:rPr>
        <w:t>lahestymiskielto</w:t>
      </w:r>
      <w:r>
        <w:rPr>
          <w:rFonts w:hint="eastAsia"/>
          <w:szCs w:val="30"/>
        </w:rPr>
        <w:t>，查阅小册子的网络版。</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劳动部协助一些组织开展了各种项目，这些项目旨在促进妇女融入社会，并通过让妇女参与项目监测小组的活动，以及与项目培训组织分配小额财政补贴和提供信息，来改善妇女的地位和权利。劳动部还为其他行政部门将小册子翻译成移民所讲语言的工作提供了资助。</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2004</w:t>
      </w:r>
      <w:r>
        <w:rPr>
          <w:rFonts w:hint="eastAsia"/>
          <w:szCs w:val="30"/>
        </w:rPr>
        <w:t>年，劳动部资助了</w:t>
      </w:r>
      <w:r>
        <w:rPr>
          <w:rFonts w:hint="eastAsia"/>
          <w:szCs w:val="30"/>
        </w:rPr>
        <w:t>2002-2004</w:t>
      </w:r>
      <w:r>
        <w:rPr>
          <w:rFonts w:hint="eastAsia"/>
          <w:szCs w:val="30"/>
        </w:rPr>
        <w:t>年实施的一个题为“完美女性”的项目，该项目由芬兰人权联盟负责协调，其目标是防止对芬兰女童和妇女进行生殖器切割，并增强已成为切割女性生殖器官对象的女童和妇女的福利。根据这一项目，有人向社会事务和卫生部人员提出了防止切割女性生殖器官的建议。劳动部也参加了该项目后续工作监测小组。</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少数群体监察员作为“男人的防线”</w:t>
      </w:r>
      <w:r>
        <w:rPr>
          <w:rStyle w:val="FootnoteReference"/>
          <w:szCs w:val="30"/>
          <w:lang w:val="fi-FI"/>
        </w:rPr>
        <w:footnoteReference w:id="17"/>
      </w:r>
      <w:r>
        <w:rPr>
          <w:rFonts w:hint="eastAsia"/>
          <w:szCs w:val="30"/>
        </w:rPr>
        <w:t>。项目监督组成员发挥作用。男人的防线是一个针对移民男子的项目，其目的是防止并干预亲密关系中发生的暴力行为。</w:t>
      </w:r>
    </w:p>
    <w:p w:rsidR="001C7848" w:rsidRDefault="001C7848" w:rsidP="001C7848">
      <w:pPr>
        <w:numPr>
          <w:ilvl w:val="0"/>
          <w:numId w:val="12"/>
        </w:numPr>
        <w:overflowPunct w:val="0"/>
        <w:autoSpaceDE w:val="0"/>
        <w:autoSpaceDN w:val="0"/>
        <w:spacing w:after="240" w:line="360" w:lineRule="exact"/>
        <w:ind w:left="0" w:right="-69" w:firstLine="0"/>
        <w:rPr>
          <w:rFonts w:hint="eastAsia"/>
          <w:szCs w:val="30"/>
        </w:rPr>
      </w:pPr>
      <w:r>
        <w:rPr>
          <w:rFonts w:hint="eastAsia"/>
          <w:szCs w:val="30"/>
        </w:rPr>
        <w:t>提供指导和援助的全国电话服务妇女热线是芬兰用不同语言向移民妇女提供服务的一个协会。</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多国妇女协会向芬兰遭受暴力的移民妇女提供特殊服务。该协会开通了全国应急电话帮助热线，为处于危机状况的人提供</w:t>
      </w:r>
      <w:r>
        <w:rPr>
          <w:rFonts w:hint="eastAsia"/>
          <w:szCs w:val="30"/>
        </w:rPr>
        <w:t>24</w:t>
      </w:r>
      <w:r>
        <w:rPr>
          <w:rFonts w:hint="eastAsia"/>
          <w:szCs w:val="30"/>
        </w:rPr>
        <w:t>小时服务。在缺少资金的情况下，目前由志愿者维持这一热线。该协会培训志愿者帮助面临暴力的移民妇女和儿童。在全芬兰约有</w:t>
      </w:r>
      <w:r>
        <w:rPr>
          <w:rFonts w:hint="eastAsia"/>
          <w:szCs w:val="30"/>
        </w:rPr>
        <w:t>170</w:t>
      </w:r>
      <w:r>
        <w:rPr>
          <w:rFonts w:hint="eastAsia"/>
          <w:szCs w:val="30"/>
        </w:rPr>
        <w:t>名志愿者接受了培训。在与移民妇女暴力相关的事件中，协助发挥了专家的作用。例如，这些暴力事件包括名誉暴力、逼婚、童婚和切割女性生殖器官。针对暴力侵害移民妇女的事件，协会对有关组织和政府当局的工作人员进行了培训。每年，这类活动可为约</w:t>
      </w:r>
      <w:r>
        <w:rPr>
          <w:rFonts w:hint="eastAsia"/>
          <w:szCs w:val="30"/>
        </w:rPr>
        <w:t>2 300-2 500</w:t>
      </w:r>
      <w:r>
        <w:rPr>
          <w:rFonts w:hint="eastAsia"/>
          <w:szCs w:val="30"/>
        </w:rPr>
        <w:t>名遭受暴力的移民妇女和儿童提供服务。</w:t>
      </w:r>
      <w:r>
        <w:rPr>
          <w:szCs w:val="30"/>
        </w:rPr>
        <w:t>RAY</w:t>
      </w:r>
      <w:r>
        <w:rPr>
          <w:rFonts w:hint="eastAsia"/>
          <w:szCs w:val="30"/>
        </w:rPr>
        <w:t>——芬兰老虎机协会和赫尔辛基市是向协会工作提供资助的主要机构。许多部委和基金会也为这些活动提供了资助。</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多国妇女协会及社会事务和卫生部都发表了“移民妇女与暴力”指南，这是对社会事务和卫生部提供行业援助的指南。此外，还设立了电话服务部，向遭受暴力或暴力威胁的女童和妇女免费提供指导。</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w:t>
      </w:r>
      <w:r>
        <w:rPr>
          <w:rFonts w:hint="eastAsia"/>
          <w:szCs w:val="30"/>
        </w:rPr>
        <w:t>2005-2006</w:t>
      </w:r>
      <w:r>
        <w:rPr>
          <w:rFonts w:hint="eastAsia"/>
          <w:szCs w:val="30"/>
        </w:rPr>
        <w:t>年期间，欧洲难民基金特别资助了由非政府组织</w:t>
      </w:r>
      <w:r>
        <w:rPr>
          <w:szCs w:val="30"/>
        </w:rPr>
        <w:t xml:space="preserve">Mannerheim </w:t>
      </w:r>
      <w:r>
        <w:rPr>
          <w:rFonts w:hint="eastAsia"/>
          <w:szCs w:val="30"/>
        </w:rPr>
        <w:t>儿童福利联盟</w:t>
      </w:r>
      <w:r>
        <w:rPr>
          <w:szCs w:val="30"/>
        </w:rPr>
        <w:t xml:space="preserve">Uusimaa </w:t>
      </w:r>
      <w:r>
        <w:rPr>
          <w:rFonts w:hint="eastAsia"/>
          <w:szCs w:val="30"/>
        </w:rPr>
        <w:t>地区办事处实施的“家庭支助”项目。由于这一项目，政府现已做出努力加强和更新人们在一些主题领域，如难民家庭心理社会福</w:t>
      </w:r>
      <w:r>
        <w:rPr>
          <w:szCs w:val="30"/>
        </w:rPr>
        <w:t>祉</w:t>
      </w:r>
      <w:r>
        <w:rPr>
          <w:rFonts w:hint="eastAsia"/>
          <w:szCs w:val="30"/>
        </w:rPr>
        <w:t>、所谓的名誉暴力、切割女性生殖器官、家庭暴力和亲密伴侣间的暴力等方面的知识和技能水平。已就上述援引的主题制作了光盘和互联网材料包并提供了信息，这些材料很容易在互联网上查阅，并且是一种免费的信息源。这些材料由那些经过项目培训、且具有难民背景的人编写。</w:t>
      </w:r>
    </w:p>
    <w:p w:rsidR="001C7848" w:rsidRDefault="001C7848">
      <w:pPr>
        <w:pStyle w:val="H1"/>
        <w:spacing w:before="120"/>
        <w:jc w:val="both"/>
        <w:rPr>
          <w:rFonts w:hint="eastAsia"/>
        </w:rPr>
      </w:pPr>
      <w:bookmarkStart w:id="67" w:name="_Toc181766674"/>
      <w:bookmarkStart w:id="68" w:name="_Toc188785270"/>
      <w:r>
        <w:t xml:space="preserve">2. </w:t>
      </w:r>
      <w:bookmarkEnd w:id="67"/>
      <w:r>
        <w:rPr>
          <w:rFonts w:hint="eastAsia"/>
        </w:rPr>
        <w:t>性骚扰和基于性别的骚扰</w:t>
      </w:r>
      <w:bookmarkEnd w:id="68"/>
    </w:p>
    <w:p w:rsidR="001C7848" w:rsidRDefault="001C7848">
      <w:pPr>
        <w:pStyle w:val="H2"/>
        <w:rPr>
          <w:rFonts w:hint="eastAsia"/>
          <w:u w:val="single"/>
        </w:rPr>
      </w:pPr>
      <w:bookmarkStart w:id="69" w:name="_Toc181766675"/>
      <w:bookmarkStart w:id="70" w:name="_Toc188785271"/>
      <w:r>
        <w:t>2.1.</w:t>
      </w:r>
      <w:bookmarkEnd w:id="69"/>
      <w:r>
        <w:rPr>
          <w:rFonts w:hint="eastAsia"/>
        </w:rPr>
        <w:t xml:space="preserve">  </w:t>
      </w:r>
      <w:r>
        <w:rPr>
          <w:rFonts w:hint="eastAsia"/>
          <w:u w:val="single"/>
        </w:rPr>
        <w:t>立法</w:t>
      </w:r>
      <w:bookmarkEnd w:id="70"/>
    </w:p>
    <w:p w:rsidR="001C7848" w:rsidRDefault="001C7848" w:rsidP="001C7848">
      <w:pPr>
        <w:numPr>
          <w:ilvl w:val="0"/>
          <w:numId w:val="12"/>
        </w:numPr>
        <w:overflowPunct w:val="0"/>
        <w:autoSpaceDE w:val="0"/>
        <w:autoSpaceDN w:val="0"/>
        <w:spacing w:after="240" w:line="360" w:lineRule="exact"/>
        <w:ind w:left="0" w:right="-69" w:firstLine="0"/>
        <w:rPr>
          <w:szCs w:val="30"/>
          <w:lang w:val="fi-FI"/>
        </w:rPr>
      </w:pPr>
      <w:r>
        <w:rPr>
          <w:rFonts w:hint="eastAsia"/>
          <w:szCs w:val="30"/>
          <w:lang w:val="fi-FI"/>
        </w:rPr>
        <w:t>上文结合第</w:t>
      </w:r>
      <w:r>
        <w:rPr>
          <w:rFonts w:hint="eastAsia"/>
          <w:szCs w:val="30"/>
          <w:lang w:val="fi-FI"/>
        </w:rPr>
        <w:t>2</w:t>
      </w:r>
      <w:r>
        <w:rPr>
          <w:rFonts w:hint="eastAsia"/>
          <w:szCs w:val="30"/>
          <w:lang w:val="fi-FI"/>
        </w:rPr>
        <w:t>条说明了</w:t>
      </w:r>
      <w:r>
        <w:rPr>
          <w:rFonts w:hint="eastAsia"/>
          <w:szCs w:val="30"/>
          <w:lang w:val="fi-FI"/>
        </w:rPr>
        <w:t>2005</w:t>
      </w:r>
      <w:r>
        <w:rPr>
          <w:rFonts w:hint="eastAsia"/>
          <w:szCs w:val="30"/>
          <w:lang w:val="fi-FI"/>
        </w:rPr>
        <w:t>年对《男女平等法》进行的修改。</w:t>
      </w:r>
    </w:p>
    <w:p w:rsidR="001C7848" w:rsidRDefault="001C7848" w:rsidP="001C7848">
      <w:pPr>
        <w:numPr>
          <w:ilvl w:val="0"/>
          <w:numId w:val="12"/>
        </w:numPr>
        <w:overflowPunct w:val="0"/>
        <w:autoSpaceDE w:val="0"/>
        <w:autoSpaceDN w:val="0"/>
        <w:spacing w:after="240" w:line="360" w:lineRule="exact"/>
        <w:ind w:left="0" w:right="-69" w:firstLine="0"/>
        <w:rPr>
          <w:szCs w:val="30"/>
          <w:lang w:val="fi-FI"/>
        </w:rPr>
      </w:pPr>
      <w:r>
        <w:rPr>
          <w:rFonts w:hint="eastAsia"/>
          <w:szCs w:val="30"/>
          <w:lang w:val="fi-FI"/>
        </w:rPr>
        <w:t>根据《平等法》第</w:t>
      </w:r>
      <w:r>
        <w:rPr>
          <w:rFonts w:hint="eastAsia"/>
          <w:szCs w:val="30"/>
          <w:lang w:val="fi-FI"/>
        </w:rPr>
        <w:t>8</w:t>
      </w:r>
      <w:r>
        <w:rPr>
          <w:rFonts w:hint="eastAsia"/>
          <w:szCs w:val="30"/>
          <w:lang w:val="fi-FI"/>
        </w:rPr>
        <w:t>条（</w:t>
      </w:r>
      <w:r>
        <w:rPr>
          <w:szCs w:val="30"/>
          <w:lang w:val="fi-FI"/>
        </w:rPr>
        <w:t>15. 4. 2005/232</w:t>
      </w:r>
      <w:r>
        <w:rPr>
          <w:rFonts w:hint="eastAsia"/>
          <w:szCs w:val="30"/>
          <w:lang w:val="fi-FI"/>
        </w:rPr>
        <w:t>），一旦收到有关资料，证明某雇员在工作场所受到了性或其他基于性别骚扰的侵害，且雇主不注重采取应有的措施消除骚扰，则雇主的行动应被视为构成了《平等法》禁止的歧视。</w:t>
      </w:r>
    </w:p>
    <w:p w:rsidR="001C7848" w:rsidRDefault="001C7848">
      <w:pPr>
        <w:pStyle w:val="H2"/>
        <w:rPr>
          <w:rFonts w:hint="eastAsia"/>
          <w:u w:val="single"/>
        </w:rPr>
      </w:pPr>
      <w:bookmarkStart w:id="71" w:name="_Toc181766676"/>
      <w:bookmarkStart w:id="72" w:name="_Toc188785272"/>
      <w:r>
        <w:t>2.2.</w:t>
      </w:r>
      <w:bookmarkEnd w:id="71"/>
      <w:r>
        <w:rPr>
          <w:rFonts w:hint="eastAsia"/>
        </w:rPr>
        <w:t xml:space="preserve">  </w:t>
      </w:r>
      <w:r>
        <w:rPr>
          <w:rFonts w:hint="eastAsia"/>
          <w:u w:val="single"/>
        </w:rPr>
        <w:t>工作场所基于性别的骚扰</w:t>
      </w:r>
      <w:bookmarkEnd w:id="72"/>
    </w:p>
    <w:p w:rsidR="001C7848" w:rsidRDefault="001C7848">
      <w:pPr>
        <w:pStyle w:val="BodyTextIndent"/>
        <w:ind w:right="-69" w:firstLine="0"/>
        <w:rPr>
          <w:rFonts w:hint="eastAsia"/>
          <w:szCs w:val="30"/>
          <w:u w:val="single"/>
          <w:lang w:val="en-GB"/>
        </w:rPr>
      </w:pPr>
      <w:r>
        <w:rPr>
          <w:rFonts w:hint="eastAsia"/>
          <w:szCs w:val="30"/>
          <w:u w:val="single"/>
          <w:lang w:val="en-GB"/>
        </w:rPr>
        <w:t>警察组织</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在公共部门，劳动力市场基于性别的歧视在警察职业上表现的尤为突出。妇女在该职业中明显占少数，</w:t>
      </w:r>
      <w:r>
        <w:rPr>
          <w:rFonts w:hint="eastAsia"/>
          <w:szCs w:val="30"/>
        </w:rPr>
        <w:t>2006</w:t>
      </w:r>
      <w:r>
        <w:rPr>
          <w:rFonts w:hint="eastAsia"/>
          <w:szCs w:val="30"/>
        </w:rPr>
        <w:t>年，女警官占警察队伍的</w:t>
      </w:r>
      <w:r>
        <w:rPr>
          <w:rFonts w:hint="eastAsia"/>
          <w:szCs w:val="30"/>
        </w:rPr>
        <w:t>11%</w:t>
      </w:r>
      <w:r>
        <w:rPr>
          <w:rFonts w:hint="eastAsia"/>
          <w:szCs w:val="30"/>
        </w:rPr>
        <w:t>。根据芬兰警察学院和芬兰职业健康研究所进行的性别平等研究（</w:t>
      </w:r>
      <w:r>
        <w:rPr>
          <w:rFonts w:hint="eastAsia"/>
          <w:szCs w:val="30"/>
        </w:rPr>
        <w:t>1</w:t>
      </w:r>
      <w:r>
        <w:rPr>
          <w:rFonts w:hint="eastAsia"/>
          <w:szCs w:val="30"/>
        </w:rPr>
        <w:t>），超过三分之一的女警官在其工作社区遭受过性别歧视语言的伤害，五分之一是性骚扰的受害者。事实上，性骚扰在警察中一般比其他职业中更常见。</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2006-2009</w:t>
      </w:r>
      <w:r>
        <w:rPr>
          <w:rFonts w:hint="eastAsia"/>
          <w:szCs w:val="30"/>
        </w:rPr>
        <w:t>年国家警察平等计划在警察组织内开始实施。于</w:t>
      </w:r>
      <w:r>
        <w:rPr>
          <w:rFonts w:hint="eastAsia"/>
          <w:szCs w:val="30"/>
        </w:rPr>
        <w:t>2006</w:t>
      </w:r>
      <w:r>
        <w:rPr>
          <w:rFonts w:hint="eastAsia"/>
          <w:szCs w:val="30"/>
        </w:rPr>
        <w:t>年</w:t>
      </w:r>
      <w:r>
        <w:rPr>
          <w:rFonts w:hint="eastAsia"/>
          <w:szCs w:val="30"/>
        </w:rPr>
        <w:t>10</w:t>
      </w:r>
      <w:r>
        <w:rPr>
          <w:rFonts w:hint="eastAsia"/>
          <w:szCs w:val="30"/>
        </w:rPr>
        <w:t>月完成的这份文件是一份框架性文件，包括实现两性平等的短期和长期计划，这些计划将在地区一级的警察行政部门变成具体的业绩目标。从事警察工作首先要注意培养良好的举止。同事，特别是顶头上司必须制止工作中使用的冒犯性语言。特别是同事、上司或属下的性骚扰是一个严重问题，不应加以姑息，而应立即进行干预。性骚扰的任何受害人都应立即举报此种行为。</w:t>
      </w:r>
    </w:p>
    <w:p w:rsidR="001C7848" w:rsidRDefault="001C7848">
      <w:pPr>
        <w:pStyle w:val="BodyTextIndent"/>
        <w:ind w:right="-69" w:firstLine="0"/>
        <w:rPr>
          <w:rFonts w:hint="eastAsia"/>
          <w:szCs w:val="30"/>
          <w:u w:val="single"/>
        </w:rPr>
      </w:pPr>
      <w:r>
        <w:rPr>
          <w:rFonts w:hint="eastAsia"/>
          <w:szCs w:val="30"/>
          <w:u w:val="single"/>
        </w:rPr>
        <w:t>授予妇女神职</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自</w:t>
      </w:r>
      <w:r>
        <w:rPr>
          <w:rFonts w:hint="eastAsia"/>
          <w:szCs w:val="30"/>
        </w:rPr>
        <w:t>1986</w:t>
      </w:r>
      <w:r>
        <w:rPr>
          <w:rFonts w:hint="eastAsia"/>
          <w:szCs w:val="30"/>
        </w:rPr>
        <w:t>年起，福音路德教会就已开始授予妇女神职。</w:t>
      </w:r>
      <w:r>
        <w:rPr>
          <w:rFonts w:hint="eastAsia"/>
          <w:szCs w:val="30"/>
        </w:rPr>
        <w:t>2006</w:t>
      </w:r>
      <w:r>
        <w:rPr>
          <w:rFonts w:hint="eastAsia"/>
          <w:szCs w:val="30"/>
        </w:rPr>
        <w:t>年，从事牧师工作的人中有</w:t>
      </w:r>
      <w:r>
        <w:rPr>
          <w:rFonts w:hint="eastAsia"/>
          <w:szCs w:val="30"/>
        </w:rPr>
        <w:t>34%</w:t>
      </w:r>
      <w:r>
        <w:rPr>
          <w:rFonts w:hint="eastAsia"/>
          <w:szCs w:val="30"/>
        </w:rPr>
        <w:t>是妇女。在牧师工作中妇女仍遇到基于性别的问题和明显的歧视。根据教会研究中心委托进行的研究，</w:t>
      </w:r>
      <w:r>
        <w:rPr>
          <w:rStyle w:val="FootnoteReference"/>
          <w:szCs w:val="30"/>
        </w:rPr>
        <w:footnoteReference w:id="18"/>
      </w:r>
      <w:r>
        <w:rPr>
          <w:rFonts w:hint="eastAsia"/>
          <w:szCs w:val="30"/>
        </w:rPr>
        <w:t>从事牧师工作的妇女都受到了冷遇，特别是，她们被认为是无关紧要的，她们不仅受到轻视，而且她们的工作的重要性也受到质疑。</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根据主教会议成立的工作组进行的调查，从事牧师工作的男性中，约有</w:t>
      </w:r>
      <w:r>
        <w:rPr>
          <w:rFonts w:hint="eastAsia"/>
          <w:szCs w:val="30"/>
        </w:rPr>
        <w:t>13%</w:t>
      </w:r>
      <w:r>
        <w:rPr>
          <w:rFonts w:hint="eastAsia"/>
          <w:szCs w:val="30"/>
        </w:rPr>
        <w:t>不同意授予女性神职。约有</w:t>
      </w:r>
      <w:r>
        <w:rPr>
          <w:rFonts w:hint="eastAsia"/>
          <w:szCs w:val="30"/>
        </w:rPr>
        <w:t>4%</w:t>
      </w:r>
      <w:r>
        <w:rPr>
          <w:rFonts w:hint="eastAsia"/>
          <w:szCs w:val="30"/>
        </w:rPr>
        <w:t>部分拒绝与女牧师合作，最常见的是拒绝与她们合作主持仪式，</w:t>
      </w:r>
      <w:r>
        <w:rPr>
          <w:rFonts w:hint="eastAsia"/>
          <w:szCs w:val="30"/>
        </w:rPr>
        <w:t>2-3%</w:t>
      </w:r>
      <w:r>
        <w:rPr>
          <w:rFonts w:hint="eastAsia"/>
          <w:szCs w:val="30"/>
        </w:rPr>
        <w:t>的男牧师拒绝与女牧师的一切合作。同以前的调查相比较，人们会发现拒绝合作改革的男牧师人数在减少，态度也变得更加积极。由于那些持最强烈反对态度的人坚持其立场，冲突已变得炽热化。</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2006</w:t>
      </w:r>
      <w:r>
        <w:rPr>
          <w:rFonts w:hint="eastAsia"/>
          <w:szCs w:val="30"/>
        </w:rPr>
        <w:t>年</w:t>
      </w:r>
      <w:r>
        <w:rPr>
          <w:rFonts w:hint="eastAsia"/>
          <w:szCs w:val="30"/>
        </w:rPr>
        <w:t>9</w:t>
      </w:r>
      <w:r>
        <w:rPr>
          <w:rFonts w:hint="eastAsia"/>
          <w:szCs w:val="30"/>
        </w:rPr>
        <w:t>月，主教会议向教会大会、教会管理机构、荷兰改革教会和公理会提交了一份报告，</w:t>
      </w:r>
      <w:r>
        <w:rPr>
          <w:rStyle w:val="FootnoteReference"/>
          <w:szCs w:val="30"/>
        </w:rPr>
        <w:footnoteReference w:id="19"/>
      </w:r>
      <w:r>
        <w:rPr>
          <w:rFonts w:hint="eastAsia"/>
          <w:szCs w:val="30"/>
        </w:rPr>
        <w:t>就工作中因对填补各种职位存在不同意见引起的问题提供指导。报告提到了根据现行法律教会所有职员所应履行的义务。</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提交报告后，关于授予妇女神职的问题进入了一个新阶段。一些反对授任妇女神职的男牧师拒绝履行其职能，尤其是与妇女合作主持仪式。据报道，第一例这类事件已交由荷兰改革教会处理。另一件涉嫌对女牧师歧视的事件由警方展开审前调查。</w:t>
      </w:r>
    </w:p>
    <w:p w:rsidR="001C7848" w:rsidRDefault="001C7848">
      <w:pPr>
        <w:pStyle w:val="H1"/>
        <w:spacing w:before="120"/>
        <w:jc w:val="both"/>
        <w:rPr>
          <w:rFonts w:hint="eastAsia"/>
        </w:rPr>
      </w:pPr>
      <w:bookmarkStart w:id="73" w:name="_Toc181766677"/>
      <w:bookmarkStart w:id="74" w:name="_Toc188785273"/>
      <w:r>
        <w:t xml:space="preserve">3.  </w:t>
      </w:r>
      <w:bookmarkEnd w:id="73"/>
      <w:r>
        <w:rPr>
          <w:rFonts w:hint="eastAsia"/>
        </w:rPr>
        <w:t xml:space="preserve"> 媒体促进两性平等</w:t>
      </w:r>
      <w:bookmarkEnd w:id="74"/>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在针对本报告提交的声明中，芬兰妇发基金委员会对芬兰广播公司（</w:t>
      </w:r>
      <w:r>
        <w:rPr>
          <w:szCs w:val="30"/>
        </w:rPr>
        <w:t>Oy Yleisradio Ab</w:t>
      </w:r>
      <w:r>
        <w:rPr>
          <w:rFonts w:hint="eastAsia"/>
          <w:szCs w:val="30"/>
        </w:rPr>
        <w:t>）选择少量针对性别的节目表示关注。芬兰妇发基金委员会指出，该广播公司</w:t>
      </w:r>
      <w:r>
        <w:rPr>
          <w:rFonts w:hint="eastAsia"/>
          <w:szCs w:val="30"/>
        </w:rPr>
        <w:t>2006</w:t>
      </w:r>
      <w:r>
        <w:rPr>
          <w:rFonts w:hint="eastAsia"/>
          <w:szCs w:val="30"/>
        </w:rPr>
        <w:t>年底做出减少妇女问题专题节目的决定，这与消除对妇女歧视委员会的工作相悖，也与</w:t>
      </w:r>
      <w:r>
        <w:rPr>
          <w:rFonts w:hint="eastAsia"/>
          <w:szCs w:val="30"/>
        </w:rPr>
        <w:t>1995</w:t>
      </w:r>
      <w:r>
        <w:rPr>
          <w:rFonts w:hint="eastAsia"/>
          <w:szCs w:val="30"/>
        </w:rPr>
        <w:t>年在北京举行的联合国第四次妇女问题世界会议《行动纲要》的目标背道而驰。</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芬兰妇女联合行动协会联盟在就本报告提交的报告中，对媒体、广告和文化越来越色情化表示关注。它认为</w:t>
      </w:r>
      <w:r>
        <w:rPr>
          <w:szCs w:val="30"/>
        </w:rPr>
        <w:t>舆论</w:t>
      </w:r>
      <w:r>
        <w:rPr>
          <w:rFonts w:hint="eastAsia"/>
          <w:szCs w:val="30"/>
        </w:rPr>
        <w:t>对</w:t>
      </w:r>
      <w:r>
        <w:rPr>
          <w:szCs w:val="30"/>
        </w:rPr>
        <w:t>商业性行为已变得更加宽容，</w:t>
      </w:r>
      <w:r>
        <w:rPr>
          <w:rFonts w:hint="eastAsia"/>
          <w:szCs w:val="30"/>
        </w:rPr>
        <w:t>性</w:t>
      </w:r>
      <w:r>
        <w:rPr>
          <w:szCs w:val="30"/>
        </w:rPr>
        <w:t>别歧视是许多媒体认为理所当然的</w:t>
      </w:r>
      <w:r>
        <w:rPr>
          <w:rFonts w:hint="eastAsia"/>
          <w:szCs w:val="30"/>
        </w:rPr>
        <w:t>内容的一部分。视觉环境变得更加色情化这一事实影响到公众对性别问题的态度，特别是给青少年树立了有害的榜样。联盟认为媒体和广告业的自我整顿并不能防止该部门削弱妇女权利，因此必须扩大《平等法》的涵盖面，将歧视性广告业也包括在内。此外，在记者的正规教育中应包括两性平等。</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儿童问题监察员在有关本报告的说明中，对媒体和广告过分色情化表示关注，他认为这种做法很可能会影响女性在青少年心目中的形象，并会损害女性的自信心。环境压力造成了严重后果，例如，在北欧国家进行题为“北欧国家的年轻人、性别和色情”的调查时，女孩们说她们将自己的身体和色情图片相比较时，对自己的形象很不满。特别是，如果儿童没有成年人在场，独自受到媒体和广告的大量刺激，问题就会变得更加严重。</w:t>
      </w:r>
      <w:r>
        <w:rPr>
          <w:rFonts w:hint="eastAsia"/>
          <w:szCs w:val="30"/>
        </w:rPr>
        <w:t>2001-2004</w:t>
      </w:r>
      <w:r>
        <w:rPr>
          <w:rFonts w:hint="eastAsia"/>
          <w:szCs w:val="30"/>
        </w:rPr>
        <w:t>年完成的一个研究项目题为“不平等的童年：北欧国家的比较研究”，根据该项目的结果，芬兰女孩往往比其他北欧国家更觉得自己不漂亮。</w:t>
      </w:r>
    </w:p>
    <w:p w:rsidR="001C7848" w:rsidRDefault="001C7848">
      <w:pPr>
        <w:pStyle w:val="HCh"/>
        <w:jc w:val="both"/>
        <w:rPr>
          <w:rFonts w:hint="eastAsia"/>
        </w:rPr>
      </w:pPr>
      <w:bookmarkStart w:id="75" w:name="_Toc188785274"/>
      <w:r>
        <w:rPr>
          <w:rFonts w:hint="eastAsia"/>
        </w:rPr>
        <w:t>第6条</w:t>
      </w:r>
      <w:bookmarkEnd w:id="75"/>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缔约各国应采取一切适当措施，包括制定法律，以禁止一切形式贩卖妇女及意图营利使妇女卖淫的行为。</w:t>
      </w:r>
    </w:p>
    <w:p w:rsidR="001C7848" w:rsidRDefault="001C7848">
      <w:pPr>
        <w:spacing w:after="240" w:line="360" w:lineRule="exact"/>
        <w:ind w:right="-69"/>
        <w:rPr>
          <w:rFonts w:hint="eastAsia"/>
          <w:szCs w:val="32"/>
        </w:rPr>
      </w:pPr>
      <w:r>
        <w:rPr>
          <w:rFonts w:hint="eastAsia"/>
          <w:szCs w:val="32"/>
        </w:rPr>
        <w:t>在基于以前报告提交的说明中，消除对妇女歧视委员会对贩运妇女和剥削卖淫妇女事件的增加表示关注。</w:t>
      </w:r>
      <w:bookmarkStart w:id="76" w:name="_Toc181766679"/>
    </w:p>
    <w:p w:rsidR="001C7848" w:rsidRDefault="001C7848">
      <w:pPr>
        <w:pStyle w:val="H1"/>
        <w:spacing w:before="120"/>
        <w:jc w:val="both"/>
        <w:rPr>
          <w:rFonts w:hint="eastAsia"/>
        </w:rPr>
      </w:pPr>
      <w:bookmarkStart w:id="77" w:name="_Toc188785275"/>
      <w:r>
        <w:t>1.</w:t>
      </w:r>
      <w:bookmarkEnd w:id="76"/>
      <w:r>
        <w:rPr>
          <w:rFonts w:hint="eastAsia"/>
        </w:rPr>
        <w:t xml:space="preserve">　对购买性服务定罪</w:t>
      </w:r>
      <w:bookmarkEnd w:id="77"/>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w:t>
      </w:r>
      <w:r>
        <w:rPr>
          <w:rFonts w:hint="eastAsia"/>
          <w:szCs w:val="30"/>
        </w:rPr>
        <w:t>2005</w:t>
      </w:r>
      <w:r>
        <w:rPr>
          <w:rFonts w:hint="eastAsia"/>
          <w:szCs w:val="30"/>
        </w:rPr>
        <w:t>年</w:t>
      </w:r>
      <w:r>
        <w:rPr>
          <w:rFonts w:hint="eastAsia"/>
          <w:szCs w:val="30"/>
        </w:rPr>
        <w:t>12</w:t>
      </w:r>
      <w:r>
        <w:rPr>
          <w:rFonts w:hint="eastAsia"/>
          <w:szCs w:val="30"/>
        </w:rPr>
        <w:t>月</w:t>
      </w:r>
      <w:r>
        <w:rPr>
          <w:rFonts w:hint="eastAsia"/>
          <w:szCs w:val="30"/>
        </w:rPr>
        <w:t>22</w:t>
      </w:r>
      <w:r>
        <w:rPr>
          <w:rFonts w:hint="eastAsia"/>
          <w:szCs w:val="30"/>
        </w:rPr>
        <w:t>日提交的《政府法案》（</w:t>
      </w:r>
      <w:r>
        <w:rPr>
          <w:szCs w:val="30"/>
        </w:rPr>
        <w:t>HE 221/2005 vp</w:t>
      </w:r>
      <w:r>
        <w:rPr>
          <w:rFonts w:hint="eastAsia"/>
          <w:szCs w:val="30"/>
        </w:rPr>
        <w:t>）中，政府建议任何情况下购买性服务的行为一般应被视为犯罪行为，正如制定新的刑法条款的准备工作一样，关于为使购买性服务成为应受惩罚的罪行而做的工作，必须根据现有资料对定罪的赞成与反对的理由进行讨论。因此进行了彻底的审议：例如，法律事务会听取了许多专家的意见。根据《政府法案》提供的论证，在瑞典，已拟议的相应于刑法规定的条款已被认为也带来了有害影响，如使拉皮条罪的调查更加困难，并使卖淫转入地下。</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在议会程序中，最强烈的批评针对拟议刑法条款因包括所有购买性服务的情况而产生的含糊性。根据刑法合法性原则，必须明确界定犯罪要素。在有关提案的陈述中（</w:t>
      </w:r>
      <w:r>
        <w:rPr>
          <w:szCs w:val="30"/>
        </w:rPr>
        <w:t>PeVL 17/2006 vp</w:t>
      </w:r>
      <w:r>
        <w:rPr>
          <w:rFonts w:hint="eastAsia"/>
          <w:szCs w:val="30"/>
        </w:rPr>
        <w:t>），宪法委员会还对有关问题表示关注。</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宪法委员会还认为《政府法案》下的一般刑法条款产生了其他问题，例如与条款的比例性及行为的次重要性有关的问题。</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法律事务委员会请宪法委员会提交除《政府法案》中包括的提议之外的有关备选方法的声明，即购买性服务的定罪也包括拉皮条或贩卖人口活动。根据宪法委员会的看法，上述备选方法比政府的提案界定得更准确，更符合比例性要求，因为它只针对与这些罪行相关的无可争议应受谴责的行为。</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在报告（</w:t>
      </w:r>
      <w:r>
        <w:rPr>
          <w:szCs w:val="30"/>
        </w:rPr>
        <w:t>LaVM 10/2006 vp</w:t>
      </w:r>
      <w:r>
        <w:rPr>
          <w:rFonts w:hint="eastAsia"/>
          <w:szCs w:val="30"/>
        </w:rPr>
        <w:t>）中，法律事务委员会根据现行《刑法典》第</w:t>
      </w:r>
      <w:r>
        <w:rPr>
          <w:rFonts w:hint="eastAsia"/>
          <w:szCs w:val="30"/>
        </w:rPr>
        <w:t>20</w:t>
      </w:r>
      <w:r>
        <w:rPr>
          <w:rFonts w:hint="eastAsia"/>
          <w:szCs w:val="30"/>
        </w:rPr>
        <w:t>章第</w:t>
      </w:r>
      <w:r>
        <w:rPr>
          <w:rFonts w:hint="eastAsia"/>
          <w:szCs w:val="30"/>
        </w:rPr>
        <w:t>8</w:t>
      </w:r>
      <w:r>
        <w:rPr>
          <w:rFonts w:hint="eastAsia"/>
          <w:szCs w:val="30"/>
        </w:rPr>
        <w:t>条（</w:t>
      </w:r>
      <w:r>
        <w:rPr>
          <w:szCs w:val="30"/>
        </w:rPr>
        <w:t>743/2006</w:t>
      </w:r>
      <w:r>
        <w:rPr>
          <w:rFonts w:hint="eastAsia"/>
          <w:szCs w:val="30"/>
        </w:rPr>
        <w:t>），决定将剥削性交易受害人的行为定罪。该条款的目的是专门消除这种严重罪行可能发生的条件。</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性行业协会</w:t>
      </w:r>
      <w:r>
        <w:rPr>
          <w:szCs w:val="30"/>
        </w:rPr>
        <w:t>SALLI</w:t>
      </w:r>
      <w:r>
        <w:rPr>
          <w:rFonts w:hint="eastAsia"/>
          <w:szCs w:val="30"/>
        </w:rPr>
        <w:t>对将购买性服务定罪提出了批评。在它看来，修订案根本没有改善目前是或已经是妓女的妇女的地位或法律保护，也没有使导致妇女卖淫的原因或情况有任何积极的变化。当法院处理与购买性服务的拉皮条行为有关的案件时，所产生的问题是处于“受害人”位置的妓女并没有正式被给予犯罪受害人的地位，也无权得到必要的保护。旨在保护犯罪受害人的方案</w:t>
      </w:r>
      <w:r>
        <w:rPr>
          <w:szCs w:val="30"/>
        </w:rPr>
        <w:t>除在极少数情况下涉及</w:t>
      </w:r>
      <w:r>
        <w:rPr>
          <w:rFonts w:hint="eastAsia"/>
          <w:szCs w:val="30"/>
        </w:rPr>
        <w:t>贩运人口的受害者外并不涉及妓女。与此同时，与卖淫相关的定罪较重，这实际上会使召来作证的妓女处于十分不利的境地。她们不会因为法律程序而得到任何补偿或保护。相反，她们将遭受被当作嫌疑人和被当局追究这两方面的压力。</w:t>
      </w:r>
    </w:p>
    <w:p w:rsidR="001C7848" w:rsidRDefault="001C7848">
      <w:pPr>
        <w:spacing w:after="240" w:line="360" w:lineRule="exact"/>
        <w:ind w:right="-69"/>
        <w:rPr>
          <w:szCs w:val="30"/>
        </w:rPr>
      </w:pP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妇女联合行动协会联盟、妇女协会联盟和女权协会也对上述修正案提出批评。这些组织认为，由于仅从拉皮条或贩卖人口受害人那里购买性服务的情况很难实际证明，因此，已生效的法令禁止这种性服务，在此情况下，《政府法案》（</w:t>
      </w:r>
      <w:r>
        <w:rPr>
          <w:szCs w:val="30"/>
        </w:rPr>
        <w:t>HE 221/2005</w:t>
      </w:r>
      <w:r>
        <w:rPr>
          <w:rFonts w:hint="eastAsia"/>
          <w:szCs w:val="30"/>
        </w:rPr>
        <w:t>）不可能发挥作用，而且很难依法惩罚购买性服务的人。这些组织还认为，人们不能只盯住卖淫问题，而不考虑目前由犯罪团伙组织的少量卖淫活动，芬兰这方面开展的一些辩论似乎存在这种情况。在芬兰，免费提供性服务的社团很少，它们的观点引起了媒体和当局的高度重视。据这些组织称，上述情况曲解了芬兰就贩卖人口和与之相关的性交易进行的对话，使人们的注意力从买卖妇女和卖淫这种严重的侵犯人权的行为进一步转到此方面来。</w:t>
      </w:r>
    </w:p>
    <w:p w:rsidR="001C7848" w:rsidRDefault="001C7848">
      <w:pPr>
        <w:pStyle w:val="H1"/>
        <w:spacing w:before="120"/>
        <w:jc w:val="both"/>
        <w:rPr>
          <w:rFonts w:hint="eastAsia"/>
        </w:rPr>
      </w:pPr>
      <w:bookmarkStart w:id="78" w:name="_Toc181766680"/>
      <w:bookmarkStart w:id="79" w:name="_Toc188785276"/>
      <w:r>
        <w:t xml:space="preserve">2. </w:t>
      </w:r>
      <w:bookmarkEnd w:id="78"/>
      <w:r>
        <w:rPr>
          <w:rFonts w:hint="eastAsia"/>
        </w:rPr>
        <w:t xml:space="preserve"> 贩运人口</w:t>
      </w:r>
      <w:bookmarkEnd w:id="79"/>
    </w:p>
    <w:p w:rsidR="001C7848" w:rsidRDefault="001C7848">
      <w:pPr>
        <w:pStyle w:val="H2"/>
        <w:rPr>
          <w:rFonts w:hint="eastAsia"/>
          <w:u w:val="single"/>
        </w:rPr>
      </w:pPr>
      <w:bookmarkStart w:id="80" w:name="_Toc181766681"/>
      <w:bookmarkStart w:id="81" w:name="_Toc188785277"/>
      <w:r>
        <w:t>2.1.</w:t>
      </w:r>
      <w:bookmarkEnd w:id="80"/>
      <w:r>
        <w:rPr>
          <w:rFonts w:hint="eastAsia"/>
        </w:rPr>
        <w:t xml:space="preserve">  </w:t>
      </w:r>
      <w:r>
        <w:rPr>
          <w:rFonts w:hint="eastAsia"/>
          <w:u w:val="single"/>
        </w:rPr>
        <w:t>国际义务</w:t>
      </w:r>
      <w:bookmarkEnd w:id="81"/>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芬兰已于</w:t>
      </w:r>
      <w:r>
        <w:rPr>
          <w:rFonts w:hint="eastAsia"/>
          <w:szCs w:val="30"/>
        </w:rPr>
        <w:t>2006</w:t>
      </w:r>
      <w:r>
        <w:rPr>
          <w:rFonts w:hint="eastAsia"/>
          <w:szCs w:val="30"/>
        </w:rPr>
        <w:t>年</w:t>
      </w:r>
      <w:r>
        <w:rPr>
          <w:rFonts w:hint="eastAsia"/>
          <w:szCs w:val="30"/>
        </w:rPr>
        <w:t>10</w:t>
      </w:r>
      <w:r>
        <w:rPr>
          <w:rFonts w:hint="eastAsia"/>
          <w:szCs w:val="30"/>
        </w:rPr>
        <w:t>月</w:t>
      </w:r>
      <w:r>
        <w:rPr>
          <w:rFonts w:hint="eastAsia"/>
          <w:szCs w:val="30"/>
        </w:rPr>
        <w:t>7</w:t>
      </w:r>
      <w:r>
        <w:rPr>
          <w:rFonts w:hint="eastAsia"/>
          <w:szCs w:val="30"/>
        </w:rPr>
        <w:t>日批准了《联合国打击跨国有组织犯罪公约》（《巴勒莫公约》，</w:t>
      </w:r>
      <w:r>
        <w:rPr>
          <w:szCs w:val="30"/>
        </w:rPr>
        <w:t>SopS 18-20/2004</w:t>
      </w:r>
      <w:r>
        <w:rPr>
          <w:rFonts w:hint="eastAsia"/>
          <w:szCs w:val="30"/>
        </w:rPr>
        <w:t>）以及《防止贩运人口附加议定书》。批准这些文书并没有被视为修订立法的必要条件，因为芬兰此前已履行了将贩运人口定为犯罪行为的义务。</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2004</w:t>
      </w:r>
      <w:r>
        <w:rPr>
          <w:rFonts w:hint="eastAsia"/>
          <w:szCs w:val="30"/>
        </w:rPr>
        <w:t>年</w:t>
      </w:r>
      <w:r>
        <w:rPr>
          <w:rFonts w:hint="eastAsia"/>
          <w:szCs w:val="30"/>
        </w:rPr>
        <w:t>4</w:t>
      </w:r>
      <w:r>
        <w:rPr>
          <w:rFonts w:hint="eastAsia"/>
          <w:szCs w:val="30"/>
        </w:rPr>
        <w:t>月</w:t>
      </w:r>
      <w:r>
        <w:rPr>
          <w:rFonts w:hint="eastAsia"/>
          <w:szCs w:val="30"/>
        </w:rPr>
        <w:t>29</w:t>
      </w:r>
      <w:r>
        <w:rPr>
          <w:rFonts w:hint="eastAsia"/>
          <w:szCs w:val="30"/>
        </w:rPr>
        <w:t>日，欧盟委员会通过了向第三国侨民颁发居住许可证的第</w:t>
      </w:r>
      <w:r>
        <w:rPr>
          <w:szCs w:val="30"/>
        </w:rPr>
        <w:t>2004/81/EC</w:t>
      </w:r>
      <w:r>
        <w:rPr>
          <w:rFonts w:hint="eastAsia"/>
          <w:szCs w:val="30"/>
        </w:rPr>
        <w:t>号指令，这些侨民是贩运人口的受害者或是促进非法移民行动的对象，他们一般都与主管当局合作。由于这项指令，通过向贩运人口受害人颁发居住许可证的条款对《外国人法》（</w:t>
      </w:r>
      <w:r>
        <w:rPr>
          <w:szCs w:val="30"/>
        </w:rPr>
        <w:t>301/2004</w:t>
      </w:r>
      <w:r>
        <w:rPr>
          <w:rFonts w:hint="eastAsia"/>
          <w:szCs w:val="30"/>
        </w:rPr>
        <w:t>）进行了补充。</w:t>
      </w:r>
    </w:p>
    <w:p w:rsidR="001C7848" w:rsidRDefault="001C7848" w:rsidP="001C7848">
      <w:pPr>
        <w:numPr>
          <w:ilvl w:val="0"/>
          <w:numId w:val="12"/>
        </w:numPr>
        <w:overflowPunct w:val="0"/>
        <w:autoSpaceDE w:val="0"/>
        <w:autoSpaceDN w:val="0"/>
        <w:spacing w:after="240" w:line="360" w:lineRule="exact"/>
        <w:ind w:left="0" w:right="-69" w:firstLine="0"/>
        <w:rPr>
          <w:szCs w:val="30"/>
        </w:rPr>
      </w:pPr>
      <w:r>
        <w:rPr>
          <w:rFonts w:hint="eastAsia"/>
          <w:szCs w:val="30"/>
        </w:rPr>
        <w:t>外交部正在准备欧洲理事会《打击贩运人口行动公约》（</w:t>
      </w:r>
      <w:r>
        <w:rPr>
          <w:szCs w:val="30"/>
        </w:rPr>
        <w:t>ETS 197</w:t>
      </w:r>
      <w:r>
        <w:rPr>
          <w:rFonts w:hint="eastAsia"/>
          <w:szCs w:val="30"/>
        </w:rPr>
        <w:t>）的批准工作。但是，《公约》的主要焦点在于保护人口贩运的受害者。芬兰于</w:t>
      </w:r>
      <w:r>
        <w:rPr>
          <w:rFonts w:hint="eastAsia"/>
          <w:szCs w:val="30"/>
        </w:rPr>
        <w:t>2006</w:t>
      </w:r>
      <w:r>
        <w:rPr>
          <w:rFonts w:hint="eastAsia"/>
          <w:szCs w:val="30"/>
        </w:rPr>
        <w:t>年</w:t>
      </w:r>
      <w:r>
        <w:rPr>
          <w:rFonts w:hint="eastAsia"/>
          <w:szCs w:val="30"/>
        </w:rPr>
        <w:t>8</w:t>
      </w:r>
      <w:r>
        <w:rPr>
          <w:rFonts w:hint="eastAsia"/>
          <w:szCs w:val="30"/>
        </w:rPr>
        <w:t>月</w:t>
      </w:r>
      <w:r>
        <w:rPr>
          <w:rFonts w:hint="eastAsia"/>
          <w:szCs w:val="30"/>
        </w:rPr>
        <w:t>29</w:t>
      </w:r>
      <w:r>
        <w:rPr>
          <w:rFonts w:hint="eastAsia"/>
          <w:szCs w:val="30"/>
        </w:rPr>
        <w:t>日签署了该《公约》。需要采取立法措施使《公约》在全国生效。</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2000</w:t>
      </w:r>
      <w:r>
        <w:rPr>
          <w:rFonts w:hint="eastAsia"/>
          <w:szCs w:val="24"/>
        </w:rPr>
        <w:t>年</w:t>
      </w:r>
      <w:r>
        <w:rPr>
          <w:rFonts w:hint="eastAsia"/>
          <w:szCs w:val="24"/>
        </w:rPr>
        <w:t>9</w:t>
      </w:r>
      <w:r>
        <w:rPr>
          <w:rFonts w:hint="eastAsia"/>
          <w:szCs w:val="24"/>
        </w:rPr>
        <w:t>月</w:t>
      </w:r>
      <w:r>
        <w:rPr>
          <w:rFonts w:hint="eastAsia"/>
          <w:szCs w:val="24"/>
        </w:rPr>
        <w:t>7</w:t>
      </w:r>
      <w:r>
        <w:rPr>
          <w:rFonts w:hint="eastAsia"/>
          <w:szCs w:val="24"/>
        </w:rPr>
        <w:t>日，芬兰签署了《儿童权利公约关于买卖儿童、</w:t>
      </w:r>
      <w:r>
        <w:rPr>
          <w:color w:val="000000"/>
          <w:szCs w:val="24"/>
        </w:rPr>
        <w:t>儿童卖淫和儿童色情制品问题的任择议定书</w:t>
      </w:r>
      <w:r>
        <w:rPr>
          <w:rFonts w:hint="eastAsia"/>
          <w:color w:val="000000"/>
          <w:szCs w:val="24"/>
        </w:rPr>
        <w:t>》。外交部也正准备使该《公约》生效。需要采取立法措施使《公约》在全国生效。</w:t>
      </w:r>
    </w:p>
    <w:p w:rsidR="001C7848" w:rsidRDefault="001C7848">
      <w:pPr>
        <w:pStyle w:val="H2"/>
        <w:rPr>
          <w:rFonts w:hint="eastAsia"/>
          <w:u w:val="single"/>
        </w:rPr>
      </w:pPr>
      <w:bookmarkStart w:id="82" w:name="_Toc181766682"/>
      <w:bookmarkStart w:id="83" w:name="_Toc188785278"/>
      <w:r>
        <w:t>2.2.</w:t>
      </w:r>
      <w:r>
        <w:rPr>
          <w:rFonts w:hint="eastAsia"/>
        </w:rPr>
        <w:t xml:space="preserve">  </w:t>
      </w:r>
      <w:r>
        <w:rPr>
          <w:rFonts w:hint="eastAsia"/>
          <w:u w:val="single"/>
        </w:rPr>
        <w:t>立法修正案</w:t>
      </w:r>
      <w:bookmarkEnd w:id="82"/>
      <w:bookmarkEnd w:id="83"/>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芬兰就贩运人口问题制定的刑事立法已达到履行国际义务所规定的标准，关于贩运人口和严重贩运人口行为的新条款已被添加到《刑法典》第</w:t>
      </w:r>
      <w:r>
        <w:rPr>
          <w:rFonts w:hint="eastAsia"/>
          <w:szCs w:val="24"/>
          <w:lang w:val="fi-FI"/>
        </w:rPr>
        <w:t>25</w:t>
      </w:r>
      <w:r>
        <w:rPr>
          <w:rFonts w:hint="eastAsia"/>
          <w:szCs w:val="24"/>
        </w:rPr>
        <w:t>章第</w:t>
      </w:r>
      <w:r>
        <w:rPr>
          <w:rFonts w:hint="eastAsia"/>
          <w:szCs w:val="24"/>
          <w:lang w:val="fi-FI"/>
        </w:rPr>
        <w:t>3</w:t>
      </w:r>
      <w:r>
        <w:rPr>
          <w:rFonts w:hint="eastAsia"/>
          <w:szCs w:val="24"/>
          <w:lang w:val="fi-FI"/>
        </w:rPr>
        <w:t>条</w:t>
      </w:r>
      <w:r>
        <w:rPr>
          <w:rFonts w:hint="eastAsia"/>
          <w:szCs w:val="24"/>
        </w:rPr>
        <w:t>和第</w:t>
      </w:r>
      <w:r>
        <w:rPr>
          <w:rFonts w:hint="eastAsia"/>
          <w:szCs w:val="24"/>
          <w:lang w:val="fi-FI"/>
        </w:rPr>
        <w:t>3a</w:t>
      </w:r>
      <w:r>
        <w:rPr>
          <w:rFonts w:hint="eastAsia"/>
          <w:szCs w:val="24"/>
          <w:lang w:val="fi-FI"/>
        </w:rPr>
        <w:t>条</w:t>
      </w:r>
      <w:r>
        <w:rPr>
          <w:rFonts w:hint="eastAsia"/>
          <w:szCs w:val="24"/>
        </w:rPr>
        <w:t>中</w:t>
      </w:r>
      <w:r>
        <w:rPr>
          <w:rFonts w:hint="eastAsia"/>
          <w:szCs w:val="24"/>
          <w:lang w:val="fi-FI"/>
        </w:rPr>
        <w:t>（</w:t>
      </w:r>
      <w:r>
        <w:rPr>
          <w:rFonts w:hint="eastAsia"/>
          <w:szCs w:val="24"/>
          <w:lang w:val="fi-FI"/>
        </w:rPr>
        <w:t>9 July 2004/650</w:t>
      </w:r>
      <w:r>
        <w:rPr>
          <w:rFonts w:hint="eastAsia"/>
          <w:szCs w:val="24"/>
          <w:lang w:val="fi-FI"/>
        </w:rPr>
        <w:t>，</w:t>
      </w:r>
      <w:r>
        <w:rPr>
          <w:rFonts w:hint="eastAsia"/>
          <w:szCs w:val="24"/>
          <w:lang w:val="fi-FI"/>
        </w:rPr>
        <w:t>2004</w:t>
      </w:r>
      <w:r>
        <w:rPr>
          <w:rFonts w:hint="eastAsia"/>
          <w:szCs w:val="24"/>
          <w:lang w:val="fi-FI"/>
        </w:rPr>
        <w:t>年</w:t>
      </w:r>
      <w:r>
        <w:rPr>
          <w:rFonts w:hint="eastAsia"/>
          <w:szCs w:val="24"/>
          <w:lang w:val="fi-FI"/>
        </w:rPr>
        <w:t>7</w:t>
      </w:r>
      <w:r>
        <w:rPr>
          <w:rFonts w:hint="eastAsia"/>
          <w:szCs w:val="24"/>
          <w:lang w:val="fi-FI"/>
        </w:rPr>
        <w:t>月</w:t>
      </w:r>
      <w:r>
        <w:rPr>
          <w:rFonts w:hint="eastAsia"/>
          <w:szCs w:val="24"/>
          <w:lang w:val="fi-FI"/>
        </w:rPr>
        <w:t>1</w:t>
      </w:r>
      <w:r>
        <w:rPr>
          <w:rFonts w:hint="eastAsia"/>
          <w:szCs w:val="24"/>
          <w:lang w:val="fi-FI"/>
        </w:rPr>
        <w:t>日生效），这符合欧洲联盟</w:t>
      </w:r>
      <w:r>
        <w:rPr>
          <w:rFonts w:hint="eastAsia"/>
          <w:color w:val="000000"/>
          <w:szCs w:val="24"/>
        </w:rPr>
        <w:t>理事会</w:t>
      </w:r>
      <w:r>
        <w:rPr>
          <w:rFonts w:hint="eastAsia"/>
          <w:szCs w:val="24"/>
          <w:lang w:val="fi-FI"/>
        </w:rPr>
        <w:t>2002</w:t>
      </w:r>
      <w:r>
        <w:rPr>
          <w:rFonts w:hint="eastAsia"/>
          <w:szCs w:val="24"/>
          <w:lang w:val="fi-FI"/>
        </w:rPr>
        <w:t>年框架决定和《防止贩运人口《巴勒莫公约》附加议定书》（</w:t>
      </w:r>
      <w:r>
        <w:rPr>
          <w:szCs w:val="24"/>
          <w:lang w:val="fi-FI"/>
        </w:rPr>
        <w:t>SopS 70-71/2006</w:t>
      </w:r>
      <w:r>
        <w:rPr>
          <w:rFonts w:hint="eastAsia"/>
          <w:szCs w:val="24"/>
          <w:lang w:val="fi-FI"/>
        </w:rPr>
        <w:t>）规定的认定犯罪行为的义务。贩运人口者可被判入狱最少四个月，最多六年，贩运人口行为严重者可被判入狱最少两年，最多十年。</w:t>
      </w:r>
      <w:r>
        <w:rPr>
          <w:rFonts w:hint="eastAsia"/>
          <w:szCs w:val="24"/>
        </w:rPr>
        <w:t>因此</w:t>
      </w:r>
      <w:r>
        <w:rPr>
          <w:rFonts w:hint="eastAsia"/>
          <w:szCs w:val="24"/>
          <w:lang w:val="fi-FI"/>
        </w:rPr>
        <w:t>，相关的犯罪行为被认为是非常严重的。</w:t>
      </w:r>
      <w:r>
        <w:rPr>
          <w:rFonts w:hint="eastAsia"/>
          <w:szCs w:val="24"/>
        </w:rPr>
        <w:t>此外</w:t>
      </w:r>
      <w:r>
        <w:rPr>
          <w:rFonts w:hint="eastAsia"/>
          <w:szCs w:val="24"/>
          <w:lang w:val="fi-FI"/>
        </w:rPr>
        <w:t>，根据《刑法典》新加的第</w:t>
      </w:r>
      <w:r>
        <w:rPr>
          <w:rFonts w:hint="eastAsia"/>
          <w:szCs w:val="24"/>
          <w:lang w:val="fi-FI"/>
        </w:rPr>
        <w:t>1</w:t>
      </w:r>
      <w:r>
        <w:rPr>
          <w:rFonts w:hint="eastAsia"/>
          <w:szCs w:val="24"/>
          <w:lang w:val="fi-FI"/>
        </w:rPr>
        <w:t>章（</w:t>
      </w:r>
      <w:r>
        <w:rPr>
          <w:szCs w:val="24"/>
          <w:lang w:val="fi-FI"/>
        </w:rPr>
        <w:t>2004/650</w:t>
      </w:r>
      <w:r>
        <w:rPr>
          <w:rFonts w:hint="eastAsia"/>
          <w:szCs w:val="24"/>
          <w:lang w:val="fi-FI"/>
        </w:rPr>
        <w:t>）第</w:t>
      </w:r>
      <w:r>
        <w:rPr>
          <w:rFonts w:hint="eastAsia"/>
          <w:szCs w:val="24"/>
          <w:lang w:val="fi-FI"/>
        </w:rPr>
        <w:t>7</w:t>
      </w:r>
      <w:r>
        <w:rPr>
          <w:rFonts w:hint="eastAsia"/>
          <w:szCs w:val="24"/>
          <w:lang w:val="fi-FI"/>
        </w:rPr>
        <w:t>条（</w:t>
      </w:r>
      <w:r>
        <w:rPr>
          <w:szCs w:val="24"/>
          <w:lang w:val="fi-FI"/>
        </w:rPr>
        <w:t>2004/650</w:t>
      </w:r>
      <w:r>
        <w:rPr>
          <w:rFonts w:hint="eastAsia"/>
          <w:szCs w:val="24"/>
          <w:lang w:val="fi-FI"/>
        </w:rPr>
        <w:t>），</w:t>
      </w:r>
      <w:r>
        <w:rPr>
          <w:rFonts w:hint="eastAsia"/>
          <w:szCs w:val="24"/>
        </w:rPr>
        <w:t>芬兰法律还适用于在芬兰境外的贩运人口犯罪，不管有关犯罪现场的法律如何规定。</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贩运人口与性服务交易和拉皮条密切相关。贩运人口常常是为了对受害者进行性剥削。根据《刑法典》第</w:t>
      </w:r>
      <w:r>
        <w:rPr>
          <w:rFonts w:hint="eastAsia"/>
          <w:szCs w:val="24"/>
        </w:rPr>
        <w:t>20</w:t>
      </w:r>
      <w:r>
        <w:rPr>
          <w:rFonts w:hint="eastAsia"/>
          <w:szCs w:val="24"/>
        </w:rPr>
        <w:t>章第</w:t>
      </w:r>
      <w:r>
        <w:rPr>
          <w:rFonts w:hint="eastAsia"/>
          <w:szCs w:val="24"/>
        </w:rPr>
        <w:t>9</w:t>
      </w:r>
      <w:r>
        <w:rPr>
          <w:rFonts w:hint="eastAsia"/>
          <w:szCs w:val="24"/>
        </w:rPr>
        <w:t>条（</w:t>
      </w:r>
      <w:r>
        <w:rPr>
          <w:rFonts w:hint="eastAsia"/>
          <w:szCs w:val="24"/>
        </w:rPr>
        <w:t>7</w:t>
      </w:r>
      <w:r>
        <w:rPr>
          <w:rFonts w:hint="eastAsia"/>
          <w:szCs w:val="24"/>
        </w:rPr>
        <w:t>月</w:t>
      </w:r>
      <w:r>
        <w:rPr>
          <w:rFonts w:hint="eastAsia"/>
          <w:szCs w:val="24"/>
        </w:rPr>
        <w:t>24</w:t>
      </w:r>
      <w:r>
        <w:rPr>
          <w:rFonts w:hint="eastAsia"/>
          <w:szCs w:val="24"/>
        </w:rPr>
        <w:t>日</w:t>
      </w:r>
      <w:r>
        <w:rPr>
          <w:rFonts w:hint="eastAsia"/>
          <w:szCs w:val="24"/>
        </w:rPr>
        <w:t>1998/563</w:t>
      </w:r>
      <w:r>
        <w:rPr>
          <w:rFonts w:hint="eastAsia"/>
          <w:szCs w:val="24"/>
        </w:rPr>
        <w:t>）和第</w:t>
      </w:r>
      <w:r>
        <w:rPr>
          <w:rFonts w:hint="eastAsia"/>
          <w:szCs w:val="24"/>
        </w:rPr>
        <w:t>9a</w:t>
      </w:r>
      <w:r>
        <w:rPr>
          <w:rFonts w:hint="eastAsia"/>
          <w:szCs w:val="24"/>
        </w:rPr>
        <w:t>条（</w:t>
      </w:r>
      <w:r>
        <w:rPr>
          <w:rFonts w:hint="eastAsia"/>
          <w:szCs w:val="24"/>
        </w:rPr>
        <w:t>7</w:t>
      </w:r>
      <w:r>
        <w:rPr>
          <w:rFonts w:hint="eastAsia"/>
          <w:szCs w:val="24"/>
        </w:rPr>
        <w:t>月</w:t>
      </w:r>
      <w:r>
        <w:rPr>
          <w:rFonts w:hint="eastAsia"/>
          <w:szCs w:val="24"/>
        </w:rPr>
        <w:t>9</w:t>
      </w:r>
      <w:r>
        <w:rPr>
          <w:rFonts w:hint="eastAsia"/>
          <w:szCs w:val="24"/>
        </w:rPr>
        <w:t>日</w:t>
      </w:r>
      <w:r>
        <w:rPr>
          <w:rFonts w:hint="eastAsia"/>
          <w:szCs w:val="24"/>
        </w:rPr>
        <w:t>2004/650</w:t>
      </w:r>
      <w:r>
        <w:rPr>
          <w:rFonts w:hint="eastAsia"/>
          <w:szCs w:val="24"/>
        </w:rPr>
        <w:t>），拉皮条和严重的拉皮条行为应受到惩罚。</w:t>
      </w:r>
      <w:r>
        <w:rPr>
          <w:szCs w:val="24"/>
        </w:rPr>
        <w:t xml:space="preserve"> </w:t>
      </w:r>
      <w:r>
        <w:rPr>
          <w:rFonts w:hint="eastAsia"/>
          <w:szCs w:val="24"/>
        </w:rPr>
        <w:t>2006</w:t>
      </w:r>
      <w:r>
        <w:rPr>
          <w:rFonts w:hint="eastAsia"/>
          <w:szCs w:val="24"/>
        </w:rPr>
        <w:t>年</w:t>
      </w:r>
      <w:r>
        <w:rPr>
          <w:rFonts w:hint="eastAsia"/>
          <w:szCs w:val="24"/>
        </w:rPr>
        <w:t>10</w:t>
      </w:r>
      <w:r>
        <w:rPr>
          <w:rFonts w:hint="eastAsia"/>
          <w:szCs w:val="24"/>
        </w:rPr>
        <w:t>月初，根据涉及从人口贩运或拉皮条受害人那里购买性服务的《刑法典》第</w:t>
      </w:r>
      <w:r>
        <w:rPr>
          <w:rFonts w:hint="eastAsia"/>
          <w:szCs w:val="24"/>
        </w:rPr>
        <w:t>20</w:t>
      </w:r>
      <w:r>
        <w:rPr>
          <w:rFonts w:hint="eastAsia"/>
          <w:szCs w:val="24"/>
        </w:rPr>
        <w:t>章第</w:t>
      </w:r>
      <w:r>
        <w:rPr>
          <w:rFonts w:hint="eastAsia"/>
          <w:szCs w:val="24"/>
        </w:rPr>
        <w:t>8</w:t>
      </w:r>
      <w:r>
        <w:rPr>
          <w:rFonts w:hint="eastAsia"/>
          <w:szCs w:val="24"/>
        </w:rPr>
        <w:t>条（</w:t>
      </w:r>
      <w:r>
        <w:rPr>
          <w:szCs w:val="24"/>
        </w:rPr>
        <w:t>25. 8. 2006/743</w:t>
      </w:r>
      <w:r>
        <w:rPr>
          <w:rFonts w:hint="eastAsia"/>
          <w:szCs w:val="24"/>
        </w:rPr>
        <w:t>），对性服务</w:t>
      </w:r>
      <w:r>
        <w:rPr>
          <w:rFonts w:hint="eastAsia"/>
          <w:color w:val="000000"/>
          <w:szCs w:val="24"/>
        </w:rPr>
        <w:t>交易</w:t>
      </w:r>
      <w:r>
        <w:rPr>
          <w:rFonts w:hint="eastAsia"/>
          <w:szCs w:val="24"/>
        </w:rPr>
        <w:t>受害者的剥削将受到惩罚。根据《刑法典》第</w:t>
      </w:r>
      <w:r>
        <w:rPr>
          <w:rFonts w:hint="eastAsia"/>
          <w:szCs w:val="24"/>
        </w:rPr>
        <w:t>20</w:t>
      </w:r>
      <w:r>
        <w:rPr>
          <w:rFonts w:hint="eastAsia"/>
          <w:szCs w:val="24"/>
        </w:rPr>
        <w:t>章第</w:t>
      </w:r>
      <w:r>
        <w:rPr>
          <w:rFonts w:hint="eastAsia"/>
          <w:szCs w:val="24"/>
        </w:rPr>
        <w:t>8a</w:t>
      </w:r>
      <w:r>
        <w:rPr>
          <w:rFonts w:hint="eastAsia"/>
          <w:szCs w:val="24"/>
        </w:rPr>
        <w:t>条（</w:t>
      </w:r>
      <w:r>
        <w:rPr>
          <w:szCs w:val="24"/>
        </w:rPr>
        <w:t>25. 8. 2006/743</w:t>
      </w:r>
      <w:r>
        <w:rPr>
          <w:rFonts w:hint="eastAsia"/>
          <w:szCs w:val="24"/>
        </w:rPr>
        <w:t>），从</w:t>
      </w:r>
      <w:r>
        <w:rPr>
          <w:rFonts w:hint="eastAsia"/>
          <w:szCs w:val="24"/>
        </w:rPr>
        <w:t>18</w:t>
      </w:r>
      <w:r>
        <w:rPr>
          <w:rFonts w:hint="eastAsia"/>
          <w:szCs w:val="24"/>
        </w:rPr>
        <w:t>岁以下者那里购买性服务应受到惩罚。根据关于公共秩序的法案规定，在公共场所买卖性服务应受到惩罚。</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法人的刑事责任已扩大到贩运人口罪。对市政当局实行最多</w:t>
      </w:r>
      <w:r>
        <w:rPr>
          <w:szCs w:val="24"/>
        </w:rPr>
        <w:t>850 000</w:t>
      </w:r>
      <w:r>
        <w:rPr>
          <w:rFonts w:hint="eastAsia"/>
          <w:szCs w:val="24"/>
        </w:rPr>
        <w:t>欧元的罚款也可以施予法人。此外，法人还应负责其</w:t>
      </w:r>
      <w:r>
        <w:rPr>
          <w:rFonts w:hint="eastAsia"/>
          <w:color w:val="000000"/>
          <w:szCs w:val="24"/>
        </w:rPr>
        <w:t>活动</w:t>
      </w:r>
      <w:r>
        <w:rPr>
          <w:rFonts w:hint="eastAsia"/>
          <w:szCs w:val="24"/>
        </w:rPr>
        <w:t>中引起的任何刑事损失。</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根据所谓的受害人指令，关于人口贩运受害者居留证和在其案例中自行酌定期的条款已被列入《外国人法》（</w:t>
      </w:r>
      <w:r>
        <w:rPr>
          <w:szCs w:val="24"/>
        </w:rPr>
        <w:t>301/2004</w:t>
      </w:r>
      <w:r>
        <w:rPr>
          <w:rFonts w:hint="eastAsia"/>
          <w:szCs w:val="24"/>
        </w:rPr>
        <w:t>）。</w:t>
      </w:r>
      <w:r>
        <w:rPr>
          <w:rFonts w:hint="eastAsia"/>
          <w:color w:val="000000"/>
          <w:szCs w:val="24"/>
        </w:rPr>
        <w:t>与此同时</w:t>
      </w:r>
      <w:r>
        <w:rPr>
          <w:rFonts w:hint="eastAsia"/>
          <w:szCs w:val="24"/>
        </w:rPr>
        <w:t>，《外国人法》还补充了关于自行酌定期的条款，在自行酌定期内，人口贩运受害人可从其经历中恢复过来并摆脱犯罪分子的影响。他们可受益于自行酌定期，以便就开始与当局合作逮捕贩运人口的犯罪嫌疑人做出决定。</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自禁止贩运人口的条款于</w:t>
      </w:r>
      <w:r>
        <w:rPr>
          <w:rFonts w:hint="eastAsia"/>
          <w:szCs w:val="24"/>
        </w:rPr>
        <w:t>2004</w:t>
      </w:r>
      <w:r>
        <w:rPr>
          <w:rFonts w:hint="eastAsia"/>
          <w:szCs w:val="24"/>
        </w:rPr>
        <w:t>年</w:t>
      </w:r>
      <w:r>
        <w:rPr>
          <w:rFonts w:hint="eastAsia"/>
          <w:szCs w:val="24"/>
        </w:rPr>
        <w:t>8</w:t>
      </w:r>
      <w:r>
        <w:rPr>
          <w:rFonts w:hint="eastAsia"/>
          <w:szCs w:val="24"/>
        </w:rPr>
        <w:t>月</w:t>
      </w:r>
      <w:r>
        <w:rPr>
          <w:rFonts w:hint="eastAsia"/>
          <w:szCs w:val="24"/>
        </w:rPr>
        <w:t>1</w:t>
      </w:r>
      <w:r>
        <w:rPr>
          <w:rFonts w:hint="eastAsia"/>
          <w:szCs w:val="24"/>
        </w:rPr>
        <w:t>日生效以来，警察每年都对一些涉嫌的贩运人口案件进行调查。</w:t>
      </w:r>
      <w:r>
        <w:rPr>
          <w:szCs w:val="24"/>
        </w:rPr>
        <w:t xml:space="preserve"> </w:t>
      </w:r>
      <w:r>
        <w:rPr>
          <w:rFonts w:hint="eastAsia"/>
          <w:szCs w:val="24"/>
        </w:rPr>
        <w:t>2006</w:t>
      </w:r>
      <w:r>
        <w:rPr>
          <w:rFonts w:hint="eastAsia"/>
          <w:szCs w:val="24"/>
        </w:rPr>
        <w:t>年第一次对贩运人口罪进行了判决。有人对地区法院的判决不服向上诉法院提出上诉，上诉法院于</w:t>
      </w:r>
      <w:r>
        <w:rPr>
          <w:rFonts w:hint="eastAsia"/>
          <w:szCs w:val="24"/>
        </w:rPr>
        <w:t>2007</w:t>
      </w:r>
      <w:r>
        <w:rPr>
          <w:rFonts w:hint="eastAsia"/>
          <w:szCs w:val="24"/>
        </w:rPr>
        <w:t>年</w:t>
      </w:r>
      <w:r>
        <w:rPr>
          <w:rFonts w:hint="eastAsia"/>
          <w:szCs w:val="24"/>
        </w:rPr>
        <w:t>3</w:t>
      </w:r>
      <w:r>
        <w:rPr>
          <w:rFonts w:hint="eastAsia"/>
          <w:szCs w:val="24"/>
        </w:rPr>
        <w:t>月</w:t>
      </w:r>
      <w:r>
        <w:rPr>
          <w:rFonts w:hint="eastAsia"/>
          <w:szCs w:val="24"/>
        </w:rPr>
        <w:t>1</w:t>
      </w:r>
      <w:r>
        <w:rPr>
          <w:rFonts w:hint="eastAsia"/>
          <w:szCs w:val="24"/>
        </w:rPr>
        <w:t>日做出判决，对四例严重的贩运人口犯罪案、两例拉皮条犯罪案、一例协助和教唆严重的贩运人口犯罪案做出了判决。</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2006</w:t>
      </w:r>
      <w:r>
        <w:rPr>
          <w:rFonts w:hint="eastAsia"/>
          <w:szCs w:val="24"/>
        </w:rPr>
        <w:t>年警方接到五起严重的拉皮条犯罪案。但</w:t>
      </w:r>
      <w:r>
        <w:rPr>
          <w:rFonts w:hint="eastAsia"/>
          <w:szCs w:val="24"/>
        </w:rPr>
        <w:t>2007</w:t>
      </w:r>
      <w:r>
        <w:rPr>
          <w:rFonts w:hint="eastAsia"/>
          <w:szCs w:val="24"/>
        </w:rPr>
        <w:t>年以来没有接到任何这类案件。连同上述的贩运人口罪，对严重的拉皮条</w:t>
      </w:r>
      <w:r>
        <w:rPr>
          <w:rFonts w:hint="eastAsia"/>
          <w:color w:val="000000"/>
          <w:szCs w:val="24"/>
        </w:rPr>
        <w:t>行为</w:t>
      </w:r>
      <w:r>
        <w:rPr>
          <w:rFonts w:hint="eastAsia"/>
          <w:szCs w:val="24"/>
        </w:rPr>
        <w:t>最严厉的惩罚是判刑入狱五年。</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w:t>
      </w:r>
      <w:r>
        <w:rPr>
          <w:rFonts w:hint="eastAsia"/>
          <w:szCs w:val="24"/>
        </w:rPr>
        <w:t>2006</w:t>
      </w:r>
      <w:r>
        <w:rPr>
          <w:rFonts w:hint="eastAsia"/>
          <w:szCs w:val="24"/>
        </w:rPr>
        <w:t>年</w:t>
      </w:r>
      <w:r>
        <w:rPr>
          <w:rFonts w:hint="eastAsia"/>
          <w:szCs w:val="24"/>
        </w:rPr>
        <w:t>10</w:t>
      </w:r>
      <w:r>
        <w:rPr>
          <w:rFonts w:hint="eastAsia"/>
          <w:szCs w:val="24"/>
        </w:rPr>
        <w:t>月</w:t>
      </w:r>
      <w:r>
        <w:rPr>
          <w:rFonts w:hint="eastAsia"/>
          <w:szCs w:val="24"/>
        </w:rPr>
        <w:t>1</w:t>
      </w:r>
      <w:r>
        <w:rPr>
          <w:rFonts w:hint="eastAsia"/>
          <w:szCs w:val="24"/>
        </w:rPr>
        <w:t>日生效的对剥削性交易受害者行为定罪的《刑法典》第</w:t>
      </w:r>
      <w:r>
        <w:rPr>
          <w:rFonts w:hint="eastAsia"/>
          <w:szCs w:val="24"/>
        </w:rPr>
        <w:t>20</w:t>
      </w:r>
      <w:r>
        <w:rPr>
          <w:rFonts w:hint="eastAsia"/>
          <w:szCs w:val="24"/>
        </w:rPr>
        <w:t>章第</w:t>
      </w:r>
      <w:r>
        <w:rPr>
          <w:rFonts w:hint="eastAsia"/>
          <w:szCs w:val="24"/>
        </w:rPr>
        <w:t>8</w:t>
      </w:r>
      <w:r>
        <w:rPr>
          <w:rFonts w:hint="eastAsia"/>
          <w:szCs w:val="24"/>
        </w:rPr>
        <w:t>条，已提出了一次指控和对此犯罪行为的两次</w:t>
      </w:r>
      <w:r>
        <w:rPr>
          <w:rFonts w:hint="eastAsia"/>
          <w:color w:val="000000"/>
          <w:szCs w:val="24"/>
        </w:rPr>
        <w:t>报案</w:t>
      </w:r>
      <w:r>
        <w:rPr>
          <w:rFonts w:hint="eastAsia"/>
          <w:szCs w:val="24"/>
        </w:rPr>
        <w:t>。针对此种剥削行为已有六次向警方报案的尝试。</w:t>
      </w:r>
    </w:p>
    <w:p w:rsidR="001C7848" w:rsidRDefault="001C7848">
      <w:pPr>
        <w:pStyle w:val="H2"/>
        <w:rPr>
          <w:rFonts w:hint="eastAsia"/>
          <w:u w:val="single"/>
        </w:rPr>
      </w:pPr>
      <w:bookmarkStart w:id="84" w:name="_Toc181766683"/>
      <w:bookmarkStart w:id="85" w:name="_Toc188785279"/>
      <w:r>
        <w:t>2.3.</w:t>
      </w:r>
      <w:bookmarkEnd w:id="84"/>
      <w:r>
        <w:rPr>
          <w:rFonts w:hint="eastAsia"/>
        </w:rPr>
        <w:t xml:space="preserve">  </w:t>
      </w:r>
      <w:r>
        <w:rPr>
          <w:rFonts w:hint="eastAsia"/>
          <w:u w:val="single"/>
        </w:rPr>
        <w:t>其他国内措施</w:t>
      </w:r>
      <w:bookmarkEnd w:id="85"/>
    </w:p>
    <w:p w:rsidR="001C7848" w:rsidRDefault="001C7848">
      <w:pPr>
        <w:spacing w:after="240" w:line="360" w:lineRule="exact"/>
        <w:ind w:right="-69"/>
        <w:rPr>
          <w:rFonts w:hint="eastAsia"/>
          <w:szCs w:val="24"/>
          <w:u w:val="single"/>
          <w:lang w:val="fi-FI"/>
        </w:rPr>
      </w:pPr>
      <w:r>
        <w:rPr>
          <w:rFonts w:hint="eastAsia"/>
          <w:szCs w:val="24"/>
          <w:u w:val="single"/>
          <w:lang w:val="fi-FI"/>
        </w:rPr>
        <w:t>政府方案</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根据新的政府方案</w:t>
      </w:r>
      <w:r>
        <w:rPr>
          <w:rFonts w:hint="eastAsia"/>
          <w:szCs w:val="24"/>
          <w:lang w:val="fi-FI"/>
        </w:rPr>
        <w:t>，</w:t>
      </w:r>
      <w:r>
        <w:rPr>
          <w:rFonts w:hint="eastAsia"/>
          <w:szCs w:val="24"/>
        </w:rPr>
        <w:t>向那些人权和基本权利受到侵犯的移民发放永久居留证</w:t>
      </w:r>
      <w:r>
        <w:rPr>
          <w:rFonts w:hint="eastAsia"/>
          <w:szCs w:val="24"/>
          <w:lang w:val="fi-FI"/>
        </w:rPr>
        <w:t>，</w:t>
      </w:r>
      <w:r>
        <w:rPr>
          <w:rFonts w:hint="eastAsia"/>
          <w:szCs w:val="24"/>
        </w:rPr>
        <w:t>以使他们能够更容易寻求公共当局的援助。对从事所谓旨在确认人口贩卖受害人的侦探工作和指导的组织的资金被转入国家拨款预算。</w:t>
      </w:r>
    </w:p>
    <w:p w:rsidR="001C7848" w:rsidRDefault="001C7848">
      <w:pPr>
        <w:spacing w:after="240" w:line="360" w:lineRule="exact"/>
        <w:ind w:right="-69"/>
        <w:rPr>
          <w:rFonts w:hint="eastAsia"/>
          <w:szCs w:val="24"/>
          <w:u w:val="single"/>
        </w:rPr>
      </w:pPr>
      <w:r>
        <w:rPr>
          <w:rFonts w:hint="eastAsia"/>
          <w:szCs w:val="24"/>
          <w:u w:val="single"/>
        </w:rPr>
        <w:t>打击贩运人口的国家行动计划</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在芬兰政府于</w:t>
      </w:r>
      <w:r>
        <w:rPr>
          <w:rFonts w:hint="eastAsia"/>
          <w:szCs w:val="24"/>
        </w:rPr>
        <w:t>2004</w:t>
      </w:r>
      <w:r>
        <w:rPr>
          <w:rFonts w:hint="eastAsia"/>
          <w:szCs w:val="24"/>
        </w:rPr>
        <w:t>年</w:t>
      </w:r>
      <w:r>
        <w:rPr>
          <w:rFonts w:hint="eastAsia"/>
          <w:szCs w:val="24"/>
        </w:rPr>
        <w:t>3</w:t>
      </w:r>
      <w:r>
        <w:rPr>
          <w:rFonts w:hint="eastAsia"/>
          <w:szCs w:val="24"/>
        </w:rPr>
        <w:t>月提交议会的关于芬兰人权政策的报告中，国务委员会承诺制定打击贩运人口的国家行动计划。</w:t>
      </w:r>
      <w:r>
        <w:rPr>
          <w:rFonts w:hint="eastAsia"/>
          <w:szCs w:val="24"/>
        </w:rPr>
        <w:t>2004</w:t>
      </w:r>
      <w:r>
        <w:rPr>
          <w:rFonts w:hint="eastAsia"/>
          <w:szCs w:val="24"/>
        </w:rPr>
        <w:t>年</w:t>
      </w:r>
      <w:r>
        <w:rPr>
          <w:rFonts w:hint="eastAsia"/>
          <w:szCs w:val="24"/>
        </w:rPr>
        <w:t>8</w:t>
      </w:r>
      <w:r>
        <w:rPr>
          <w:rFonts w:hint="eastAsia"/>
          <w:szCs w:val="24"/>
        </w:rPr>
        <w:t>月，外交部成立了一个工作组，其目标是制订打击贩运人口的国家行动计划提案。</w:t>
      </w:r>
      <w:r>
        <w:rPr>
          <w:rFonts w:hint="eastAsia"/>
          <w:szCs w:val="24"/>
        </w:rPr>
        <w:t>2005</w:t>
      </w:r>
      <w:r>
        <w:rPr>
          <w:rFonts w:hint="eastAsia"/>
          <w:szCs w:val="24"/>
        </w:rPr>
        <w:t>年春季，工作组完成了工作，行动计划于</w:t>
      </w:r>
      <w:r>
        <w:rPr>
          <w:rFonts w:hint="eastAsia"/>
          <w:szCs w:val="24"/>
        </w:rPr>
        <w:t>2005</w:t>
      </w:r>
      <w:r>
        <w:rPr>
          <w:rFonts w:hint="eastAsia"/>
          <w:szCs w:val="24"/>
        </w:rPr>
        <w:t>年</w:t>
      </w:r>
      <w:r>
        <w:rPr>
          <w:rFonts w:hint="eastAsia"/>
          <w:szCs w:val="24"/>
        </w:rPr>
        <w:t>8</w:t>
      </w:r>
      <w:r>
        <w:rPr>
          <w:rFonts w:hint="eastAsia"/>
          <w:szCs w:val="24"/>
        </w:rPr>
        <w:t>月</w:t>
      </w:r>
      <w:r>
        <w:rPr>
          <w:rFonts w:hint="eastAsia"/>
          <w:szCs w:val="24"/>
        </w:rPr>
        <w:t>25</w:t>
      </w:r>
      <w:r>
        <w:rPr>
          <w:rFonts w:hint="eastAsia"/>
          <w:szCs w:val="24"/>
        </w:rPr>
        <w:t>日由国务委员会通过。该计划的重点是帮助人口贩运的受害者，根据该计划，已对《安置</w:t>
      </w:r>
      <w:r>
        <w:rPr>
          <w:szCs w:val="24"/>
        </w:rPr>
        <w:t>移民和接收寻求庇护者</w:t>
      </w:r>
      <w:r>
        <w:rPr>
          <w:rFonts w:hint="eastAsia"/>
          <w:szCs w:val="24"/>
        </w:rPr>
        <w:t>法》（</w:t>
      </w:r>
      <w:r>
        <w:rPr>
          <w:szCs w:val="24"/>
        </w:rPr>
        <w:t>493/1999</w:t>
      </w:r>
      <w:r>
        <w:rPr>
          <w:rFonts w:hint="eastAsia"/>
          <w:szCs w:val="24"/>
        </w:rPr>
        <w:t>）中有关援助受害人的规定做了修改。可能属于人口贩运受害者的人被纳入援助系统。一个信息提供工作组已经成立，负责执行国家行动计划，并向普通公众、人口贩运受害人和公共当局提供人口贩运方面的信息。</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劳动部成立了监督和贯彻行动计划小组。该小组提交了防止贩运人口行动计划，并在最新框架内评估已执行的措施，以及就</w:t>
      </w:r>
      <w:r>
        <w:rPr>
          <w:rFonts w:hint="eastAsia"/>
          <w:color w:val="000000"/>
          <w:szCs w:val="24"/>
        </w:rPr>
        <w:t>进一步</w:t>
      </w:r>
      <w:r>
        <w:rPr>
          <w:rFonts w:hint="eastAsia"/>
          <w:szCs w:val="24"/>
        </w:rPr>
        <w:t>采取的措施提出建议。另外，内政部也制定了自己的防止人口贩运计划。</w:t>
      </w:r>
    </w:p>
    <w:p w:rsidR="001C7848" w:rsidRDefault="001C7848">
      <w:pPr>
        <w:pStyle w:val="H2"/>
        <w:rPr>
          <w:rFonts w:hint="eastAsia"/>
          <w:u w:val="single"/>
        </w:rPr>
      </w:pPr>
      <w:bookmarkStart w:id="86" w:name="_Toc181766684"/>
      <w:bookmarkStart w:id="87" w:name="_Toc188785280"/>
      <w:r>
        <w:t>2.4</w:t>
      </w:r>
      <w:bookmarkEnd w:id="86"/>
      <w:r>
        <w:rPr>
          <w:rFonts w:hint="eastAsia"/>
        </w:rPr>
        <w:t xml:space="preserve">.  </w:t>
      </w:r>
      <w:r>
        <w:rPr>
          <w:rFonts w:hint="eastAsia"/>
          <w:u w:val="single"/>
        </w:rPr>
        <w:t>国际合作</w:t>
      </w:r>
      <w:bookmarkEnd w:id="87"/>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加强公共当局之间的合作是芬兰打击贩运人口的重点之一。事实上，芬兰已经在国际组织框架（联合国、欧共体、欧安组织和</w:t>
      </w:r>
      <w:r>
        <w:rPr>
          <w:rFonts w:hint="eastAsia"/>
          <w:color w:val="000000"/>
          <w:szCs w:val="24"/>
        </w:rPr>
        <w:t>区域</w:t>
      </w:r>
      <w:r>
        <w:rPr>
          <w:rFonts w:hint="eastAsia"/>
          <w:szCs w:val="24"/>
        </w:rPr>
        <w:t>组织）内积极参加打击贩运人口的活动。</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芬兰积极参加北欧</w:t>
      </w:r>
      <w:r>
        <w:rPr>
          <w:rFonts w:hint="eastAsia"/>
          <w:szCs w:val="24"/>
        </w:rPr>
        <w:t>-</w:t>
      </w:r>
      <w:r>
        <w:rPr>
          <w:rFonts w:hint="eastAsia"/>
          <w:szCs w:val="24"/>
        </w:rPr>
        <w:t>波罗的海打击贩运人口工作组，该工作组的工作是波罗的海国家理事会活动的一部分。新工作组的第一次会议在定期会议后于</w:t>
      </w:r>
      <w:r>
        <w:rPr>
          <w:rFonts w:hint="eastAsia"/>
          <w:szCs w:val="24"/>
        </w:rPr>
        <w:t>2006</w:t>
      </w:r>
      <w:r>
        <w:rPr>
          <w:rFonts w:hint="eastAsia"/>
          <w:szCs w:val="24"/>
        </w:rPr>
        <w:t>年</w:t>
      </w:r>
      <w:r>
        <w:rPr>
          <w:rFonts w:hint="eastAsia"/>
          <w:szCs w:val="24"/>
        </w:rPr>
        <w:t>11</w:t>
      </w:r>
      <w:r>
        <w:rPr>
          <w:rFonts w:hint="eastAsia"/>
          <w:szCs w:val="24"/>
        </w:rPr>
        <w:t>月召开。</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除了北欧国家外，还有其他国家如德国、波兰和俄罗斯联邦参加了工作组。在其打击贩运人口的工作中，工作组主要从事预防行动并协调对受害人的保护及各种援助，包括加强移民安全返回原籍国的工作。它所面临的挑战是如何确认防止波罗的海国家人口贩运工作的弱点以及弥补差距。合作在本质上将更加注重现实性而非政治性，例如培训领事和外交人员以确认人口贩运受害者。</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w:t>
      </w:r>
      <w:r>
        <w:rPr>
          <w:rFonts w:hint="eastAsia"/>
          <w:szCs w:val="24"/>
        </w:rPr>
        <w:t>2007</w:t>
      </w:r>
      <w:r>
        <w:rPr>
          <w:rFonts w:hint="eastAsia"/>
          <w:szCs w:val="24"/>
        </w:rPr>
        <w:t>年担任欧盟理事会主席期间，芬兰将监测和执行欧盟打击贩运人口行动计划作为其工作重点之一。芬兰主要关注行动计划的落实，以便能够在打击贩运人口的斗争中取得最大的成效。例如，</w:t>
      </w:r>
      <w:r>
        <w:rPr>
          <w:rFonts w:hint="eastAsia"/>
          <w:szCs w:val="24"/>
        </w:rPr>
        <w:t>2006</w:t>
      </w:r>
      <w:r>
        <w:rPr>
          <w:rFonts w:hint="eastAsia"/>
          <w:szCs w:val="24"/>
        </w:rPr>
        <w:t>年</w:t>
      </w:r>
      <w:r>
        <w:rPr>
          <w:rFonts w:hint="eastAsia"/>
          <w:szCs w:val="24"/>
        </w:rPr>
        <w:t>10-11</w:t>
      </w:r>
      <w:r>
        <w:rPr>
          <w:rFonts w:hint="eastAsia"/>
          <w:szCs w:val="24"/>
        </w:rPr>
        <w:t>月，芬兰内政部在赫尔辛基举办了主题为“确认人口贩运的儿童受害者”研讨会，作为实施该计划的一部分。</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芬兰积极参与了打击贩运人口的工作，尤其是在欧洲安全与合作组织框架内。</w:t>
      </w:r>
      <w:r>
        <w:rPr>
          <w:rFonts w:hint="eastAsia"/>
          <w:szCs w:val="24"/>
        </w:rPr>
        <w:t>2006</w:t>
      </w:r>
      <w:r>
        <w:rPr>
          <w:rFonts w:hint="eastAsia"/>
          <w:szCs w:val="24"/>
        </w:rPr>
        <w:t>年</w:t>
      </w:r>
      <w:r>
        <w:rPr>
          <w:rFonts w:hint="eastAsia"/>
          <w:szCs w:val="24"/>
        </w:rPr>
        <w:t>10</w:t>
      </w:r>
      <w:r>
        <w:rPr>
          <w:rFonts w:hint="eastAsia"/>
          <w:szCs w:val="24"/>
        </w:rPr>
        <w:t>月，芬兰代表被任命为欧安组织</w:t>
      </w:r>
      <w:r>
        <w:rPr>
          <w:rFonts w:hint="eastAsia"/>
          <w:color w:val="000000"/>
          <w:szCs w:val="24"/>
        </w:rPr>
        <w:t>打击</w:t>
      </w:r>
      <w:r>
        <w:rPr>
          <w:rFonts w:hint="eastAsia"/>
          <w:szCs w:val="24"/>
        </w:rPr>
        <w:t>贩运人口的特别代表。</w:t>
      </w:r>
    </w:p>
    <w:p w:rsidR="001C7848" w:rsidRDefault="001C7848">
      <w:pPr>
        <w:pStyle w:val="HCh"/>
        <w:jc w:val="both"/>
        <w:rPr>
          <w:rFonts w:hint="eastAsia"/>
        </w:rPr>
      </w:pPr>
      <w:bookmarkStart w:id="88" w:name="_Toc188785281"/>
      <w:r>
        <w:rPr>
          <w:rFonts w:hint="eastAsia"/>
        </w:rPr>
        <w:t>第7条</w:t>
      </w:r>
      <w:bookmarkEnd w:id="88"/>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缔约各国应采取一切适当措施，消除在本国政治和公共生活中对妇女的歧视，特别应保证妇女在与男子平等的条件下：</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在一切选举和公民投票中有选举权，并在一切民选机构有被选举权；</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参加政府政策的制订及其执行，并担任各级政府公职，执行一切公务；</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c</w:t>
      </w:r>
      <w:r>
        <w:rPr>
          <w:rFonts w:eastAsia="KaiTi_GB2312"/>
          <w:iCs/>
          <w:color w:val="0000FF"/>
          <w:szCs w:val="30"/>
        </w:rPr>
        <w:t>）</w:t>
      </w:r>
      <w:r>
        <w:rPr>
          <w:rFonts w:eastAsia="KaiTi_GB2312" w:hint="eastAsia"/>
          <w:iCs/>
          <w:color w:val="0000FF"/>
          <w:szCs w:val="30"/>
        </w:rPr>
        <w:t>参加有关本国公共和政治生活的非政府组织和协会。</w:t>
      </w:r>
    </w:p>
    <w:p w:rsidR="001C7848" w:rsidRDefault="001C7848">
      <w:pPr>
        <w:pStyle w:val="H1"/>
        <w:spacing w:before="120"/>
        <w:jc w:val="both"/>
        <w:rPr>
          <w:rFonts w:hint="eastAsia"/>
        </w:rPr>
      </w:pPr>
      <w:bookmarkStart w:id="89" w:name="_Toc181766686"/>
      <w:bookmarkStart w:id="90" w:name="_Toc188785282"/>
      <w:r>
        <w:t xml:space="preserve">1.  </w:t>
      </w:r>
      <w:bookmarkEnd w:id="89"/>
      <w:r>
        <w:rPr>
          <w:rFonts w:hint="eastAsia"/>
        </w:rPr>
        <w:t>投票权</w:t>
      </w:r>
      <w:bookmarkEnd w:id="90"/>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w:t>
      </w:r>
      <w:r>
        <w:rPr>
          <w:rFonts w:hint="eastAsia"/>
          <w:szCs w:val="24"/>
        </w:rPr>
        <w:t>2004</w:t>
      </w:r>
      <w:r>
        <w:rPr>
          <w:rFonts w:hint="eastAsia"/>
          <w:szCs w:val="24"/>
        </w:rPr>
        <w:t>年的市政选举中，妇女候选人比例上升了</w:t>
      </w:r>
      <w:r>
        <w:rPr>
          <w:rFonts w:hint="eastAsia"/>
          <w:szCs w:val="24"/>
        </w:rPr>
        <w:t>1.7%</w:t>
      </w:r>
      <w:r>
        <w:rPr>
          <w:rFonts w:hint="eastAsia"/>
          <w:szCs w:val="24"/>
        </w:rPr>
        <w:t>，达到</w:t>
      </w:r>
      <w:r>
        <w:rPr>
          <w:rFonts w:hint="eastAsia"/>
          <w:szCs w:val="24"/>
        </w:rPr>
        <w:t>39.9%</w:t>
      </w:r>
      <w:r>
        <w:rPr>
          <w:rFonts w:hint="eastAsia"/>
          <w:szCs w:val="24"/>
        </w:rPr>
        <w:t>。给妇女的投票创有史以来最高纪录；妇女得到总票数</w:t>
      </w:r>
      <w:r>
        <w:rPr>
          <w:color w:val="000000"/>
          <w:szCs w:val="24"/>
        </w:rPr>
        <w:t>997</w:t>
      </w:r>
      <w:r>
        <w:rPr>
          <w:szCs w:val="24"/>
        </w:rPr>
        <w:t xml:space="preserve"> 684</w:t>
      </w:r>
      <w:r>
        <w:rPr>
          <w:rFonts w:hint="eastAsia"/>
          <w:szCs w:val="24"/>
        </w:rPr>
        <w:t>张，占已知票数的</w:t>
      </w:r>
      <w:r>
        <w:rPr>
          <w:rFonts w:hint="eastAsia"/>
          <w:szCs w:val="24"/>
        </w:rPr>
        <w:t>41.8%</w:t>
      </w:r>
      <w:r>
        <w:rPr>
          <w:rFonts w:hint="eastAsia"/>
          <w:szCs w:val="24"/>
        </w:rPr>
        <w:t>。与</w:t>
      </w:r>
      <w:r>
        <w:rPr>
          <w:rFonts w:hint="eastAsia"/>
          <w:szCs w:val="24"/>
        </w:rPr>
        <w:t>2000</w:t>
      </w:r>
      <w:r>
        <w:rPr>
          <w:rFonts w:hint="eastAsia"/>
          <w:szCs w:val="24"/>
        </w:rPr>
        <w:t>年的市政选举相比，妇女票数上升了</w:t>
      </w:r>
      <w:r>
        <w:rPr>
          <w:rFonts w:hint="eastAsia"/>
          <w:szCs w:val="24"/>
        </w:rPr>
        <w:t>2.4%</w:t>
      </w:r>
      <w:r>
        <w:rPr>
          <w:rFonts w:hint="eastAsia"/>
          <w:szCs w:val="24"/>
        </w:rPr>
        <w:t>。</w:t>
      </w:r>
      <w:r>
        <w:rPr>
          <w:rFonts w:hint="eastAsia"/>
          <w:szCs w:val="24"/>
        </w:rPr>
        <w:t>2004</w:t>
      </w:r>
      <w:r>
        <w:rPr>
          <w:rFonts w:hint="eastAsia"/>
          <w:szCs w:val="24"/>
        </w:rPr>
        <w:t>年妇女在市政选举中获得的投票率为</w:t>
      </w:r>
      <w:r>
        <w:rPr>
          <w:rFonts w:hint="eastAsia"/>
          <w:szCs w:val="24"/>
        </w:rPr>
        <w:t>60.7%</w:t>
      </w:r>
      <w:r>
        <w:rPr>
          <w:rFonts w:hint="eastAsia"/>
          <w:szCs w:val="24"/>
        </w:rPr>
        <w:t>，高于男子的投票率（</w:t>
      </w:r>
      <w:r>
        <w:rPr>
          <w:rFonts w:hint="eastAsia"/>
          <w:szCs w:val="24"/>
        </w:rPr>
        <w:t>56.4%</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w:t>
      </w:r>
      <w:r>
        <w:rPr>
          <w:rFonts w:hint="eastAsia"/>
          <w:szCs w:val="24"/>
        </w:rPr>
        <w:t>2007</w:t>
      </w:r>
      <w:r>
        <w:rPr>
          <w:rFonts w:hint="eastAsia"/>
          <w:szCs w:val="24"/>
        </w:rPr>
        <w:t>年的议会选举中，被推荐的候选人</w:t>
      </w:r>
      <w:r>
        <w:rPr>
          <w:rFonts w:hint="eastAsia"/>
          <w:szCs w:val="24"/>
        </w:rPr>
        <w:t>2 004</w:t>
      </w:r>
      <w:r>
        <w:rPr>
          <w:rFonts w:hint="eastAsia"/>
          <w:szCs w:val="24"/>
        </w:rPr>
        <w:t>名，其中男性</w:t>
      </w:r>
      <w:r>
        <w:rPr>
          <w:rFonts w:hint="eastAsia"/>
          <w:szCs w:val="24"/>
        </w:rPr>
        <w:t>1 205</w:t>
      </w:r>
      <w:r>
        <w:rPr>
          <w:rFonts w:hint="eastAsia"/>
          <w:szCs w:val="24"/>
        </w:rPr>
        <w:t>名，女性</w:t>
      </w:r>
      <w:r>
        <w:rPr>
          <w:rFonts w:hint="eastAsia"/>
          <w:szCs w:val="24"/>
        </w:rPr>
        <w:t>799</w:t>
      </w:r>
      <w:r>
        <w:rPr>
          <w:rFonts w:hint="eastAsia"/>
          <w:szCs w:val="24"/>
        </w:rPr>
        <w:t>名，所以女候选人的比例为</w:t>
      </w:r>
      <w:r>
        <w:rPr>
          <w:rFonts w:hint="eastAsia"/>
          <w:szCs w:val="24"/>
        </w:rPr>
        <w:t>39.9%</w:t>
      </w:r>
      <w:r>
        <w:rPr>
          <w:rFonts w:hint="eastAsia"/>
          <w:szCs w:val="24"/>
        </w:rPr>
        <w:t>。</w:t>
      </w:r>
      <w:r>
        <w:rPr>
          <w:rFonts w:hint="eastAsia"/>
          <w:szCs w:val="24"/>
        </w:rPr>
        <w:t>84</w:t>
      </w:r>
      <w:r>
        <w:rPr>
          <w:rFonts w:hint="eastAsia"/>
          <w:szCs w:val="24"/>
        </w:rPr>
        <w:t>名妇女被选入议会，占当选者的</w:t>
      </w:r>
      <w:r>
        <w:rPr>
          <w:rFonts w:hint="eastAsia"/>
          <w:szCs w:val="24"/>
        </w:rPr>
        <w:t>42%</w:t>
      </w:r>
      <w:r>
        <w:rPr>
          <w:rFonts w:hint="eastAsia"/>
          <w:szCs w:val="24"/>
        </w:rPr>
        <w:t>，这个比例比妇女候选人的比例略高一些。</w:t>
      </w:r>
      <w:r>
        <w:rPr>
          <w:rFonts w:hint="eastAsia"/>
          <w:szCs w:val="24"/>
        </w:rPr>
        <w:t>1991</w:t>
      </w:r>
      <w:r>
        <w:rPr>
          <w:rFonts w:hint="eastAsia"/>
          <w:szCs w:val="24"/>
        </w:rPr>
        <w:t>年当选妇女的比例最高（</w:t>
      </w:r>
      <w:r>
        <w:rPr>
          <w:rFonts w:hint="eastAsia"/>
          <w:szCs w:val="24"/>
        </w:rPr>
        <w:t>38.5%</w:t>
      </w:r>
      <w:r>
        <w:rPr>
          <w:rFonts w:hint="eastAsia"/>
          <w:szCs w:val="24"/>
        </w:rPr>
        <w:t>），所以在这些议会选举中，其数字代表着当选妇女创纪录的水平。</w:t>
      </w:r>
    </w:p>
    <w:p w:rsidR="001C7848" w:rsidRDefault="001C7848">
      <w:pPr>
        <w:pStyle w:val="H1"/>
        <w:spacing w:before="120"/>
        <w:jc w:val="both"/>
      </w:pPr>
      <w:bookmarkStart w:id="91" w:name="_Toc181766687"/>
      <w:bookmarkStart w:id="92" w:name="_Toc188785283"/>
      <w:r>
        <w:t xml:space="preserve">2.  </w:t>
      </w:r>
      <w:r>
        <w:rPr>
          <w:rFonts w:hint="eastAsia"/>
        </w:rPr>
        <w:t>政府组</w:t>
      </w:r>
      <w:bookmarkEnd w:id="91"/>
      <w:r>
        <w:rPr>
          <w:rFonts w:hint="eastAsia"/>
        </w:rPr>
        <w:t>成</w:t>
      </w:r>
      <w:bookmarkEnd w:id="92"/>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2007</w:t>
      </w:r>
      <w:r>
        <w:rPr>
          <w:rFonts w:hint="eastAsia"/>
          <w:szCs w:val="24"/>
        </w:rPr>
        <w:t>年</w:t>
      </w:r>
      <w:r>
        <w:rPr>
          <w:rFonts w:hint="eastAsia"/>
          <w:szCs w:val="24"/>
        </w:rPr>
        <w:t>4</w:t>
      </w:r>
      <w:r>
        <w:rPr>
          <w:rFonts w:hint="eastAsia"/>
          <w:szCs w:val="24"/>
        </w:rPr>
        <w:t>月</w:t>
      </w:r>
      <w:r>
        <w:rPr>
          <w:rFonts w:hint="eastAsia"/>
          <w:szCs w:val="24"/>
        </w:rPr>
        <w:t>19</w:t>
      </w:r>
      <w:r>
        <w:rPr>
          <w:rFonts w:hint="eastAsia"/>
          <w:szCs w:val="24"/>
        </w:rPr>
        <w:t>日，共和国总统任命了</w:t>
      </w:r>
      <w:r>
        <w:rPr>
          <w:color w:val="000000"/>
          <w:szCs w:val="24"/>
        </w:rPr>
        <w:t>第二届政府总理马蒂万哈宁</w:t>
      </w:r>
      <w:r>
        <w:rPr>
          <w:rFonts w:hint="eastAsia"/>
          <w:color w:val="000000"/>
          <w:szCs w:val="24"/>
        </w:rPr>
        <w:t>。</w:t>
      </w:r>
      <w:r>
        <w:rPr>
          <w:rFonts w:hint="eastAsia"/>
          <w:szCs w:val="24"/>
        </w:rPr>
        <w:t>芬兰政府是一个多党政府，由芬兰中间党、全国联盟党、芬兰绿色联盟和芬兰瑞典人民党组成。政府共有</w:t>
      </w:r>
      <w:r>
        <w:rPr>
          <w:rFonts w:hint="eastAsia"/>
          <w:szCs w:val="24"/>
        </w:rPr>
        <w:t>20</w:t>
      </w:r>
      <w:r>
        <w:rPr>
          <w:rFonts w:hint="eastAsia"/>
          <w:szCs w:val="24"/>
        </w:rPr>
        <w:t>名部长。</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在政府的</w:t>
      </w:r>
      <w:r>
        <w:rPr>
          <w:rFonts w:hint="eastAsia"/>
          <w:szCs w:val="24"/>
        </w:rPr>
        <w:t>20</w:t>
      </w:r>
      <w:r>
        <w:rPr>
          <w:rFonts w:hint="eastAsia"/>
          <w:szCs w:val="24"/>
        </w:rPr>
        <w:t>名部长中，有</w:t>
      </w:r>
      <w:r>
        <w:rPr>
          <w:rFonts w:hint="eastAsia"/>
          <w:szCs w:val="24"/>
        </w:rPr>
        <w:t>12</w:t>
      </w:r>
      <w:r>
        <w:rPr>
          <w:rFonts w:hint="eastAsia"/>
          <w:szCs w:val="24"/>
        </w:rPr>
        <w:t>人是妇女，占政府组成的</w:t>
      </w:r>
      <w:r>
        <w:rPr>
          <w:rFonts w:hint="eastAsia"/>
          <w:szCs w:val="24"/>
        </w:rPr>
        <w:t>60%</w:t>
      </w:r>
      <w:r>
        <w:rPr>
          <w:rFonts w:hint="eastAsia"/>
          <w:szCs w:val="24"/>
        </w:rPr>
        <w:t>。司法部长、内政部长、公共行政和地方政府部长、教育部长、农业和森林部长、交通与通信部长、社会事务与卫生部长、劳动部长、移民和欧洲事务部长以及环境部长都是女性。</w:t>
      </w:r>
    </w:p>
    <w:p w:rsidR="001C7848" w:rsidRDefault="001C7848">
      <w:pPr>
        <w:pStyle w:val="H1"/>
        <w:spacing w:before="120"/>
        <w:jc w:val="both"/>
        <w:rPr>
          <w:rFonts w:hint="eastAsia"/>
        </w:rPr>
      </w:pPr>
      <w:bookmarkStart w:id="93" w:name="_Toc181766688"/>
      <w:bookmarkStart w:id="94" w:name="_Toc188785284"/>
      <w:r>
        <w:t xml:space="preserve">3.  </w:t>
      </w:r>
      <w:r>
        <w:rPr>
          <w:rFonts w:hint="eastAsia"/>
        </w:rPr>
        <w:t>国家公务员</w:t>
      </w:r>
      <w:bookmarkEnd w:id="93"/>
      <w:bookmarkEnd w:id="94"/>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目前，国家行政部门人员中将近</w:t>
      </w:r>
      <w:r>
        <w:rPr>
          <w:rFonts w:hint="eastAsia"/>
          <w:szCs w:val="24"/>
        </w:rPr>
        <w:t>50%</w:t>
      </w:r>
      <w:r>
        <w:rPr>
          <w:rFonts w:hint="eastAsia"/>
          <w:szCs w:val="24"/>
        </w:rPr>
        <w:t>是妇女，但管理职位的相应数字只有三分之一。这仍然和</w:t>
      </w:r>
      <w:r>
        <w:rPr>
          <w:rFonts w:hint="eastAsia"/>
          <w:szCs w:val="24"/>
        </w:rPr>
        <w:t>2003</w:t>
      </w:r>
      <w:r>
        <w:rPr>
          <w:rFonts w:hint="eastAsia"/>
          <w:szCs w:val="24"/>
        </w:rPr>
        <w:t>年的数字大致相同。</w:t>
      </w:r>
      <w:r>
        <w:rPr>
          <w:rFonts w:hint="eastAsia"/>
          <w:color w:val="000000"/>
          <w:szCs w:val="24"/>
        </w:rPr>
        <w:t>2003</w:t>
      </w:r>
      <w:r>
        <w:rPr>
          <w:rFonts w:hint="eastAsia"/>
          <w:szCs w:val="24"/>
        </w:rPr>
        <w:t>年国家行政部门最高层官员中，妇女的比例略有上升（从</w:t>
      </w:r>
      <w:r>
        <w:rPr>
          <w:rFonts w:hint="eastAsia"/>
          <w:szCs w:val="24"/>
        </w:rPr>
        <w:t>21.9%</w:t>
      </w:r>
      <w:r>
        <w:rPr>
          <w:rFonts w:hint="eastAsia"/>
          <w:szCs w:val="24"/>
        </w:rPr>
        <w:t>升至</w:t>
      </w:r>
      <w:r>
        <w:rPr>
          <w:rFonts w:hint="eastAsia"/>
          <w:szCs w:val="24"/>
        </w:rPr>
        <w:t>2004</w:t>
      </w:r>
      <w:r>
        <w:rPr>
          <w:rFonts w:hint="eastAsia"/>
          <w:szCs w:val="24"/>
        </w:rPr>
        <w:t>年的</w:t>
      </w:r>
      <w:r>
        <w:rPr>
          <w:rFonts w:hint="eastAsia"/>
          <w:szCs w:val="24"/>
        </w:rPr>
        <w:t>24.3%</w:t>
      </w:r>
      <w:r>
        <w:rPr>
          <w:rFonts w:hint="eastAsia"/>
          <w:szCs w:val="24"/>
        </w:rPr>
        <w:t>）。妇女占其他较高职位群体的比例和</w:t>
      </w:r>
      <w:r>
        <w:rPr>
          <w:rFonts w:hint="eastAsia"/>
          <w:szCs w:val="24"/>
        </w:rPr>
        <w:t>2003</w:t>
      </w:r>
      <w:r>
        <w:rPr>
          <w:rFonts w:hint="eastAsia"/>
          <w:szCs w:val="24"/>
        </w:rPr>
        <w:t>年相同，约为</w:t>
      </w:r>
      <w:r>
        <w:rPr>
          <w:rFonts w:hint="eastAsia"/>
          <w:szCs w:val="24"/>
        </w:rPr>
        <w:t>38%</w:t>
      </w:r>
      <w:r>
        <w:rPr>
          <w:rFonts w:hint="eastAsia"/>
          <w:szCs w:val="24"/>
        </w:rPr>
        <w:t>。</w:t>
      </w:r>
    </w:p>
    <w:p w:rsidR="001C7848" w:rsidRDefault="001C7848">
      <w:pPr>
        <w:pStyle w:val="H1"/>
        <w:spacing w:before="120"/>
        <w:jc w:val="both"/>
        <w:rPr>
          <w:rFonts w:hint="eastAsia"/>
        </w:rPr>
      </w:pPr>
      <w:bookmarkStart w:id="95" w:name="_Toc181766689"/>
      <w:bookmarkStart w:id="96" w:name="_Toc188785285"/>
      <w:r>
        <w:t xml:space="preserve">4. </w:t>
      </w:r>
      <w:r>
        <w:rPr>
          <w:rFonts w:hint="eastAsia"/>
        </w:rPr>
        <w:t>国家对妇女组织的资</w:t>
      </w:r>
      <w:bookmarkEnd w:id="95"/>
      <w:r>
        <w:rPr>
          <w:rFonts w:hint="eastAsia"/>
        </w:rPr>
        <w:t>助</w:t>
      </w:r>
      <w:bookmarkEnd w:id="96"/>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芬兰政府已向议会提交了由国家向某些妇女组织提供资助的立法提案（</w:t>
      </w:r>
      <w:r>
        <w:rPr>
          <w:szCs w:val="24"/>
        </w:rPr>
        <w:t xml:space="preserve">HE 1/2007 vp </w:t>
      </w:r>
      <w:r>
        <w:rPr>
          <w:rFonts w:hint="eastAsia"/>
          <w:szCs w:val="24"/>
        </w:rPr>
        <w:t>）。该提案建议制定由国家向某些妇女组织</w:t>
      </w:r>
      <w:r>
        <w:rPr>
          <w:rFonts w:hint="eastAsia"/>
          <w:color w:val="000000"/>
          <w:szCs w:val="24"/>
        </w:rPr>
        <w:t>提供</w:t>
      </w:r>
      <w:r>
        <w:rPr>
          <w:rFonts w:hint="eastAsia"/>
          <w:szCs w:val="24"/>
        </w:rPr>
        <w:t>资助的法案。国家预算将为立法提案中提到的妇女组织的活动提供年度拨款，以促进两性平等和妇女积极参与社会生活。教育部是资金管理机构。该法案将于</w:t>
      </w:r>
      <w:r>
        <w:rPr>
          <w:rFonts w:hint="eastAsia"/>
          <w:szCs w:val="24"/>
        </w:rPr>
        <w:t>2008</w:t>
      </w:r>
      <w:r>
        <w:rPr>
          <w:rFonts w:hint="eastAsia"/>
          <w:szCs w:val="24"/>
        </w:rPr>
        <w:t>年</w:t>
      </w:r>
      <w:r>
        <w:rPr>
          <w:rFonts w:hint="eastAsia"/>
          <w:szCs w:val="24"/>
        </w:rPr>
        <w:t>1</w:t>
      </w:r>
      <w:r>
        <w:rPr>
          <w:rFonts w:hint="eastAsia"/>
          <w:szCs w:val="24"/>
        </w:rPr>
        <w:t>月</w:t>
      </w:r>
      <w:r>
        <w:rPr>
          <w:rFonts w:hint="eastAsia"/>
          <w:szCs w:val="24"/>
        </w:rPr>
        <w:t>1</w:t>
      </w:r>
      <w:r>
        <w:rPr>
          <w:rFonts w:hint="eastAsia"/>
          <w:szCs w:val="24"/>
        </w:rPr>
        <w:t>日生效。</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lang w:val="fi-FI"/>
        </w:rPr>
        <w:t>迄今为止，提案中提到的妇女组织活动资金完全根据每年的预算来决定。议会主张依法为促进两性平等的妇女组织的活动正式拨款。</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通过</w:t>
      </w:r>
      <w:r>
        <w:rPr>
          <w:szCs w:val="24"/>
        </w:rPr>
        <w:t>依法</w:t>
      </w:r>
      <w:r>
        <w:rPr>
          <w:rFonts w:hint="eastAsia"/>
          <w:szCs w:val="24"/>
        </w:rPr>
        <w:t>建立</w:t>
      </w:r>
      <w:r>
        <w:rPr>
          <w:szCs w:val="24"/>
        </w:rPr>
        <w:t>的国家拨款制度，</w:t>
      </w:r>
      <w:r>
        <w:rPr>
          <w:rFonts w:hint="eastAsia"/>
          <w:szCs w:val="24"/>
        </w:rPr>
        <w:t>可确保不断为妇女组织提供拨款，这些妇女组织的主要目标是促进两性平等，使妇女活动继续进行下去，并开展得更好。拨款制度的建立将为妇女组织打下比目前更稳定的基础，使这些组织能够从</w:t>
      </w:r>
      <w:r>
        <w:rPr>
          <w:rFonts w:hint="eastAsia"/>
          <w:color w:val="000000"/>
          <w:szCs w:val="24"/>
        </w:rPr>
        <w:t>长远</w:t>
      </w:r>
      <w:r>
        <w:rPr>
          <w:rFonts w:hint="eastAsia"/>
          <w:szCs w:val="24"/>
        </w:rPr>
        <w:t>的观点规划其活动。这一点可被视为间接促进了两性平等的实施，并为妇女参与社会生活创造了条件。</w:t>
      </w:r>
    </w:p>
    <w:p w:rsidR="001C7848" w:rsidRDefault="001C7848">
      <w:pPr>
        <w:pStyle w:val="HCh"/>
        <w:jc w:val="both"/>
        <w:rPr>
          <w:rFonts w:hint="eastAsia"/>
        </w:rPr>
      </w:pPr>
      <w:bookmarkStart w:id="97" w:name="_Toc188785286"/>
      <w:r>
        <w:rPr>
          <w:rFonts w:hint="eastAsia"/>
        </w:rPr>
        <w:t>第8条</w:t>
      </w:r>
      <w:bookmarkEnd w:id="97"/>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缔约各国应采取一切适当措施，保证妇女在与男子平等不受任何歧视的条件下，有机会在国际上代表本国政府和参加各国际组织的工作。</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芬兰妇发基金委员会在说明中认为，越来越多的妇女被选中参加民事危机管理培训是件好事。在它看来，除司法行政部门外，被提名担任高级国际职务的妇女人数在其他部门仍然较少。</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关于本条的其他考虑，政府参照了以往的定期报告。</w:t>
      </w:r>
    </w:p>
    <w:p w:rsidR="001C7848" w:rsidRDefault="001C7848">
      <w:pPr>
        <w:pStyle w:val="HCh"/>
        <w:jc w:val="both"/>
        <w:rPr>
          <w:rFonts w:hint="eastAsia"/>
        </w:rPr>
      </w:pPr>
      <w:bookmarkStart w:id="98" w:name="_Toc188785287"/>
      <w:r>
        <w:rPr>
          <w:rFonts w:hint="eastAsia"/>
        </w:rPr>
        <w:t>第9条</w:t>
      </w:r>
      <w:bookmarkEnd w:id="98"/>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1. </w:t>
      </w:r>
      <w:r>
        <w:rPr>
          <w:rFonts w:eastAsia="KaiTi_GB2312" w:hint="eastAsia"/>
          <w:iCs/>
          <w:color w:val="0000FF"/>
          <w:szCs w:val="30"/>
        </w:rPr>
        <w:t>缔约各国应给予妇女与男子有取得、改变或保留国籍的同等权利。缔约各国应特别保证，与外国人结婚或于婚姻存续期间丈夫改变国籍均不当然改变妻子的国籍，使她成为无国籍人，或把丈夫的国籍强加于她。</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2. </w:t>
      </w:r>
      <w:r>
        <w:rPr>
          <w:rFonts w:eastAsia="KaiTi_GB2312" w:hint="eastAsia"/>
          <w:iCs/>
          <w:color w:val="0000FF"/>
          <w:szCs w:val="30"/>
        </w:rPr>
        <w:t>缔约各国在关于子女的国籍方面，应给予妇女与男子平等的权利。</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《国籍法》（</w:t>
      </w:r>
      <w:r>
        <w:rPr>
          <w:szCs w:val="24"/>
        </w:rPr>
        <w:t>359/2003</w:t>
      </w:r>
      <w:r>
        <w:rPr>
          <w:rFonts w:hint="eastAsia"/>
          <w:szCs w:val="24"/>
        </w:rPr>
        <w:t>）于</w:t>
      </w:r>
      <w:r>
        <w:rPr>
          <w:rFonts w:hint="eastAsia"/>
          <w:szCs w:val="24"/>
        </w:rPr>
        <w:t>2003</w:t>
      </w:r>
      <w:r>
        <w:rPr>
          <w:rFonts w:hint="eastAsia"/>
          <w:szCs w:val="24"/>
        </w:rPr>
        <w:t>年</w:t>
      </w:r>
      <w:r>
        <w:rPr>
          <w:rFonts w:hint="eastAsia"/>
          <w:szCs w:val="24"/>
        </w:rPr>
        <w:t>6</w:t>
      </w:r>
      <w:r>
        <w:rPr>
          <w:rFonts w:hint="eastAsia"/>
          <w:szCs w:val="24"/>
        </w:rPr>
        <w:t>月</w:t>
      </w:r>
      <w:r>
        <w:rPr>
          <w:rFonts w:hint="eastAsia"/>
          <w:szCs w:val="24"/>
        </w:rPr>
        <w:t>1</w:t>
      </w:r>
      <w:r>
        <w:rPr>
          <w:rFonts w:hint="eastAsia"/>
          <w:szCs w:val="24"/>
        </w:rPr>
        <w:t>日生效。根据该法规定，如果母亲是芬兰公民，其子女一出生就可以在所有情况下获得芬兰国籍。如果父亲是芬兰公民，其子女出生后需视下列情况获得芬兰国籍，即父亲与孩子的母亲已正式结婚，或是孩子出生在芬兰并确定了孩子的父亲身份，因为父母结婚在申请或声明后也可获得芬兰国籍。</w:t>
      </w:r>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《国籍法》确保</w:t>
      </w:r>
      <w:r>
        <w:rPr>
          <w:rFonts w:hint="eastAsia"/>
          <w:i/>
          <w:szCs w:val="24"/>
        </w:rPr>
        <w:t>妇女与男子有取得、改变或保留国籍的同等权利。与外国人结婚或于婚姻存续期间丈夫改变国籍均不当然改变妻子的国籍，使她成为无国籍人，或把丈夫的国籍强加于她</w:t>
      </w:r>
      <w:r>
        <w:rPr>
          <w:rFonts w:hint="eastAsia"/>
          <w:szCs w:val="24"/>
        </w:rPr>
        <w:t>。但是，人们可以在一旦申请后放弃芬兰国籍。</w:t>
      </w:r>
    </w:p>
    <w:p w:rsidR="001C7848" w:rsidRDefault="001C7848">
      <w:pPr>
        <w:pStyle w:val="HCh"/>
        <w:jc w:val="both"/>
        <w:rPr>
          <w:rFonts w:hint="eastAsia"/>
        </w:rPr>
      </w:pPr>
      <w:bookmarkStart w:id="99" w:name="_Toc188785288"/>
      <w:r>
        <w:rPr>
          <w:rFonts w:hint="eastAsia"/>
        </w:rPr>
        <w:t>第10条</w:t>
      </w:r>
      <w:bookmarkEnd w:id="99"/>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缔约各国应采取一切适当措施以消除对妇女的歧视，并保证妇女在教育方面享有与男子平等的权利，特别是在男女平等的基础上保证：</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在各类教育机构，不论其在城市或农村，在专业和职业辅导、取得学习机会和文凭等方面都有相同的条件。在学前教育、普通教育、技术专业和高等技术教育以及各种职业培训方面，都应保证这种平等；</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课程、考试、师资的标准、校舍和设备的质量一律相同；</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c</w:t>
      </w:r>
      <w:r>
        <w:rPr>
          <w:rFonts w:eastAsia="KaiTi_GB2312"/>
          <w:iCs/>
          <w:color w:val="0000FF"/>
          <w:szCs w:val="30"/>
        </w:rPr>
        <w:t>）</w:t>
      </w:r>
      <w:r>
        <w:rPr>
          <w:rFonts w:eastAsia="KaiTi_GB2312" w:hint="eastAsia"/>
          <w:iCs/>
          <w:color w:val="0000FF"/>
          <w:szCs w:val="30"/>
        </w:rPr>
        <w:t>为消除在各级和各种方式的教育中对男女任务的任何定型观念，应鼓励实行男女同校和其他有助于实现这个目的的教育形式，并特别应修订教科书和课程以及相应地修改教学方法；</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d</w:t>
      </w:r>
      <w:r>
        <w:rPr>
          <w:rFonts w:eastAsia="KaiTi_GB2312"/>
          <w:iCs/>
          <w:color w:val="0000FF"/>
          <w:szCs w:val="30"/>
        </w:rPr>
        <w:t>）</w:t>
      </w:r>
      <w:r>
        <w:rPr>
          <w:rFonts w:eastAsia="KaiTi_GB2312" w:hint="eastAsia"/>
          <w:iCs/>
          <w:color w:val="0000FF"/>
          <w:szCs w:val="30"/>
        </w:rPr>
        <w:t>领受奖学金和其他研究补助金的机会相同；</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e</w:t>
      </w:r>
      <w:r>
        <w:rPr>
          <w:rFonts w:eastAsia="KaiTi_GB2312"/>
          <w:iCs/>
          <w:color w:val="0000FF"/>
          <w:szCs w:val="30"/>
        </w:rPr>
        <w:t>）</w:t>
      </w:r>
      <w:r>
        <w:rPr>
          <w:rFonts w:eastAsia="KaiTi_GB2312" w:hint="eastAsia"/>
          <w:iCs/>
          <w:color w:val="0000FF"/>
          <w:szCs w:val="30"/>
        </w:rPr>
        <w:t>接受成人教育，包括成人识字和实用读写能力的教育的机会相同，特别是为了尽早缩短男女之间存在的教育水平上的一切差距；</w:t>
      </w:r>
    </w:p>
    <w:p w:rsidR="001C7848" w:rsidRDefault="001C7848">
      <w:pPr>
        <w:spacing w:after="240" w:line="360" w:lineRule="exact"/>
        <w:ind w:right="-69" w:firstLine="420"/>
        <w:rPr>
          <w:rFonts w:eastAsia="KaiTi_GB2312"/>
          <w:iCs/>
          <w:color w:val="0000FF"/>
          <w:szCs w:val="30"/>
        </w:rPr>
      </w:pPr>
      <w:r>
        <w:rPr>
          <w:rFonts w:eastAsia="KaiTi_GB2312"/>
          <w:iCs/>
          <w:color w:val="0000FF"/>
          <w:szCs w:val="30"/>
        </w:rPr>
        <w:t>f</w:t>
      </w:r>
      <w:r>
        <w:rPr>
          <w:rFonts w:eastAsia="KaiTi_GB2312"/>
          <w:iCs/>
          <w:color w:val="0000FF"/>
          <w:szCs w:val="30"/>
        </w:rPr>
        <w:t>）</w:t>
      </w:r>
      <w:r>
        <w:rPr>
          <w:rFonts w:eastAsia="KaiTi_GB2312" w:hint="eastAsia"/>
          <w:iCs/>
          <w:color w:val="0000FF"/>
          <w:szCs w:val="30"/>
        </w:rPr>
        <w:t>减少女生退学率，并为离校过早的少女和妇女安排各种方案；</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g</w:t>
      </w:r>
      <w:r>
        <w:rPr>
          <w:rFonts w:eastAsia="KaiTi_GB2312"/>
          <w:iCs/>
          <w:color w:val="0000FF"/>
          <w:szCs w:val="30"/>
        </w:rPr>
        <w:t>）</w:t>
      </w:r>
      <w:r>
        <w:rPr>
          <w:rFonts w:eastAsia="KaiTi_GB2312" w:hint="eastAsia"/>
          <w:iCs/>
          <w:color w:val="0000FF"/>
          <w:szCs w:val="30"/>
        </w:rPr>
        <w:t>积极参加运动和体育的机会相同；</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h</w:t>
      </w:r>
      <w:r>
        <w:rPr>
          <w:rFonts w:eastAsia="KaiTi_GB2312"/>
          <w:iCs/>
          <w:color w:val="0000FF"/>
          <w:szCs w:val="30"/>
        </w:rPr>
        <w:t>）</w:t>
      </w:r>
      <w:r>
        <w:rPr>
          <w:rFonts w:eastAsia="KaiTi_GB2312" w:hint="eastAsia"/>
          <w:iCs/>
          <w:color w:val="0000FF"/>
          <w:szCs w:val="30"/>
        </w:rPr>
        <w:t>有接受特殊知识辅导的机会，以有助于保障家庭健康和幸福，包括关于计划生育的知识和辅导在内。</w:t>
      </w:r>
    </w:p>
    <w:p w:rsidR="001C7848" w:rsidRDefault="001C7848">
      <w:pPr>
        <w:pStyle w:val="H1"/>
        <w:spacing w:before="120"/>
        <w:jc w:val="both"/>
        <w:rPr>
          <w:rFonts w:hint="eastAsia"/>
        </w:rPr>
      </w:pPr>
      <w:bookmarkStart w:id="100" w:name="_Toc181766693"/>
      <w:bookmarkStart w:id="101" w:name="_Toc188785289"/>
      <w:r>
        <w:t xml:space="preserve">1.  </w:t>
      </w:r>
      <w:bookmarkEnd w:id="100"/>
      <w:r>
        <w:rPr>
          <w:rFonts w:hint="eastAsia"/>
        </w:rPr>
        <w:t>教育机构的平等规划</w:t>
      </w:r>
      <w:bookmarkEnd w:id="101"/>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2005</w:t>
      </w:r>
      <w:r>
        <w:rPr>
          <w:rFonts w:hint="eastAsia"/>
          <w:szCs w:val="24"/>
        </w:rPr>
        <w:t>年修改的《男女平等法》规定，教育机构有责任与教职员工和学生合作，共同制订平等计划，以促进教育机构的两性平等。平等计划应</w:t>
      </w:r>
      <w:r>
        <w:rPr>
          <w:rFonts w:hint="eastAsia"/>
          <w:color w:val="000000"/>
          <w:szCs w:val="24"/>
        </w:rPr>
        <w:t>注重</w:t>
      </w:r>
      <w:r>
        <w:rPr>
          <w:rFonts w:hint="eastAsia"/>
          <w:szCs w:val="24"/>
        </w:rPr>
        <w:t>教育机构的活动（业务平等计划）。在计划中，必须特别重视在</w:t>
      </w:r>
      <w:r>
        <w:rPr>
          <w:szCs w:val="24"/>
        </w:rPr>
        <w:t>学生选拔</w:t>
      </w:r>
      <w:r>
        <w:rPr>
          <w:rFonts w:hint="eastAsia"/>
          <w:szCs w:val="24"/>
        </w:rPr>
        <w:t>、组织教学和学习成</w:t>
      </w:r>
      <w:r>
        <w:rPr>
          <w:szCs w:val="24"/>
        </w:rPr>
        <w:t>绩</w:t>
      </w:r>
      <w:r>
        <w:rPr>
          <w:rFonts w:hint="eastAsia"/>
          <w:szCs w:val="24"/>
        </w:rPr>
        <w:t>评估方面实行两性平等，并采取措施</w:t>
      </w:r>
      <w:r>
        <w:rPr>
          <w:szCs w:val="24"/>
        </w:rPr>
        <w:t>防止和消除基于性和性别</w:t>
      </w:r>
      <w:r>
        <w:rPr>
          <w:rFonts w:hint="eastAsia"/>
          <w:szCs w:val="24"/>
        </w:rPr>
        <w:t>的骚扰。</w:t>
      </w:r>
    </w:p>
    <w:p w:rsidR="001C7848" w:rsidRDefault="001C7848">
      <w:pPr>
        <w:pStyle w:val="H1"/>
        <w:spacing w:before="120"/>
        <w:jc w:val="both"/>
        <w:rPr>
          <w:rFonts w:hint="eastAsia"/>
        </w:rPr>
      </w:pPr>
      <w:bookmarkStart w:id="102" w:name="_Toc181766694"/>
      <w:bookmarkStart w:id="103" w:name="_Toc188785290"/>
      <w:r>
        <w:t xml:space="preserve">2. </w:t>
      </w:r>
      <w:r>
        <w:rPr>
          <w:rFonts w:hint="eastAsia"/>
        </w:rPr>
        <w:t>普通教育领域的具体措施</w:t>
      </w:r>
      <w:bookmarkEnd w:id="102"/>
      <w:bookmarkEnd w:id="103"/>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在完成基础教育后，妇女继续接受各级教育的比例稳步上升。在高中教育、专科大学和大学中，女性占学生和毕业生的</w:t>
      </w:r>
      <w:r>
        <w:rPr>
          <w:rFonts w:hint="eastAsia"/>
          <w:szCs w:val="24"/>
        </w:rPr>
        <w:t>50%</w:t>
      </w:r>
      <w:r>
        <w:rPr>
          <w:rFonts w:hint="eastAsia"/>
          <w:szCs w:val="24"/>
        </w:rPr>
        <w:t>多。在移民预备教育中妇女占绝大多数。</w:t>
      </w:r>
    </w:p>
    <w:p w:rsidR="001C7848" w:rsidRDefault="001C7848">
      <w:pPr>
        <w:pStyle w:val="BodyText2"/>
        <w:framePr w:w="0" w:hRule="auto" w:hSpace="0" w:wrap="auto" w:vAnchor="margin" w:hAnchor="text" w:xAlign="left" w:yAlign="inline"/>
        <w:spacing w:after="240" w:line="360" w:lineRule="exact"/>
        <w:ind w:right="-69"/>
        <w:jc w:val="both"/>
        <w:rPr>
          <w:rFonts w:eastAsia="SimSun" w:hint="eastAsia"/>
          <w:bCs/>
          <w:iCs/>
          <w:sz w:val="21"/>
          <w:szCs w:val="24"/>
          <w:u w:val="single"/>
          <w:lang w:val="en-GB"/>
        </w:rPr>
      </w:pPr>
      <w:r>
        <w:rPr>
          <w:rFonts w:eastAsia="SimSun" w:hint="eastAsia"/>
          <w:bCs/>
          <w:iCs/>
          <w:sz w:val="21"/>
          <w:szCs w:val="24"/>
          <w:u w:val="single"/>
          <w:lang w:val="en-GB"/>
        </w:rPr>
        <w:t>2003</w:t>
      </w:r>
      <w:r>
        <w:rPr>
          <w:rFonts w:eastAsia="SimSun" w:hint="eastAsia"/>
          <w:bCs/>
          <w:iCs/>
          <w:sz w:val="21"/>
          <w:szCs w:val="24"/>
          <w:u w:val="single"/>
          <w:lang w:val="en-GB"/>
        </w:rPr>
        <w:t>年男女参加同一课程的可能性</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自</w:t>
      </w:r>
      <w:r>
        <w:rPr>
          <w:rFonts w:hint="eastAsia"/>
          <w:szCs w:val="24"/>
        </w:rPr>
        <w:t>2000</w:t>
      </w:r>
      <w:r>
        <w:rPr>
          <w:rFonts w:hint="eastAsia"/>
          <w:szCs w:val="24"/>
        </w:rPr>
        <w:t>年初以来国家重新开设了核心课程，并从</w:t>
      </w:r>
      <w:r>
        <w:rPr>
          <w:rFonts w:hint="eastAsia"/>
          <w:szCs w:val="24"/>
        </w:rPr>
        <w:t>2006</w:t>
      </w:r>
      <w:r>
        <w:rPr>
          <w:rFonts w:hint="eastAsia"/>
          <w:szCs w:val="24"/>
        </w:rPr>
        <w:t>年</w:t>
      </w:r>
      <w:r>
        <w:rPr>
          <w:rFonts w:hint="eastAsia"/>
          <w:szCs w:val="24"/>
        </w:rPr>
        <w:t>8</w:t>
      </w:r>
      <w:r>
        <w:rPr>
          <w:rFonts w:hint="eastAsia"/>
          <w:szCs w:val="24"/>
        </w:rPr>
        <w:t>月</w:t>
      </w:r>
      <w:r>
        <w:rPr>
          <w:rFonts w:hint="eastAsia"/>
          <w:szCs w:val="24"/>
        </w:rPr>
        <w:t>1</w:t>
      </w:r>
      <w:r>
        <w:rPr>
          <w:rFonts w:hint="eastAsia"/>
          <w:szCs w:val="24"/>
        </w:rPr>
        <w:t>日起推行基础教育，</w:t>
      </w:r>
      <w:r>
        <w:rPr>
          <w:rFonts w:hint="eastAsia"/>
          <w:szCs w:val="24"/>
        </w:rPr>
        <w:t>2005</w:t>
      </w:r>
      <w:r>
        <w:rPr>
          <w:rFonts w:hint="eastAsia"/>
          <w:szCs w:val="24"/>
        </w:rPr>
        <w:t>年</w:t>
      </w:r>
      <w:r>
        <w:rPr>
          <w:rFonts w:hint="eastAsia"/>
          <w:szCs w:val="24"/>
        </w:rPr>
        <w:t>8</w:t>
      </w:r>
      <w:r>
        <w:rPr>
          <w:rFonts w:hint="eastAsia"/>
          <w:szCs w:val="24"/>
        </w:rPr>
        <w:t>月</w:t>
      </w:r>
      <w:r>
        <w:rPr>
          <w:rFonts w:hint="eastAsia"/>
          <w:szCs w:val="24"/>
        </w:rPr>
        <w:t>1</w:t>
      </w:r>
      <w:r>
        <w:rPr>
          <w:rFonts w:hint="eastAsia"/>
          <w:szCs w:val="24"/>
        </w:rPr>
        <w:t>日起推行高中教育。根据课程规定，教育必须促进公开民主、平等和福祉。</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国家基础教育核心课程，在教学中必须考虑到接受特殊教育的学生，同时培养男孩和女孩参与社会活动、职业生活和家庭生活的能力，并使他们具有同等的权利和义务，以促进两性平等。必须考虑到学生不同的学习风格、男女生之间的差异以及学生个人不同的发展水平和背景，并在此基础上推行有效的基础教育方法。</w:t>
      </w:r>
    </w:p>
    <w:p w:rsidR="001C7848" w:rsidRDefault="001C7848">
      <w:pPr>
        <w:pStyle w:val="BodyText2"/>
        <w:framePr w:w="0" w:hRule="auto" w:hSpace="0" w:wrap="auto" w:vAnchor="margin" w:hAnchor="text" w:xAlign="left" w:yAlign="inline"/>
        <w:spacing w:after="240" w:line="360" w:lineRule="exact"/>
        <w:ind w:right="-69"/>
        <w:jc w:val="both"/>
        <w:rPr>
          <w:rFonts w:eastAsia="SimSun" w:hint="eastAsia"/>
          <w:bCs/>
          <w:iCs/>
          <w:sz w:val="21"/>
          <w:szCs w:val="24"/>
          <w:u w:val="single"/>
          <w:lang w:val="en-GB"/>
        </w:rPr>
      </w:pPr>
      <w:r>
        <w:rPr>
          <w:rFonts w:eastAsia="SimSun" w:hint="eastAsia"/>
          <w:bCs/>
          <w:iCs/>
          <w:sz w:val="21"/>
          <w:szCs w:val="24"/>
          <w:u w:val="single"/>
          <w:lang w:val="en-GB"/>
        </w:rPr>
        <w:t>特殊教育、健康指导和计划生育</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卫生教育作为必修科目列入了新的全国核心课程。该科目的内容包括性健康、避孕知识和负责的性行为。在高中教育中，性教育还包括为人父母和家庭生活培训。根据家庭联合会的一项调查，</w:t>
      </w:r>
      <w:r>
        <w:rPr>
          <w:rStyle w:val="FootnoteReference"/>
          <w:szCs w:val="24"/>
          <w:lang w:val="fi-FI"/>
        </w:rPr>
        <w:footnoteReference w:id="20"/>
      </w:r>
      <w:r>
        <w:rPr>
          <w:rFonts w:hint="eastAsia"/>
          <w:szCs w:val="24"/>
        </w:rPr>
        <w:t>学校的性教育有所改进，学生们对性知识更加了解。尤其是男孩，不过，在这方面女孩对性知识掌握的更多一些。</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性教育还包括了解毒品和致</w:t>
      </w:r>
      <w:r>
        <w:rPr>
          <w:color w:val="000000"/>
          <w:szCs w:val="24"/>
        </w:rPr>
        <w:t>幻</w:t>
      </w:r>
      <w:r>
        <w:rPr>
          <w:rFonts w:hint="eastAsia"/>
          <w:color w:val="000000"/>
          <w:szCs w:val="24"/>
        </w:rPr>
        <w:t>物对健康的危害，以及使用这类药物的原因和后果。另外，在高中教育中，从社区、社会和全球角度对毒品滥用进行了全面分析。</w:t>
      </w:r>
    </w:p>
    <w:p w:rsidR="001C7848" w:rsidRDefault="001C7848">
      <w:pPr>
        <w:pStyle w:val="H1"/>
        <w:spacing w:before="120"/>
        <w:jc w:val="both"/>
        <w:rPr>
          <w:rFonts w:hint="eastAsia"/>
        </w:rPr>
      </w:pPr>
      <w:bookmarkStart w:id="104" w:name="_Toc181766695"/>
      <w:bookmarkStart w:id="105" w:name="_Toc188785291"/>
      <w:r>
        <w:t xml:space="preserve">3. </w:t>
      </w:r>
      <w:bookmarkEnd w:id="104"/>
      <w:r>
        <w:rPr>
          <w:rFonts w:hint="eastAsia"/>
        </w:rPr>
        <w:t>学术界的妇女</w:t>
      </w:r>
      <w:bookmarkEnd w:id="105"/>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在根据最初的定期报告提交的结论中，消除对妇女歧视委员会对妇女在许多领域，尤其是学术界高级职位中比例较低表示关注。</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2004-2006</w:t>
      </w:r>
      <w:r>
        <w:rPr>
          <w:rFonts w:hint="eastAsia"/>
          <w:szCs w:val="24"/>
        </w:rPr>
        <w:t>年，获得博士学位的妇女平均每年为</w:t>
      </w:r>
      <w:r>
        <w:rPr>
          <w:rFonts w:hint="eastAsia"/>
          <w:szCs w:val="24"/>
        </w:rPr>
        <w:t>47%</w:t>
      </w:r>
      <w:r>
        <w:rPr>
          <w:rFonts w:hint="eastAsia"/>
          <w:szCs w:val="24"/>
        </w:rPr>
        <w:t>。国立大学雇用的教职人员中妇女约占</w:t>
      </w:r>
      <w:r>
        <w:rPr>
          <w:rFonts w:hint="eastAsia"/>
          <w:szCs w:val="24"/>
        </w:rPr>
        <w:t>36%</w:t>
      </w:r>
      <w:r>
        <w:rPr>
          <w:rFonts w:hint="eastAsia"/>
          <w:szCs w:val="24"/>
        </w:rPr>
        <w:t>，女教授占</w:t>
      </w:r>
      <w:r>
        <w:rPr>
          <w:rFonts w:hint="eastAsia"/>
          <w:szCs w:val="24"/>
        </w:rPr>
        <w:t>23%</w:t>
      </w:r>
      <w:r>
        <w:rPr>
          <w:rFonts w:hint="eastAsia"/>
          <w:szCs w:val="24"/>
        </w:rPr>
        <w:t>。但是各部门之间的差别很大：教授教育学的女教授占</w:t>
      </w:r>
      <w:r>
        <w:rPr>
          <w:rFonts w:hint="eastAsia"/>
          <w:szCs w:val="24"/>
        </w:rPr>
        <w:t>52%</w:t>
      </w:r>
      <w:r>
        <w:rPr>
          <w:rFonts w:hint="eastAsia"/>
          <w:szCs w:val="24"/>
        </w:rPr>
        <w:t>，人文学占</w:t>
      </w:r>
      <w:r>
        <w:rPr>
          <w:rFonts w:hint="eastAsia"/>
          <w:szCs w:val="24"/>
        </w:rPr>
        <w:t>42%</w:t>
      </w:r>
      <w:r>
        <w:rPr>
          <w:rFonts w:hint="eastAsia"/>
          <w:szCs w:val="24"/>
        </w:rPr>
        <w:t>，技术科学不到</w:t>
      </w:r>
      <w:r>
        <w:rPr>
          <w:rFonts w:hint="eastAsia"/>
          <w:szCs w:val="24"/>
        </w:rPr>
        <w:t>10%</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w:t>
      </w:r>
      <w:r>
        <w:rPr>
          <w:rFonts w:hint="eastAsia"/>
          <w:szCs w:val="24"/>
        </w:rPr>
        <w:t>2004</w:t>
      </w:r>
      <w:r>
        <w:rPr>
          <w:rFonts w:hint="eastAsia"/>
          <w:szCs w:val="24"/>
        </w:rPr>
        <w:t>年公布的备忘录中，</w:t>
      </w:r>
      <w:r>
        <w:rPr>
          <w:rStyle w:val="FootnoteReference"/>
          <w:szCs w:val="24"/>
          <w:lang w:val="fi-FI"/>
        </w:rPr>
        <w:footnoteReference w:id="21"/>
      </w:r>
      <w:r>
        <w:rPr>
          <w:rFonts w:hint="eastAsia"/>
          <w:szCs w:val="24"/>
        </w:rPr>
        <w:t>教育学和社会部工作组就改进两性平等提出了下列建议：</w:t>
      </w:r>
    </w:p>
    <w:p w:rsidR="001C7848" w:rsidRDefault="001C7848" w:rsidP="001C7848">
      <w:pPr>
        <w:numPr>
          <w:ilvl w:val="1"/>
          <w:numId w:val="10"/>
        </w:numPr>
        <w:tabs>
          <w:tab w:val="clear" w:pos="2740"/>
          <w:tab w:val="left" w:pos="1080"/>
        </w:tabs>
        <w:overflowPunct w:val="0"/>
        <w:autoSpaceDE w:val="0"/>
        <w:autoSpaceDN w:val="0"/>
        <w:spacing w:after="240" w:line="360" w:lineRule="exact"/>
        <w:ind w:left="1080" w:right="-69" w:hanging="480"/>
        <w:rPr>
          <w:szCs w:val="24"/>
        </w:rPr>
      </w:pPr>
      <w:r>
        <w:rPr>
          <w:rFonts w:hint="eastAsia"/>
          <w:szCs w:val="24"/>
        </w:rPr>
        <w:t>在实现研究人员的性别均衡方面，供资机构、大学、研究机构、公司和社会各部门都应做出努力。</w:t>
      </w:r>
    </w:p>
    <w:p w:rsidR="001C7848" w:rsidRDefault="001C7848" w:rsidP="001C7848">
      <w:pPr>
        <w:numPr>
          <w:ilvl w:val="1"/>
          <w:numId w:val="10"/>
        </w:numPr>
        <w:tabs>
          <w:tab w:val="clear" w:pos="2740"/>
          <w:tab w:val="left" w:pos="1080"/>
        </w:tabs>
        <w:overflowPunct w:val="0"/>
        <w:autoSpaceDE w:val="0"/>
        <w:autoSpaceDN w:val="0"/>
        <w:spacing w:after="240" w:line="360" w:lineRule="exact"/>
        <w:ind w:left="1080" w:right="-69" w:hanging="480"/>
        <w:rPr>
          <w:szCs w:val="24"/>
        </w:rPr>
      </w:pPr>
      <w:r>
        <w:rPr>
          <w:rFonts w:hint="eastAsia"/>
          <w:szCs w:val="24"/>
        </w:rPr>
        <w:t>大学和高等教育理工学院应启动旨在增加妇女在专业技术部门比例的项目。</w:t>
      </w:r>
    </w:p>
    <w:p w:rsidR="001C7848" w:rsidRDefault="001C7848" w:rsidP="001C7848">
      <w:pPr>
        <w:numPr>
          <w:ilvl w:val="1"/>
          <w:numId w:val="10"/>
        </w:numPr>
        <w:tabs>
          <w:tab w:val="clear" w:pos="2740"/>
          <w:tab w:val="left" w:pos="1080"/>
        </w:tabs>
        <w:overflowPunct w:val="0"/>
        <w:autoSpaceDE w:val="0"/>
        <w:autoSpaceDN w:val="0"/>
        <w:spacing w:after="240" w:line="360" w:lineRule="exact"/>
        <w:ind w:left="1080" w:right="-69" w:hanging="480"/>
        <w:rPr>
          <w:szCs w:val="24"/>
        </w:rPr>
      </w:pPr>
      <w:r>
        <w:rPr>
          <w:rFonts w:hint="eastAsia"/>
          <w:szCs w:val="24"/>
        </w:rPr>
        <w:t>学校的研究指南应考虑实现在以女性或男性为主的部门性别分配平衡的必要性。</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由教育部成立的研究生涯工作组于</w:t>
      </w:r>
      <w:r>
        <w:rPr>
          <w:rFonts w:hint="eastAsia"/>
          <w:szCs w:val="24"/>
        </w:rPr>
        <w:t>2006</w:t>
      </w:r>
      <w:r>
        <w:rPr>
          <w:rFonts w:hint="eastAsia"/>
          <w:szCs w:val="24"/>
        </w:rPr>
        <w:t>年提交了其备忘录。</w:t>
      </w:r>
      <w:r>
        <w:rPr>
          <w:rStyle w:val="FootnoteReference"/>
          <w:szCs w:val="24"/>
          <w:lang w:val="fi-FI"/>
        </w:rPr>
        <w:footnoteReference w:id="22"/>
      </w:r>
      <w:r>
        <w:rPr>
          <w:rFonts w:hint="eastAsia"/>
          <w:szCs w:val="24"/>
        </w:rPr>
        <w:t>工作组特别建议采取下列措施促进妇女从事研究工作：</w:t>
      </w:r>
    </w:p>
    <w:p w:rsidR="001C7848" w:rsidRDefault="001C7848" w:rsidP="001C7848">
      <w:pPr>
        <w:numPr>
          <w:ilvl w:val="1"/>
          <w:numId w:val="10"/>
        </w:numPr>
        <w:tabs>
          <w:tab w:val="clear" w:pos="2740"/>
          <w:tab w:val="left" w:pos="1080"/>
        </w:tabs>
        <w:overflowPunct w:val="0"/>
        <w:autoSpaceDE w:val="0"/>
        <w:autoSpaceDN w:val="0"/>
        <w:spacing w:after="240" w:line="360" w:lineRule="exact"/>
        <w:ind w:left="1080" w:right="-69" w:hanging="480"/>
        <w:rPr>
          <w:szCs w:val="24"/>
        </w:rPr>
      </w:pPr>
      <w:r>
        <w:rPr>
          <w:rFonts w:hint="eastAsia"/>
          <w:szCs w:val="24"/>
        </w:rPr>
        <w:t>所有大学、研究机构和公司都应制定《平等法》规定的平等计划，并定期监测执行情况。</w:t>
      </w:r>
    </w:p>
    <w:p w:rsidR="001C7848" w:rsidRDefault="001C7848" w:rsidP="001C7848">
      <w:pPr>
        <w:numPr>
          <w:ilvl w:val="1"/>
          <w:numId w:val="10"/>
        </w:numPr>
        <w:tabs>
          <w:tab w:val="clear" w:pos="2740"/>
          <w:tab w:val="left" w:pos="1080"/>
        </w:tabs>
        <w:overflowPunct w:val="0"/>
        <w:autoSpaceDE w:val="0"/>
        <w:autoSpaceDN w:val="0"/>
        <w:spacing w:after="240" w:line="360" w:lineRule="exact"/>
        <w:ind w:left="1080" w:right="-69" w:hanging="480"/>
        <w:rPr>
          <w:szCs w:val="24"/>
        </w:rPr>
      </w:pPr>
      <w:r>
        <w:rPr>
          <w:rFonts w:hint="eastAsia"/>
          <w:szCs w:val="24"/>
        </w:rPr>
        <w:t>芬兰各大学、研究机构、公司、学术界、芬兰技术和创新供资机构</w:t>
      </w:r>
      <w:r>
        <w:rPr>
          <w:szCs w:val="24"/>
        </w:rPr>
        <w:t>TEKES</w:t>
      </w:r>
      <w:r>
        <w:rPr>
          <w:rStyle w:val="FootnoteReference"/>
          <w:szCs w:val="24"/>
          <w:lang w:val="fi-FI"/>
        </w:rPr>
        <w:footnoteReference w:id="23"/>
      </w:r>
      <w:r>
        <w:rPr>
          <w:rFonts w:hint="eastAsia"/>
          <w:szCs w:val="24"/>
        </w:rPr>
        <w:t>以及各种基金会都必须努力使其领导、决策机构成员和专家学会识别基于性别的歧视和在招聘与评估中对性别分配的任何曲解。</w:t>
      </w:r>
    </w:p>
    <w:p w:rsidR="001C7848" w:rsidRDefault="001C7848" w:rsidP="001C7848">
      <w:pPr>
        <w:numPr>
          <w:ilvl w:val="1"/>
          <w:numId w:val="10"/>
        </w:numPr>
        <w:tabs>
          <w:tab w:val="clear" w:pos="2740"/>
          <w:tab w:val="left" w:pos="1080"/>
        </w:tabs>
        <w:overflowPunct w:val="0"/>
        <w:autoSpaceDE w:val="0"/>
        <w:autoSpaceDN w:val="0"/>
        <w:spacing w:after="240" w:line="360" w:lineRule="exact"/>
        <w:ind w:left="1080" w:right="-69" w:hanging="480"/>
        <w:rPr>
          <w:szCs w:val="24"/>
        </w:rPr>
      </w:pPr>
      <w:r>
        <w:rPr>
          <w:rFonts w:hint="eastAsia"/>
          <w:szCs w:val="24"/>
        </w:rPr>
        <w:t>导师方案将针对女研究人员。</w:t>
      </w:r>
    </w:p>
    <w:p w:rsidR="001C7848" w:rsidRDefault="001C7848" w:rsidP="001C7848">
      <w:pPr>
        <w:numPr>
          <w:ilvl w:val="1"/>
          <w:numId w:val="10"/>
        </w:numPr>
        <w:tabs>
          <w:tab w:val="clear" w:pos="2740"/>
          <w:tab w:val="left" w:pos="1080"/>
        </w:tabs>
        <w:overflowPunct w:val="0"/>
        <w:autoSpaceDE w:val="0"/>
        <w:autoSpaceDN w:val="0"/>
        <w:spacing w:after="240" w:line="360" w:lineRule="exact"/>
        <w:ind w:left="1080" w:right="-69" w:hanging="480"/>
        <w:rPr>
          <w:szCs w:val="24"/>
        </w:rPr>
      </w:pPr>
      <w:r>
        <w:rPr>
          <w:rFonts w:hint="eastAsia"/>
          <w:szCs w:val="24"/>
        </w:rPr>
        <w:t>教育部将把执行有关研究工作中的两性平等纳入大学的绩效指导。</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2007</w:t>
      </w:r>
      <w:r>
        <w:rPr>
          <w:rFonts w:hint="eastAsia"/>
          <w:szCs w:val="24"/>
        </w:rPr>
        <w:t>年</w:t>
      </w:r>
      <w:r>
        <w:rPr>
          <w:rFonts w:hint="eastAsia"/>
          <w:szCs w:val="24"/>
        </w:rPr>
        <w:t>1</w:t>
      </w:r>
      <w:r>
        <w:rPr>
          <w:rFonts w:hint="eastAsia"/>
          <w:szCs w:val="24"/>
        </w:rPr>
        <w:t>月，根据工作组的备忘录和其他关于研究员教育和研究工作的报告，教育部通过了《落实各项措施方案》，以促进</w:t>
      </w:r>
      <w:r>
        <w:rPr>
          <w:rFonts w:hint="eastAsia"/>
          <w:szCs w:val="24"/>
        </w:rPr>
        <w:t>2007-2011</w:t>
      </w:r>
      <w:r>
        <w:rPr>
          <w:rFonts w:hint="eastAsia"/>
          <w:szCs w:val="24"/>
        </w:rPr>
        <w:t>年研究人员的教育和研究工作。</w:t>
      </w:r>
      <w:r>
        <w:rPr>
          <w:rStyle w:val="FootnoteReference"/>
          <w:szCs w:val="24"/>
          <w:lang w:val="fi-FI"/>
        </w:rPr>
        <w:footnoteReference w:id="24"/>
      </w:r>
      <w:r>
        <w:rPr>
          <w:rFonts w:hint="eastAsia"/>
          <w:szCs w:val="24"/>
        </w:rPr>
        <w:t>方案的中心目标是为研究工作创造更有利的条件，并加强从事研究工作的先决条件，这些条件一旦实现，必定有助于提高女研究人员的地位。此外，根据这些方案，将着重推动妇女的研究工作，并对女研究人员进行指导和管理培训。</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芬兰</w:t>
      </w:r>
      <w:r>
        <w:rPr>
          <w:szCs w:val="24"/>
        </w:rPr>
        <w:t>2005-2007</w:t>
      </w:r>
      <w:r>
        <w:rPr>
          <w:rFonts w:hint="eastAsia"/>
          <w:szCs w:val="24"/>
        </w:rPr>
        <w:t>年学术界平等计划是学术界科学政策战略的重要内容。在就研究职位和研究经费做出决策时，必须注意采取公开透明的专家程序，</w:t>
      </w:r>
      <w:r>
        <w:rPr>
          <w:rFonts w:hint="eastAsia"/>
          <w:szCs w:val="24"/>
        </w:rPr>
        <w:t xml:space="preserve"> </w:t>
      </w:r>
      <w:r>
        <w:rPr>
          <w:rFonts w:hint="eastAsia"/>
          <w:szCs w:val="24"/>
        </w:rPr>
        <w:t>在平等和公正的基础上评价男女候选人的</w:t>
      </w:r>
      <w:r>
        <w:rPr>
          <w:szCs w:val="24"/>
        </w:rPr>
        <w:t>优点</w:t>
      </w:r>
      <w:r>
        <w:rPr>
          <w:rFonts w:hint="eastAsia"/>
          <w:szCs w:val="24"/>
        </w:rPr>
        <w:t>。委员会必须始终力争增加研究职位提名人中占少数的女性，她们在从事研究工作的人中占不到</w:t>
      </w:r>
      <w:r>
        <w:rPr>
          <w:rFonts w:hint="eastAsia"/>
          <w:szCs w:val="24"/>
        </w:rPr>
        <w:t>40%</w:t>
      </w:r>
      <w:r>
        <w:rPr>
          <w:rFonts w:hint="eastAsia"/>
          <w:szCs w:val="24"/>
        </w:rPr>
        <w:t>。委员会必须选择男女同等人数作为评估专家。</w:t>
      </w:r>
    </w:p>
    <w:p w:rsidR="001C7848" w:rsidRDefault="001C7848">
      <w:pPr>
        <w:pStyle w:val="H1"/>
        <w:spacing w:before="120"/>
        <w:jc w:val="both"/>
        <w:rPr>
          <w:rFonts w:hint="eastAsia"/>
        </w:rPr>
      </w:pPr>
      <w:bookmarkStart w:id="106" w:name="_Toc181766696"/>
      <w:bookmarkStart w:id="107" w:name="_Toc188785292"/>
      <w:r>
        <w:t xml:space="preserve">4. </w:t>
      </w:r>
      <w:bookmarkEnd w:id="106"/>
      <w:r>
        <w:rPr>
          <w:rFonts w:hint="eastAsia"/>
        </w:rPr>
        <w:t>自愿参加国防建设</w:t>
      </w:r>
      <w:bookmarkEnd w:id="107"/>
    </w:p>
    <w:p w:rsidR="001C7848" w:rsidRDefault="001C7848">
      <w:pPr>
        <w:spacing w:after="240" w:line="360" w:lineRule="exact"/>
        <w:ind w:right="-69" w:firstLine="420"/>
        <w:rPr>
          <w:rFonts w:hint="eastAsia"/>
          <w:szCs w:val="24"/>
        </w:rPr>
      </w:pPr>
      <w:r>
        <w:rPr>
          <w:rFonts w:hint="eastAsia"/>
          <w:szCs w:val="24"/>
        </w:rPr>
        <w:t>将于</w:t>
      </w:r>
      <w:r>
        <w:rPr>
          <w:rFonts w:hint="eastAsia"/>
          <w:szCs w:val="24"/>
        </w:rPr>
        <w:t>2008</w:t>
      </w:r>
      <w:r>
        <w:rPr>
          <w:rFonts w:hint="eastAsia"/>
          <w:szCs w:val="24"/>
        </w:rPr>
        <w:t>年初生效的新的《自愿参加国防建设法》（</w:t>
      </w:r>
      <w:r>
        <w:rPr>
          <w:rFonts w:hint="eastAsia"/>
          <w:szCs w:val="24"/>
        </w:rPr>
        <w:t>556/2007</w:t>
      </w:r>
      <w:r>
        <w:rPr>
          <w:rFonts w:hint="eastAsia"/>
          <w:szCs w:val="24"/>
        </w:rPr>
        <w:t>）有助于改善未</w:t>
      </w:r>
      <w:r>
        <w:rPr>
          <w:rFonts w:hint="eastAsia"/>
          <w:szCs w:val="24"/>
          <w:lang w:val="fi-FI"/>
        </w:rPr>
        <w:t>服兵役的男女参加国防建设的情况。妇女将有机会参加国防部队的自愿演习，并从事援助任务。她们还可以从事预备性工作，编入预备队或国防部队的战时部队。</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征兵法》，妇女有权作为应征者自愿参加国防建设，因此从事这类活动的妇女可享受到与应征者同样的经济和社会福利。妇女在参加国防部队组织的自愿演习、从事援助工作和参加国防部队训练期间，接受事故或生病赔偿方面和应征者享有同等地位。</w:t>
      </w:r>
    </w:p>
    <w:p w:rsidR="001C7848" w:rsidRDefault="001C7848">
      <w:pPr>
        <w:pStyle w:val="HCh"/>
        <w:jc w:val="both"/>
        <w:rPr>
          <w:rFonts w:hint="eastAsia"/>
        </w:rPr>
      </w:pPr>
      <w:bookmarkStart w:id="108" w:name="_Toc188785293"/>
      <w:r>
        <w:rPr>
          <w:rFonts w:hint="eastAsia"/>
        </w:rPr>
        <w:t>第11条</w:t>
      </w:r>
      <w:bookmarkEnd w:id="108"/>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1. </w:t>
      </w:r>
      <w:r>
        <w:rPr>
          <w:rFonts w:eastAsia="KaiTi_GB2312" w:hint="eastAsia"/>
          <w:iCs/>
          <w:color w:val="0000FF"/>
          <w:szCs w:val="30"/>
        </w:rPr>
        <w:t xml:space="preserve"> </w:t>
      </w:r>
      <w:r>
        <w:rPr>
          <w:rFonts w:eastAsia="KaiTi_GB2312" w:hint="eastAsia"/>
          <w:iCs/>
          <w:color w:val="0000FF"/>
          <w:szCs w:val="30"/>
        </w:rPr>
        <w:t>缔约各国应采取一切适当措施，消除在就业方面对妇女的歧视，以保证她们在男女平等的基础上享有相同权利，特别是：</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人人有不可剥夺的工作权利；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享有相同就业机会的权利，包括在就业方面相同的甄选标准；</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c</w:t>
      </w:r>
      <w:r>
        <w:rPr>
          <w:rFonts w:eastAsia="KaiTi_GB2312"/>
          <w:iCs/>
          <w:color w:val="0000FF"/>
          <w:szCs w:val="30"/>
        </w:rPr>
        <w:t>）</w:t>
      </w:r>
      <w:r>
        <w:rPr>
          <w:rFonts w:eastAsia="KaiTi_GB2312" w:hint="eastAsia"/>
          <w:iCs/>
          <w:color w:val="0000FF"/>
          <w:szCs w:val="30"/>
        </w:rPr>
        <w:t>享有自由选择专业和职业，提升和工作保障，一切服务福利和条件，接受职业培训和进修，包括实习培训、高等职业培训和经常性培训的权利；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d</w:t>
      </w:r>
      <w:r>
        <w:rPr>
          <w:rFonts w:eastAsia="KaiTi_GB2312"/>
          <w:iCs/>
          <w:color w:val="0000FF"/>
          <w:szCs w:val="30"/>
        </w:rPr>
        <w:t>）</w:t>
      </w:r>
      <w:r>
        <w:rPr>
          <w:rFonts w:eastAsia="KaiTi_GB2312" w:hint="eastAsia"/>
          <w:iCs/>
          <w:color w:val="0000FF"/>
          <w:szCs w:val="30"/>
        </w:rPr>
        <w:t>同等价值的工作享有同等报酬包括福利和享有平等待遇的权利，在评定工作的表现方面，也享有平等待遇的权利；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e</w:t>
      </w:r>
      <w:r>
        <w:rPr>
          <w:rFonts w:eastAsia="KaiTi_GB2312"/>
          <w:iCs/>
          <w:color w:val="0000FF"/>
          <w:szCs w:val="30"/>
        </w:rPr>
        <w:t>）</w:t>
      </w:r>
      <w:r>
        <w:rPr>
          <w:rFonts w:eastAsia="KaiTi_GB2312" w:hint="eastAsia"/>
          <w:iCs/>
          <w:color w:val="0000FF"/>
          <w:szCs w:val="30"/>
        </w:rPr>
        <w:t>享有社会保障的权利，特别是在退休、失业、疾病、残废和老年或在其他丧失工作能力的情况下，以及享有带薪度假的权利；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f</w:t>
      </w:r>
      <w:r>
        <w:rPr>
          <w:rFonts w:eastAsia="KaiTi_GB2312"/>
          <w:iCs/>
          <w:color w:val="0000FF"/>
          <w:szCs w:val="30"/>
        </w:rPr>
        <w:t>）</w:t>
      </w:r>
      <w:r>
        <w:rPr>
          <w:rFonts w:eastAsia="KaiTi_GB2312" w:hint="eastAsia"/>
          <w:iCs/>
          <w:color w:val="0000FF"/>
          <w:szCs w:val="30"/>
        </w:rPr>
        <w:t>在工作条件方面享有健康和安全保障，包括保障生育机能的权利。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2. </w:t>
      </w:r>
      <w:r>
        <w:rPr>
          <w:rFonts w:eastAsia="KaiTi_GB2312" w:hint="eastAsia"/>
          <w:iCs/>
          <w:color w:val="0000FF"/>
          <w:szCs w:val="30"/>
        </w:rPr>
        <w:t>缔约各国为使妇女不致因结婚或生育而受歧视，又为保障其有效工作的权利起见，应采取适当措施：</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禁止以怀孕或产假为理由予以解雇，以及以婚姻状况为理由予以解雇的歧视，违反规定者予以制裁；</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实施带薪产假或具有同等社会福利的产假，而不丧失原有工作、年资或社会津贴；</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c</w:t>
      </w:r>
      <w:r>
        <w:rPr>
          <w:rFonts w:eastAsia="KaiTi_GB2312"/>
          <w:iCs/>
          <w:color w:val="0000FF"/>
          <w:szCs w:val="30"/>
        </w:rPr>
        <w:t>）</w:t>
      </w:r>
      <w:r>
        <w:rPr>
          <w:rFonts w:eastAsia="KaiTi_GB2312" w:hint="eastAsia"/>
          <w:iCs/>
          <w:color w:val="0000FF"/>
          <w:szCs w:val="30"/>
        </w:rPr>
        <w:t>鼓励提供必要的辅助性社会服务，特别是通过促进建立和发展托儿设施系统，使父母得以兼顾家庭义务和工作责任并参与公共事务；</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d</w:t>
      </w:r>
      <w:r>
        <w:rPr>
          <w:rFonts w:eastAsia="KaiTi_GB2312"/>
          <w:iCs/>
          <w:color w:val="0000FF"/>
          <w:szCs w:val="30"/>
        </w:rPr>
        <w:t>）</w:t>
      </w:r>
      <w:r>
        <w:rPr>
          <w:rFonts w:eastAsia="KaiTi_GB2312" w:hint="eastAsia"/>
          <w:iCs/>
          <w:color w:val="0000FF"/>
          <w:szCs w:val="30"/>
        </w:rPr>
        <w:t>对于怀孕期间从事确实有害于健康的工种的妇女，给予特别保护。</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3. </w:t>
      </w:r>
      <w:r>
        <w:rPr>
          <w:rFonts w:eastAsia="KaiTi_GB2312" w:hint="eastAsia"/>
          <w:iCs/>
          <w:color w:val="0000FF"/>
          <w:szCs w:val="30"/>
        </w:rPr>
        <w:t>应根据科技知识，定期审查与本条所包涵的内容有关的保护性法律，必要时应加以修订，废止或推广。</w:t>
      </w:r>
    </w:p>
    <w:p w:rsidR="001C7848" w:rsidRDefault="001C7848">
      <w:pPr>
        <w:pStyle w:val="H1"/>
        <w:spacing w:before="120"/>
        <w:jc w:val="both"/>
        <w:rPr>
          <w:rFonts w:hint="eastAsia"/>
        </w:rPr>
      </w:pPr>
      <w:bookmarkStart w:id="109" w:name="_Toc181766698"/>
      <w:bookmarkStart w:id="110" w:name="_Toc188785294"/>
      <w:r>
        <w:t xml:space="preserve">1.  </w:t>
      </w:r>
      <w:bookmarkEnd w:id="109"/>
      <w:r>
        <w:rPr>
          <w:rFonts w:hint="eastAsia"/>
        </w:rPr>
        <w:t>消除职业生活中的歧视</w:t>
      </w:r>
      <w:bookmarkEnd w:id="110"/>
    </w:p>
    <w:p w:rsidR="001C7848" w:rsidRDefault="001C7848">
      <w:pPr>
        <w:pStyle w:val="H2"/>
        <w:rPr>
          <w:rFonts w:hint="eastAsia"/>
          <w:u w:val="single"/>
        </w:rPr>
      </w:pPr>
      <w:bookmarkStart w:id="111" w:name="_Toc181766699"/>
      <w:bookmarkStart w:id="112" w:name="_Toc188785295"/>
      <w:r>
        <w:t>1.1.</w:t>
      </w:r>
      <w:bookmarkEnd w:id="111"/>
      <w:r>
        <w:rPr>
          <w:rFonts w:hint="eastAsia"/>
        </w:rPr>
        <w:t xml:space="preserve">  </w:t>
      </w:r>
      <w:r>
        <w:rPr>
          <w:rFonts w:hint="eastAsia"/>
          <w:u w:val="single"/>
        </w:rPr>
        <w:t>工资差距</w:t>
      </w:r>
      <w:bookmarkEnd w:id="112"/>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在根据以前定期报告提交的结论中，消除对妇女歧视委员会对就业中的持续歧视现象表示关注。委员会尤其关注男女之间存在的工资差距，这种工资差距主要与劳动力市场“横向”和“纵向”的性别分隔有关。</w:t>
      </w:r>
    </w:p>
    <w:p w:rsidR="001C7848" w:rsidRDefault="001C7848" w:rsidP="001C7848">
      <w:pPr>
        <w:numPr>
          <w:ilvl w:val="0"/>
          <w:numId w:val="12"/>
        </w:numPr>
        <w:overflowPunct w:val="0"/>
        <w:autoSpaceDE w:val="0"/>
        <w:autoSpaceDN w:val="0"/>
        <w:spacing w:after="240" w:line="360" w:lineRule="exact"/>
        <w:ind w:left="0" w:right="-69" w:firstLine="0"/>
        <w:rPr>
          <w:rFonts w:hint="eastAsia"/>
          <w:szCs w:val="24"/>
          <w:lang w:val="en-GB"/>
        </w:rPr>
      </w:pPr>
      <w:r>
        <w:rPr>
          <w:rFonts w:hint="eastAsia"/>
          <w:szCs w:val="24"/>
        </w:rPr>
        <w:t>男女的工资差距仍无改变。妇女在劳动力市场所有行业的收入仍比男性约少</w:t>
      </w:r>
      <w:r>
        <w:rPr>
          <w:rFonts w:hint="eastAsia"/>
          <w:szCs w:val="24"/>
        </w:rPr>
        <w:t>20%</w:t>
      </w:r>
      <w:r>
        <w:rPr>
          <w:rFonts w:hint="eastAsia"/>
          <w:szCs w:val="24"/>
        </w:rPr>
        <w:t>。当基于平均工资考虑时，妇女的工资只是男性的</w:t>
      </w:r>
      <w:r>
        <w:rPr>
          <w:rFonts w:hint="eastAsia"/>
          <w:szCs w:val="24"/>
        </w:rPr>
        <w:t>80%</w:t>
      </w:r>
      <w:r>
        <w:rPr>
          <w:rFonts w:hint="eastAsia"/>
          <w:szCs w:val="24"/>
        </w:rPr>
        <w:t>。工资差距视部门略有不同。在市政部门，妇女的平均收入是男子的</w:t>
      </w:r>
      <w:r>
        <w:rPr>
          <w:rFonts w:hint="eastAsia"/>
          <w:szCs w:val="24"/>
        </w:rPr>
        <w:t>85%</w:t>
      </w:r>
      <w:r>
        <w:rPr>
          <w:rFonts w:hint="eastAsia"/>
          <w:szCs w:val="24"/>
        </w:rPr>
        <w:t>，国家和私营部门的相应数字是</w:t>
      </w:r>
      <w:r>
        <w:rPr>
          <w:rFonts w:hint="eastAsia"/>
          <w:szCs w:val="24"/>
        </w:rPr>
        <w:t>81%</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lang w:val="en-GB"/>
        </w:rPr>
        <w:t>芬兰劳动力市场按性别严格分隔，即分成男女部门和职业。</w:t>
      </w:r>
      <w:r>
        <w:rPr>
          <w:rFonts w:hint="eastAsia"/>
          <w:szCs w:val="24"/>
        </w:rPr>
        <w:t>这主要涉及到男女工资的差别。政府已采取许多不同的措施努力减轻性别分隔，但变化比较缓慢。事实上，女童和妇女已步入了以前是男性主导的部门，尤其是那些要求任职者受过高等教育的部门。</w:t>
      </w:r>
      <w:r>
        <w:rPr>
          <w:szCs w:val="24"/>
        </w:rPr>
        <w:t>男</w:t>
      </w:r>
      <w:r>
        <w:rPr>
          <w:rFonts w:hint="eastAsia"/>
          <w:szCs w:val="24"/>
        </w:rPr>
        <w:t>子同样对历来</w:t>
      </w:r>
      <w:r>
        <w:rPr>
          <w:szCs w:val="24"/>
        </w:rPr>
        <w:t>以女性为主的教育和就业机会不感兴趣</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根据研究，教育水平和工作经历似乎对工资差别有影响。对需要教育水平低的工作来说，男女工资差别往往不很大，而高等教育毕业生工资的性别差距最大。</w:t>
      </w:r>
    </w:p>
    <w:p w:rsidR="001C7848" w:rsidRDefault="001C7848">
      <w:pPr>
        <w:pStyle w:val="BodyText2"/>
        <w:framePr w:w="0" w:hRule="auto" w:hSpace="0" w:wrap="auto" w:vAnchor="margin" w:hAnchor="text" w:xAlign="left" w:yAlign="inline"/>
        <w:spacing w:after="240" w:line="360" w:lineRule="exact"/>
        <w:ind w:right="-69"/>
        <w:jc w:val="both"/>
        <w:rPr>
          <w:rFonts w:eastAsia="SimSun" w:hint="eastAsia"/>
          <w:bCs/>
          <w:sz w:val="21"/>
          <w:szCs w:val="24"/>
          <w:u w:val="single"/>
          <w:lang w:val="en-GB"/>
        </w:rPr>
      </w:pPr>
      <w:r>
        <w:rPr>
          <w:rFonts w:eastAsia="SimSun" w:hint="eastAsia"/>
          <w:bCs/>
          <w:sz w:val="21"/>
          <w:szCs w:val="24"/>
          <w:u w:val="single"/>
          <w:lang w:val="en-GB"/>
        </w:rPr>
        <w:t>同值工作同等报酬</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职业生活中的性别分隔不足以完全说明男女工资的差别。平等问题监察员每年收到若干涉嫌工资歧视的报告。</w:t>
      </w:r>
      <w:r>
        <w:rPr>
          <w:rFonts w:hint="eastAsia"/>
          <w:szCs w:val="24"/>
        </w:rPr>
        <w:t>2005</w:t>
      </w:r>
      <w:r>
        <w:rPr>
          <w:rFonts w:hint="eastAsia"/>
          <w:szCs w:val="24"/>
        </w:rPr>
        <w:t>年，就此问题提起的案件</w:t>
      </w:r>
      <w:r>
        <w:rPr>
          <w:rFonts w:hint="eastAsia"/>
          <w:szCs w:val="24"/>
        </w:rPr>
        <w:t>126</w:t>
      </w:r>
      <w:r>
        <w:rPr>
          <w:rFonts w:hint="eastAsia"/>
          <w:szCs w:val="24"/>
        </w:rPr>
        <w:t>起，占所有提起案件的</w:t>
      </w:r>
      <w:r>
        <w:rPr>
          <w:rFonts w:hint="eastAsia"/>
          <w:szCs w:val="24"/>
        </w:rPr>
        <w:t>10.4%</w:t>
      </w:r>
      <w:r>
        <w:rPr>
          <w:rFonts w:hint="eastAsia"/>
          <w:szCs w:val="24"/>
        </w:rPr>
        <w:t>。平等问题监察员将在</w:t>
      </w:r>
      <w:r>
        <w:rPr>
          <w:rFonts w:hint="eastAsia"/>
          <w:szCs w:val="24"/>
        </w:rPr>
        <w:t>2007</w:t>
      </w:r>
      <w:r>
        <w:rPr>
          <w:rFonts w:hint="eastAsia"/>
          <w:szCs w:val="24"/>
        </w:rPr>
        <w:t>年秋季举办一次主题为同值工作同等报酬的研讨会。该研讨会专门针对为工会工作的法官和律师。</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修正的《平等法》，平等计划必须包括工作场所平等状况说明。作为说明的一部分，必须列出工资表。这意味着要在图表上标出男女职能类别、工资和工资的任何差别。制作此图表是为了查看在工资方面男女待遇是否公平，以及男女从事同等要求的工作是否享有同等报酬。图表必须涵盖受雇于某一特定雇主的所有员工。</w:t>
      </w:r>
    </w:p>
    <w:p w:rsidR="001C7848" w:rsidRDefault="001C7848">
      <w:pPr>
        <w:pStyle w:val="BodyText2"/>
        <w:framePr w:w="0" w:hRule="auto" w:hSpace="0" w:wrap="auto" w:vAnchor="margin" w:hAnchor="text" w:xAlign="left" w:yAlign="inline"/>
        <w:spacing w:after="240" w:line="360" w:lineRule="exact"/>
        <w:ind w:right="-69"/>
        <w:jc w:val="both"/>
        <w:rPr>
          <w:rFonts w:eastAsia="SimSun" w:hint="eastAsia"/>
          <w:bCs/>
          <w:sz w:val="21"/>
          <w:szCs w:val="24"/>
          <w:u w:val="single"/>
          <w:lang w:val="en-GB"/>
        </w:rPr>
      </w:pPr>
      <w:r>
        <w:rPr>
          <w:rFonts w:eastAsia="SimSun" w:hint="eastAsia"/>
          <w:bCs/>
          <w:sz w:val="21"/>
          <w:szCs w:val="24"/>
          <w:u w:val="single"/>
          <w:lang w:val="en-GB"/>
        </w:rPr>
        <w:t>政府方案</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政府已经于</w:t>
      </w:r>
      <w:r>
        <w:rPr>
          <w:rFonts w:hint="eastAsia"/>
          <w:szCs w:val="24"/>
        </w:rPr>
        <w:t>2006</w:t>
      </w:r>
      <w:r>
        <w:rPr>
          <w:rFonts w:hint="eastAsia"/>
          <w:szCs w:val="24"/>
        </w:rPr>
        <w:t>年启动了同值工作同等报酬三方方案，决心努力缩小男女之间的工资差别。该方案的总体目标是减少男女工资差别。按通常全职工作的平均月工资计算，到</w:t>
      </w:r>
      <w:r>
        <w:rPr>
          <w:rFonts w:hint="eastAsia"/>
          <w:szCs w:val="24"/>
        </w:rPr>
        <w:t>2015</w:t>
      </w:r>
      <w:r>
        <w:rPr>
          <w:rFonts w:hint="eastAsia"/>
          <w:szCs w:val="24"/>
        </w:rPr>
        <w:t>年男女工资差别将从目前的约</w:t>
      </w:r>
      <w:r>
        <w:rPr>
          <w:rFonts w:hint="eastAsia"/>
          <w:szCs w:val="24"/>
        </w:rPr>
        <w:t>20%</w:t>
      </w:r>
      <w:r>
        <w:rPr>
          <w:rFonts w:hint="eastAsia"/>
          <w:szCs w:val="24"/>
        </w:rPr>
        <w:t>减少到至少</w:t>
      </w:r>
      <w:r>
        <w:rPr>
          <w:rFonts w:hint="eastAsia"/>
          <w:szCs w:val="24"/>
        </w:rPr>
        <w:t>5%</w:t>
      </w:r>
      <w:r>
        <w:rPr>
          <w:rFonts w:hint="eastAsia"/>
          <w:szCs w:val="24"/>
        </w:rPr>
        <w:t>。因为男女工资差别存在若干原因，方案采取了范围广泛的措施。</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由议长担任主席的高级别监测小组于</w:t>
      </w:r>
      <w:r>
        <w:rPr>
          <w:rFonts w:hint="eastAsia"/>
          <w:szCs w:val="24"/>
        </w:rPr>
        <w:t>2006-2007</w:t>
      </w:r>
      <w:r>
        <w:rPr>
          <w:rFonts w:hint="eastAsia"/>
          <w:szCs w:val="24"/>
        </w:rPr>
        <w:t>年监测等值工作同等报酬方案的实施进展。例如，劳动力市场联合会董事、政治家和高层官员，都是监测小组的成员。监测小组与工会的合作很顺利，并认真寻求同等报酬问题的解决办法。同等报酬问题以前在芬兰从没有这么受重视。第二届政府总理马蒂万哈宁致力于三方平等报酬方案。</w:t>
      </w:r>
      <w:r>
        <w:rPr>
          <w:rFonts w:hint="eastAsia"/>
          <w:szCs w:val="24"/>
        </w:rPr>
        <w:t>2007</w:t>
      </w:r>
      <w:r>
        <w:rPr>
          <w:rFonts w:hint="eastAsia"/>
          <w:szCs w:val="24"/>
        </w:rPr>
        <w:t>年</w:t>
      </w:r>
      <w:r>
        <w:rPr>
          <w:rFonts w:hint="eastAsia"/>
          <w:szCs w:val="24"/>
        </w:rPr>
        <w:t>7</w:t>
      </w:r>
      <w:r>
        <w:rPr>
          <w:rFonts w:hint="eastAsia"/>
          <w:szCs w:val="24"/>
        </w:rPr>
        <w:t>月，成立高级别监测工作组从事这一工作，以实现各项目标。</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根据政府方案，政府的目标是在本立法阶段明显缩小男女之间的工资差别。芬兰政府积极推行同等报酬三方方案，并将在此阶段贯彻其一揽子措施。芬兰政府每年储备</w:t>
      </w:r>
      <w:r>
        <w:rPr>
          <w:rFonts w:hint="eastAsia"/>
          <w:szCs w:val="24"/>
        </w:rPr>
        <w:t>20</w:t>
      </w:r>
      <w:r>
        <w:rPr>
          <w:rFonts w:hint="eastAsia"/>
          <w:szCs w:val="24"/>
        </w:rPr>
        <w:t>万欧元，以资助选举期间的方案。</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芬兰政府将支持工会采取的核心措施，以促进性别平等和同等报酬原则，并通过加强政府向市政部门的资金转移，使</w:t>
      </w:r>
      <w:r>
        <w:rPr>
          <w:szCs w:val="24"/>
        </w:rPr>
        <w:t>以女性为主的部门</w:t>
      </w:r>
      <w:r>
        <w:rPr>
          <w:rFonts w:hint="eastAsia"/>
          <w:szCs w:val="24"/>
        </w:rPr>
        <w:t>在</w:t>
      </w:r>
      <w:r>
        <w:rPr>
          <w:szCs w:val="24"/>
        </w:rPr>
        <w:t>薪酬</w:t>
      </w:r>
      <w:r>
        <w:rPr>
          <w:rFonts w:hint="eastAsia"/>
          <w:szCs w:val="24"/>
        </w:rPr>
        <w:t>上更具竞争力，为此它准备协助市政部门实施薪酬解决方案。</w:t>
      </w:r>
    </w:p>
    <w:p w:rsidR="001C7848" w:rsidRDefault="001C7848">
      <w:pPr>
        <w:pStyle w:val="H2"/>
        <w:rPr>
          <w:rFonts w:hint="eastAsia"/>
          <w:u w:val="single"/>
        </w:rPr>
      </w:pPr>
      <w:bookmarkStart w:id="113" w:name="_Toc181766700"/>
      <w:bookmarkStart w:id="114" w:name="_Toc188785296"/>
      <w:r>
        <w:br w:type="page"/>
        <w:t>1.2.</w:t>
      </w:r>
      <w:bookmarkEnd w:id="113"/>
      <w:r>
        <w:rPr>
          <w:rFonts w:hint="eastAsia"/>
        </w:rPr>
        <w:t xml:space="preserve">  </w:t>
      </w:r>
      <w:r>
        <w:rPr>
          <w:rFonts w:hint="eastAsia"/>
          <w:u w:val="single"/>
        </w:rPr>
        <w:t>定期的雇用关系</w:t>
      </w:r>
      <w:bookmarkEnd w:id="114"/>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定期雇用合同或雇用关系在芬兰很常见，大多数仍涉及到妇女。定期雇用关系在社会服务、卫生和教育部门最有代表性，特别提供给受过良好教育、</w:t>
      </w:r>
      <w:r>
        <w:rPr>
          <w:rFonts w:hint="eastAsia"/>
          <w:szCs w:val="24"/>
        </w:rPr>
        <w:t>25-45</w:t>
      </w:r>
      <w:r>
        <w:rPr>
          <w:rFonts w:hint="eastAsia"/>
          <w:szCs w:val="24"/>
        </w:rPr>
        <w:t>岁、可能有孩子的妇女。</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2006</w:t>
      </w:r>
      <w:r>
        <w:rPr>
          <w:rFonts w:hint="eastAsia"/>
          <w:szCs w:val="24"/>
        </w:rPr>
        <w:t>年，签订了定期雇用合同的妇女占私营部门所有雇员的</w:t>
      </w:r>
      <w:r>
        <w:rPr>
          <w:rFonts w:hint="eastAsia"/>
          <w:szCs w:val="24"/>
        </w:rPr>
        <w:t>16.7%</w:t>
      </w:r>
      <w:r>
        <w:rPr>
          <w:rFonts w:hint="eastAsia"/>
          <w:szCs w:val="24"/>
        </w:rPr>
        <w:t>，男性的相应数字为</w:t>
      </w:r>
      <w:r>
        <w:rPr>
          <w:rFonts w:hint="eastAsia"/>
          <w:szCs w:val="24"/>
        </w:rPr>
        <w:t>10.5%</w:t>
      </w:r>
      <w:r>
        <w:rPr>
          <w:rFonts w:hint="eastAsia"/>
          <w:szCs w:val="24"/>
        </w:rPr>
        <w:t>。另外，在国家部门签订了定期合同的女雇员比例</w:t>
      </w:r>
      <w:r>
        <w:rPr>
          <w:rFonts w:hint="eastAsia"/>
          <w:szCs w:val="24"/>
        </w:rPr>
        <w:t>2005</w:t>
      </w:r>
      <w:r>
        <w:rPr>
          <w:rFonts w:hint="eastAsia"/>
          <w:szCs w:val="24"/>
        </w:rPr>
        <w:t>年为</w:t>
      </w:r>
      <w:r>
        <w:rPr>
          <w:rFonts w:hint="eastAsia"/>
          <w:szCs w:val="24"/>
        </w:rPr>
        <w:t>24%</w:t>
      </w:r>
      <w:r>
        <w:rPr>
          <w:rFonts w:hint="eastAsia"/>
          <w:szCs w:val="24"/>
        </w:rPr>
        <w:t>，男性的相应数字为</w:t>
      </w:r>
      <w:r>
        <w:rPr>
          <w:rFonts w:hint="eastAsia"/>
          <w:szCs w:val="24"/>
        </w:rPr>
        <w:t>23.6%</w:t>
      </w:r>
      <w:r>
        <w:rPr>
          <w:rFonts w:hint="eastAsia"/>
          <w:szCs w:val="24"/>
        </w:rPr>
        <w:t>。在市政部门，妇女的比例为</w:t>
      </w:r>
      <w:r>
        <w:rPr>
          <w:rFonts w:hint="eastAsia"/>
          <w:szCs w:val="24"/>
        </w:rPr>
        <w:t>24.4%</w:t>
      </w:r>
      <w:r>
        <w:rPr>
          <w:rFonts w:hint="eastAsia"/>
          <w:szCs w:val="24"/>
        </w:rPr>
        <w:t>，男性为</w:t>
      </w:r>
      <w:r>
        <w:rPr>
          <w:rFonts w:hint="eastAsia"/>
          <w:szCs w:val="24"/>
        </w:rPr>
        <w:t>22.1%</w:t>
      </w:r>
      <w:r>
        <w:rPr>
          <w:rFonts w:hint="eastAsia"/>
          <w:szCs w:val="24"/>
        </w:rPr>
        <w:t>。在</w:t>
      </w:r>
      <w:r>
        <w:rPr>
          <w:rFonts w:hint="eastAsia"/>
          <w:szCs w:val="24"/>
        </w:rPr>
        <w:t>2006</w:t>
      </w:r>
      <w:r>
        <w:rPr>
          <w:rFonts w:hint="eastAsia"/>
          <w:szCs w:val="24"/>
        </w:rPr>
        <w:t>年最后一个季度，签订了定期雇用合同的人多达</w:t>
      </w:r>
      <w:r>
        <w:rPr>
          <w:rFonts w:hint="eastAsia"/>
          <w:szCs w:val="24"/>
        </w:rPr>
        <w:t>31 400</w:t>
      </w:r>
      <w:r>
        <w:rPr>
          <w:rFonts w:hint="eastAsia"/>
          <w:szCs w:val="24"/>
        </w:rPr>
        <w:t>人，而雇员总人数为</w:t>
      </w:r>
      <w:r>
        <w:rPr>
          <w:szCs w:val="24"/>
        </w:rPr>
        <w:t>2 130 000</w:t>
      </w:r>
      <w:r>
        <w:rPr>
          <w:rFonts w:hint="eastAsia"/>
          <w:szCs w:val="24"/>
        </w:rPr>
        <w:t>人；在所有挣工资者中固定员工占</w:t>
      </w:r>
      <w:r>
        <w:rPr>
          <w:rFonts w:hint="eastAsia"/>
          <w:szCs w:val="24"/>
        </w:rPr>
        <w:t>14.8%</w:t>
      </w:r>
      <w:r>
        <w:rPr>
          <w:rFonts w:hint="eastAsia"/>
          <w:szCs w:val="24"/>
        </w:rPr>
        <w:t>，其中约三分之二是女性。在</w:t>
      </w:r>
      <w:r>
        <w:rPr>
          <w:rFonts w:hint="eastAsia"/>
          <w:szCs w:val="24"/>
        </w:rPr>
        <w:t>2002</w:t>
      </w:r>
      <w:r>
        <w:rPr>
          <w:rFonts w:hint="eastAsia"/>
          <w:szCs w:val="24"/>
        </w:rPr>
        <w:t>年最后一个季度，签订了定期雇用合同的人数达到</w:t>
      </w:r>
      <w:r>
        <w:rPr>
          <w:szCs w:val="24"/>
        </w:rPr>
        <w:t>303 000</w:t>
      </w:r>
      <w:r>
        <w:rPr>
          <w:rFonts w:hint="eastAsia"/>
          <w:szCs w:val="24"/>
        </w:rPr>
        <w:t>人，雇用劳动力总数达到</w:t>
      </w:r>
      <w:r>
        <w:rPr>
          <w:szCs w:val="24"/>
        </w:rPr>
        <w:t>2 041 000</w:t>
      </w:r>
      <w:r>
        <w:rPr>
          <w:rFonts w:hint="eastAsia"/>
          <w:szCs w:val="24"/>
        </w:rPr>
        <w:t>人；挣工资者总数中固定员工占</w:t>
      </w:r>
      <w:r>
        <w:rPr>
          <w:rFonts w:hint="eastAsia"/>
          <w:szCs w:val="24"/>
        </w:rPr>
        <w:t>14.9%</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当分开考虑各部门时，公共部门定期限雇用关系比私营部门更常见。从公共部门的人员来说，每四名员工中有一名是固定员工，而在私营部门，只有十分之一多是固定员工。过去四年来，在国家部门工作的固定员工人数有所减少，但在市政部门、市政联合会和私营部门却有所增加。</w:t>
      </w:r>
      <w:r>
        <w:rPr>
          <w:rFonts w:hint="eastAsia"/>
          <w:szCs w:val="24"/>
        </w:rPr>
        <w:t>2006</w:t>
      </w:r>
      <w:r>
        <w:rPr>
          <w:rFonts w:hint="eastAsia"/>
          <w:szCs w:val="24"/>
        </w:rPr>
        <w:t>年，就全国来说，固定员工占工薪阶层总数的</w:t>
      </w:r>
      <w:r>
        <w:rPr>
          <w:rFonts w:hint="eastAsia"/>
          <w:szCs w:val="24"/>
        </w:rPr>
        <w:t>23.9%</w:t>
      </w:r>
      <w:r>
        <w:rPr>
          <w:rFonts w:hint="eastAsia"/>
          <w:szCs w:val="24"/>
        </w:rPr>
        <w:t>，比五年前的</w:t>
      </w:r>
      <w:r>
        <w:rPr>
          <w:rFonts w:hint="eastAsia"/>
          <w:szCs w:val="24"/>
        </w:rPr>
        <w:t>2002</w:t>
      </w:r>
      <w:r>
        <w:rPr>
          <w:rFonts w:hint="eastAsia"/>
          <w:szCs w:val="24"/>
        </w:rPr>
        <w:t>年低</w:t>
      </w:r>
      <w:r>
        <w:rPr>
          <w:rFonts w:hint="eastAsia"/>
          <w:szCs w:val="24"/>
        </w:rPr>
        <w:t>1%</w:t>
      </w:r>
      <w:r>
        <w:rPr>
          <w:rFonts w:hint="eastAsia"/>
          <w:szCs w:val="24"/>
        </w:rPr>
        <w:t>。</w:t>
      </w:r>
      <w:r>
        <w:rPr>
          <w:rFonts w:hint="eastAsia"/>
          <w:szCs w:val="24"/>
        </w:rPr>
        <w:t>2006</w:t>
      </w:r>
      <w:r>
        <w:rPr>
          <w:rFonts w:hint="eastAsia"/>
          <w:szCs w:val="24"/>
        </w:rPr>
        <w:t>年，市政当局和市政联合会的固定员工人数和国家的固定员工人数相同，但是比</w:t>
      </w:r>
      <w:r>
        <w:rPr>
          <w:rFonts w:hint="eastAsia"/>
          <w:szCs w:val="24"/>
        </w:rPr>
        <w:t>2002</w:t>
      </w:r>
      <w:r>
        <w:rPr>
          <w:rFonts w:hint="eastAsia"/>
          <w:szCs w:val="24"/>
        </w:rPr>
        <w:t>年增加了</w:t>
      </w:r>
      <w:r>
        <w:rPr>
          <w:rFonts w:hint="eastAsia"/>
          <w:szCs w:val="24"/>
        </w:rPr>
        <w:t>0.7%</w:t>
      </w:r>
      <w:r>
        <w:rPr>
          <w:rFonts w:hint="eastAsia"/>
          <w:szCs w:val="24"/>
        </w:rPr>
        <w:t>。在私营部门，固定员工占工薪阶层的总数从同期的</w:t>
      </w:r>
      <w:r>
        <w:rPr>
          <w:rFonts w:hint="eastAsia"/>
          <w:szCs w:val="24"/>
        </w:rPr>
        <w:t>12.5%</w:t>
      </w:r>
      <w:r>
        <w:rPr>
          <w:rFonts w:hint="eastAsia"/>
          <w:szCs w:val="24"/>
        </w:rPr>
        <w:t>上升到</w:t>
      </w:r>
      <w:r>
        <w:rPr>
          <w:rFonts w:hint="eastAsia"/>
          <w:szCs w:val="24"/>
        </w:rPr>
        <w:t>13%</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定期雇用合同与妇女关系很大，这有许多原因。芬兰的就业结构和大多数欧盟国家不同，因为在芬兰，妇女就业率只有</w:t>
      </w:r>
      <w:r>
        <w:rPr>
          <w:rFonts w:hint="eastAsia"/>
          <w:szCs w:val="24"/>
        </w:rPr>
        <w:t>3.8%</w:t>
      </w:r>
      <w:r>
        <w:rPr>
          <w:rFonts w:hint="eastAsia"/>
          <w:szCs w:val="24"/>
        </w:rPr>
        <w:t>，低于男性，而且男女就业水平的差别在欧盟国家最小。另一方面，整个芬兰人的就业水平在欧盟不是最高。</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多数情况下，妇女仍继续利用家事假，所以这些家事假的费用由妇女的雇主支付。芬兰劳动力市场按性别分隔严重，特别是在市政部门，尤其有大量的妇女在保健、社会服务和教育部门工作。当在这些部门工作的妇女休家事假时，其他妇女往往被雇来顶替她们。在市政部门签订了定期雇用合同的员工中，有</w:t>
      </w:r>
      <w:r>
        <w:rPr>
          <w:rFonts w:hint="eastAsia"/>
          <w:szCs w:val="24"/>
        </w:rPr>
        <w:t>49%</w:t>
      </w:r>
      <w:r>
        <w:rPr>
          <w:rFonts w:hint="eastAsia"/>
          <w:szCs w:val="24"/>
        </w:rPr>
        <w:t>是顶替他人。此外，那些请</w:t>
      </w:r>
      <w:r>
        <w:rPr>
          <w:szCs w:val="24"/>
        </w:rPr>
        <w:t>岗位轮流</w:t>
      </w:r>
      <w:r>
        <w:rPr>
          <w:rFonts w:hint="eastAsia"/>
          <w:szCs w:val="24"/>
        </w:rPr>
        <w:t>假的人往往是在市政部门工作的妇女。</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新成立的定期雇用关系和雇员状况三方工作组于</w:t>
      </w:r>
      <w:r>
        <w:rPr>
          <w:rFonts w:hint="eastAsia"/>
          <w:szCs w:val="24"/>
        </w:rPr>
        <w:t>2007</w:t>
      </w:r>
      <w:r>
        <w:rPr>
          <w:rFonts w:hint="eastAsia"/>
          <w:szCs w:val="24"/>
        </w:rPr>
        <w:t>年</w:t>
      </w:r>
      <w:r>
        <w:rPr>
          <w:rFonts w:hint="eastAsia"/>
          <w:szCs w:val="24"/>
        </w:rPr>
        <w:t>2</w:t>
      </w:r>
      <w:r>
        <w:rPr>
          <w:rFonts w:hint="eastAsia"/>
          <w:szCs w:val="24"/>
        </w:rPr>
        <w:t>月提交了其报告。根据工作组的提案起草了《政府法案》，在</w:t>
      </w:r>
      <w:r>
        <w:rPr>
          <w:rFonts w:hint="eastAsia"/>
          <w:szCs w:val="24"/>
        </w:rPr>
        <w:t>2007</w:t>
      </w:r>
      <w:r>
        <w:rPr>
          <w:rFonts w:hint="eastAsia"/>
          <w:szCs w:val="24"/>
        </w:rPr>
        <w:t>年秋季会议期间将由议会审议。相关的修订案将于</w:t>
      </w:r>
      <w:r>
        <w:rPr>
          <w:rFonts w:hint="eastAsia"/>
          <w:szCs w:val="24"/>
        </w:rPr>
        <w:t>2008</w:t>
      </w:r>
      <w:r>
        <w:rPr>
          <w:rFonts w:hint="eastAsia"/>
          <w:szCs w:val="24"/>
        </w:rPr>
        <w:t>年年初生效。《政府法案》没有对《雇用合同法》（</w:t>
      </w:r>
      <w:r>
        <w:rPr>
          <w:szCs w:val="24"/>
        </w:rPr>
        <w:t>26.1.2001/55</w:t>
      </w:r>
      <w:r>
        <w:rPr>
          <w:rFonts w:hint="eastAsia"/>
          <w:szCs w:val="24"/>
        </w:rPr>
        <w:t>）关于订立固定合同理由的条款提出修订案，而是旨在采用补充手段以监督其执行。</w:t>
      </w:r>
    </w:p>
    <w:p w:rsidR="001C7848" w:rsidRDefault="001C7848">
      <w:pPr>
        <w:pStyle w:val="H2"/>
        <w:rPr>
          <w:rFonts w:hint="eastAsia"/>
          <w:u w:val="single"/>
        </w:rPr>
      </w:pPr>
      <w:bookmarkStart w:id="115" w:name="_Toc181766701"/>
      <w:bookmarkStart w:id="116" w:name="_Toc188785297"/>
      <w:r>
        <w:t>1.3.</w:t>
      </w:r>
      <w:bookmarkEnd w:id="115"/>
      <w:r>
        <w:rPr>
          <w:rFonts w:hint="eastAsia"/>
        </w:rPr>
        <w:t xml:space="preserve">  </w:t>
      </w:r>
      <w:r>
        <w:rPr>
          <w:rFonts w:hint="eastAsia"/>
          <w:u w:val="single"/>
        </w:rPr>
        <w:t>兼职工作</w:t>
      </w:r>
      <w:bookmarkEnd w:id="116"/>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在芬兰，兼职工作不太常见。约</w:t>
      </w:r>
      <w:r>
        <w:rPr>
          <w:rFonts w:hint="eastAsia"/>
          <w:szCs w:val="24"/>
        </w:rPr>
        <w:t>19%</w:t>
      </w:r>
      <w:r>
        <w:rPr>
          <w:rFonts w:hint="eastAsia"/>
          <w:szCs w:val="24"/>
        </w:rPr>
        <w:t>的妇女从事兼职工作。男性兼职工作的比例略有上升，目前低于</w:t>
      </w:r>
      <w:r>
        <w:rPr>
          <w:rFonts w:hint="eastAsia"/>
          <w:szCs w:val="24"/>
        </w:rPr>
        <w:t>10%</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兼职工作主要集中在某些行业。</w:t>
      </w:r>
      <w:r>
        <w:rPr>
          <w:rFonts w:hint="eastAsia"/>
          <w:szCs w:val="24"/>
        </w:rPr>
        <w:t>2006</w:t>
      </w:r>
      <w:r>
        <w:rPr>
          <w:rFonts w:hint="eastAsia"/>
          <w:szCs w:val="24"/>
        </w:rPr>
        <w:t>年，在贸易行业，兼职工作的比例是</w:t>
      </w:r>
      <w:r>
        <w:rPr>
          <w:rFonts w:hint="eastAsia"/>
          <w:szCs w:val="24"/>
        </w:rPr>
        <w:t>24%</w:t>
      </w:r>
      <w:r>
        <w:rPr>
          <w:rFonts w:hint="eastAsia"/>
          <w:szCs w:val="24"/>
        </w:rPr>
        <w:t>，在主要由妇女主导的零售业，兼职工作的比例是</w:t>
      </w:r>
      <w:r>
        <w:rPr>
          <w:szCs w:val="24"/>
        </w:rPr>
        <w:t>38%</w:t>
      </w:r>
      <w:r>
        <w:rPr>
          <w:rFonts w:hint="eastAsia"/>
          <w:szCs w:val="24"/>
        </w:rPr>
        <w:t>。在贸易行业中，将兼职工作作为其主要职业的妇女占</w:t>
      </w:r>
      <w:r>
        <w:rPr>
          <w:rFonts w:hint="eastAsia"/>
          <w:szCs w:val="24"/>
        </w:rPr>
        <w:t>37%</w:t>
      </w:r>
      <w:r>
        <w:rPr>
          <w:rFonts w:hint="eastAsia"/>
          <w:szCs w:val="24"/>
        </w:rPr>
        <w:t>。男子的相应数字是</w:t>
      </w:r>
      <w:r>
        <w:rPr>
          <w:rFonts w:hint="eastAsia"/>
          <w:szCs w:val="24"/>
        </w:rPr>
        <w:t>10%</w:t>
      </w:r>
      <w:r>
        <w:rPr>
          <w:rFonts w:hint="eastAsia"/>
          <w:szCs w:val="24"/>
        </w:rPr>
        <w:t>。</w:t>
      </w:r>
      <w:r>
        <w:rPr>
          <w:rFonts w:hint="eastAsia"/>
          <w:szCs w:val="24"/>
        </w:rPr>
        <w:t xml:space="preserve"> </w:t>
      </w:r>
      <w:r>
        <w:rPr>
          <w:rFonts w:hint="eastAsia"/>
          <w:szCs w:val="24"/>
        </w:rPr>
        <w:t>在零售业，</w:t>
      </w:r>
      <w:r>
        <w:rPr>
          <w:rFonts w:hint="eastAsia"/>
          <w:szCs w:val="24"/>
        </w:rPr>
        <w:t>44%</w:t>
      </w:r>
      <w:r>
        <w:rPr>
          <w:rFonts w:hint="eastAsia"/>
          <w:szCs w:val="24"/>
        </w:rPr>
        <w:t>的妇女和</w:t>
      </w:r>
      <w:r>
        <w:rPr>
          <w:rFonts w:hint="eastAsia"/>
          <w:szCs w:val="24"/>
        </w:rPr>
        <w:t>22%</w:t>
      </w:r>
      <w:r>
        <w:rPr>
          <w:rFonts w:hint="eastAsia"/>
          <w:szCs w:val="24"/>
        </w:rPr>
        <w:t>的男子从事兼职工作。在饭店餐馆业，兼职工作不存在性别差别。在建筑业，男子没有兼职工作，但该行业中少数妇女有兼职工作。</w:t>
      </w:r>
    </w:p>
    <w:p w:rsidR="001C7848" w:rsidRDefault="001C7848">
      <w:pPr>
        <w:pStyle w:val="H2"/>
        <w:rPr>
          <w:rFonts w:hint="eastAsia"/>
          <w:u w:val="single"/>
        </w:rPr>
      </w:pPr>
      <w:bookmarkStart w:id="117" w:name="_Toc181766702"/>
      <w:bookmarkStart w:id="118" w:name="_Toc188785298"/>
      <w:r>
        <w:t>1.4.</w:t>
      </w:r>
      <w:bookmarkEnd w:id="117"/>
      <w:r>
        <w:rPr>
          <w:rFonts w:hint="eastAsia"/>
        </w:rPr>
        <w:t xml:space="preserve">  </w:t>
      </w:r>
      <w:r>
        <w:rPr>
          <w:rFonts w:hint="eastAsia"/>
          <w:u w:val="single"/>
        </w:rPr>
        <w:t>基于怀孕或家事假的歧视</w:t>
      </w:r>
      <w:bookmarkEnd w:id="118"/>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性别歧视仍是芬兰工作场所的一个问题。在平等问题监察员监督法律执行的过程中，她显然认为因怀孕和休家事假对妇女的歧视经常与定期雇用关系有关。在一般情况下，当雇员宣称自己怀孕时，定期雇用合同不会被延长。即使《平等法》（</w:t>
      </w:r>
      <w:r>
        <w:rPr>
          <w:szCs w:val="24"/>
        </w:rPr>
        <w:t>15.4.2005/232</w:t>
      </w:r>
      <w:r>
        <w:rPr>
          <w:rFonts w:hint="eastAsia"/>
          <w:szCs w:val="24"/>
        </w:rPr>
        <w:t>）禁止以怀孕和家庭义务为由的歧视。最近几年，因怀疑与特别是怀孕或家事假相关的歧视，人们越来越多地与平等问题监察员联系。通过提供信息和指导，平等问题监察员努力提高雇主对《平等法》规定的禁止歧视以及禁止实际适用情况的方式方面的认识。</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平等问题监察员的看法，许多因怀孕而被终止合同的妇女害怕为其受《平等法》保证的权利呼吁，因为她们希望在怀孕和照顾孩子后重新工作。法律禁止雇主采取歧视做法，但实际上雇员对雇主的歧视行为往往做出降低自己权利的反应。</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除了平等问题监察员外，因为怀疑存在基于怀孕和家事假的歧视，人们还经常与劳动保障专业人员联系。如果有理由怀疑工作中有歧视性的犯罪行为，劳动保障部门就会将歧视案件提交法院。</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《雇用合同法》（</w:t>
      </w:r>
      <w:r>
        <w:rPr>
          <w:szCs w:val="24"/>
        </w:rPr>
        <w:t>26.1. 2001/55</w:t>
      </w:r>
      <w:r>
        <w:rPr>
          <w:rFonts w:hint="eastAsia"/>
          <w:szCs w:val="24"/>
        </w:rPr>
        <w:t>）禁止在由于怀孕或家事假的另行通知之前终止具有法律效力的雇用关系。但是，只有《平等法》禁止因怀孕或家事假而终止定期雇用合同和对雇用期限的限制。因此，在所谓的基本就业法，即《雇用合同法》中，没有涉及定期雇员权利的条款。平等问题监察员考虑到该法的不足，于</w:t>
      </w:r>
      <w:r>
        <w:rPr>
          <w:rFonts w:hint="eastAsia"/>
          <w:szCs w:val="24"/>
        </w:rPr>
        <w:t>2005</w:t>
      </w:r>
      <w:r>
        <w:rPr>
          <w:rFonts w:hint="eastAsia"/>
          <w:szCs w:val="24"/>
        </w:rPr>
        <w:t>年向劳动部提出建议，认为应当对《雇用合同法》进行补充，以明确禁止因怀孕或休家事假而终止定期雇用关系和对雇用期限的限制。</w:t>
      </w:r>
    </w:p>
    <w:p w:rsidR="001C7848" w:rsidRDefault="001C7848">
      <w:pPr>
        <w:pStyle w:val="H1"/>
        <w:spacing w:before="120"/>
        <w:jc w:val="both"/>
        <w:rPr>
          <w:rFonts w:hint="eastAsia"/>
        </w:rPr>
      </w:pPr>
      <w:bookmarkStart w:id="119" w:name="_Toc181766703"/>
      <w:bookmarkStart w:id="120" w:name="_Toc188785299"/>
      <w:r>
        <w:t xml:space="preserve">2.  </w:t>
      </w:r>
      <w:bookmarkEnd w:id="119"/>
      <w:r>
        <w:rPr>
          <w:rFonts w:hint="eastAsia"/>
        </w:rPr>
        <w:t xml:space="preserve"> 妇女失业率</w:t>
      </w:r>
      <w:bookmarkEnd w:id="120"/>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w:t>
      </w:r>
      <w:r>
        <w:rPr>
          <w:rFonts w:hint="eastAsia"/>
          <w:szCs w:val="24"/>
        </w:rPr>
        <w:t>2006</w:t>
      </w:r>
      <w:r>
        <w:rPr>
          <w:rFonts w:hint="eastAsia"/>
          <w:szCs w:val="24"/>
        </w:rPr>
        <w:t>年</w:t>
      </w:r>
      <w:r>
        <w:rPr>
          <w:rFonts w:hint="eastAsia"/>
          <w:szCs w:val="24"/>
        </w:rPr>
        <w:t>7</w:t>
      </w:r>
      <w:r>
        <w:rPr>
          <w:rFonts w:hint="eastAsia"/>
          <w:szCs w:val="24"/>
        </w:rPr>
        <w:t>月芬兰统计局进行的失业调查，有</w:t>
      </w:r>
      <w:r>
        <w:rPr>
          <w:szCs w:val="24"/>
        </w:rPr>
        <w:t xml:space="preserve">2 540 000 </w:t>
      </w:r>
      <w:r>
        <w:rPr>
          <w:rFonts w:hint="eastAsia"/>
          <w:szCs w:val="24"/>
        </w:rPr>
        <w:t>人被雇用，比前一年多</w:t>
      </w:r>
      <w:r>
        <w:rPr>
          <w:szCs w:val="24"/>
        </w:rPr>
        <w:t>46 000</w:t>
      </w:r>
      <w:r>
        <w:rPr>
          <w:rFonts w:hint="eastAsia"/>
          <w:szCs w:val="24"/>
        </w:rPr>
        <w:t>人。被雇用的女性人数比</w:t>
      </w:r>
      <w:r>
        <w:rPr>
          <w:rFonts w:hint="eastAsia"/>
          <w:szCs w:val="24"/>
        </w:rPr>
        <w:t>2005</w:t>
      </w:r>
      <w:r>
        <w:rPr>
          <w:rFonts w:hint="eastAsia"/>
          <w:szCs w:val="24"/>
        </w:rPr>
        <w:t>年</w:t>
      </w:r>
      <w:r>
        <w:rPr>
          <w:rFonts w:hint="eastAsia"/>
          <w:szCs w:val="24"/>
        </w:rPr>
        <w:t>7</w:t>
      </w:r>
      <w:r>
        <w:rPr>
          <w:rFonts w:hint="eastAsia"/>
          <w:szCs w:val="24"/>
        </w:rPr>
        <w:t>月多</w:t>
      </w:r>
      <w:r>
        <w:rPr>
          <w:rFonts w:hint="eastAsia"/>
          <w:szCs w:val="24"/>
        </w:rPr>
        <w:t>31 000</w:t>
      </w:r>
      <w:r>
        <w:rPr>
          <w:rFonts w:hint="eastAsia"/>
          <w:szCs w:val="24"/>
        </w:rPr>
        <w:t>人，男性人数多</w:t>
      </w:r>
      <w:r>
        <w:rPr>
          <w:rFonts w:hint="eastAsia"/>
          <w:szCs w:val="24"/>
        </w:rPr>
        <w:t>15 000</w:t>
      </w:r>
      <w:r>
        <w:rPr>
          <w:rFonts w:hint="eastAsia"/>
          <w:szCs w:val="24"/>
        </w:rPr>
        <w:t>人。增加的被雇用人数主要在芬兰南部省份。</w:t>
      </w:r>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就业率，即</w:t>
      </w:r>
      <w:r>
        <w:rPr>
          <w:rFonts w:hint="eastAsia"/>
          <w:szCs w:val="24"/>
        </w:rPr>
        <w:t>15-64</w:t>
      </w:r>
      <w:r>
        <w:rPr>
          <w:rFonts w:hint="eastAsia"/>
          <w:szCs w:val="24"/>
        </w:rPr>
        <w:t>岁期间被雇用人数的比例在</w:t>
      </w:r>
      <w:r>
        <w:rPr>
          <w:rFonts w:hint="eastAsia"/>
          <w:szCs w:val="24"/>
        </w:rPr>
        <w:t>2006</w:t>
      </w:r>
      <w:r>
        <w:rPr>
          <w:rFonts w:hint="eastAsia"/>
          <w:szCs w:val="24"/>
        </w:rPr>
        <w:t>年</w:t>
      </w:r>
      <w:r>
        <w:rPr>
          <w:rFonts w:hint="eastAsia"/>
          <w:szCs w:val="24"/>
        </w:rPr>
        <w:t>7</w:t>
      </w:r>
      <w:r>
        <w:rPr>
          <w:rFonts w:hint="eastAsia"/>
          <w:szCs w:val="24"/>
        </w:rPr>
        <w:t>月是</w:t>
      </w:r>
      <w:r>
        <w:rPr>
          <w:rFonts w:hint="eastAsia"/>
          <w:szCs w:val="24"/>
        </w:rPr>
        <w:t>71.8%</w:t>
      </w:r>
      <w:r>
        <w:rPr>
          <w:rFonts w:hint="eastAsia"/>
          <w:szCs w:val="24"/>
        </w:rPr>
        <w:t>，比前一年高</w:t>
      </w:r>
      <w:r>
        <w:rPr>
          <w:rFonts w:hint="eastAsia"/>
          <w:szCs w:val="24"/>
        </w:rPr>
        <w:t>1.1%</w:t>
      </w:r>
      <w:r>
        <w:rPr>
          <w:rFonts w:hint="eastAsia"/>
          <w:szCs w:val="24"/>
        </w:rPr>
        <w:t>。妇女就业率从</w:t>
      </w:r>
      <w:r>
        <w:rPr>
          <w:rFonts w:hint="eastAsia"/>
          <w:szCs w:val="24"/>
        </w:rPr>
        <w:t>1.6%</w:t>
      </w:r>
      <w:r>
        <w:rPr>
          <w:rFonts w:hint="eastAsia"/>
          <w:szCs w:val="24"/>
        </w:rPr>
        <w:t>上升到</w:t>
      </w:r>
      <w:r>
        <w:rPr>
          <w:rFonts w:hint="eastAsia"/>
          <w:szCs w:val="24"/>
        </w:rPr>
        <w:t>69.5%</w:t>
      </w:r>
      <w:r>
        <w:rPr>
          <w:rFonts w:hint="eastAsia"/>
          <w:szCs w:val="24"/>
        </w:rPr>
        <w:t>。男性的就业率上升了</w:t>
      </w:r>
      <w:r>
        <w:rPr>
          <w:rFonts w:hint="eastAsia"/>
          <w:szCs w:val="24"/>
        </w:rPr>
        <w:t>0.6%</w:t>
      </w:r>
      <w:r>
        <w:rPr>
          <w:rFonts w:hint="eastAsia"/>
          <w:szCs w:val="24"/>
        </w:rPr>
        <w:t>，达</w:t>
      </w:r>
      <w:r>
        <w:rPr>
          <w:rFonts w:hint="eastAsia"/>
          <w:szCs w:val="24"/>
        </w:rPr>
        <w:t>74%</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妇女失业率从</w:t>
      </w:r>
      <w:r>
        <w:rPr>
          <w:rFonts w:hint="eastAsia"/>
          <w:szCs w:val="24"/>
        </w:rPr>
        <w:t>2005</w:t>
      </w:r>
      <w:r>
        <w:rPr>
          <w:rFonts w:hint="eastAsia"/>
          <w:szCs w:val="24"/>
        </w:rPr>
        <w:t>年的</w:t>
      </w:r>
      <w:r>
        <w:rPr>
          <w:rFonts w:hint="eastAsia"/>
          <w:szCs w:val="24"/>
        </w:rPr>
        <w:t>8.2%</w:t>
      </w:r>
      <w:r>
        <w:rPr>
          <w:rFonts w:hint="eastAsia"/>
          <w:szCs w:val="24"/>
        </w:rPr>
        <w:t>下降到</w:t>
      </w:r>
      <w:r>
        <w:rPr>
          <w:rFonts w:hint="eastAsia"/>
          <w:szCs w:val="24"/>
        </w:rPr>
        <w:t>7.2%</w:t>
      </w:r>
      <w:r>
        <w:rPr>
          <w:rFonts w:hint="eastAsia"/>
          <w:szCs w:val="24"/>
        </w:rPr>
        <w:t>。男性的失业率显示出相应的趋势，从</w:t>
      </w:r>
      <w:r>
        <w:rPr>
          <w:rFonts w:hint="eastAsia"/>
          <w:szCs w:val="24"/>
        </w:rPr>
        <w:t>6.5%</w:t>
      </w:r>
      <w:r>
        <w:rPr>
          <w:rFonts w:hint="eastAsia"/>
          <w:szCs w:val="24"/>
        </w:rPr>
        <w:t>下降至</w:t>
      </w:r>
      <w:r>
        <w:rPr>
          <w:rFonts w:hint="eastAsia"/>
          <w:szCs w:val="24"/>
        </w:rPr>
        <w:t>6%</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2005</w:t>
      </w:r>
      <w:r>
        <w:rPr>
          <w:rFonts w:hint="eastAsia"/>
          <w:szCs w:val="24"/>
        </w:rPr>
        <w:t>年移民妇女的失业率是</w:t>
      </w:r>
      <w:r>
        <w:rPr>
          <w:rFonts w:hint="eastAsia"/>
          <w:szCs w:val="24"/>
        </w:rPr>
        <w:t>31%</w:t>
      </w:r>
      <w:r>
        <w:rPr>
          <w:rFonts w:hint="eastAsia"/>
          <w:szCs w:val="24"/>
        </w:rPr>
        <w:t>，移民男子的相应数字是</w:t>
      </w:r>
      <w:r>
        <w:rPr>
          <w:rFonts w:hint="eastAsia"/>
          <w:szCs w:val="24"/>
        </w:rPr>
        <w:t>20%</w:t>
      </w:r>
      <w:r>
        <w:rPr>
          <w:rFonts w:hint="eastAsia"/>
          <w:szCs w:val="24"/>
        </w:rPr>
        <w:t>。全国人口的失业率</w:t>
      </w:r>
      <w:r>
        <w:rPr>
          <w:rFonts w:hint="eastAsia"/>
          <w:szCs w:val="24"/>
        </w:rPr>
        <w:t>2005</w:t>
      </w:r>
      <w:r>
        <w:rPr>
          <w:rFonts w:hint="eastAsia"/>
          <w:szCs w:val="24"/>
        </w:rPr>
        <w:t>年是</w:t>
      </w:r>
      <w:r>
        <w:rPr>
          <w:rFonts w:hint="eastAsia"/>
          <w:szCs w:val="24"/>
        </w:rPr>
        <w:t>8.4%</w:t>
      </w:r>
      <w:r>
        <w:rPr>
          <w:rFonts w:hint="eastAsia"/>
          <w:szCs w:val="24"/>
        </w:rPr>
        <w:t>。</w:t>
      </w:r>
    </w:p>
    <w:p w:rsidR="001C7848" w:rsidRDefault="001C7848">
      <w:pPr>
        <w:pStyle w:val="H1"/>
        <w:spacing w:before="120"/>
        <w:jc w:val="both"/>
        <w:rPr>
          <w:rFonts w:hint="eastAsia"/>
        </w:rPr>
      </w:pPr>
      <w:bookmarkStart w:id="121" w:name="_Toc181766704"/>
      <w:bookmarkStart w:id="122" w:name="_Toc188785300"/>
      <w:r>
        <w:t xml:space="preserve">3.  </w:t>
      </w:r>
      <w:bookmarkEnd w:id="121"/>
      <w:r>
        <w:rPr>
          <w:rFonts w:hint="eastAsia"/>
        </w:rPr>
        <w:t>社会保障</w:t>
      </w:r>
      <w:bookmarkEnd w:id="122"/>
    </w:p>
    <w:p w:rsidR="001C7848" w:rsidRDefault="001C7848">
      <w:pPr>
        <w:pStyle w:val="H2"/>
        <w:rPr>
          <w:rFonts w:hint="eastAsia"/>
          <w:u w:val="single"/>
        </w:rPr>
      </w:pPr>
      <w:bookmarkStart w:id="123" w:name="_Toc181766705"/>
      <w:bookmarkStart w:id="124" w:name="_Toc188785301"/>
      <w:r>
        <w:t>3.1.</w:t>
      </w:r>
      <w:bookmarkEnd w:id="123"/>
      <w:r>
        <w:rPr>
          <w:rFonts w:hint="eastAsia"/>
        </w:rPr>
        <w:t xml:space="preserve">  </w:t>
      </w:r>
      <w:r>
        <w:rPr>
          <w:rFonts w:hint="eastAsia"/>
          <w:u w:val="single"/>
        </w:rPr>
        <w:t>育儿假、家长津贴和生育津贴</w:t>
      </w:r>
      <w:bookmarkEnd w:id="124"/>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孩子的父母有权共同决定是母亲还是父亲利用育儿假。因为从</w:t>
      </w:r>
      <w:r>
        <w:rPr>
          <w:rFonts w:hint="eastAsia"/>
          <w:szCs w:val="24"/>
        </w:rPr>
        <w:t>2007</w:t>
      </w:r>
      <w:r>
        <w:rPr>
          <w:rFonts w:hint="eastAsia"/>
          <w:szCs w:val="24"/>
        </w:rPr>
        <w:t>年开始，父亲和母亲的育儿津贴总额在孩子出生后头</w:t>
      </w:r>
      <w:r>
        <w:rPr>
          <w:rFonts w:hint="eastAsia"/>
          <w:szCs w:val="24"/>
        </w:rPr>
        <w:t>30</w:t>
      </w:r>
      <w:r>
        <w:rPr>
          <w:rFonts w:hint="eastAsia"/>
          <w:szCs w:val="24"/>
        </w:rPr>
        <w:t>个工作日上涨。如果父母都利用育儿假并申请育儿津贴，那他们两个人都有资格享受在孩子出生后头</w:t>
      </w:r>
      <w:r>
        <w:rPr>
          <w:rFonts w:hint="eastAsia"/>
          <w:szCs w:val="24"/>
        </w:rPr>
        <w:t>30</w:t>
      </w:r>
      <w:r>
        <w:rPr>
          <w:rFonts w:hint="eastAsia"/>
          <w:szCs w:val="24"/>
        </w:rPr>
        <w:t>个工作日的增加津贴。</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目前的法律修订案旨在特别鼓励男子越来越多地利用育儿假的权利。从职业生活的角度来看，共享育儿假会导致由雇主承担的雇员生育费用在男女雇员之间更加持平。这将会提高妇女在劳动力市场的地位。</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此外，付给母亲的生育津贴在婴儿出生头</w:t>
      </w:r>
      <w:r>
        <w:rPr>
          <w:rFonts w:hint="eastAsia"/>
          <w:szCs w:val="24"/>
        </w:rPr>
        <w:t>56</w:t>
      </w:r>
      <w:r>
        <w:rPr>
          <w:rFonts w:hint="eastAsia"/>
          <w:szCs w:val="24"/>
        </w:rPr>
        <w:t>个工作日内增加。</w:t>
      </w:r>
      <w:r>
        <w:rPr>
          <w:rFonts w:hint="eastAsia"/>
          <w:szCs w:val="24"/>
        </w:rPr>
        <w:t xml:space="preserve"> </w:t>
      </w:r>
      <w:r>
        <w:rPr>
          <w:rFonts w:hint="eastAsia"/>
          <w:szCs w:val="24"/>
        </w:rPr>
        <w:t>增加的津贴不仅改善了家庭收入，而且使那些为休产假母亲支付工资的雇主获得了更多的补偿。在审查期间雇主对年度带薪休假的补偿金额也有所提高。这些改革旨在降低个体雇主因雇员的育儿假所承担的实际工资费用。这会间接地改善了妇女在劳动力市场的地位。</w:t>
      </w:r>
    </w:p>
    <w:p w:rsidR="001C7848" w:rsidRDefault="001C7848">
      <w:pPr>
        <w:pStyle w:val="H2"/>
        <w:rPr>
          <w:rFonts w:hint="eastAsia"/>
          <w:u w:val="single"/>
        </w:rPr>
      </w:pPr>
      <w:bookmarkStart w:id="125" w:name="_Toc181766706"/>
      <w:bookmarkStart w:id="126" w:name="_Toc188785302"/>
      <w:r>
        <w:rPr>
          <w:u w:val="single"/>
        </w:rPr>
        <w:t xml:space="preserve">3.2. </w:t>
      </w:r>
      <w:bookmarkEnd w:id="125"/>
      <w:r>
        <w:rPr>
          <w:rFonts w:hint="eastAsia"/>
          <w:u w:val="single"/>
        </w:rPr>
        <w:t>养老金制度</w:t>
      </w:r>
      <w:bookmarkEnd w:id="126"/>
    </w:p>
    <w:p w:rsidR="001C7848" w:rsidRDefault="001C7848">
      <w:pPr>
        <w:pStyle w:val="BodyText2"/>
        <w:framePr w:w="0" w:hRule="auto" w:hSpace="0" w:wrap="auto" w:vAnchor="margin" w:hAnchor="text" w:xAlign="left" w:yAlign="inline"/>
        <w:spacing w:after="240" w:line="360" w:lineRule="exact"/>
        <w:ind w:right="-69"/>
        <w:jc w:val="both"/>
        <w:rPr>
          <w:rFonts w:eastAsia="SimSun" w:hint="eastAsia"/>
          <w:bCs/>
          <w:sz w:val="21"/>
          <w:szCs w:val="24"/>
          <w:u w:val="single"/>
          <w:lang w:val="en-GB"/>
        </w:rPr>
      </w:pPr>
      <w:r>
        <w:rPr>
          <w:rFonts w:eastAsia="SimSun" w:hint="eastAsia"/>
          <w:bCs/>
          <w:sz w:val="21"/>
          <w:szCs w:val="24"/>
          <w:u w:val="single"/>
          <w:lang w:val="en-GB"/>
        </w:rPr>
        <w:t>与收入挂钩的养老金改革</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从</w:t>
      </w:r>
      <w:r>
        <w:rPr>
          <w:rFonts w:hint="eastAsia"/>
          <w:szCs w:val="24"/>
        </w:rPr>
        <w:t>2005</w:t>
      </w:r>
      <w:r>
        <w:rPr>
          <w:rFonts w:hint="eastAsia"/>
          <w:szCs w:val="24"/>
        </w:rPr>
        <w:t>年年初起，开始实行与</w:t>
      </w:r>
      <w:r>
        <w:rPr>
          <w:szCs w:val="24"/>
        </w:rPr>
        <w:t>收入挂钩的</w:t>
      </w:r>
      <w:r>
        <w:rPr>
          <w:rFonts w:hint="eastAsia"/>
          <w:szCs w:val="24"/>
        </w:rPr>
        <w:t>养老金改革，它涉及私营和公共部门养老金供应。与</w:t>
      </w:r>
      <w:r>
        <w:rPr>
          <w:szCs w:val="24"/>
        </w:rPr>
        <w:t>收入挂钩的养老金</w:t>
      </w:r>
      <w:r>
        <w:rPr>
          <w:rFonts w:hint="eastAsia"/>
          <w:szCs w:val="24"/>
        </w:rPr>
        <w:t>在一个人</w:t>
      </w:r>
      <w:r>
        <w:rPr>
          <w:rFonts w:hint="eastAsia"/>
          <w:szCs w:val="24"/>
        </w:rPr>
        <w:t>18-67</w:t>
      </w:r>
      <w:r>
        <w:rPr>
          <w:rFonts w:hint="eastAsia"/>
          <w:szCs w:val="24"/>
        </w:rPr>
        <w:t>岁时随工作而累积。与</w:t>
      </w:r>
      <w:r>
        <w:rPr>
          <w:szCs w:val="24"/>
        </w:rPr>
        <w:t>收入挂钩的养老金</w:t>
      </w:r>
      <w:r>
        <w:rPr>
          <w:rFonts w:hint="eastAsia"/>
          <w:szCs w:val="24"/>
        </w:rPr>
        <w:t>总数由雇员每年的收入和依年龄而定的累积率决定，</w:t>
      </w:r>
      <w:r>
        <w:rPr>
          <w:rFonts w:hint="eastAsia"/>
          <w:szCs w:val="24"/>
        </w:rPr>
        <w:t xml:space="preserve"> </w:t>
      </w:r>
      <w:r>
        <w:rPr>
          <w:rFonts w:hint="eastAsia"/>
          <w:szCs w:val="24"/>
        </w:rPr>
        <w:t>累积率是一个</w:t>
      </w:r>
      <w:r>
        <w:rPr>
          <w:rFonts w:hint="eastAsia"/>
          <w:szCs w:val="24"/>
        </w:rPr>
        <w:t>54</w:t>
      </w:r>
      <w:r>
        <w:rPr>
          <w:rFonts w:hint="eastAsia"/>
          <w:szCs w:val="24"/>
        </w:rPr>
        <w:t>岁的人年收入的</w:t>
      </w:r>
      <w:r>
        <w:rPr>
          <w:rFonts w:hint="eastAsia"/>
          <w:szCs w:val="24"/>
        </w:rPr>
        <w:t>1.5%</w:t>
      </w:r>
      <w:r>
        <w:rPr>
          <w:rFonts w:hint="eastAsia"/>
          <w:szCs w:val="24"/>
        </w:rPr>
        <w:t>，</w:t>
      </w:r>
      <w:r>
        <w:rPr>
          <w:rFonts w:hint="eastAsia"/>
          <w:szCs w:val="24"/>
        </w:rPr>
        <w:t>54-63</w:t>
      </w:r>
      <w:r>
        <w:rPr>
          <w:rFonts w:hint="eastAsia"/>
          <w:szCs w:val="24"/>
        </w:rPr>
        <w:t>岁年龄段的人年收入的</w:t>
      </w:r>
      <w:r>
        <w:rPr>
          <w:rFonts w:hint="eastAsia"/>
          <w:szCs w:val="24"/>
        </w:rPr>
        <w:t>1.9%</w:t>
      </w:r>
      <w:r>
        <w:rPr>
          <w:rFonts w:hint="eastAsia"/>
          <w:szCs w:val="24"/>
        </w:rPr>
        <w:t>，</w:t>
      </w:r>
      <w:r>
        <w:rPr>
          <w:rFonts w:hint="eastAsia"/>
          <w:szCs w:val="24"/>
        </w:rPr>
        <w:t>64-67</w:t>
      </w:r>
      <w:r>
        <w:rPr>
          <w:rFonts w:hint="eastAsia"/>
          <w:szCs w:val="24"/>
        </w:rPr>
        <w:t>岁年龄段的人年收入的</w:t>
      </w:r>
      <w:r>
        <w:rPr>
          <w:rFonts w:hint="eastAsia"/>
          <w:szCs w:val="24"/>
        </w:rPr>
        <w:t>4.5%</w:t>
      </w:r>
      <w:r>
        <w:rPr>
          <w:rFonts w:hint="eastAsia"/>
          <w:szCs w:val="24"/>
        </w:rPr>
        <w:t>。养老金从</w:t>
      </w:r>
      <w:r>
        <w:rPr>
          <w:rFonts w:hint="eastAsia"/>
          <w:szCs w:val="24"/>
        </w:rPr>
        <w:t>2005</w:t>
      </w:r>
      <w:r>
        <w:rPr>
          <w:rFonts w:hint="eastAsia"/>
          <w:szCs w:val="24"/>
        </w:rPr>
        <w:t>年初开始，开始累积，其中包括雇员领取与收入挂钩的日失业津贴的阶段，也包括没有工资，以</w:t>
      </w:r>
      <w:r>
        <w:rPr>
          <w:szCs w:val="24"/>
        </w:rPr>
        <w:t>生育津贴</w:t>
      </w:r>
      <w:r>
        <w:rPr>
          <w:rFonts w:hint="eastAsia"/>
          <w:szCs w:val="24"/>
        </w:rPr>
        <w:t>、</w:t>
      </w:r>
      <w:r>
        <w:rPr>
          <w:szCs w:val="24"/>
        </w:rPr>
        <w:t>特别津贴</w:t>
      </w:r>
      <w:r>
        <w:rPr>
          <w:rFonts w:hint="eastAsia"/>
          <w:szCs w:val="24"/>
        </w:rPr>
        <w:t>、陪</w:t>
      </w:r>
      <w:r>
        <w:rPr>
          <w:szCs w:val="24"/>
        </w:rPr>
        <w:t>产假</w:t>
      </w:r>
      <w:r>
        <w:rPr>
          <w:rFonts w:hint="eastAsia"/>
          <w:szCs w:val="24"/>
        </w:rPr>
        <w:t>或育儿津贴为基础来计算收入的阶段。</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2005</w:t>
      </w:r>
      <w:r>
        <w:rPr>
          <w:rFonts w:hint="eastAsia"/>
          <w:szCs w:val="24"/>
        </w:rPr>
        <w:t>年与收入挂钩的养老金改革使人们按照与收入挂钩的养老金法令凭老年养老金在</w:t>
      </w:r>
      <w:r>
        <w:rPr>
          <w:rFonts w:hint="eastAsia"/>
          <w:szCs w:val="24"/>
        </w:rPr>
        <w:t>62-67</w:t>
      </w:r>
      <w:r>
        <w:rPr>
          <w:rFonts w:hint="eastAsia"/>
          <w:szCs w:val="24"/>
        </w:rPr>
        <w:t>岁灵活退休。想工作的人可以继续工作，即使他过了</w:t>
      </w:r>
      <w:r>
        <w:rPr>
          <w:rFonts w:hint="eastAsia"/>
          <w:szCs w:val="24"/>
        </w:rPr>
        <w:t>68</w:t>
      </w:r>
      <w:r>
        <w:rPr>
          <w:rFonts w:hint="eastAsia"/>
          <w:szCs w:val="24"/>
        </w:rPr>
        <w:t>岁仍没有退休。在这种情况下，当退休时，延长退休的增加补贴就会加入养老金中。预期寿命系数用作减少退休金总量的新系数。从</w:t>
      </w:r>
      <w:r>
        <w:rPr>
          <w:rFonts w:hint="eastAsia"/>
          <w:szCs w:val="24"/>
        </w:rPr>
        <w:t>2010</w:t>
      </w:r>
      <w:r>
        <w:rPr>
          <w:rFonts w:hint="eastAsia"/>
          <w:szCs w:val="24"/>
        </w:rPr>
        <w:t>年初将使用预期寿命系数，依据每一年龄组的预期寿命计算，到</w:t>
      </w:r>
      <w:r>
        <w:rPr>
          <w:rFonts w:hint="eastAsia"/>
          <w:szCs w:val="24"/>
        </w:rPr>
        <w:t>62</w:t>
      </w:r>
      <w:r>
        <w:rPr>
          <w:rFonts w:hint="eastAsia"/>
          <w:szCs w:val="24"/>
        </w:rPr>
        <w:t>岁为止的工作年限。不管男女的预计寿命有何差别，每一年龄组的系数都相同。在改革中，与收入挂钩的就业养老金和国民养老金制度都终止了失业养老金，因此，</w:t>
      </w:r>
      <w:r>
        <w:rPr>
          <w:rFonts w:hint="eastAsia"/>
          <w:szCs w:val="24"/>
        </w:rPr>
        <w:t>1950</w:t>
      </w:r>
      <w:r>
        <w:rPr>
          <w:rFonts w:hint="eastAsia"/>
          <w:szCs w:val="24"/>
        </w:rPr>
        <w:t>年或之后出生的人没有资格领取失业养老金，</w:t>
      </w:r>
      <w:r>
        <w:rPr>
          <w:rFonts w:hint="eastAsia"/>
          <w:szCs w:val="24"/>
        </w:rPr>
        <w:t>1950</w:t>
      </w:r>
      <w:r>
        <w:rPr>
          <w:rFonts w:hint="eastAsia"/>
          <w:szCs w:val="24"/>
        </w:rPr>
        <w:t>年之前出生的人也没有资格在</w:t>
      </w:r>
      <w:r>
        <w:rPr>
          <w:rFonts w:hint="eastAsia"/>
          <w:szCs w:val="24"/>
        </w:rPr>
        <w:t>2011</w:t>
      </w:r>
      <w:r>
        <w:rPr>
          <w:rFonts w:hint="eastAsia"/>
          <w:szCs w:val="24"/>
        </w:rPr>
        <w:t>年后领取失业养老金。虽然没有得到失业养老金，但长期失业者的收入将来由失业保险制度来保证。</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就性别而言，法定养老金制度是不偏不倚的。在与收入挂钩的养老金制度中，性别差别主要因妇女工资低于男性造成的。妇女工作生涯越短，妇女的工作投入就越小。照顾幼小的子女仍使妇女而非男子离开工作。但是，</w:t>
      </w:r>
      <w:r>
        <w:rPr>
          <w:rFonts w:hint="eastAsia"/>
          <w:szCs w:val="24"/>
        </w:rPr>
        <w:t>2005</w:t>
      </w:r>
      <w:r>
        <w:rPr>
          <w:rFonts w:hint="eastAsia"/>
          <w:szCs w:val="24"/>
        </w:rPr>
        <w:t>年与收入挂钩的养老金改革注定会增加妇女所享有的养老金数额。与收入挂钩的有比例的累计率注定会使那些因为学习或不得不照顾子女而不能追求事业的人受益。如果一个人在</w:t>
      </w:r>
      <w:r>
        <w:rPr>
          <w:rFonts w:hint="eastAsia"/>
          <w:szCs w:val="24"/>
        </w:rPr>
        <w:t>62</w:t>
      </w:r>
      <w:r>
        <w:rPr>
          <w:rFonts w:hint="eastAsia"/>
          <w:szCs w:val="24"/>
        </w:rPr>
        <w:t>岁后仍然工作的话，这一不足是可替代的。</w:t>
      </w:r>
    </w:p>
    <w:p w:rsidR="001C7848" w:rsidRDefault="001C7848">
      <w:pPr>
        <w:spacing w:after="240" w:line="360" w:lineRule="exact"/>
        <w:ind w:right="-69"/>
        <w:rPr>
          <w:rFonts w:hint="eastAsia"/>
          <w:szCs w:val="24"/>
          <w:u w:val="single"/>
          <w:lang w:val="fi-FI"/>
        </w:rPr>
      </w:pPr>
      <w:r>
        <w:rPr>
          <w:rFonts w:hint="eastAsia"/>
          <w:szCs w:val="24"/>
          <w:u w:val="single"/>
        </w:rPr>
        <w:t>遗属养老金</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如果配偶死亡</w:t>
      </w:r>
      <w:r>
        <w:rPr>
          <w:rFonts w:hint="eastAsia"/>
          <w:szCs w:val="24"/>
          <w:lang w:val="fi-FI"/>
        </w:rPr>
        <w:t>，另一方</w:t>
      </w:r>
      <w:r>
        <w:rPr>
          <w:rFonts w:hint="eastAsia"/>
          <w:szCs w:val="24"/>
        </w:rPr>
        <w:t>有可根据一定条件从与收入挂钩的养老金或国家养老金制度中领取遗属养老金。</w:t>
      </w:r>
      <w:r>
        <w:rPr>
          <w:rFonts w:hint="eastAsia"/>
          <w:szCs w:val="24"/>
          <w:lang w:val="fi-FI"/>
        </w:rPr>
        <w:t>遗属养老金包括子女和遗属养老金。领取</w:t>
      </w:r>
      <w:r>
        <w:rPr>
          <w:rFonts w:hint="eastAsia"/>
          <w:szCs w:val="24"/>
        </w:rPr>
        <w:t>遗属养老金的资格和数量</w:t>
      </w:r>
      <w:r>
        <w:rPr>
          <w:rFonts w:hint="eastAsia"/>
          <w:szCs w:val="24"/>
          <w:lang w:val="fi-FI"/>
        </w:rPr>
        <w:t>由同一原则决定，不分性别。但是，由于妇女的职业生涯较短，工资水平较低，妇女实际上比男子更多地受益于遗属养老金。</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2005</w:t>
      </w:r>
      <w:r>
        <w:rPr>
          <w:rFonts w:hint="eastAsia"/>
          <w:szCs w:val="24"/>
        </w:rPr>
        <w:t>年年底，芬兰有</w:t>
      </w:r>
      <w:r>
        <w:rPr>
          <w:szCs w:val="24"/>
        </w:rPr>
        <w:t>1 298 524</w:t>
      </w:r>
      <w:r>
        <w:rPr>
          <w:rFonts w:hint="eastAsia"/>
          <w:szCs w:val="24"/>
        </w:rPr>
        <w:t>名领养老金者，其中</w:t>
      </w:r>
      <w:r>
        <w:rPr>
          <w:szCs w:val="24"/>
        </w:rPr>
        <w:t xml:space="preserve">737 889 </w:t>
      </w:r>
      <w:r>
        <w:rPr>
          <w:rFonts w:hint="eastAsia"/>
          <w:szCs w:val="24"/>
        </w:rPr>
        <w:t>名是妇女，</w:t>
      </w:r>
      <w:r>
        <w:rPr>
          <w:szCs w:val="24"/>
        </w:rPr>
        <w:t>560 635</w:t>
      </w:r>
      <w:r>
        <w:rPr>
          <w:rFonts w:hint="eastAsia"/>
          <w:szCs w:val="24"/>
        </w:rPr>
        <w:t>名是男子。妇女凭自己的能力（与收入挂钩）每月所挣的平均养老金为</w:t>
      </w:r>
      <w:r>
        <w:rPr>
          <w:rFonts w:hint="eastAsia"/>
          <w:szCs w:val="24"/>
        </w:rPr>
        <w:t>933</w:t>
      </w:r>
      <w:r>
        <w:rPr>
          <w:rFonts w:hint="eastAsia"/>
          <w:szCs w:val="24"/>
        </w:rPr>
        <w:t>欧元，其养老金总数（凭自己和配偶所挣）是</w:t>
      </w:r>
      <w:r>
        <w:rPr>
          <w:rFonts w:hint="eastAsia"/>
          <w:szCs w:val="24"/>
        </w:rPr>
        <w:t>1 067</w:t>
      </w:r>
      <w:r>
        <w:rPr>
          <w:rFonts w:hint="eastAsia"/>
          <w:szCs w:val="24"/>
        </w:rPr>
        <w:t>欧元。男子相应的平均养老金分别是每月</w:t>
      </w:r>
      <w:r>
        <w:rPr>
          <w:szCs w:val="24"/>
        </w:rPr>
        <w:t xml:space="preserve">1 359 </w:t>
      </w:r>
      <w:r>
        <w:rPr>
          <w:rFonts w:hint="eastAsia"/>
          <w:szCs w:val="24"/>
        </w:rPr>
        <w:t>和</w:t>
      </w:r>
      <w:r>
        <w:rPr>
          <w:szCs w:val="24"/>
        </w:rPr>
        <w:t>1 368</w:t>
      </w:r>
      <w:r>
        <w:rPr>
          <w:rFonts w:hint="eastAsia"/>
          <w:szCs w:val="24"/>
        </w:rPr>
        <w:t>欧元。在</w:t>
      </w:r>
      <w:r>
        <w:rPr>
          <w:szCs w:val="24"/>
        </w:rPr>
        <w:t>1992-2005</w:t>
      </w:r>
      <w:r>
        <w:rPr>
          <w:rFonts w:hint="eastAsia"/>
          <w:szCs w:val="24"/>
        </w:rPr>
        <w:t>年，男女养老金总数之间的差距缩小了</w:t>
      </w:r>
      <w:r>
        <w:rPr>
          <w:rFonts w:hint="eastAsia"/>
          <w:szCs w:val="24"/>
        </w:rPr>
        <w:t>4%</w:t>
      </w:r>
      <w:r>
        <w:rPr>
          <w:rFonts w:hint="eastAsia"/>
          <w:szCs w:val="24"/>
        </w:rPr>
        <w:t>，</w:t>
      </w:r>
      <w:r>
        <w:rPr>
          <w:rFonts w:hint="eastAsia"/>
          <w:szCs w:val="24"/>
        </w:rPr>
        <w:t>2005</w:t>
      </w:r>
      <w:r>
        <w:rPr>
          <w:rFonts w:hint="eastAsia"/>
          <w:szCs w:val="24"/>
        </w:rPr>
        <w:t>年妇女的养老金总数是男子的</w:t>
      </w:r>
      <w:r>
        <w:rPr>
          <w:rFonts w:hint="eastAsia"/>
          <w:szCs w:val="24"/>
        </w:rPr>
        <w:t>78%</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2005</w:t>
      </w:r>
      <w:r>
        <w:rPr>
          <w:rFonts w:hint="eastAsia"/>
          <w:szCs w:val="24"/>
        </w:rPr>
        <w:t>年年底，</w:t>
      </w:r>
      <w:r>
        <w:rPr>
          <w:szCs w:val="24"/>
        </w:rPr>
        <w:t>258 368</w:t>
      </w:r>
      <w:r>
        <w:rPr>
          <w:rFonts w:hint="eastAsia"/>
          <w:szCs w:val="24"/>
        </w:rPr>
        <w:t>人领取了遗属养老金，其中</w:t>
      </w:r>
      <w:r>
        <w:rPr>
          <w:szCs w:val="24"/>
        </w:rPr>
        <w:t>225 388</w:t>
      </w:r>
      <w:r>
        <w:rPr>
          <w:rFonts w:hint="eastAsia"/>
          <w:szCs w:val="24"/>
        </w:rPr>
        <w:t>人是妇女，</w:t>
      </w:r>
      <w:r>
        <w:rPr>
          <w:szCs w:val="24"/>
        </w:rPr>
        <w:t>32 980</w:t>
      </w:r>
      <w:r>
        <w:rPr>
          <w:rFonts w:hint="eastAsia"/>
          <w:szCs w:val="24"/>
        </w:rPr>
        <w:t>人是男子。妇女领取的平均遗属养老金每月为</w:t>
      </w:r>
      <w:r>
        <w:rPr>
          <w:rFonts w:hint="eastAsia"/>
          <w:szCs w:val="24"/>
        </w:rPr>
        <w:t>489</w:t>
      </w:r>
      <w:r>
        <w:rPr>
          <w:rFonts w:hint="eastAsia"/>
          <w:szCs w:val="24"/>
        </w:rPr>
        <w:t>欧元，男子是</w:t>
      </w:r>
      <w:r>
        <w:rPr>
          <w:rFonts w:hint="eastAsia"/>
          <w:szCs w:val="24"/>
        </w:rPr>
        <w:t>179</w:t>
      </w:r>
      <w:r>
        <w:rPr>
          <w:rFonts w:hint="eastAsia"/>
          <w:szCs w:val="24"/>
        </w:rPr>
        <w:t>欧元。这些数字受到以下情况的影响：即根据法律，男子在领取遗属养老金方面比妇女处于较不利地位，直到</w:t>
      </w:r>
      <w:r>
        <w:rPr>
          <w:rFonts w:hint="eastAsia"/>
          <w:szCs w:val="24"/>
        </w:rPr>
        <w:t>1994</w:t>
      </w:r>
      <w:r>
        <w:rPr>
          <w:rFonts w:hint="eastAsia"/>
          <w:szCs w:val="24"/>
        </w:rPr>
        <w:t>年制定了在所有方面养老金性别中立的立法。</w:t>
      </w:r>
      <w:r>
        <w:rPr>
          <w:rFonts w:hint="eastAsia"/>
          <w:szCs w:val="24"/>
        </w:rPr>
        <w:t>2005</w:t>
      </w:r>
      <w:r>
        <w:rPr>
          <w:rFonts w:hint="eastAsia"/>
          <w:szCs w:val="24"/>
        </w:rPr>
        <w:t>年年底，在领取遗属养老金的人中，妇女领取遗属养老金和个人养老金（与收入挂钩）的平均总量是每月</w:t>
      </w:r>
      <w:r>
        <w:rPr>
          <w:szCs w:val="24"/>
        </w:rPr>
        <w:t xml:space="preserve">1 182 </w:t>
      </w:r>
      <w:r>
        <w:rPr>
          <w:rFonts w:hint="eastAsia"/>
          <w:szCs w:val="24"/>
        </w:rPr>
        <w:t>欧元，男子的相应数字是每月</w:t>
      </w:r>
      <w:r>
        <w:rPr>
          <w:szCs w:val="24"/>
        </w:rPr>
        <w:t>1 385</w:t>
      </w:r>
      <w:r>
        <w:rPr>
          <w:rFonts w:hint="eastAsia"/>
          <w:szCs w:val="24"/>
        </w:rPr>
        <w:t>欧元。</w:t>
      </w:r>
    </w:p>
    <w:p w:rsidR="001C7848" w:rsidRDefault="001C7848">
      <w:pPr>
        <w:pStyle w:val="H2"/>
        <w:rPr>
          <w:rFonts w:hint="eastAsia"/>
          <w:u w:val="single"/>
        </w:rPr>
      </w:pPr>
      <w:bookmarkStart w:id="127" w:name="_Toc181766707"/>
      <w:bookmarkStart w:id="128" w:name="_Toc188785303"/>
      <w:r>
        <w:t>3.3.</w:t>
      </w:r>
      <w:bookmarkEnd w:id="127"/>
      <w:r>
        <w:rPr>
          <w:rFonts w:hint="eastAsia"/>
        </w:rPr>
        <w:t xml:space="preserve">  </w:t>
      </w:r>
      <w:r>
        <w:rPr>
          <w:rFonts w:hint="eastAsia"/>
          <w:u w:val="single"/>
        </w:rPr>
        <w:t>残疾人</w:t>
      </w:r>
      <w:bookmarkEnd w:id="128"/>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w:t>
      </w:r>
      <w:r>
        <w:rPr>
          <w:rFonts w:hint="eastAsia"/>
          <w:szCs w:val="24"/>
          <w:lang w:val="fi-FI"/>
        </w:rPr>
        <w:t>2006</w:t>
      </w:r>
      <w:r>
        <w:rPr>
          <w:rFonts w:hint="eastAsia"/>
          <w:szCs w:val="24"/>
        </w:rPr>
        <w:t>年编写的报告中，</w:t>
      </w:r>
      <w:r>
        <w:rPr>
          <w:rStyle w:val="FootnoteReference"/>
          <w:szCs w:val="24"/>
          <w:lang w:val="fi-FI"/>
        </w:rPr>
        <w:footnoteReference w:id="25"/>
      </w:r>
      <w:r>
        <w:rPr>
          <w:rFonts w:hint="eastAsia"/>
          <w:szCs w:val="24"/>
        </w:rPr>
        <w:t>人们发现在申请残疾援助遭拒绝的情况中存在基于性别的差别。女性申请比男性遭拒绝的时候多。</w:t>
      </w:r>
      <w:r>
        <w:rPr>
          <w:rFonts w:hint="eastAsia"/>
          <w:szCs w:val="24"/>
          <w:lang w:val="fi-FI"/>
        </w:rPr>
        <w:t>在</w:t>
      </w:r>
      <w:r>
        <w:rPr>
          <w:rFonts w:hint="eastAsia"/>
          <w:szCs w:val="24"/>
          <w:lang w:val="fi-FI"/>
        </w:rPr>
        <w:t>55</w:t>
      </w:r>
      <w:r>
        <w:rPr>
          <w:rFonts w:hint="eastAsia"/>
          <w:szCs w:val="24"/>
          <w:lang w:val="fi-FI"/>
        </w:rPr>
        <w:t>岁以上男女的申请中差别最大。</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此外，由社会保险机构</w:t>
      </w:r>
      <w:r>
        <w:rPr>
          <w:rFonts w:hint="eastAsia"/>
          <w:szCs w:val="24"/>
        </w:rPr>
        <w:t>Kela</w:t>
      </w:r>
      <w:r>
        <w:rPr>
          <w:rFonts w:hint="eastAsia"/>
          <w:szCs w:val="24"/>
        </w:rPr>
        <w:t>汇编的关于康复服务的统计数据显示，妇女的康复服务申请比男性遭拒绝的时候多：</w:t>
      </w:r>
    </w:p>
    <w:p w:rsidR="001C7848" w:rsidRDefault="001C7848">
      <w:pPr>
        <w:tabs>
          <w:tab w:val="left" w:pos="1800"/>
          <w:tab w:val="left" w:pos="3720"/>
        </w:tabs>
        <w:spacing w:after="240" w:line="360" w:lineRule="exact"/>
        <w:ind w:right="-69"/>
        <w:rPr>
          <w:rFonts w:hint="eastAsia"/>
          <w:szCs w:val="24"/>
        </w:rPr>
      </w:pPr>
      <w:r>
        <w:rPr>
          <w:rFonts w:hint="eastAsia"/>
          <w:szCs w:val="24"/>
        </w:rPr>
        <w:tab/>
      </w:r>
      <w:r>
        <w:rPr>
          <w:szCs w:val="24"/>
        </w:rPr>
        <w:t>2004</w:t>
      </w:r>
      <w:r>
        <w:rPr>
          <w:rFonts w:hint="eastAsia"/>
          <w:szCs w:val="24"/>
        </w:rPr>
        <w:t>年</w:t>
      </w:r>
      <w:r>
        <w:rPr>
          <w:rFonts w:hint="eastAsia"/>
          <w:szCs w:val="24"/>
        </w:rPr>
        <w:tab/>
      </w:r>
      <w:r>
        <w:rPr>
          <w:szCs w:val="24"/>
        </w:rPr>
        <w:t>2005</w:t>
      </w:r>
      <w:r>
        <w:rPr>
          <w:rFonts w:hint="eastAsia"/>
          <w:szCs w:val="24"/>
        </w:rPr>
        <w:t>年</w:t>
      </w:r>
    </w:p>
    <w:p w:rsidR="001C7848" w:rsidRDefault="001C7848">
      <w:pPr>
        <w:tabs>
          <w:tab w:val="left" w:pos="1800"/>
          <w:tab w:val="left" w:pos="3720"/>
        </w:tabs>
        <w:spacing w:after="240" w:line="360" w:lineRule="exact"/>
        <w:ind w:right="-69"/>
        <w:rPr>
          <w:szCs w:val="24"/>
        </w:rPr>
      </w:pPr>
      <w:r>
        <w:rPr>
          <w:rFonts w:hint="eastAsia"/>
          <w:szCs w:val="24"/>
        </w:rPr>
        <w:t>女性</w:t>
      </w:r>
      <w:r>
        <w:rPr>
          <w:szCs w:val="24"/>
        </w:rPr>
        <w:tab/>
        <w:t>16</w:t>
      </w:r>
      <w:r>
        <w:rPr>
          <w:rFonts w:hint="eastAsia"/>
          <w:szCs w:val="24"/>
        </w:rPr>
        <w:t>.</w:t>
      </w:r>
      <w:r>
        <w:rPr>
          <w:szCs w:val="24"/>
        </w:rPr>
        <w:t>7%</w:t>
      </w:r>
      <w:r>
        <w:rPr>
          <w:szCs w:val="24"/>
        </w:rPr>
        <w:tab/>
      </w:r>
      <w:r>
        <w:rPr>
          <w:szCs w:val="24"/>
        </w:rPr>
        <w:tab/>
      </w:r>
      <w:r>
        <w:rPr>
          <w:szCs w:val="24"/>
        </w:rPr>
        <w:tab/>
        <w:t>17</w:t>
      </w:r>
      <w:r>
        <w:rPr>
          <w:rFonts w:hint="eastAsia"/>
          <w:szCs w:val="24"/>
        </w:rPr>
        <w:t>.</w:t>
      </w:r>
      <w:r>
        <w:rPr>
          <w:szCs w:val="24"/>
        </w:rPr>
        <w:t>7%</w:t>
      </w:r>
    </w:p>
    <w:p w:rsidR="001C7848" w:rsidRDefault="001C7848">
      <w:pPr>
        <w:tabs>
          <w:tab w:val="left" w:pos="1800"/>
          <w:tab w:val="left" w:pos="3720"/>
        </w:tabs>
        <w:spacing w:after="240" w:line="360" w:lineRule="exact"/>
        <w:ind w:right="-69"/>
        <w:rPr>
          <w:rFonts w:hint="eastAsia"/>
          <w:szCs w:val="24"/>
        </w:rPr>
      </w:pPr>
      <w:r>
        <w:rPr>
          <w:rFonts w:hint="eastAsia"/>
          <w:szCs w:val="24"/>
        </w:rPr>
        <w:t>男性</w:t>
      </w:r>
      <w:r>
        <w:rPr>
          <w:szCs w:val="24"/>
        </w:rPr>
        <w:tab/>
        <w:t>14</w:t>
      </w:r>
      <w:r>
        <w:rPr>
          <w:rFonts w:hint="eastAsia"/>
          <w:szCs w:val="24"/>
        </w:rPr>
        <w:t>.</w:t>
      </w:r>
      <w:r>
        <w:rPr>
          <w:szCs w:val="24"/>
        </w:rPr>
        <w:t>4%</w:t>
      </w:r>
      <w:r>
        <w:rPr>
          <w:szCs w:val="24"/>
        </w:rPr>
        <w:tab/>
        <w:t>16</w:t>
      </w:r>
      <w:r>
        <w:rPr>
          <w:rFonts w:hint="eastAsia"/>
          <w:szCs w:val="24"/>
        </w:rPr>
        <w:t>.</w:t>
      </w:r>
      <w:r>
        <w:rPr>
          <w:szCs w:val="24"/>
        </w:rPr>
        <w:t>5</w:t>
      </w:r>
      <w:bookmarkStart w:id="129" w:name="_Toc181766708"/>
      <w:r>
        <w:rPr>
          <w:rFonts w:hint="eastAsia"/>
          <w:szCs w:val="24"/>
        </w:rPr>
        <w:t>%</w:t>
      </w:r>
    </w:p>
    <w:p w:rsidR="001C7848" w:rsidRDefault="001C7848">
      <w:pPr>
        <w:pStyle w:val="H2"/>
        <w:rPr>
          <w:rFonts w:hint="eastAsia"/>
          <w:u w:val="single"/>
        </w:rPr>
      </w:pPr>
      <w:bookmarkStart w:id="130" w:name="_Toc188785304"/>
      <w:r>
        <w:t>3.4.</w:t>
      </w:r>
      <w:r>
        <w:rPr>
          <w:rFonts w:hint="eastAsia"/>
        </w:rPr>
        <w:t xml:space="preserve">  </w:t>
      </w:r>
      <w:r>
        <w:rPr>
          <w:rFonts w:hint="eastAsia"/>
          <w:u w:val="single"/>
        </w:rPr>
        <w:t>维护社会安全与发展的性别影响分析方法</w:t>
      </w:r>
      <w:bookmarkEnd w:id="129"/>
      <w:bookmarkEnd w:id="130"/>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在基于以前定期报告的结论中，消除对妇女歧视委员会对</w:t>
      </w:r>
      <w:r>
        <w:rPr>
          <w:szCs w:val="24"/>
        </w:rPr>
        <w:t>权力下放政策可能</w:t>
      </w:r>
      <w:r>
        <w:rPr>
          <w:rFonts w:hint="eastAsia"/>
          <w:szCs w:val="24"/>
        </w:rPr>
        <w:t>对女性有比男性</w:t>
      </w:r>
      <w:r>
        <w:rPr>
          <w:szCs w:val="24"/>
        </w:rPr>
        <w:t>更多的负面影响</w:t>
      </w:r>
      <w:r>
        <w:rPr>
          <w:rFonts w:hint="eastAsia"/>
          <w:szCs w:val="24"/>
        </w:rPr>
        <w:t>表示关注。委员会建议芬兰政府采取性别影响分析方法，并在社会服务权力下放的过程中提供对性别问题有敏感认识的培训。委员会还建议芬兰政府加强中央当局和市政当局之间的联系，以使国家管理方案的好处不会因权力分散而丧失。</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性别影响评估的实施和拟订关于市政结构和服务组织改革的框架法令有关（</w:t>
      </w:r>
      <w:r>
        <w:rPr>
          <w:szCs w:val="24"/>
        </w:rPr>
        <w:t>HE 155/2006 vp</w:t>
      </w:r>
      <w:r>
        <w:rPr>
          <w:rFonts w:hint="eastAsia"/>
          <w:szCs w:val="24"/>
        </w:rPr>
        <w:t>）。评估指出，就市政结构和市政服务组织改革来说，变化对男女产生的最终影响应当从几个不同方面加以考虑。对市政部门的人员来说，这最终将对其就业、事业和经济状况产生影响。改革会使整个人口享受到各种服务，但对男女的影响有所不同。改革还对公民参与的角度产生影响。</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除了评估改革的影响，还有理由从性别观点审查改革进程。在改革进行阶段，应确保将性别影响和平等问题列入审查范围，这一点尤为重要。</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市政当局和服务组织改革的主要目标是，确保将来在人口年龄结构的重要变化使目前的抚养率明显降低、而且从城市经济和雇员可用性角度来看服务组织会面临更多困难时，市政当局负责的基础服务能发挥更大作用。保证基础服务的水平是首要目标，不管是从事服务部门工作的人、那些使用服务的人来看，还是从市政当局决策角度来看都是如此。作为出发点，两性平等被列入芬兰未来改革的基本目标。</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评估强调了在改革下一阶段准备工作中评价性别影响的重要性。从改革实施的角度看，在框架法令通过后，在地区决策时考虑到性别观点尤其重要。在各地区的准备工作中，必须从上述三个角度考虑性别影响，更深入地审查特定地区提交的意见。更进一步准备的目的之一是提出一种尽可能切实的方法，让市政当局和地区评估改革执行阶段的性别影响。此外，还必须考虑有足够的男女参加改革的执行过程。必须特别注意遵守所谓的《平等法》的配额规定。评估还强调在改革的执行过程中，确保在国家一级也考虑到性别观点。例如，必须在不同行政部门的立法工作中考虑到这一点。还必须注意性别影响的监督。</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市政部门是妇女的主要雇主。在芬兰，三分之一的受雇妇女在市政部门工作，市政当局中</w:t>
      </w:r>
      <w:r>
        <w:rPr>
          <w:rFonts w:hint="eastAsia"/>
          <w:szCs w:val="24"/>
        </w:rPr>
        <w:t>80%</w:t>
      </w:r>
      <w:r>
        <w:rPr>
          <w:rFonts w:hint="eastAsia"/>
          <w:szCs w:val="24"/>
        </w:rPr>
        <w:t>的职员是妇女。护理工作发展为职业化，这使妇女有可能全职工作并有了带薪职业，使她们能够在经济上独立，这对芬兰妇女很重要，因为她们已经能够达到和男子平等的地位。</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就使用市政服务来说男女之间存在差别。妇女和男子的寿命、其生命概况不同，男女在与家务有关的服务中的作用也在某些程度上不同。发展市政服务为妇女提供了工作，其服务（如儿童日托服务）使其他妇女有可能上班。受益于市政服务（如日托服务）更容易协调好工作和家庭的关系。</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政府已编写了“性别影响评估指南”以实施各领域的改革，还撰写了“性别影响评估手册”，介绍各种背景，讨论各种观念，并从性别观点举出对市政部门重要的实例。</w:t>
      </w:r>
    </w:p>
    <w:p w:rsidR="001C7848" w:rsidRDefault="001C7848">
      <w:pPr>
        <w:pStyle w:val="HCh"/>
        <w:jc w:val="both"/>
        <w:rPr>
          <w:rFonts w:hint="eastAsia"/>
        </w:rPr>
      </w:pPr>
      <w:bookmarkStart w:id="131" w:name="_Toc188785305"/>
      <w:r>
        <w:rPr>
          <w:rFonts w:hint="eastAsia"/>
        </w:rPr>
        <w:t>第12条</w:t>
      </w:r>
      <w:bookmarkEnd w:id="131"/>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1. </w:t>
      </w:r>
      <w:r>
        <w:rPr>
          <w:rFonts w:eastAsia="KaiTi_GB2312" w:hint="eastAsia"/>
          <w:iCs/>
          <w:color w:val="0000FF"/>
          <w:szCs w:val="30"/>
        </w:rPr>
        <w:t>缔约各国应采取一切适当措施以消除在保健方面对妇女的歧视，保证她们在男女平等的基础上取得各种包括有关计划生育的保健服务。</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2. </w:t>
      </w:r>
      <w:r>
        <w:rPr>
          <w:rFonts w:eastAsia="KaiTi_GB2312" w:hint="eastAsia"/>
          <w:iCs/>
          <w:color w:val="0000FF"/>
          <w:szCs w:val="30"/>
        </w:rPr>
        <w:t>尽管有本条第</w:t>
      </w:r>
      <w:r>
        <w:rPr>
          <w:rFonts w:eastAsia="KaiTi_GB2312" w:hint="eastAsia"/>
          <w:iCs/>
          <w:color w:val="0000FF"/>
          <w:szCs w:val="30"/>
        </w:rPr>
        <w:t>1</w:t>
      </w:r>
      <w:r>
        <w:rPr>
          <w:rFonts w:eastAsia="KaiTi_GB2312" w:hint="eastAsia"/>
          <w:iCs/>
          <w:color w:val="0000FF"/>
          <w:szCs w:val="30"/>
        </w:rPr>
        <w:t>款的规定，缔约各国应保证为妇女提供有关怀孕、分娩和产后期间的适当服务，必要时予以免费，并保证在怀孕和哺乳期间得到充分营养。</w:t>
      </w:r>
    </w:p>
    <w:p w:rsidR="001C7848" w:rsidRDefault="001C7848">
      <w:pPr>
        <w:pStyle w:val="H1"/>
        <w:spacing w:before="120"/>
        <w:jc w:val="both"/>
        <w:rPr>
          <w:rFonts w:hint="eastAsia"/>
        </w:rPr>
      </w:pPr>
      <w:bookmarkStart w:id="132" w:name="_Toc181766710"/>
      <w:bookmarkStart w:id="133" w:name="_Toc188785306"/>
      <w:r>
        <w:t xml:space="preserve">1.  </w:t>
      </w:r>
      <w:bookmarkEnd w:id="132"/>
      <w:r>
        <w:rPr>
          <w:rFonts w:hint="eastAsia"/>
        </w:rPr>
        <w:t>促进健康</w:t>
      </w:r>
      <w:bookmarkEnd w:id="133"/>
    </w:p>
    <w:p w:rsidR="001C7848" w:rsidRDefault="001C7848">
      <w:pPr>
        <w:pStyle w:val="H2"/>
        <w:rPr>
          <w:rFonts w:hint="eastAsia"/>
          <w:u w:val="single"/>
        </w:rPr>
      </w:pPr>
      <w:bookmarkStart w:id="134" w:name="_Toc181766711"/>
      <w:bookmarkStart w:id="135" w:name="_Toc188785307"/>
      <w:r>
        <w:t>1.1.</w:t>
      </w:r>
      <w:bookmarkEnd w:id="134"/>
      <w:r>
        <w:rPr>
          <w:rFonts w:hint="eastAsia"/>
        </w:rPr>
        <w:t xml:space="preserve">  </w:t>
      </w:r>
      <w:r>
        <w:rPr>
          <w:rFonts w:hint="eastAsia"/>
          <w:u w:val="single"/>
        </w:rPr>
        <w:t>概要</w:t>
      </w:r>
      <w:bookmarkEnd w:id="135"/>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新的政府方案</w:t>
      </w:r>
      <w:r>
        <w:rPr>
          <w:rFonts w:hint="eastAsia"/>
          <w:szCs w:val="24"/>
          <w:lang w:val="fi-FI"/>
        </w:rPr>
        <w:t>（</w:t>
      </w:r>
      <w:r>
        <w:rPr>
          <w:rFonts w:hint="eastAsia"/>
          <w:szCs w:val="24"/>
          <w:lang w:val="fi-FI"/>
        </w:rPr>
        <w:t>2007-2011</w:t>
      </w:r>
      <w:r>
        <w:rPr>
          <w:rFonts w:hint="eastAsia"/>
          <w:szCs w:val="24"/>
          <w:lang w:val="fi-FI"/>
        </w:rPr>
        <w:t>年）指出：“</w:t>
      </w:r>
      <w:r>
        <w:rPr>
          <w:rFonts w:hint="eastAsia"/>
          <w:szCs w:val="24"/>
        </w:rPr>
        <w:t>在社会和保健服务以及在减少与男女健康问题有关的差别的工作中</w:t>
      </w:r>
      <w:r>
        <w:rPr>
          <w:rFonts w:hint="eastAsia"/>
          <w:szCs w:val="24"/>
          <w:lang w:val="fi-FI"/>
        </w:rPr>
        <w:t>，重点应放在</w:t>
      </w:r>
      <w:r>
        <w:rPr>
          <w:rFonts w:hint="eastAsia"/>
          <w:szCs w:val="24"/>
        </w:rPr>
        <w:t>性别观点上。”在政策方案中应考虑主流化原则，以促进纳入政府方案的保健问题。在其任期内，政府、伙伴关系和家庭指导将同时得到加强。在社会政策部级委员会的倡议下，</w:t>
      </w:r>
      <w:r>
        <w:rPr>
          <w:rFonts w:hint="eastAsia"/>
          <w:szCs w:val="24"/>
        </w:rPr>
        <w:t>2007</w:t>
      </w:r>
      <w:r>
        <w:rPr>
          <w:rFonts w:hint="eastAsia"/>
          <w:szCs w:val="24"/>
        </w:rPr>
        <w:t>年社会事务部正在拟订减少保健差别的行动方案。主要重点是把性别差异考虑在内，减少与保健相关的社会经济差别。</w:t>
      </w:r>
    </w:p>
    <w:p w:rsidR="001C7848" w:rsidRDefault="001C7848">
      <w:pPr>
        <w:pStyle w:val="H2"/>
        <w:rPr>
          <w:rFonts w:hint="eastAsia"/>
          <w:u w:val="single"/>
        </w:rPr>
      </w:pPr>
      <w:bookmarkStart w:id="136" w:name="_Toc181766712"/>
      <w:bookmarkStart w:id="137" w:name="_Toc188785308"/>
      <w:r>
        <w:t xml:space="preserve">1.2.  </w:t>
      </w:r>
      <w:bookmarkEnd w:id="136"/>
      <w:r>
        <w:rPr>
          <w:rFonts w:hint="eastAsia"/>
          <w:u w:val="single"/>
        </w:rPr>
        <w:t>特别是女孩的吸烟问题</w:t>
      </w:r>
      <w:bookmarkEnd w:id="137"/>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在基于以前定期报告的结论中</w:t>
      </w:r>
      <w:r>
        <w:rPr>
          <w:rFonts w:hint="eastAsia"/>
          <w:szCs w:val="24"/>
          <w:lang w:val="fi-FI"/>
        </w:rPr>
        <w:t>，</w:t>
      </w:r>
      <w:r>
        <w:rPr>
          <w:rFonts w:hint="eastAsia"/>
          <w:szCs w:val="24"/>
        </w:rPr>
        <w:t>消除对妇女歧视委员会对青少年</w:t>
      </w:r>
      <w:r>
        <w:rPr>
          <w:rFonts w:hint="eastAsia"/>
          <w:szCs w:val="24"/>
          <w:lang w:val="fi-FI"/>
        </w:rPr>
        <w:t>特别是女孩吸烟和吸毒的增多</w:t>
      </w:r>
      <w:r>
        <w:rPr>
          <w:rFonts w:hint="eastAsia"/>
          <w:szCs w:val="24"/>
        </w:rPr>
        <w:t>表示关注。</w:t>
      </w:r>
    </w:p>
    <w:p w:rsidR="001C7848" w:rsidRDefault="001C7848" w:rsidP="001C7848">
      <w:pPr>
        <w:numPr>
          <w:ilvl w:val="0"/>
          <w:numId w:val="12"/>
        </w:numPr>
        <w:overflowPunct w:val="0"/>
        <w:autoSpaceDE w:val="0"/>
        <w:autoSpaceDN w:val="0"/>
        <w:spacing w:after="240" w:line="360" w:lineRule="exact"/>
        <w:ind w:left="0" w:right="-69" w:firstLine="0"/>
        <w:rPr>
          <w:szCs w:val="24"/>
          <w:lang w:val="en-GB"/>
        </w:rPr>
      </w:pPr>
      <w:r>
        <w:rPr>
          <w:rFonts w:hint="eastAsia"/>
          <w:szCs w:val="24"/>
          <w:lang w:val="en-GB"/>
        </w:rPr>
        <w:t>从</w:t>
      </w:r>
      <w:r>
        <w:rPr>
          <w:rFonts w:hint="eastAsia"/>
          <w:szCs w:val="24"/>
        </w:rPr>
        <w:t>1977</w:t>
      </w:r>
      <w:r>
        <w:rPr>
          <w:rFonts w:hint="eastAsia"/>
          <w:szCs w:val="24"/>
          <w:lang w:val="en-GB"/>
        </w:rPr>
        <w:t>年以来</w:t>
      </w:r>
      <w:r>
        <w:rPr>
          <w:rFonts w:hint="eastAsia"/>
          <w:szCs w:val="24"/>
        </w:rPr>
        <w:t>，每隔一年通过邮寄发出的全国调查表通过可比方法，对</w:t>
      </w:r>
      <w:r>
        <w:rPr>
          <w:rFonts w:hint="eastAsia"/>
          <w:szCs w:val="24"/>
          <w:lang w:val="en-GB"/>
        </w:rPr>
        <w:t>青少年的健康和生活方式进行研究。</w:t>
      </w:r>
      <w:r>
        <w:rPr>
          <w:rFonts w:hint="eastAsia"/>
          <w:szCs w:val="24"/>
        </w:rPr>
        <w:t>最近的调查是在</w:t>
      </w:r>
      <w:r>
        <w:rPr>
          <w:rFonts w:hint="eastAsia"/>
          <w:szCs w:val="24"/>
        </w:rPr>
        <w:t>2005</w:t>
      </w:r>
      <w:r>
        <w:rPr>
          <w:rFonts w:hint="eastAsia"/>
          <w:szCs w:val="24"/>
        </w:rPr>
        <w:t>年</w:t>
      </w:r>
      <w:r>
        <w:rPr>
          <w:rFonts w:hint="eastAsia"/>
          <w:szCs w:val="24"/>
        </w:rPr>
        <w:t>2</w:t>
      </w:r>
      <w:r>
        <w:rPr>
          <w:rFonts w:hint="eastAsia"/>
          <w:szCs w:val="24"/>
        </w:rPr>
        <w:t>月</w:t>
      </w:r>
      <w:r>
        <w:rPr>
          <w:rFonts w:hint="eastAsia"/>
          <w:szCs w:val="24"/>
        </w:rPr>
        <w:t>-4</w:t>
      </w:r>
      <w:r>
        <w:rPr>
          <w:rFonts w:hint="eastAsia"/>
          <w:szCs w:val="24"/>
        </w:rPr>
        <w:t>月期间进行的。在研究报告中，</w:t>
      </w:r>
      <w:r>
        <w:rPr>
          <w:rStyle w:val="FootnoteReference"/>
          <w:szCs w:val="24"/>
        </w:rPr>
        <w:footnoteReference w:id="26"/>
      </w:r>
      <w:r>
        <w:rPr>
          <w:rFonts w:hint="eastAsia"/>
          <w:szCs w:val="24"/>
        </w:rPr>
        <w:t>研究了</w:t>
      </w:r>
      <w:r>
        <w:rPr>
          <w:rFonts w:hint="eastAsia"/>
          <w:szCs w:val="24"/>
        </w:rPr>
        <w:t>12-18</w:t>
      </w:r>
      <w:r>
        <w:rPr>
          <w:rFonts w:hint="eastAsia"/>
          <w:szCs w:val="24"/>
        </w:rPr>
        <w:t>岁青少年吸烟和喝酒的情况，以及其对与喝酒的态度，他们受香烟及社会受毒品影响的程度，重点放在</w:t>
      </w:r>
      <w:r>
        <w:rPr>
          <w:rFonts w:hint="eastAsia"/>
          <w:szCs w:val="24"/>
        </w:rPr>
        <w:t>2000</w:t>
      </w:r>
      <w:r>
        <w:rPr>
          <w:rFonts w:hint="eastAsia"/>
          <w:szCs w:val="24"/>
        </w:rPr>
        <w:t>年以来的研究。</w:t>
      </w:r>
      <w:r>
        <w:rPr>
          <w:rFonts w:hint="eastAsia"/>
          <w:szCs w:val="24"/>
          <w:lang w:val="en-GB"/>
        </w:rPr>
        <w:t>根据报告，年轻人比以前吸烟少了，他们变得反对吸烟。主要是青少年的吸烟普及程度有了积极的转变。</w:t>
      </w:r>
    </w:p>
    <w:p w:rsidR="001C7848" w:rsidRDefault="001C7848" w:rsidP="001C7848">
      <w:pPr>
        <w:numPr>
          <w:ilvl w:val="0"/>
          <w:numId w:val="12"/>
        </w:numPr>
        <w:overflowPunct w:val="0"/>
        <w:autoSpaceDE w:val="0"/>
        <w:autoSpaceDN w:val="0"/>
        <w:spacing w:after="240" w:line="360" w:lineRule="exact"/>
        <w:ind w:left="0" w:right="-69" w:firstLine="0"/>
        <w:rPr>
          <w:szCs w:val="24"/>
          <w:lang w:val="en-GB"/>
        </w:rPr>
      </w:pPr>
      <w:r>
        <w:rPr>
          <w:rFonts w:hint="eastAsia"/>
          <w:szCs w:val="24"/>
          <w:lang w:val="en-GB"/>
        </w:rPr>
        <w:t>18</w:t>
      </w:r>
      <w:r>
        <w:rPr>
          <w:rFonts w:hint="eastAsia"/>
          <w:szCs w:val="24"/>
          <w:lang w:val="en-GB"/>
        </w:rPr>
        <w:t>岁年轻人的吸烟尝试和经常吸烟主要停留在以前的水平。</w:t>
      </w:r>
      <w:r>
        <w:rPr>
          <w:rFonts w:hint="eastAsia"/>
          <w:szCs w:val="24"/>
          <w:lang w:val="en-GB"/>
        </w:rPr>
        <w:t xml:space="preserve"> 34%</w:t>
      </w:r>
      <w:r>
        <w:rPr>
          <w:rFonts w:hint="eastAsia"/>
          <w:szCs w:val="24"/>
          <w:lang w:val="en-GB"/>
        </w:rPr>
        <w:t>的</w:t>
      </w:r>
      <w:r>
        <w:rPr>
          <w:rFonts w:hint="eastAsia"/>
          <w:szCs w:val="24"/>
          <w:lang w:val="en-GB"/>
        </w:rPr>
        <w:t>18</w:t>
      </w:r>
      <w:r>
        <w:rPr>
          <w:rFonts w:hint="eastAsia"/>
          <w:szCs w:val="24"/>
          <w:lang w:val="en-GB"/>
        </w:rPr>
        <w:t>岁男孩和</w:t>
      </w:r>
      <w:r>
        <w:rPr>
          <w:rFonts w:hint="eastAsia"/>
          <w:szCs w:val="24"/>
          <w:lang w:val="en-GB"/>
        </w:rPr>
        <w:t>33%</w:t>
      </w:r>
      <w:r>
        <w:rPr>
          <w:rFonts w:hint="eastAsia"/>
          <w:szCs w:val="24"/>
          <w:lang w:val="en-GB"/>
        </w:rPr>
        <w:t>的同年龄女孩每天吸烟。女孩吸烟人数的增加始于</w:t>
      </w:r>
      <w:r>
        <w:rPr>
          <w:rFonts w:hint="eastAsia"/>
          <w:szCs w:val="24"/>
          <w:lang w:val="en-GB"/>
        </w:rPr>
        <w:t>1990</w:t>
      </w:r>
      <w:r>
        <w:rPr>
          <w:rFonts w:hint="eastAsia"/>
          <w:szCs w:val="24"/>
          <w:lang w:val="en-GB"/>
        </w:rPr>
        <w:t>年代中期，此后继续下去，最终停止下来。总之，吸烟普及程度方面的性别差别很小：</w:t>
      </w:r>
      <w:r>
        <w:rPr>
          <w:rFonts w:hint="eastAsia"/>
          <w:szCs w:val="24"/>
          <w:lang w:val="en-GB"/>
        </w:rPr>
        <w:t>14-18</w:t>
      </w:r>
      <w:r>
        <w:rPr>
          <w:rFonts w:hint="eastAsia"/>
          <w:szCs w:val="24"/>
          <w:lang w:val="en-GB"/>
        </w:rPr>
        <w:t>岁的青少年中每天吸烟者占</w:t>
      </w:r>
      <w:r>
        <w:rPr>
          <w:rFonts w:hint="eastAsia"/>
          <w:szCs w:val="24"/>
          <w:lang w:val="en-GB"/>
        </w:rPr>
        <w:t>22%</w:t>
      </w:r>
      <w:r>
        <w:rPr>
          <w:rFonts w:hint="eastAsia"/>
          <w:szCs w:val="24"/>
          <w:lang w:val="en-GB"/>
        </w:rPr>
        <w:t>，其中</w:t>
      </w:r>
      <w:r>
        <w:rPr>
          <w:rFonts w:hint="eastAsia"/>
          <w:szCs w:val="24"/>
          <w:lang w:val="en-GB"/>
        </w:rPr>
        <w:t>23%</w:t>
      </w:r>
      <w:r>
        <w:rPr>
          <w:rFonts w:hint="eastAsia"/>
          <w:szCs w:val="24"/>
          <w:lang w:val="en-GB"/>
        </w:rPr>
        <w:t>是女孩，</w:t>
      </w:r>
      <w:r>
        <w:rPr>
          <w:rFonts w:hint="eastAsia"/>
          <w:szCs w:val="24"/>
          <w:lang w:val="en-GB"/>
        </w:rPr>
        <w:t>22%</w:t>
      </w:r>
      <w:r>
        <w:rPr>
          <w:rFonts w:hint="eastAsia"/>
          <w:szCs w:val="24"/>
          <w:lang w:val="en-GB"/>
        </w:rPr>
        <w:t>是男孩。</w:t>
      </w:r>
      <w:r>
        <w:rPr>
          <w:rFonts w:hint="eastAsia"/>
          <w:szCs w:val="24"/>
          <w:lang w:val="en-GB"/>
        </w:rPr>
        <w:t>14</w:t>
      </w:r>
      <w:r>
        <w:rPr>
          <w:rFonts w:hint="eastAsia"/>
          <w:szCs w:val="24"/>
          <w:lang w:val="en-GB"/>
        </w:rPr>
        <w:t>岁每天吸烟者的比例自</w:t>
      </w:r>
      <w:r>
        <w:rPr>
          <w:rFonts w:hint="eastAsia"/>
          <w:szCs w:val="24"/>
          <w:lang w:val="en-GB"/>
        </w:rPr>
        <w:t>2001</w:t>
      </w:r>
      <w:r>
        <w:rPr>
          <w:rFonts w:hint="eastAsia"/>
          <w:szCs w:val="24"/>
          <w:lang w:val="en-GB"/>
        </w:rPr>
        <w:t>年</w:t>
      </w:r>
      <w:r>
        <w:rPr>
          <w:rFonts w:hint="eastAsia"/>
          <w:szCs w:val="24"/>
        </w:rPr>
        <w:t>以来</w:t>
      </w:r>
      <w:r>
        <w:rPr>
          <w:rFonts w:hint="eastAsia"/>
          <w:szCs w:val="24"/>
          <w:lang w:val="en-GB"/>
        </w:rPr>
        <w:t>呈下降趋势：</w:t>
      </w:r>
      <w:r>
        <w:rPr>
          <w:rFonts w:hint="eastAsia"/>
          <w:szCs w:val="24"/>
          <w:lang w:val="en-GB"/>
        </w:rPr>
        <w:t>15%</w:t>
      </w:r>
      <w:r>
        <w:rPr>
          <w:rFonts w:hint="eastAsia"/>
          <w:szCs w:val="24"/>
          <w:lang w:val="en-GB"/>
        </w:rPr>
        <w:t>的女孩和</w:t>
      </w:r>
      <w:r>
        <w:rPr>
          <w:rFonts w:hint="eastAsia"/>
          <w:szCs w:val="24"/>
          <w:lang w:val="en-GB"/>
        </w:rPr>
        <w:t>13%</w:t>
      </w:r>
      <w:r>
        <w:rPr>
          <w:rFonts w:hint="eastAsia"/>
          <w:szCs w:val="24"/>
          <w:lang w:val="en-GB"/>
        </w:rPr>
        <w:t>的男孩每天吸烟；今天相应数字分别为</w:t>
      </w:r>
      <w:r>
        <w:rPr>
          <w:rFonts w:hint="eastAsia"/>
          <w:szCs w:val="24"/>
          <w:lang w:val="en-GB"/>
        </w:rPr>
        <w:t>10%</w:t>
      </w:r>
      <w:r>
        <w:rPr>
          <w:rFonts w:hint="eastAsia"/>
          <w:szCs w:val="24"/>
          <w:lang w:val="en-GB"/>
        </w:rPr>
        <w:t>和</w:t>
      </w:r>
      <w:r>
        <w:rPr>
          <w:rFonts w:hint="eastAsia"/>
          <w:szCs w:val="24"/>
          <w:lang w:val="en-GB"/>
        </w:rPr>
        <w:t>7%</w:t>
      </w:r>
      <w:r>
        <w:rPr>
          <w:rFonts w:hint="eastAsia"/>
          <w:szCs w:val="24"/>
          <w:lang w:val="en-GB"/>
        </w:rPr>
        <w:t>。</w:t>
      </w:r>
      <w:r>
        <w:rPr>
          <w:rFonts w:hint="eastAsia"/>
          <w:szCs w:val="24"/>
          <w:lang w:val="en-GB"/>
        </w:rPr>
        <w:t>16</w:t>
      </w:r>
      <w:r>
        <w:rPr>
          <w:rFonts w:hint="eastAsia"/>
          <w:szCs w:val="24"/>
          <w:lang w:val="en-GB"/>
        </w:rPr>
        <w:t>岁青少年吸烟的情况也有了改善：</w:t>
      </w:r>
      <w:r>
        <w:rPr>
          <w:rFonts w:hint="eastAsia"/>
          <w:szCs w:val="24"/>
          <w:lang w:val="en-GB"/>
        </w:rPr>
        <w:t>2001</w:t>
      </w:r>
      <w:r>
        <w:rPr>
          <w:rFonts w:hint="eastAsia"/>
          <w:szCs w:val="24"/>
          <w:lang w:val="en-GB"/>
        </w:rPr>
        <w:t>年，</w:t>
      </w:r>
      <w:r>
        <w:rPr>
          <w:rFonts w:hint="eastAsia"/>
          <w:szCs w:val="24"/>
          <w:lang w:val="en-GB"/>
        </w:rPr>
        <w:t>29%</w:t>
      </w:r>
      <w:r>
        <w:rPr>
          <w:rFonts w:hint="eastAsia"/>
          <w:szCs w:val="24"/>
          <w:lang w:val="en-GB"/>
        </w:rPr>
        <w:t>的男孩每天吸烟，但今天只有</w:t>
      </w:r>
      <w:r>
        <w:rPr>
          <w:rFonts w:hint="eastAsia"/>
          <w:szCs w:val="24"/>
          <w:lang w:val="en-GB"/>
        </w:rPr>
        <w:t>23%</w:t>
      </w:r>
      <w:r>
        <w:rPr>
          <w:rFonts w:hint="eastAsia"/>
          <w:szCs w:val="24"/>
          <w:lang w:val="en-GB"/>
        </w:rPr>
        <w:t>的男孩吸烟。</w:t>
      </w:r>
      <w:r>
        <w:rPr>
          <w:rFonts w:hint="eastAsia"/>
          <w:szCs w:val="24"/>
          <w:lang w:val="en-GB"/>
        </w:rPr>
        <w:t>2001</w:t>
      </w:r>
      <w:r>
        <w:rPr>
          <w:rFonts w:hint="eastAsia"/>
          <w:szCs w:val="24"/>
          <w:lang w:val="en-GB"/>
        </w:rPr>
        <w:t>年，</w:t>
      </w:r>
      <w:r>
        <w:rPr>
          <w:rFonts w:hint="eastAsia"/>
          <w:szCs w:val="24"/>
          <w:lang w:val="en-GB"/>
        </w:rPr>
        <w:t>31%</w:t>
      </w:r>
      <w:r>
        <w:rPr>
          <w:rFonts w:hint="eastAsia"/>
          <w:szCs w:val="24"/>
          <w:lang w:val="en-GB"/>
        </w:rPr>
        <w:t>的女孩每天吸烟，但今天只有</w:t>
      </w:r>
      <w:r>
        <w:rPr>
          <w:rFonts w:hint="eastAsia"/>
          <w:szCs w:val="24"/>
          <w:lang w:val="en-GB"/>
        </w:rPr>
        <w:t>27%</w:t>
      </w:r>
      <w:r>
        <w:rPr>
          <w:rFonts w:hint="eastAsia"/>
          <w:szCs w:val="24"/>
          <w:lang w:val="en-GB"/>
        </w:rPr>
        <w:t>的女孩吸烟。</w:t>
      </w:r>
    </w:p>
    <w:p w:rsidR="001C7848" w:rsidRDefault="001C7848" w:rsidP="001C7848">
      <w:pPr>
        <w:numPr>
          <w:ilvl w:val="0"/>
          <w:numId w:val="12"/>
        </w:numPr>
        <w:overflowPunct w:val="0"/>
        <w:autoSpaceDE w:val="0"/>
        <w:autoSpaceDN w:val="0"/>
        <w:spacing w:after="240" w:line="360" w:lineRule="exact"/>
        <w:ind w:left="0" w:right="-69" w:firstLine="0"/>
        <w:rPr>
          <w:szCs w:val="24"/>
          <w:lang w:val="en-GB"/>
        </w:rPr>
      </w:pPr>
      <w:r>
        <w:rPr>
          <w:rFonts w:hint="eastAsia"/>
          <w:szCs w:val="24"/>
          <w:lang w:val="en-GB"/>
        </w:rPr>
        <w:t>在</w:t>
      </w:r>
      <w:r>
        <w:rPr>
          <w:rFonts w:hint="eastAsia"/>
          <w:szCs w:val="24"/>
          <w:lang w:val="en-GB"/>
        </w:rPr>
        <w:t>1977-2005</w:t>
      </w:r>
      <w:r>
        <w:rPr>
          <w:rFonts w:hint="eastAsia"/>
          <w:szCs w:val="24"/>
          <w:lang w:val="en-GB"/>
        </w:rPr>
        <w:t>年期间吸烟女孩的比例仍相当高，为</w:t>
      </w:r>
      <w:r>
        <w:rPr>
          <w:rFonts w:hint="eastAsia"/>
          <w:szCs w:val="24"/>
          <w:lang w:val="en-GB"/>
        </w:rPr>
        <w:t>20-26%</w:t>
      </w:r>
      <w:r>
        <w:rPr>
          <w:rFonts w:hint="eastAsia"/>
          <w:szCs w:val="24"/>
          <w:lang w:val="en-GB"/>
        </w:rPr>
        <w:t>。此外，减少年轻妇女当中的吸烟人数有助于其婴儿的健康主。芬兰国防部队就自愿服兵役的妇女怀孕期间吸烟的危害性提供了专门指导。</w:t>
      </w:r>
    </w:p>
    <w:p w:rsidR="001C7848" w:rsidRDefault="001C7848" w:rsidP="001C7848">
      <w:pPr>
        <w:numPr>
          <w:ilvl w:val="0"/>
          <w:numId w:val="12"/>
        </w:numPr>
        <w:overflowPunct w:val="0"/>
        <w:autoSpaceDE w:val="0"/>
        <w:autoSpaceDN w:val="0"/>
        <w:spacing w:after="240" w:line="360" w:lineRule="exact"/>
        <w:ind w:left="0" w:right="-69" w:firstLine="0"/>
        <w:rPr>
          <w:szCs w:val="24"/>
          <w:lang w:val="en-GB"/>
        </w:rPr>
      </w:pPr>
      <w:r>
        <w:rPr>
          <w:rFonts w:hint="eastAsia"/>
          <w:szCs w:val="24"/>
          <w:lang w:val="en-GB"/>
        </w:rPr>
        <w:t>2006</w:t>
      </w:r>
      <w:r>
        <w:rPr>
          <w:rFonts w:hint="eastAsia"/>
          <w:szCs w:val="24"/>
          <w:lang w:val="en-GB"/>
        </w:rPr>
        <w:t>年</w:t>
      </w:r>
      <w:r>
        <w:rPr>
          <w:rFonts w:hint="eastAsia"/>
          <w:szCs w:val="24"/>
          <w:lang w:val="en-GB"/>
        </w:rPr>
        <w:t>12</w:t>
      </w:r>
      <w:r>
        <w:rPr>
          <w:rFonts w:hint="eastAsia"/>
          <w:szCs w:val="24"/>
          <w:lang w:val="en-GB"/>
        </w:rPr>
        <w:t>月，儿童问题监察员与国民福利和健康生产控制机构合作，向社会事务和卫生部提出了修订《吸烟法》（</w:t>
      </w:r>
      <w:r>
        <w:rPr>
          <w:szCs w:val="24"/>
          <w:lang w:val="en-GB"/>
        </w:rPr>
        <w:t>13. 8. 2976 /693</w:t>
      </w:r>
      <w:r>
        <w:rPr>
          <w:rFonts w:hint="eastAsia"/>
          <w:szCs w:val="24"/>
          <w:lang w:val="en-GB"/>
        </w:rPr>
        <w:t>）的倡议。该倡议建议香烟零售应取得许可证。这种许可证制度会使监督工作更加有效，例如，在违反</w:t>
      </w:r>
      <w:r>
        <w:rPr>
          <w:rFonts w:hint="eastAsia"/>
          <w:szCs w:val="24"/>
        </w:rPr>
        <w:t>吸烟</w:t>
      </w:r>
      <w:r>
        <w:rPr>
          <w:rFonts w:hint="eastAsia"/>
          <w:szCs w:val="24"/>
          <w:lang w:val="en-GB"/>
        </w:rPr>
        <w:t>法规定的特定情况下可撤回销售许可证。还应禁止</w:t>
      </w:r>
      <w:r>
        <w:rPr>
          <w:rFonts w:hint="eastAsia"/>
          <w:szCs w:val="24"/>
          <w:lang w:val="en-GB"/>
        </w:rPr>
        <w:t>18</w:t>
      </w:r>
      <w:r>
        <w:rPr>
          <w:rFonts w:hint="eastAsia"/>
          <w:szCs w:val="24"/>
          <w:lang w:val="en-GB"/>
        </w:rPr>
        <w:t>岁以下的人拥有香烟。在日托中心的操场和教育机构的院子以及其他主要供</w:t>
      </w:r>
      <w:r>
        <w:rPr>
          <w:rFonts w:hint="eastAsia"/>
          <w:szCs w:val="24"/>
          <w:lang w:val="en-GB"/>
        </w:rPr>
        <w:t>18</w:t>
      </w:r>
      <w:r>
        <w:rPr>
          <w:rFonts w:hint="eastAsia"/>
          <w:szCs w:val="24"/>
          <w:lang w:val="en-GB"/>
        </w:rPr>
        <w:t>岁以下者活动的类似户外场所应禁止吸烟。</w:t>
      </w:r>
    </w:p>
    <w:p w:rsidR="001C7848" w:rsidRDefault="001C7848">
      <w:pPr>
        <w:pStyle w:val="H2"/>
        <w:rPr>
          <w:rFonts w:hint="eastAsia"/>
          <w:u w:val="single"/>
        </w:rPr>
      </w:pPr>
      <w:bookmarkStart w:id="138" w:name="_Toc181766713"/>
      <w:bookmarkStart w:id="139" w:name="_Toc188785309"/>
      <w:r>
        <w:t>1.3.</w:t>
      </w:r>
      <w:bookmarkEnd w:id="138"/>
      <w:r>
        <w:rPr>
          <w:rFonts w:hint="eastAsia"/>
        </w:rPr>
        <w:t xml:space="preserve">  </w:t>
      </w:r>
      <w:r>
        <w:rPr>
          <w:rFonts w:hint="eastAsia"/>
          <w:u w:val="single"/>
        </w:rPr>
        <w:t>女孩的吸毒问题</w:t>
      </w:r>
      <w:bookmarkEnd w:id="139"/>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lang w:val="en-GB"/>
        </w:rPr>
        <w:t>根据青少年健康</w:t>
      </w:r>
      <w:r>
        <w:rPr>
          <w:rFonts w:hint="eastAsia"/>
          <w:szCs w:val="24"/>
        </w:rPr>
        <w:t>状况</w:t>
      </w:r>
      <w:r>
        <w:rPr>
          <w:rFonts w:hint="eastAsia"/>
          <w:szCs w:val="24"/>
          <w:lang w:val="en-GB"/>
        </w:rPr>
        <w:t>和生活方式调查，</w:t>
      </w:r>
      <w:r>
        <w:rPr>
          <w:rStyle w:val="FootnoteReference"/>
          <w:szCs w:val="24"/>
        </w:rPr>
        <w:footnoteReference w:id="27"/>
      </w:r>
      <w:r>
        <w:rPr>
          <w:rFonts w:hint="eastAsia"/>
          <w:szCs w:val="24"/>
        </w:rPr>
        <w:t>喝酒非常多以至</w:t>
      </w:r>
      <w:r>
        <w:rPr>
          <w:rFonts w:hint="eastAsia"/>
          <w:szCs w:val="24"/>
          <w:lang w:val="en-GB"/>
        </w:rPr>
        <w:t>一月醉酒至少一次的女孩人数在过去二十年里增加很多。根据调查</w:t>
      </w:r>
      <w:r>
        <w:rPr>
          <w:rFonts w:hint="eastAsia"/>
          <w:szCs w:val="24"/>
        </w:rPr>
        <w:t>，</w:t>
      </w:r>
      <w:r>
        <w:rPr>
          <w:rFonts w:hint="eastAsia"/>
          <w:szCs w:val="24"/>
        </w:rPr>
        <w:t>1985</w:t>
      </w:r>
      <w:r>
        <w:rPr>
          <w:rFonts w:hint="eastAsia"/>
          <w:szCs w:val="24"/>
          <w:lang w:val="en-GB"/>
        </w:rPr>
        <w:t>年</w:t>
      </w:r>
      <w:r>
        <w:rPr>
          <w:rFonts w:hint="eastAsia"/>
          <w:szCs w:val="24"/>
        </w:rPr>
        <w:t>，有</w:t>
      </w:r>
      <w:r>
        <w:rPr>
          <w:rFonts w:hint="eastAsia"/>
          <w:szCs w:val="24"/>
        </w:rPr>
        <w:t>12%</w:t>
      </w:r>
      <w:r>
        <w:rPr>
          <w:rFonts w:hint="eastAsia"/>
          <w:szCs w:val="24"/>
        </w:rPr>
        <w:t>的</w:t>
      </w:r>
      <w:r>
        <w:rPr>
          <w:rFonts w:hint="eastAsia"/>
          <w:szCs w:val="24"/>
        </w:rPr>
        <w:t>16</w:t>
      </w:r>
      <w:r>
        <w:rPr>
          <w:rFonts w:hint="eastAsia"/>
          <w:szCs w:val="24"/>
          <w:lang w:val="en-GB"/>
        </w:rPr>
        <w:t>岁女孩每月至少严重醉酒一次</w:t>
      </w:r>
      <w:r>
        <w:rPr>
          <w:rFonts w:hint="eastAsia"/>
          <w:szCs w:val="24"/>
        </w:rPr>
        <w:t>，</w:t>
      </w:r>
      <w:r>
        <w:rPr>
          <w:rFonts w:hint="eastAsia"/>
          <w:szCs w:val="24"/>
        </w:rPr>
        <w:t>2005</w:t>
      </w:r>
      <w:r>
        <w:rPr>
          <w:rFonts w:hint="eastAsia"/>
          <w:szCs w:val="24"/>
          <w:lang w:val="en-GB"/>
        </w:rPr>
        <w:t>年是</w:t>
      </w:r>
      <w:r>
        <w:rPr>
          <w:rFonts w:hint="eastAsia"/>
          <w:szCs w:val="24"/>
        </w:rPr>
        <w:t>18%</w:t>
      </w:r>
      <w:r>
        <w:rPr>
          <w:rFonts w:hint="eastAsia"/>
          <w:szCs w:val="24"/>
        </w:rPr>
        <w:t>，而</w:t>
      </w:r>
      <w:r>
        <w:rPr>
          <w:rFonts w:hint="eastAsia"/>
          <w:szCs w:val="24"/>
        </w:rPr>
        <w:t>1985</w:t>
      </w:r>
      <w:r>
        <w:rPr>
          <w:rFonts w:hint="eastAsia"/>
          <w:szCs w:val="24"/>
        </w:rPr>
        <w:t>年</w:t>
      </w:r>
      <w:r>
        <w:rPr>
          <w:rFonts w:hint="eastAsia"/>
          <w:szCs w:val="24"/>
        </w:rPr>
        <w:t>18</w:t>
      </w:r>
      <w:r>
        <w:rPr>
          <w:rFonts w:hint="eastAsia"/>
          <w:szCs w:val="24"/>
        </w:rPr>
        <w:t>岁的女孩严重醉酒者占</w:t>
      </w:r>
      <w:r>
        <w:rPr>
          <w:rFonts w:hint="eastAsia"/>
          <w:szCs w:val="24"/>
        </w:rPr>
        <w:t>9%</w:t>
      </w:r>
      <w:r>
        <w:rPr>
          <w:rFonts w:hint="eastAsia"/>
          <w:szCs w:val="24"/>
        </w:rPr>
        <w:t>，</w:t>
      </w:r>
      <w:r>
        <w:rPr>
          <w:rFonts w:hint="eastAsia"/>
          <w:szCs w:val="24"/>
        </w:rPr>
        <w:t>2005</w:t>
      </w:r>
      <w:r>
        <w:rPr>
          <w:rFonts w:hint="eastAsia"/>
          <w:szCs w:val="24"/>
        </w:rPr>
        <w:t>年占</w:t>
      </w:r>
      <w:r>
        <w:rPr>
          <w:rFonts w:hint="eastAsia"/>
          <w:szCs w:val="24"/>
        </w:rPr>
        <w:t>32%</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lang w:val="en-GB"/>
        </w:rPr>
        <w:t>根据青少年健康状况和生活方式调查</w:t>
      </w:r>
      <w:r>
        <w:rPr>
          <w:rFonts w:hint="eastAsia"/>
          <w:szCs w:val="24"/>
        </w:rPr>
        <w:t>，</w:t>
      </w:r>
      <w:r>
        <w:rPr>
          <w:rFonts w:hint="eastAsia"/>
          <w:szCs w:val="24"/>
          <w:lang w:val="en-GB"/>
        </w:rPr>
        <w:t>下列群体每月至少饮酒一次</w:t>
      </w:r>
      <w:r>
        <w:rPr>
          <w:rFonts w:hint="eastAsia"/>
          <w:szCs w:val="24"/>
        </w:rPr>
        <w:t>：</w:t>
      </w:r>
      <w:r>
        <w:rPr>
          <w:rFonts w:hint="eastAsia"/>
          <w:szCs w:val="24"/>
        </w:rPr>
        <w:t>22%</w:t>
      </w:r>
      <w:r>
        <w:rPr>
          <w:rFonts w:hint="eastAsia"/>
          <w:szCs w:val="24"/>
        </w:rPr>
        <w:t>的</w:t>
      </w:r>
      <w:r>
        <w:rPr>
          <w:rFonts w:hint="eastAsia"/>
          <w:szCs w:val="24"/>
        </w:rPr>
        <w:t>14</w:t>
      </w:r>
      <w:r>
        <w:rPr>
          <w:rFonts w:hint="eastAsia"/>
          <w:szCs w:val="24"/>
          <w:lang w:val="en-GB"/>
        </w:rPr>
        <w:t>岁女孩和</w:t>
      </w:r>
      <w:r>
        <w:rPr>
          <w:rFonts w:hint="eastAsia"/>
          <w:szCs w:val="24"/>
          <w:lang w:val="en-GB"/>
        </w:rPr>
        <w:t>15%</w:t>
      </w:r>
      <w:r>
        <w:rPr>
          <w:rFonts w:hint="eastAsia"/>
          <w:szCs w:val="24"/>
          <w:lang w:val="en-GB"/>
        </w:rPr>
        <w:t>的</w:t>
      </w:r>
      <w:r>
        <w:rPr>
          <w:rFonts w:hint="eastAsia"/>
          <w:szCs w:val="24"/>
          <w:lang w:val="en-GB"/>
        </w:rPr>
        <w:t>14</w:t>
      </w:r>
      <w:r>
        <w:rPr>
          <w:rFonts w:hint="eastAsia"/>
          <w:szCs w:val="24"/>
          <w:lang w:val="en-GB"/>
        </w:rPr>
        <w:t>岁男孩，</w:t>
      </w:r>
      <w:r>
        <w:rPr>
          <w:rFonts w:hint="eastAsia"/>
          <w:szCs w:val="24"/>
          <w:lang w:val="en-GB"/>
        </w:rPr>
        <w:t>49%</w:t>
      </w:r>
      <w:r>
        <w:rPr>
          <w:rFonts w:hint="eastAsia"/>
          <w:szCs w:val="24"/>
          <w:lang w:val="en-GB"/>
        </w:rPr>
        <w:t>的</w:t>
      </w:r>
      <w:r>
        <w:rPr>
          <w:rFonts w:hint="eastAsia"/>
          <w:szCs w:val="24"/>
          <w:lang w:val="en-GB"/>
        </w:rPr>
        <w:t>16</w:t>
      </w:r>
      <w:r>
        <w:rPr>
          <w:rFonts w:hint="eastAsia"/>
          <w:szCs w:val="24"/>
          <w:lang w:val="en-GB"/>
        </w:rPr>
        <w:t>岁女孩和</w:t>
      </w:r>
      <w:r>
        <w:rPr>
          <w:rFonts w:hint="eastAsia"/>
          <w:szCs w:val="24"/>
          <w:lang w:val="en-GB"/>
        </w:rPr>
        <w:t>51%</w:t>
      </w:r>
      <w:r>
        <w:rPr>
          <w:rFonts w:hint="eastAsia"/>
          <w:szCs w:val="24"/>
          <w:lang w:val="en-GB"/>
        </w:rPr>
        <w:t>的</w:t>
      </w:r>
      <w:r>
        <w:rPr>
          <w:rFonts w:hint="eastAsia"/>
          <w:szCs w:val="24"/>
          <w:lang w:val="en-GB"/>
        </w:rPr>
        <w:t>16</w:t>
      </w:r>
      <w:r>
        <w:rPr>
          <w:rFonts w:hint="eastAsia"/>
          <w:szCs w:val="24"/>
          <w:lang w:val="en-GB"/>
        </w:rPr>
        <w:t>岁男孩，</w:t>
      </w:r>
      <w:r>
        <w:rPr>
          <w:rFonts w:hint="eastAsia"/>
          <w:szCs w:val="24"/>
          <w:lang w:val="en-GB"/>
        </w:rPr>
        <w:t>79%</w:t>
      </w:r>
      <w:r>
        <w:rPr>
          <w:rFonts w:hint="eastAsia"/>
          <w:szCs w:val="24"/>
          <w:lang w:val="en-GB"/>
        </w:rPr>
        <w:t>的</w:t>
      </w:r>
      <w:r>
        <w:rPr>
          <w:rFonts w:hint="eastAsia"/>
          <w:szCs w:val="24"/>
          <w:lang w:val="en-GB"/>
        </w:rPr>
        <w:t>18</w:t>
      </w:r>
      <w:r>
        <w:rPr>
          <w:rFonts w:hint="eastAsia"/>
          <w:szCs w:val="24"/>
          <w:lang w:val="en-GB"/>
        </w:rPr>
        <w:t>岁女孩和</w:t>
      </w:r>
      <w:r>
        <w:rPr>
          <w:rFonts w:hint="eastAsia"/>
          <w:szCs w:val="24"/>
          <w:lang w:val="en-GB"/>
        </w:rPr>
        <w:t>78%</w:t>
      </w:r>
      <w:r>
        <w:rPr>
          <w:rFonts w:hint="eastAsia"/>
          <w:szCs w:val="24"/>
          <w:lang w:val="en-GB"/>
        </w:rPr>
        <w:t>的</w:t>
      </w:r>
      <w:r>
        <w:rPr>
          <w:rFonts w:hint="eastAsia"/>
          <w:szCs w:val="24"/>
          <w:lang w:val="en-GB"/>
        </w:rPr>
        <w:t>18</w:t>
      </w:r>
      <w:r>
        <w:rPr>
          <w:rFonts w:hint="eastAsia"/>
          <w:szCs w:val="24"/>
          <w:lang w:val="en-GB"/>
        </w:rPr>
        <w:t>岁男孩。</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根据调查，毒品向下列群体提供：</w:t>
      </w:r>
      <w:r>
        <w:rPr>
          <w:rFonts w:hint="eastAsia"/>
          <w:szCs w:val="24"/>
        </w:rPr>
        <w:t>6%</w:t>
      </w:r>
      <w:r>
        <w:rPr>
          <w:rFonts w:hint="eastAsia"/>
          <w:szCs w:val="24"/>
        </w:rPr>
        <w:t>的</w:t>
      </w:r>
      <w:r>
        <w:rPr>
          <w:rFonts w:hint="eastAsia"/>
          <w:szCs w:val="24"/>
        </w:rPr>
        <w:t>14</w:t>
      </w:r>
      <w:r>
        <w:rPr>
          <w:rFonts w:hint="eastAsia"/>
          <w:szCs w:val="24"/>
          <w:lang w:val="en-GB"/>
        </w:rPr>
        <w:t>岁女孩和</w:t>
      </w:r>
      <w:r>
        <w:rPr>
          <w:rFonts w:hint="eastAsia"/>
          <w:szCs w:val="24"/>
        </w:rPr>
        <w:t>4%</w:t>
      </w:r>
      <w:r>
        <w:rPr>
          <w:rFonts w:hint="eastAsia"/>
          <w:szCs w:val="24"/>
          <w:lang w:val="en-GB"/>
        </w:rPr>
        <w:t>的</w:t>
      </w:r>
      <w:r>
        <w:rPr>
          <w:rFonts w:hint="eastAsia"/>
          <w:szCs w:val="24"/>
        </w:rPr>
        <w:t>14</w:t>
      </w:r>
      <w:r>
        <w:rPr>
          <w:rFonts w:hint="eastAsia"/>
          <w:szCs w:val="24"/>
          <w:lang w:val="en-GB"/>
        </w:rPr>
        <w:t>岁男孩</w:t>
      </w:r>
      <w:r>
        <w:rPr>
          <w:rFonts w:hint="eastAsia"/>
          <w:szCs w:val="24"/>
        </w:rPr>
        <w:t>，</w:t>
      </w:r>
      <w:r>
        <w:rPr>
          <w:rFonts w:hint="eastAsia"/>
          <w:szCs w:val="24"/>
        </w:rPr>
        <w:t>13%</w:t>
      </w:r>
      <w:r>
        <w:rPr>
          <w:rFonts w:hint="eastAsia"/>
          <w:szCs w:val="24"/>
          <w:lang w:val="en-GB"/>
        </w:rPr>
        <w:t>的</w:t>
      </w:r>
      <w:r>
        <w:rPr>
          <w:rFonts w:hint="eastAsia"/>
          <w:szCs w:val="24"/>
        </w:rPr>
        <w:t>16</w:t>
      </w:r>
      <w:r>
        <w:rPr>
          <w:rFonts w:hint="eastAsia"/>
          <w:szCs w:val="24"/>
          <w:lang w:val="en-GB"/>
        </w:rPr>
        <w:t>岁女孩和</w:t>
      </w:r>
      <w:r>
        <w:rPr>
          <w:rFonts w:hint="eastAsia"/>
          <w:szCs w:val="24"/>
        </w:rPr>
        <w:t>12%</w:t>
      </w:r>
      <w:r>
        <w:rPr>
          <w:rFonts w:hint="eastAsia"/>
          <w:szCs w:val="24"/>
          <w:lang w:val="en-GB"/>
        </w:rPr>
        <w:t>的</w:t>
      </w:r>
      <w:r>
        <w:rPr>
          <w:rFonts w:hint="eastAsia"/>
          <w:szCs w:val="24"/>
        </w:rPr>
        <w:t>16</w:t>
      </w:r>
      <w:r>
        <w:rPr>
          <w:rFonts w:hint="eastAsia"/>
          <w:szCs w:val="24"/>
          <w:lang w:val="en-GB"/>
        </w:rPr>
        <w:t>岁男孩</w:t>
      </w:r>
      <w:r>
        <w:rPr>
          <w:rFonts w:hint="eastAsia"/>
          <w:szCs w:val="24"/>
        </w:rPr>
        <w:t>，</w:t>
      </w:r>
      <w:r>
        <w:rPr>
          <w:rFonts w:hint="eastAsia"/>
          <w:szCs w:val="24"/>
        </w:rPr>
        <w:t>16%</w:t>
      </w:r>
      <w:r>
        <w:rPr>
          <w:rFonts w:hint="eastAsia"/>
          <w:szCs w:val="24"/>
          <w:lang w:val="en-GB"/>
        </w:rPr>
        <w:t>的</w:t>
      </w:r>
      <w:r>
        <w:rPr>
          <w:rFonts w:hint="eastAsia"/>
          <w:szCs w:val="24"/>
        </w:rPr>
        <w:t>18</w:t>
      </w:r>
      <w:r>
        <w:rPr>
          <w:rFonts w:hint="eastAsia"/>
          <w:szCs w:val="24"/>
          <w:lang w:val="en-GB"/>
        </w:rPr>
        <w:t>岁女孩和</w:t>
      </w:r>
      <w:r>
        <w:rPr>
          <w:rFonts w:hint="eastAsia"/>
          <w:szCs w:val="24"/>
        </w:rPr>
        <w:t>21%</w:t>
      </w:r>
      <w:r>
        <w:rPr>
          <w:rFonts w:hint="eastAsia"/>
          <w:szCs w:val="24"/>
          <w:lang w:val="en-GB"/>
        </w:rPr>
        <w:t>的</w:t>
      </w:r>
      <w:r>
        <w:rPr>
          <w:rFonts w:hint="eastAsia"/>
          <w:szCs w:val="24"/>
        </w:rPr>
        <w:t>18</w:t>
      </w:r>
      <w:r>
        <w:rPr>
          <w:rFonts w:hint="eastAsia"/>
          <w:szCs w:val="24"/>
          <w:lang w:val="en-GB"/>
        </w:rPr>
        <w:t>岁男孩。</w:t>
      </w:r>
    </w:p>
    <w:p w:rsidR="001C7848" w:rsidRDefault="001C7848">
      <w:pPr>
        <w:pStyle w:val="H1"/>
        <w:spacing w:before="120"/>
        <w:jc w:val="both"/>
        <w:rPr>
          <w:rFonts w:hint="eastAsia"/>
        </w:rPr>
      </w:pPr>
      <w:bookmarkStart w:id="140" w:name="_Toc181766714"/>
      <w:bookmarkStart w:id="141" w:name="_Toc188785310"/>
      <w:r>
        <w:t xml:space="preserve">2.  </w:t>
      </w:r>
      <w:r>
        <w:rPr>
          <w:rFonts w:hint="eastAsia"/>
        </w:rPr>
        <w:t>孕期和孕后的保健</w:t>
      </w:r>
      <w:bookmarkEnd w:id="140"/>
      <w:bookmarkEnd w:id="141"/>
    </w:p>
    <w:p w:rsidR="001C7848" w:rsidRDefault="001C7848" w:rsidP="001C7848">
      <w:pPr>
        <w:numPr>
          <w:ilvl w:val="0"/>
          <w:numId w:val="12"/>
        </w:numPr>
        <w:overflowPunct w:val="0"/>
        <w:autoSpaceDE w:val="0"/>
        <w:autoSpaceDN w:val="0"/>
        <w:spacing w:after="240" w:line="360" w:lineRule="exact"/>
        <w:ind w:left="0" w:right="-69" w:firstLine="0"/>
        <w:rPr>
          <w:color w:val="000000"/>
          <w:szCs w:val="24"/>
        </w:rPr>
      </w:pPr>
      <w:r>
        <w:rPr>
          <w:rFonts w:hint="eastAsia"/>
          <w:color w:val="000000"/>
          <w:szCs w:val="24"/>
        </w:rPr>
        <w:t>2007</w:t>
      </w:r>
      <w:r>
        <w:rPr>
          <w:rFonts w:hint="eastAsia"/>
          <w:color w:val="000000"/>
          <w:szCs w:val="24"/>
        </w:rPr>
        <w:t>年春季，芬兰政府拟订了</w:t>
      </w:r>
      <w:r>
        <w:rPr>
          <w:rFonts w:hint="eastAsia"/>
          <w:color w:val="000000"/>
          <w:szCs w:val="24"/>
        </w:rPr>
        <w:t>2007-2011</w:t>
      </w:r>
      <w:r>
        <w:rPr>
          <w:rFonts w:hint="eastAsia"/>
          <w:color w:val="000000"/>
          <w:szCs w:val="24"/>
        </w:rPr>
        <w:t>年促进性和生殖健康第一项国家行动计划。该行动计划包括妇女怀孕、分娩和分娩后的保健建议。此外，还提出了避孕、堕胎后保健、防止性传染病和减少与及早识别性暴力的目标和措施。针对少数群体和残疾人的需要，还提供了与性问题有关的指导。方案侧重于促进两性平等、服务需要和男女不同的特点。</w:t>
      </w:r>
    </w:p>
    <w:p w:rsidR="001C7848" w:rsidRDefault="001C7848" w:rsidP="001C7848">
      <w:pPr>
        <w:numPr>
          <w:ilvl w:val="0"/>
          <w:numId w:val="12"/>
        </w:numPr>
        <w:overflowPunct w:val="0"/>
        <w:autoSpaceDE w:val="0"/>
        <w:autoSpaceDN w:val="0"/>
        <w:spacing w:after="240" w:line="360" w:lineRule="exact"/>
        <w:ind w:left="0" w:right="-69" w:firstLine="0"/>
        <w:rPr>
          <w:color w:val="000000"/>
          <w:szCs w:val="24"/>
        </w:rPr>
      </w:pPr>
      <w:r>
        <w:rPr>
          <w:rFonts w:hint="eastAsia"/>
          <w:color w:val="000000"/>
          <w:szCs w:val="24"/>
        </w:rPr>
        <w:t>在有关本定期报告的说明中，芬兰行动不便者协会强调促进无障碍环境以改善残疾人地位的重要性。根据协会报告，例如妇科检查台或骨密度计等往往不适合残疾妇女。在全国范围内为所有生活在芬兰的妇女免费进行身体检查方面，与物理治疗和康复或手术不同，医护人员并没有做好帮助残疾妇女的准备。</w:t>
      </w:r>
      <w:r>
        <w:rPr>
          <w:szCs w:val="24"/>
        </w:rPr>
        <w:t>母亲和婴儿福利诊所</w:t>
      </w:r>
      <w:r>
        <w:rPr>
          <w:rFonts w:hint="eastAsia"/>
          <w:szCs w:val="24"/>
        </w:rPr>
        <w:t>亦是如此。</w:t>
      </w:r>
      <w:r>
        <w:rPr>
          <w:rFonts w:hint="eastAsia"/>
          <w:color w:val="000000"/>
          <w:szCs w:val="24"/>
        </w:rPr>
        <w:t>此外，可能只有一个诊所或机构，最糟的情况下，没有诊所或机构在残疾人居住地进行无有形障碍的全国检查。</w:t>
      </w:r>
    </w:p>
    <w:p w:rsidR="001C7848" w:rsidRDefault="001C7848">
      <w:pPr>
        <w:pStyle w:val="H1"/>
        <w:spacing w:before="120"/>
        <w:jc w:val="both"/>
        <w:rPr>
          <w:rFonts w:hint="eastAsia"/>
        </w:rPr>
      </w:pPr>
      <w:bookmarkStart w:id="142" w:name="_Toc181766715"/>
      <w:bookmarkStart w:id="143" w:name="_Toc188785311"/>
      <w:r>
        <w:t>3.</w:t>
      </w:r>
      <w:bookmarkEnd w:id="142"/>
      <w:r>
        <w:rPr>
          <w:rFonts w:hint="eastAsia"/>
        </w:rPr>
        <w:t xml:space="preserve">  计划生育和堕胎</w:t>
      </w:r>
      <w:bookmarkEnd w:id="143"/>
    </w:p>
    <w:p w:rsidR="001C7848" w:rsidRDefault="001C7848">
      <w:pPr>
        <w:pStyle w:val="H2"/>
        <w:rPr>
          <w:rFonts w:hint="eastAsia"/>
          <w:u w:val="single"/>
        </w:rPr>
      </w:pPr>
      <w:bookmarkStart w:id="144" w:name="_Toc181766716"/>
      <w:bookmarkStart w:id="145" w:name="_Toc188785312"/>
      <w:r>
        <w:t>3.1.</w:t>
      </w:r>
      <w:r>
        <w:rPr>
          <w:rFonts w:hint="eastAsia"/>
        </w:rPr>
        <w:t xml:space="preserve">  </w:t>
      </w:r>
      <w:r>
        <w:rPr>
          <w:rFonts w:hint="eastAsia"/>
          <w:u w:val="single"/>
        </w:rPr>
        <w:t>《人工生殖法</w:t>
      </w:r>
      <w:bookmarkEnd w:id="144"/>
      <w:bookmarkEnd w:id="145"/>
      <w:r>
        <w:rPr>
          <w:rFonts w:hint="eastAsia"/>
          <w:u w:val="single"/>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长久以来准备的《人工生殖法》（</w:t>
      </w:r>
      <w:r>
        <w:rPr>
          <w:szCs w:val="24"/>
        </w:rPr>
        <w:t>1237/2006</w:t>
      </w:r>
      <w:r>
        <w:rPr>
          <w:rFonts w:hint="eastAsia"/>
          <w:szCs w:val="24"/>
        </w:rPr>
        <w:t>）于</w:t>
      </w:r>
      <w:r>
        <w:rPr>
          <w:rFonts w:hint="eastAsia"/>
          <w:szCs w:val="24"/>
        </w:rPr>
        <w:t>2007</w:t>
      </w:r>
      <w:r>
        <w:rPr>
          <w:rFonts w:hint="eastAsia"/>
          <w:szCs w:val="24"/>
        </w:rPr>
        <w:t>年</w:t>
      </w:r>
      <w:r>
        <w:rPr>
          <w:rFonts w:hint="eastAsia"/>
          <w:szCs w:val="24"/>
        </w:rPr>
        <w:t>9</w:t>
      </w:r>
      <w:r>
        <w:rPr>
          <w:rFonts w:hint="eastAsia"/>
          <w:szCs w:val="24"/>
        </w:rPr>
        <w:t>月</w:t>
      </w:r>
      <w:r>
        <w:rPr>
          <w:rFonts w:hint="eastAsia"/>
          <w:szCs w:val="24"/>
        </w:rPr>
        <w:t>1</w:t>
      </w:r>
      <w:r>
        <w:rPr>
          <w:rFonts w:hint="eastAsia"/>
          <w:szCs w:val="24"/>
        </w:rPr>
        <w:t>日生效。关于接受治疗的条件，该法规定除了与亲密伙伴生活在一起的妇女外，没有结婚或没有在婚姻状态下生活的妇女有资格接受不育治疗。根据新的政府方案，通过考虑生身父母的权利，同性伴侣也有权跨家庭收养。</w:t>
      </w:r>
    </w:p>
    <w:p w:rsidR="001C7848" w:rsidRDefault="001C7848">
      <w:pPr>
        <w:pStyle w:val="H2"/>
        <w:rPr>
          <w:rFonts w:hint="eastAsia"/>
          <w:u w:val="single"/>
        </w:rPr>
      </w:pPr>
      <w:bookmarkStart w:id="146" w:name="_Toc181766717"/>
      <w:bookmarkStart w:id="147" w:name="_Toc188785313"/>
      <w:r>
        <w:t>3.2.</w:t>
      </w:r>
      <w:bookmarkEnd w:id="146"/>
      <w:r>
        <w:rPr>
          <w:rFonts w:hint="eastAsia"/>
        </w:rPr>
        <w:t xml:space="preserve">  </w:t>
      </w:r>
      <w:r>
        <w:rPr>
          <w:rFonts w:hint="eastAsia"/>
          <w:u w:val="single"/>
        </w:rPr>
        <w:t>堕胎</w:t>
      </w:r>
      <w:bookmarkEnd w:id="147"/>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lang w:val="fi-FI"/>
        </w:rPr>
        <w:t>2005</w:t>
      </w:r>
      <w:r>
        <w:rPr>
          <w:rFonts w:hint="eastAsia"/>
          <w:szCs w:val="24"/>
        </w:rPr>
        <w:t>年</w:t>
      </w:r>
      <w:r>
        <w:rPr>
          <w:rFonts w:hint="eastAsia"/>
          <w:szCs w:val="24"/>
          <w:lang w:val="fi-FI"/>
        </w:rPr>
        <w:t>，</w:t>
      </w:r>
      <w:r>
        <w:rPr>
          <w:rFonts w:hint="eastAsia"/>
          <w:szCs w:val="24"/>
        </w:rPr>
        <w:t>堕胎数为</w:t>
      </w:r>
      <w:r>
        <w:rPr>
          <w:szCs w:val="24"/>
          <w:lang w:val="fi-FI"/>
        </w:rPr>
        <w:t>10 931</w:t>
      </w:r>
      <w:r>
        <w:rPr>
          <w:rFonts w:hint="eastAsia"/>
          <w:szCs w:val="24"/>
          <w:lang w:val="fi-FI"/>
        </w:rPr>
        <w:t>例，或在生育年龄（</w:t>
      </w:r>
      <w:r>
        <w:rPr>
          <w:rFonts w:hint="eastAsia"/>
          <w:szCs w:val="24"/>
          <w:lang w:val="fi-FI"/>
        </w:rPr>
        <w:t>15</w:t>
      </w:r>
      <w:r>
        <w:rPr>
          <w:rFonts w:hint="eastAsia"/>
          <w:szCs w:val="24"/>
          <w:lang w:val="fi-FI"/>
        </w:rPr>
        <w:t>岁</w:t>
      </w:r>
      <w:r>
        <w:rPr>
          <w:rFonts w:hint="eastAsia"/>
          <w:szCs w:val="24"/>
          <w:lang w:val="fi-FI"/>
        </w:rPr>
        <w:t>-49</w:t>
      </w:r>
      <w:r>
        <w:rPr>
          <w:rFonts w:hint="eastAsia"/>
          <w:szCs w:val="24"/>
          <w:lang w:val="fi-FI"/>
        </w:rPr>
        <w:t>岁）每</w:t>
      </w:r>
      <w:r>
        <w:rPr>
          <w:rFonts w:hint="eastAsia"/>
          <w:szCs w:val="24"/>
          <w:lang w:val="fi-FI"/>
        </w:rPr>
        <w:t>1 000</w:t>
      </w:r>
      <w:r>
        <w:rPr>
          <w:rFonts w:hint="eastAsia"/>
          <w:szCs w:val="24"/>
          <w:lang w:val="fi-FI"/>
        </w:rPr>
        <w:t>名妇女有</w:t>
      </w:r>
      <w:r>
        <w:rPr>
          <w:rFonts w:hint="eastAsia"/>
          <w:szCs w:val="24"/>
          <w:lang w:val="fi-FI"/>
        </w:rPr>
        <w:t>9.3</w:t>
      </w:r>
      <w:r>
        <w:rPr>
          <w:rFonts w:hint="eastAsia"/>
          <w:szCs w:val="24"/>
          <w:lang w:val="fi-FI"/>
        </w:rPr>
        <w:t>个堕胎。堕胎数下降了</w:t>
      </w:r>
      <w:r>
        <w:rPr>
          <w:rFonts w:hint="eastAsia"/>
          <w:szCs w:val="24"/>
          <w:lang w:val="fi-FI"/>
        </w:rPr>
        <w:t>2%</w:t>
      </w:r>
      <w:r>
        <w:rPr>
          <w:rFonts w:hint="eastAsia"/>
          <w:szCs w:val="24"/>
          <w:lang w:val="fi-FI"/>
        </w:rPr>
        <w:t>，这意味着比上一年稍稍多出</w:t>
      </w:r>
      <w:r>
        <w:rPr>
          <w:rFonts w:hint="eastAsia"/>
          <w:szCs w:val="24"/>
          <w:lang w:val="fi-FI"/>
        </w:rPr>
        <w:t>200</w:t>
      </w:r>
      <w:r>
        <w:rPr>
          <w:rFonts w:hint="eastAsia"/>
          <w:szCs w:val="24"/>
          <w:lang w:val="fi-FI"/>
        </w:rPr>
        <w:t>例。</w:t>
      </w:r>
      <w:r>
        <w:rPr>
          <w:rFonts w:hint="eastAsia"/>
          <w:szCs w:val="24"/>
          <w:lang w:val="fi-FI"/>
        </w:rPr>
        <w:t>20</w:t>
      </w:r>
      <w:r>
        <w:rPr>
          <w:rFonts w:hint="eastAsia"/>
          <w:szCs w:val="24"/>
          <w:lang w:val="fi-FI"/>
        </w:rPr>
        <w:t>岁以下（</w:t>
      </w:r>
      <w:r>
        <w:rPr>
          <w:szCs w:val="24"/>
        </w:rPr>
        <w:t>-5</w:t>
      </w:r>
      <w:r>
        <w:rPr>
          <w:rFonts w:hint="eastAsia"/>
          <w:szCs w:val="24"/>
        </w:rPr>
        <w:t>.</w:t>
      </w:r>
      <w:r>
        <w:rPr>
          <w:szCs w:val="24"/>
        </w:rPr>
        <w:t>4%</w:t>
      </w:r>
      <w:r>
        <w:rPr>
          <w:rFonts w:hint="eastAsia"/>
          <w:szCs w:val="24"/>
        </w:rPr>
        <w:t>）</w:t>
      </w:r>
      <w:r>
        <w:rPr>
          <w:rFonts w:hint="eastAsia"/>
          <w:szCs w:val="24"/>
          <w:lang w:val="fi-FI"/>
        </w:rPr>
        <w:t>和</w:t>
      </w:r>
      <w:r>
        <w:rPr>
          <w:rFonts w:hint="eastAsia"/>
          <w:szCs w:val="24"/>
          <w:lang w:val="fi-FI"/>
        </w:rPr>
        <w:t>45</w:t>
      </w:r>
      <w:r>
        <w:rPr>
          <w:rFonts w:hint="eastAsia"/>
          <w:szCs w:val="24"/>
          <w:lang w:val="fi-FI"/>
        </w:rPr>
        <w:t>岁以上（</w:t>
      </w:r>
      <w:r>
        <w:rPr>
          <w:szCs w:val="24"/>
        </w:rPr>
        <w:t>-4</w:t>
      </w:r>
      <w:r>
        <w:rPr>
          <w:rFonts w:hint="eastAsia"/>
          <w:szCs w:val="24"/>
        </w:rPr>
        <w:t>.</w:t>
      </w:r>
      <w:r>
        <w:rPr>
          <w:szCs w:val="24"/>
        </w:rPr>
        <w:t>3%</w:t>
      </w:r>
      <w:r>
        <w:rPr>
          <w:rFonts w:hint="eastAsia"/>
          <w:szCs w:val="24"/>
        </w:rPr>
        <w:t>）</w:t>
      </w:r>
      <w:r>
        <w:rPr>
          <w:rFonts w:hint="eastAsia"/>
          <w:szCs w:val="24"/>
          <w:lang w:val="fi-FI"/>
        </w:rPr>
        <w:t>妇女群体的堕胎数下降最多。</w:t>
      </w:r>
      <w:r>
        <w:rPr>
          <w:rFonts w:hint="eastAsia"/>
          <w:szCs w:val="24"/>
        </w:rPr>
        <w:t>40-44</w:t>
      </w:r>
      <w:r>
        <w:rPr>
          <w:rFonts w:hint="eastAsia"/>
          <w:szCs w:val="24"/>
        </w:rPr>
        <w:t>岁（</w:t>
      </w:r>
      <w:r>
        <w:rPr>
          <w:szCs w:val="24"/>
        </w:rPr>
        <w:t>+5</w:t>
      </w:r>
      <w:r>
        <w:rPr>
          <w:rFonts w:hint="eastAsia"/>
          <w:szCs w:val="24"/>
        </w:rPr>
        <w:t>.</w:t>
      </w:r>
      <w:r>
        <w:rPr>
          <w:szCs w:val="24"/>
        </w:rPr>
        <w:t>2</w:t>
      </w:r>
      <w:r>
        <w:rPr>
          <w:rFonts w:hint="eastAsia"/>
          <w:szCs w:val="24"/>
        </w:rPr>
        <w:t>%</w:t>
      </w:r>
      <w:r>
        <w:rPr>
          <w:rFonts w:hint="eastAsia"/>
          <w:szCs w:val="24"/>
        </w:rPr>
        <w:t>）和</w:t>
      </w:r>
      <w:r>
        <w:rPr>
          <w:rFonts w:hint="eastAsia"/>
          <w:szCs w:val="24"/>
        </w:rPr>
        <w:t>25-29</w:t>
      </w:r>
      <w:r>
        <w:rPr>
          <w:rFonts w:hint="eastAsia"/>
          <w:szCs w:val="24"/>
        </w:rPr>
        <w:t>岁（</w:t>
      </w:r>
      <w:r>
        <w:rPr>
          <w:szCs w:val="24"/>
        </w:rPr>
        <w:t>+1</w:t>
      </w:r>
      <w:r>
        <w:rPr>
          <w:rFonts w:hint="eastAsia"/>
          <w:szCs w:val="24"/>
        </w:rPr>
        <w:t>.</w:t>
      </w:r>
      <w:r>
        <w:rPr>
          <w:szCs w:val="24"/>
        </w:rPr>
        <w:t>1%</w:t>
      </w:r>
      <w:r>
        <w:rPr>
          <w:rFonts w:hint="eastAsia"/>
          <w:szCs w:val="24"/>
        </w:rPr>
        <w:t>）妇女群体的堕胎数上升。</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2005</w:t>
      </w:r>
      <w:r>
        <w:rPr>
          <w:rFonts w:hint="eastAsia"/>
          <w:szCs w:val="24"/>
        </w:rPr>
        <w:t>年，</w:t>
      </w:r>
      <w:r>
        <w:rPr>
          <w:rFonts w:hint="eastAsia"/>
          <w:szCs w:val="24"/>
        </w:rPr>
        <w:t>86.9%</w:t>
      </w:r>
      <w:r>
        <w:rPr>
          <w:rFonts w:hint="eastAsia"/>
          <w:szCs w:val="24"/>
        </w:rPr>
        <w:t>的堕胎出于社会理由，也就是说由于生活状况或其他情况造成的巨大负担。其他最普遍的理由包括</w:t>
      </w:r>
      <w:r>
        <w:rPr>
          <w:rFonts w:hint="eastAsia"/>
          <w:szCs w:val="24"/>
        </w:rPr>
        <w:t>17</w:t>
      </w:r>
      <w:r>
        <w:rPr>
          <w:rFonts w:hint="eastAsia"/>
          <w:szCs w:val="24"/>
        </w:rPr>
        <w:t>岁以下（</w:t>
      </w:r>
      <w:r>
        <w:rPr>
          <w:szCs w:val="24"/>
        </w:rPr>
        <w:t>6</w:t>
      </w:r>
      <w:r>
        <w:rPr>
          <w:rFonts w:hint="eastAsia"/>
          <w:szCs w:val="24"/>
        </w:rPr>
        <w:t>.</w:t>
      </w:r>
      <w:r>
        <w:rPr>
          <w:szCs w:val="24"/>
        </w:rPr>
        <w:t>2</w:t>
      </w:r>
      <w:r>
        <w:rPr>
          <w:rFonts w:hint="eastAsia"/>
          <w:szCs w:val="24"/>
        </w:rPr>
        <w:t>%</w:t>
      </w:r>
      <w:r>
        <w:rPr>
          <w:rFonts w:hint="eastAsia"/>
          <w:szCs w:val="24"/>
        </w:rPr>
        <w:t>）或</w:t>
      </w:r>
      <w:r>
        <w:rPr>
          <w:rFonts w:hint="eastAsia"/>
          <w:szCs w:val="24"/>
        </w:rPr>
        <w:t>40</w:t>
      </w:r>
      <w:r>
        <w:rPr>
          <w:rFonts w:hint="eastAsia"/>
          <w:szCs w:val="24"/>
        </w:rPr>
        <w:t>岁以上</w:t>
      </w:r>
      <w:r>
        <w:rPr>
          <w:szCs w:val="24"/>
        </w:rPr>
        <w:t>（</w:t>
      </w:r>
      <w:r>
        <w:rPr>
          <w:szCs w:val="24"/>
        </w:rPr>
        <w:t>4</w:t>
      </w:r>
      <w:r>
        <w:rPr>
          <w:rFonts w:hint="eastAsia"/>
          <w:szCs w:val="24"/>
        </w:rPr>
        <w:t>%</w:t>
      </w:r>
      <w:r>
        <w:rPr>
          <w:szCs w:val="24"/>
        </w:rPr>
        <w:t>）</w:t>
      </w:r>
      <w:r>
        <w:rPr>
          <w:rFonts w:hint="eastAsia"/>
          <w:szCs w:val="24"/>
        </w:rPr>
        <w:t>，或有四个孩子（</w:t>
      </w:r>
      <w:r>
        <w:rPr>
          <w:szCs w:val="24"/>
        </w:rPr>
        <w:t>2</w:t>
      </w:r>
      <w:r>
        <w:rPr>
          <w:rFonts w:hint="eastAsia"/>
          <w:szCs w:val="24"/>
        </w:rPr>
        <w:t>.</w:t>
      </w:r>
      <w:r>
        <w:rPr>
          <w:szCs w:val="24"/>
        </w:rPr>
        <w:t>2%</w:t>
      </w:r>
      <w:r>
        <w:rPr>
          <w:rFonts w:hint="eastAsia"/>
          <w:szCs w:val="24"/>
        </w:rPr>
        <w:t>）。</w:t>
      </w:r>
      <w:r>
        <w:rPr>
          <w:rFonts w:hint="eastAsia"/>
          <w:szCs w:val="24"/>
        </w:rPr>
        <w:t>0.5%</w:t>
      </w:r>
      <w:r>
        <w:rPr>
          <w:rFonts w:hint="eastAsia"/>
          <w:szCs w:val="24"/>
        </w:rPr>
        <w:t>的堕胎出于医疗原因，即因为疾病、身体残疾或危及妇女生命或健康的疾病。因怀疑或诊断出的胎儿损伤所造成的堕胎占所有堕胎数的</w:t>
      </w:r>
      <w:r>
        <w:rPr>
          <w:rFonts w:hint="eastAsia"/>
          <w:szCs w:val="24"/>
        </w:rPr>
        <w:t>2.6%</w:t>
      </w:r>
      <w:r>
        <w:rPr>
          <w:rFonts w:hint="eastAsia"/>
          <w:szCs w:val="24"/>
        </w:rPr>
        <w:t>。</w:t>
      </w:r>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根据初步信息，</w:t>
      </w:r>
      <w:r>
        <w:rPr>
          <w:rFonts w:hint="eastAsia"/>
          <w:szCs w:val="24"/>
        </w:rPr>
        <w:t>2006</w:t>
      </w:r>
      <w:r>
        <w:rPr>
          <w:rFonts w:hint="eastAsia"/>
          <w:szCs w:val="24"/>
        </w:rPr>
        <w:t>年堕胎数为</w:t>
      </w:r>
      <w:r>
        <w:rPr>
          <w:szCs w:val="24"/>
        </w:rPr>
        <w:t>10 493</w:t>
      </w:r>
      <w:r>
        <w:rPr>
          <w:rFonts w:hint="eastAsia"/>
          <w:szCs w:val="24"/>
        </w:rPr>
        <w:t>例，即育龄妇女每</w:t>
      </w:r>
      <w:r>
        <w:rPr>
          <w:rFonts w:hint="eastAsia"/>
          <w:szCs w:val="24"/>
        </w:rPr>
        <w:t>1 000</w:t>
      </w:r>
      <w:r>
        <w:rPr>
          <w:rFonts w:hint="eastAsia"/>
          <w:szCs w:val="24"/>
        </w:rPr>
        <w:t>名有</w:t>
      </w:r>
      <w:r>
        <w:rPr>
          <w:rFonts w:hint="eastAsia"/>
          <w:szCs w:val="24"/>
        </w:rPr>
        <w:t>8.9</w:t>
      </w:r>
      <w:r>
        <w:rPr>
          <w:rFonts w:hint="eastAsia"/>
          <w:szCs w:val="24"/>
        </w:rPr>
        <w:t>个堕胎。这说明比</w:t>
      </w:r>
      <w:r>
        <w:rPr>
          <w:rFonts w:hint="eastAsia"/>
          <w:szCs w:val="24"/>
        </w:rPr>
        <w:t>2005</w:t>
      </w:r>
      <w:r>
        <w:rPr>
          <w:rFonts w:hint="eastAsia"/>
          <w:szCs w:val="24"/>
        </w:rPr>
        <w:t>年少</w:t>
      </w:r>
      <w:r>
        <w:rPr>
          <w:rFonts w:hint="eastAsia"/>
          <w:szCs w:val="24"/>
        </w:rPr>
        <w:t>440</w:t>
      </w:r>
      <w:r>
        <w:rPr>
          <w:rFonts w:hint="eastAsia"/>
          <w:szCs w:val="24"/>
        </w:rPr>
        <w:t>例（</w:t>
      </w:r>
      <w:r>
        <w:rPr>
          <w:szCs w:val="24"/>
          <w:lang w:val="fi-FI"/>
        </w:rPr>
        <w:t>-4</w:t>
      </w:r>
      <w:r>
        <w:rPr>
          <w:rFonts w:hint="eastAsia"/>
          <w:szCs w:val="24"/>
          <w:lang w:val="fi-FI"/>
        </w:rPr>
        <w:t>.</w:t>
      </w:r>
      <w:r>
        <w:rPr>
          <w:szCs w:val="24"/>
          <w:lang w:val="fi-FI"/>
        </w:rPr>
        <w:t>0 %</w:t>
      </w:r>
      <w:r>
        <w:rPr>
          <w:rFonts w:hint="eastAsia"/>
          <w:szCs w:val="24"/>
          <w:lang w:val="fi-FI"/>
        </w:rPr>
        <w:t>）。</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与上一年相比，</w:t>
      </w:r>
      <w:r>
        <w:rPr>
          <w:rFonts w:hint="eastAsia"/>
          <w:szCs w:val="24"/>
        </w:rPr>
        <w:t>2006</w:t>
      </w:r>
      <w:r>
        <w:rPr>
          <w:rFonts w:hint="eastAsia"/>
          <w:szCs w:val="24"/>
        </w:rPr>
        <w:t>年所有年龄组的堕胎数都有下降。</w:t>
      </w:r>
      <w:r>
        <w:rPr>
          <w:rFonts w:hint="eastAsia"/>
          <w:szCs w:val="24"/>
        </w:rPr>
        <w:t>20</w:t>
      </w:r>
      <w:r>
        <w:rPr>
          <w:rFonts w:hint="eastAsia"/>
          <w:szCs w:val="24"/>
        </w:rPr>
        <w:t>岁以下妇女的堕胎数下降了</w:t>
      </w:r>
      <w:r>
        <w:rPr>
          <w:rFonts w:hint="eastAsia"/>
          <w:szCs w:val="24"/>
        </w:rPr>
        <w:t>5.1%</w:t>
      </w:r>
      <w:r>
        <w:rPr>
          <w:rFonts w:hint="eastAsia"/>
          <w:szCs w:val="24"/>
        </w:rPr>
        <w:t>。</w:t>
      </w:r>
      <w:r>
        <w:rPr>
          <w:rFonts w:hint="eastAsia"/>
          <w:szCs w:val="24"/>
        </w:rPr>
        <w:t>20-24</w:t>
      </w:r>
      <w:r>
        <w:rPr>
          <w:rFonts w:hint="eastAsia"/>
          <w:szCs w:val="24"/>
        </w:rPr>
        <w:t>岁年龄组的妇女堕胎数仍然最多，但即使在该年龄组堕胎数已下降了</w:t>
      </w:r>
      <w:r>
        <w:rPr>
          <w:rFonts w:hint="eastAsia"/>
          <w:szCs w:val="24"/>
        </w:rPr>
        <w:t>2%</w:t>
      </w:r>
      <w:r>
        <w:rPr>
          <w:rFonts w:hint="eastAsia"/>
          <w:szCs w:val="24"/>
        </w:rPr>
        <w:t>。</w:t>
      </w:r>
    </w:p>
    <w:p w:rsidR="001C7848" w:rsidRDefault="001C7848">
      <w:pPr>
        <w:pStyle w:val="H1"/>
        <w:spacing w:before="120"/>
        <w:jc w:val="both"/>
        <w:rPr>
          <w:rFonts w:hint="eastAsia"/>
        </w:rPr>
      </w:pPr>
      <w:bookmarkStart w:id="148" w:name="_Toc181766718"/>
      <w:bookmarkStart w:id="149" w:name="_Toc188785314"/>
      <w:r>
        <w:t xml:space="preserve">4.  </w:t>
      </w:r>
      <w:bookmarkEnd w:id="148"/>
      <w:r>
        <w:rPr>
          <w:rFonts w:hint="eastAsia"/>
        </w:rPr>
        <w:t>性传染病</w:t>
      </w:r>
      <w:bookmarkEnd w:id="149"/>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国家公共卫生研究所统计数据显示：芬兰有关艾滋病毒</w:t>
      </w:r>
      <w:r>
        <w:rPr>
          <w:rFonts w:hint="eastAsia"/>
          <w:szCs w:val="24"/>
        </w:rPr>
        <w:t>/</w:t>
      </w:r>
      <w:r>
        <w:rPr>
          <w:rFonts w:hint="eastAsia"/>
          <w:szCs w:val="24"/>
        </w:rPr>
        <w:t>艾滋病的情况附于本报告中。统计数据按性别分列。</w:t>
      </w:r>
    </w:p>
    <w:p w:rsidR="001C7848" w:rsidRDefault="001C7848">
      <w:pPr>
        <w:pStyle w:val="HCh"/>
        <w:jc w:val="both"/>
        <w:rPr>
          <w:rFonts w:hint="eastAsia"/>
        </w:rPr>
      </w:pPr>
      <w:bookmarkStart w:id="150" w:name="_Toc188785315"/>
      <w:r>
        <w:rPr>
          <w:rFonts w:hint="eastAsia"/>
        </w:rPr>
        <w:t>第13条</w:t>
      </w:r>
      <w:bookmarkEnd w:id="150"/>
    </w:p>
    <w:p w:rsidR="001C7848" w:rsidRDefault="001C7848">
      <w:pPr>
        <w:spacing w:after="240" w:line="360" w:lineRule="exact"/>
        <w:ind w:right="-69" w:firstLine="420"/>
        <w:rPr>
          <w:rFonts w:eastAsia="KaiTi_GB2312" w:hint="eastAsia"/>
          <w:iCs/>
          <w:color w:val="0000FF"/>
          <w:szCs w:val="30"/>
        </w:rPr>
      </w:pPr>
      <w:r>
        <w:rPr>
          <w:rFonts w:eastAsia="KaiTi_GB2312" w:hint="eastAsia"/>
          <w:iCs/>
          <w:color w:val="0000FF"/>
          <w:szCs w:val="30"/>
        </w:rPr>
        <w:t>缔约各国应当采取一切适当措施以消除在经济和社会生活的其他方面对妇女的歧视，保证她们在男女平等的基础上有相同的权利，特别是：</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领取家属津贴的权利；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银行贷款、扣押和其他形式的金融信贷的权利；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c</w:t>
      </w:r>
      <w:r>
        <w:rPr>
          <w:rFonts w:eastAsia="KaiTi_GB2312"/>
          <w:iCs/>
          <w:color w:val="0000FF"/>
          <w:szCs w:val="30"/>
        </w:rPr>
        <w:t>）</w:t>
      </w:r>
      <w:r>
        <w:rPr>
          <w:rFonts w:eastAsia="KaiTi_GB2312" w:hint="eastAsia"/>
          <w:iCs/>
          <w:color w:val="0000FF"/>
          <w:szCs w:val="30"/>
        </w:rPr>
        <w:t>参与娱乐活动、运动和文化生活所有各方面的权利。</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在此芬兰政府参考了以前的报告。</w:t>
      </w:r>
    </w:p>
    <w:p w:rsidR="001C7848" w:rsidRDefault="001C7848">
      <w:pPr>
        <w:pStyle w:val="HCh"/>
        <w:jc w:val="both"/>
        <w:rPr>
          <w:rFonts w:hint="eastAsia"/>
        </w:rPr>
      </w:pPr>
      <w:bookmarkStart w:id="151" w:name="_Toc188785316"/>
      <w:r>
        <w:rPr>
          <w:rFonts w:hint="eastAsia"/>
        </w:rPr>
        <w:t>第14条</w:t>
      </w:r>
      <w:bookmarkEnd w:id="151"/>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1. </w:t>
      </w:r>
      <w:r>
        <w:rPr>
          <w:rFonts w:eastAsia="KaiTi_GB2312" w:hint="eastAsia"/>
          <w:iCs/>
          <w:color w:val="0000FF"/>
          <w:szCs w:val="30"/>
        </w:rPr>
        <w:t>缔约各国应考虑到农村妇女面临的特殊问题和她们对家庭生计包括她们在经济体系中非商品化部门的工作方面所发挥的重要作用，并应采取一切适当措施，保证对农村妇女适用本公约的各项规定。</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2. </w:t>
      </w:r>
      <w:r>
        <w:rPr>
          <w:rFonts w:eastAsia="KaiTi_GB2312" w:hint="eastAsia"/>
          <w:iCs/>
          <w:color w:val="0000FF"/>
          <w:szCs w:val="30"/>
        </w:rPr>
        <w:t>缔约各国应采取一切适当措施以消除对农村妇女的歧视，保证她们在男女平等的基础上参与农村发展并受其益惠，尤其是保证她们有权：</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参与各级发展规划的拟订和执行工作；</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利用充分的保健设施，包括计划生育方面的知识、辅导和服务；</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c</w:t>
      </w:r>
      <w:r>
        <w:rPr>
          <w:rFonts w:eastAsia="KaiTi_GB2312"/>
          <w:iCs/>
          <w:color w:val="0000FF"/>
          <w:szCs w:val="30"/>
        </w:rPr>
        <w:t>）</w:t>
      </w:r>
      <w:r>
        <w:rPr>
          <w:rFonts w:eastAsia="KaiTi_GB2312" w:hint="eastAsia"/>
          <w:iCs/>
          <w:color w:val="0000FF"/>
          <w:szCs w:val="30"/>
        </w:rPr>
        <w:t>从社会保障方案直接受益；</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d</w:t>
      </w:r>
      <w:r>
        <w:rPr>
          <w:rFonts w:eastAsia="KaiTi_GB2312"/>
          <w:iCs/>
          <w:color w:val="0000FF"/>
          <w:szCs w:val="30"/>
        </w:rPr>
        <w:t>）</w:t>
      </w:r>
      <w:r>
        <w:rPr>
          <w:rFonts w:eastAsia="KaiTi_GB2312" w:hint="eastAsia"/>
          <w:iCs/>
          <w:color w:val="0000FF"/>
          <w:szCs w:val="30"/>
        </w:rPr>
        <w:t>接受各种正式和非正式的培训和教育，包括有关实用读写能力的培训和教育在内，以及除了别的以外，享受一切社区服务和推广服务的益惠，以提高她们的技术熟练程度；</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e</w:t>
      </w:r>
      <w:r>
        <w:rPr>
          <w:rFonts w:eastAsia="KaiTi_GB2312"/>
          <w:iCs/>
          <w:color w:val="0000FF"/>
          <w:szCs w:val="30"/>
        </w:rPr>
        <w:t>）</w:t>
      </w:r>
      <w:r>
        <w:rPr>
          <w:rFonts w:eastAsia="KaiTi_GB2312" w:hint="eastAsia"/>
          <w:iCs/>
          <w:color w:val="0000FF"/>
          <w:szCs w:val="30"/>
        </w:rPr>
        <w:t>组织自助团体和合作社，以通过受雇和自营职业的途径取得平等的经济机会；</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f</w:t>
      </w:r>
      <w:r>
        <w:rPr>
          <w:rFonts w:eastAsia="KaiTi_GB2312"/>
          <w:iCs/>
          <w:color w:val="0000FF"/>
          <w:szCs w:val="30"/>
        </w:rPr>
        <w:t>）</w:t>
      </w:r>
      <w:r>
        <w:rPr>
          <w:rFonts w:eastAsia="KaiTi_GB2312" w:hint="eastAsia"/>
          <w:iCs/>
          <w:color w:val="0000FF"/>
          <w:szCs w:val="30"/>
        </w:rPr>
        <w:t>参加一切社区活动；</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g</w:t>
      </w:r>
      <w:r>
        <w:rPr>
          <w:rFonts w:eastAsia="KaiTi_GB2312"/>
          <w:iCs/>
          <w:color w:val="0000FF"/>
          <w:szCs w:val="30"/>
        </w:rPr>
        <w:t>）</w:t>
      </w:r>
      <w:r>
        <w:rPr>
          <w:rFonts w:eastAsia="KaiTi_GB2312" w:hint="eastAsia"/>
          <w:iCs/>
          <w:color w:val="0000FF"/>
          <w:szCs w:val="30"/>
        </w:rPr>
        <w:t>有机会取得农业信贷，利用销售设施，获得适当技术，并在土地改革和土地垦殖计划方面享有平等待遇；</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h</w:t>
      </w:r>
      <w:r>
        <w:rPr>
          <w:rFonts w:eastAsia="KaiTi_GB2312"/>
          <w:iCs/>
          <w:color w:val="0000FF"/>
          <w:szCs w:val="30"/>
        </w:rPr>
        <w:t>）</w:t>
      </w:r>
      <w:r>
        <w:rPr>
          <w:rFonts w:eastAsia="KaiTi_GB2312" w:hint="eastAsia"/>
          <w:iCs/>
          <w:color w:val="0000FF"/>
          <w:szCs w:val="30"/>
        </w:rPr>
        <w:t>享受适当的生活条件，特别是在住房、卫生、水电供应、交通和通讯方面。</w:t>
      </w:r>
    </w:p>
    <w:p w:rsidR="001C7848" w:rsidRDefault="001C7848">
      <w:pPr>
        <w:pStyle w:val="H1"/>
        <w:spacing w:before="120"/>
        <w:jc w:val="both"/>
        <w:rPr>
          <w:rFonts w:hint="eastAsia"/>
        </w:rPr>
      </w:pPr>
      <w:bookmarkStart w:id="152" w:name="_Toc181766721"/>
      <w:bookmarkStart w:id="153" w:name="_Toc188785317"/>
      <w:r>
        <w:t>1.</w:t>
      </w:r>
      <w:bookmarkEnd w:id="152"/>
      <w:r>
        <w:rPr>
          <w:rFonts w:hint="eastAsia"/>
        </w:rPr>
        <w:t xml:space="preserve">  农村地区发展</w:t>
      </w:r>
      <w:bookmarkEnd w:id="153"/>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于</w:t>
      </w:r>
      <w:r>
        <w:rPr>
          <w:rFonts w:hint="eastAsia"/>
          <w:szCs w:val="24"/>
        </w:rPr>
        <w:t>2000</w:t>
      </w:r>
      <w:r>
        <w:rPr>
          <w:rFonts w:hint="eastAsia"/>
          <w:szCs w:val="24"/>
        </w:rPr>
        <w:t>年完成的芬兰农村政策方案由协调小组协调。一个单独的妇女主题小组作为协调小组的一部分而运作。在以前的报告中它被称为活动小组。该小组的工作于</w:t>
      </w:r>
      <w:r>
        <w:rPr>
          <w:rFonts w:hint="eastAsia"/>
          <w:szCs w:val="24"/>
        </w:rPr>
        <w:t>2007</w:t>
      </w:r>
      <w:r>
        <w:rPr>
          <w:rFonts w:hint="eastAsia"/>
          <w:szCs w:val="24"/>
        </w:rPr>
        <w:t>年夏季完成。</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妇女主题组的目标是促进农村妇女的活动，并使之卓有成效。合作旨在促进农村地区的妇女争取更好的生活，同时促进将平等观点纳入农村发展的努力。主题小组作为一个全国性的组织而运作，住在农村和城市的妇女都参与其活动。其中一些小组在行政部门、咨询机构和研究机构开展工作。芬兰地区委员会、就业和经济发展中心、咨询机构和全国项目是该小组的一些合作伙伴。</w:t>
      </w:r>
    </w:p>
    <w:p w:rsidR="001C7848" w:rsidRDefault="001C7848" w:rsidP="001C7848">
      <w:pPr>
        <w:numPr>
          <w:ilvl w:val="0"/>
          <w:numId w:val="12"/>
        </w:numPr>
        <w:overflowPunct w:val="0"/>
        <w:autoSpaceDE w:val="0"/>
        <w:autoSpaceDN w:val="0"/>
        <w:spacing w:after="240" w:line="360" w:lineRule="exact"/>
        <w:ind w:left="0" w:right="-69" w:firstLine="0"/>
        <w:rPr>
          <w:szCs w:val="24"/>
        </w:rPr>
      </w:pPr>
      <w:r>
        <w:rPr>
          <w:rFonts w:hint="eastAsia"/>
          <w:szCs w:val="24"/>
        </w:rPr>
        <w:t>妇女主题小组在</w:t>
      </w:r>
      <w:r>
        <w:rPr>
          <w:szCs w:val="24"/>
        </w:rPr>
        <w:t>2005-2007</w:t>
      </w:r>
      <w:r>
        <w:rPr>
          <w:rFonts w:hint="eastAsia"/>
          <w:szCs w:val="24"/>
        </w:rPr>
        <w:t>年的活动中实施了农村妇女行动计划，第四个农村政策方案和行动提案列入了实现平等国家行动计划中。重点是在计划框架内，在地区发展工作、创业和研究方面促进两性平等。</w:t>
      </w:r>
      <w:r>
        <w:rPr>
          <w:rFonts w:hint="eastAsia"/>
          <w:szCs w:val="24"/>
        </w:rPr>
        <w:t>2007</w:t>
      </w:r>
      <w:r>
        <w:rPr>
          <w:rFonts w:hint="eastAsia"/>
          <w:szCs w:val="24"/>
        </w:rPr>
        <w:t>年，主题小组着重于加强地区和农村政策中性别主流化的条件。</w:t>
      </w:r>
    </w:p>
    <w:p w:rsidR="001C7848" w:rsidRDefault="001C7848">
      <w:pPr>
        <w:pStyle w:val="HCh"/>
        <w:jc w:val="both"/>
        <w:rPr>
          <w:rFonts w:hint="eastAsia"/>
        </w:rPr>
      </w:pPr>
      <w:bookmarkStart w:id="154" w:name="_Toc188785318"/>
      <w:r>
        <w:rPr>
          <w:rFonts w:hint="eastAsia"/>
        </w:rPr>
        <w:t>第15条</w:t>
      </w:r>
      <w:bookmarkEnd w:id="154"/>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1. </w:t>
      </w:r>
      <w:r>
        <w:rPr>
          <w:rFonts w:eastAsia="KaiTi_GB2312" w:hint="eastAsia"/>
          <w:iCs/>
          <w:color w:val="0000FF"/>
          <w:szCs w:val="30"/>
        </w:rPr>
        <w:t>缔约各国应给予男女在法律面前平等的地位。</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2. </w:t>
      </w:r>
      <w:r>
        <w:rPr>
          <w:rFonts w:eastAsia="KaiTi_GB2312" w:hint="eastAsia"/>
          <w:iCs/>
          <w:color w:val="0000FF"/>
          <w:szCs w:val="30"/>
        </w:rPr>
        <w:t>缔约各国应在公民事务上，给予妇女与男子同等的法律行为能力，以及行使这种行为能力的相同机会。特别应给予妇女签订合同和管理财产的平等权利，并在法院和法庭诉讼的各个阶段给予平等待遇。</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3. </w:t>
      </w:r>
      <w:r>
        <w:rPr>
          <w:rFonts w:eastAsia="KaiTi_GB2312" w:hint="eastAsia"/>
          <w:iCs/>
          <w:color w:val="0000FF"/>
          <w:szCs w:val="30"/>
        </w:rPr>
        <w:t>缔约各国同意，旨在限制妇女法律行为能力的所有合同和其他任何具有法律效力的私人文书，应一律视为无效。</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4. </w:t>
      </w:r>
      <w:r>
        <w:rPr>
          <w:rFonts w:eastAsia="KaiTi_GB2312" w:hint="eastAsia"/>
          <w:iCs/>
          <w:color w:val="0000FF"/>
          <w:szCs w:val="30"/>
        </w:rPr>
        <w:t>缔约各国在有关人身移动和自由择居的法律方面，应给予男女相同的权利。</w:t>
      </w:r>
    </w:p>
    <w:p w:rsidR="001C7848" w:rsidRDefault="001C7848" w:rsidP="001C7848">
      <w:pPr>
        <w:numPr>
          <w:ilvl w:val="0"/>
          <w:numId w:val="12"/>
        </w:numPr>
        <w:overflowPunct w:val="0"/>
        <w:autoSpaceDE w:val="0"/>
        <w:autoSpaceDN w:val="0"/>
        <w:spacing w:after="240" w:line="360" w:lineRule="exact"/>
        <w:ind w:left="0" w:right="-69" w:firstLine="0"/>
        <w:rPr>
          <w:szCs w:val="24"/>
          <w:lang w:val="fi-FI"/>
        </w:rPr>
      </w:pPr>
      <w:r>
        <w:rPr>
          <w:rFonts w:hint="eastAsia"/>
          <w:szCs w:val="24"/>
        </w:rPr>
        <w:t>在芬兰，按《公约》第</w:t>
      </w:r>
      <w:r>
        <w:rPr>
          <w:rFonts w:hint="eastAsia"/>
          <w:szCs w:val="24"/>
        </w:rPr>
        <w:t>15</w:t>
      </w:r>
      <w:r>
        <w:rPr>
          <w:rFonts w:hint="eastAsia"/>
          <w:szCs w:val="24"/>
        </w:rPr>
        <w:t>条的规定，法律面前男女平等。在这里，政府引用了以前的定期报告。</w:t>
      </w:r>
    </w:p>
    <w:p w:rsidR="001C7848" w:rsidRDefault="001C7848">
      <w:pPr>
        <w:pStyle w:val="HCh"/>
        <w:jc w:val="both"/>
        <w:rPr>
          <w:rFonts w:hint="eastAsia"/>
        </w:rPr>
      </w:pPr>
      <w:bookmarkStart w:id="155" w:name="_Toc188785319"/>
      <w:r>
        <w:rPr>
          <w:rFonts w:hint="eastAsia"/>
        </w:rPr>
        <w:t>第16条</w:t>
      </w:r>
      <w:bookmarkEnd w:id="155"/>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1. </w:t>
      </w:r>
      <w:r>
        <w:rPr>
          <w:rFonts w:eastAsia="KaiTi_GB2312" w:hint="eastAsia"/>
          <w:iCs/>
          <w:color w:val="0000FF"/>
          <w:szCs w:val="30"/>
        </w:rPr>
        <w:t>缔约各国应采取一切适当措施，消除在有关婚姻和家庭关系的一切事务上对妇女的歧视，并特别应保证妇女在男女平等的基础上：</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a</w:t>
      </w:r>
      <w:r>
        <w:rPr>
          <w:rFonts w:eastAsia="KaiTi_GB2312"/>
          <w:iCs/>
          <w:color w:val="0000FF"/>
          <w:szCs w:val="30"/>
        </w:rPr>
        <w:t>）</w:t>
      </w:r>
      <w:r>
        <w:rPr>
          <w:rFonts w:eastAsia="KaiTi_GB2312" w:hint="eastAsia"/>
          <w:iCs/>
          <w:color w:val="0000FF"/>
          <w:szCs w:val="30"/>
        </w:rPr>
        <w:t>有相同的缔结婚约的权利；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b</w:t>
      </w:r>
      <w:r>
        <w:rPr>
          <w:rFonts w:eastAsia="KaiTi_GB2312"/>
          <w:iCs/>
          <w:color w:val="0000FF"/>
          <w:szCs w:val="30"/>
        </w:rPr>
        <w:t>）</w:t>
      </w:r>
      <w:r>
        <w:rPr>
          <w:rFonts w:eastAsia="KaiTi_GB2312" w:hint="eastAsia"/>
          <w:iCs/>
          <w:color w:val="0000FF"/>
          <w:szCs w:val="30"/>
        </w:rPr>
        <w:t>有相同的自由选择配偶和非经本人自由表示、完全同意不缔婚约的权利；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c</w:t>
      </w:r>
      <w:r>
        <w:rPr>
          <w:rFonts w:eastAsia="KaiTi_GB2312"/>
          <w:iCs/>
          <w:color w:val="0000FF"/>
          <w:szCs w:val="30"/>
        </w:rPr>
        <w:t>）</w:t>
      </w:r>
      <w:r>
        <w:rPr>
          <w:rFonts w:eastAsia="KaiTi_GB2312" w:hint="eastAsia"/>
          <w:iCs/>
          <w:color w:val="0000FF"/>
          <w:szCs w:val="30"/>
        </w:rPr>
        <w:t>在婚姻存续期间以及解除婚姻关系时，有相同的权利和义务；</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d</w:t>
      </w:r>
      <w:r>
        <w:rPr>
          <w:rFonts w:eastAsia="KaiTi_GB2312"/>
          <w:iCs/>
          <w:color w:val="0000FF"/>
          <w:szCs w:val="30"/>
        </w:rPr>
        <w:t>）</w:t>
      </w:r>
      <w:r>
        <w:rPr>
          <w:rFonts w:eastAsia="KaiTi_GB2312" w:hint="eastAsia"/>
          <w:iCs/>
          <w:color w:val="0000FF"/>
          <w:szCs w:val="30"/>
        </w:rPr>
        <w:t>不论婚姻状况如何，在有关子女的事务上，作为父母亲有相同的权利和义务。但在任何情形下，均应以子女的利益为重；</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e</w:t>
      </w:r>
      <w:r>
        <w:rPr>
          <w:rFonts w:eastAsia="KaiTi_GB2312"/>
          <w:iCs/>
          <w:color w:val="0000FF"/>
          <w:szCs w:val="30"/>
        </w:rPr>
        <w:t>）</w:t>
      </w:r>
      <w:r>
        <w:rPr>
          <w:rFonts w:eastAsia="KaiTi_GB2312" w:hint="eastAsia"/>
          <w:iCs/>
          <w:color w:val="0000FF"/>
          <w:szCs w:val="30"/>
        </w:rPr>
        <w:t>有相同的权利自由负责地决定子女人数和生育间隔，并有机会获得使妇女获得行使这种权利的知识、教育和方法；</w:t>
      </w:r>
    </w:p>
    <w:p w:rsidR="001C7848" w:rsidRDefault="001C7848">
      <w:pPr>
        <w:spacing w:after="240" w:line="360" w:lineRule="exact"/>
        <w:ind w:right="-69" w:firstLine="420"/>
        <w:rPr>
          <w:rFonts w:eastAsia="KaiTi_GB2312"/>
          <w:iCs/>
          <w:color w:val="0000FF"/>
          <w:szCs w:val="30"/>
        </w:rPr>
      </w:pPr>
      <w:r>
        <w:rPr>
          <w:rFonts w:eastAsia="KaiTi_GB2312"/>
          <w:iCs/>
          <w:color w:val="0000FF"/>
          <w:szCs w:val="30"/>
        </w:rPr>
        <w:t>f</w:t>
      </w:r>
      <w:r>
        <w:rPr>
          <w:rFonts w:eastAsia="KaiTi_GB2312"/>
          <w:iCs/>
          <w:color w:val="0000FF"/>
          <w:szCs w:val="30"/>
        </w:rPr>
        <w:t>）</w:t>
      </w:r>
      <w:r>
        <w:rPr>
          <w:rFonts w:eastAsia="KaiTi_GB2312" w:hint="eastAsia"/>
          <w:iCs/>
          <w:color w:val="0000FF"/>
          <w:szCs w:val="30"/>
        </w:rPr>
        <w:t>在监护、看管、受托和收养子女或类似的制度方面，如果国家法规有这些观念的话，有相同的权利和义务。但在任何情形下，均应以子女的利益为重；</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g</w:t>
      </w:r>
      <w:r>
        <w:rPr>
          <w:rFonts w:eastAsia="KaiTi_GB2312"/>
          <w:iCs/>
          <w:color w:val="0000FF"/>
          <w:szCs w:val="30"/>
        </w:rPr>
        <w:t>）</w:t>
      </w:r>
      <w:r>
        <w:rPr>
          <w:rFonts w:eastAsia="KaiTi_GB2312" w:hint="eastAsia"/>
          <w:iCs/>
          <w:color w:val="0000FF"/>
          <w:szCs w:val="30"/>
        </w:rPr>
        <w:t>夫妻有相同的个人权利，包括选择姓氏、专业和职业的权利；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h</w:t>
      </w:r>
      <w:r>
        <w:rPr>
          <w:rFonts w:eastAsia="KaiTi_GB2312"/>
          <w:iCs/>
          <w:color w:val="0000FF"/>
          <w:szCs w:val="30"/>
        </w:rPr>
        <w:t>）</w:t>
      </w:r>
      <w:r>
        <w:rPr>
          <w:rFonts w:eastAsia="KaiTi_GB2312" w:hint="eastAsia"/>
          <w:iCs/>
          <w:color w:val="0000FF"/>
          <w:szCs w:val="30"/>
        </w:rPr>
        <w:t>配偶双方在财产的所有、取得、经营、管理、享有、处置方面，不论是无偿的或是收取价值酬报的，都具有相同的权利。</w:t>
      </w:r>
    </w:p>
    <w:p w:rsidR="001C7848" w:rsidRDefault="001C7848">
      <w:pPr>
        <w:spacing w:after="240" w:line="360" w:lineRule="exact"/>
        <w:ind w:right="-69" w:firstLine="420"/>
        <w:rPr>
          <w:rFonts w:eastAsia="KaiTi_GB2312" w:hint="eastAsia"/>
          <w:iCs/>
          <w:color w:val="0000FF"/>
          <w:szCs w:val="30"/>
        </w:rPr>
      </w:pPr>
      <w:r>
        <w:rPr>
          <w:rFonts w:eastAsia="KaiTi_GB2312"/>
          <w:iCs/>
          <w:color w:val="0000FF"/>
          <w:szCs w:val="30"/>
        </w:rPr>
        <w:t xml:space="preserve">2. </w:t>
      </w:r>
      <w:r>
        <w:rPr>
          <w:rFonts w:eastAsia="KaiTi_GB2312" w:hint="eastAsia"/>
          <w:iCs/>
          <w:color w:val="0000FF"/>
          <w:szCs w:val="30"/>
        </w:rPr>
        <w:t>童年订婚和童婚应不具法律效力，并应采取一切必要行动，包括制订法律，规定结婚最低年龄，并规定婚姻必须向正式登记机构登记。</w:t>
      </w:r>
    </w:p>
    <w:p w:rsidR="001C7848" w:rsidRDefault="001C7848" w:rsidP="001C7848">
      <w:pPr>
        <w:numPr>
          <w:ilvl w:val="0"/>
          <w:numId w:val="12"/>
        </w:numPr>
        <w:overflowPunct w:val="0"/>
        <w:autoSpaceDE w:val="0"/>
        <w:autoSpaceDN w:val="0"/>
        <w:spacing w:after="240" w:line="360" w:lineRule="exact"/>
        <w:ind w:left="0" w:right="-69" w:firstLine="0"/>
        <w:rPr>
          <w:rFonts w:hint="eastAsia"/>
        </w:rPr>
      </w:pPr>
      <w:r>
        <w:rPr>
          <w:rFonts w:hint="eastAsia"/>
          <w:szCs w:val="24"/>
        </w:rPr>
        <w:t>联合国秘书长在其信函中要求各国提供关于提高妇女地位委员会第</w:t>
      </w:r>
      <w:r>
        <w:rPr>
          <w:szCs w:val="24"/>
        </w:rPr>
        <w:t>51/3</w:t>
      </w:r>
      <w:r>
        <w:rPr>
          <w:rFonts w:hint="eastAsia"/>
          <w:szCs w:val="24"/>
        </w:rPr>
        <w:t>号决议执行情况的资料，芬兰政府在</w:t>
      </w:r>
      <w:r>
        <w:rPr>
          <w:rFonts w:hint="eastAsia"/>
          <w:szCs w:val="24"/>
        </w:rPr>
        <w:t>2007</w:t>
      </w:r>
      <w:r>
        <w:rPr>
          <w:rFonts w:hint="eastAsia"/>
          <w:szCs w:val="24"/>
        </w:rPr>
        <w:t>年</w:t>
      </w:r>
      <w:r>
        <w:rPr>
          <w:rFonts w:hint="eastAsia"/>
          <w:szCs w:val="24"/>
        </w:rPr>
        <w:t>9</w:t>
      </w:r>
      <w:r>
        <w:rPr>
          <w:rFonts w:hint="eastAsia"/>
          <w:szCs w:val="24"/>
        </w:rPr>
        <w:t>月</w:t>
      </w:r>
      <w:r>
        <w:rPr>
          <w:rFonts w:hint="eastAsia"/>
          <w:szCs w:val="24"/>
        </w:rPr>
        <w:t>14</w:t>
      </w:r>
      <w:r>
        <w:rPr>
          <w:rFonts w:hint="eastAsia"/>
          <w:szCs w:val="24"/>
        </w:rPr>
        <w:t>日对这一要求作了答复，该答复附于本期报告。第</w:t>
      </w:r>
      <w:r>
        <w:rPr>
          <w:rFonts w:hint="eastAsia"/>
          <w:szCs w:val="24"/>
        </w:rPr>
        <w:t>51/3</w:t>
      </w:r>
      <w:r>
        <w:rPr>
          <w:rFonts w:hint="eastAsia"/>
          <w:szCs w:val="24"/>
        </w:rPr>
        <w:t>号决议涉及对女童的逼婚问题。在其他方面，芬兰政府参考了以前的定期报告。</w:t>
      </w:r>
    </w:p>
    <w:p w:rsidR="001C7848" w:rsidRDefault="001C7848">
      <w:pPr>
        <w:pStyle w:val="H2"/>
        <w:rPr>
          <w:rFonts w:ascii="Times New Roman" w:hint="eastAsia"/>
          <w:szCs w:val="24"/>
          <w:lang w:val="en-US"/>
        </w:rPr>
      </w:pPr>
    </w:p>
    <w:p w:rsidR="001C7848" w:rsidRDefault="001C7848">
      <w:pPr>
        <w:pStyle w:val="HCh"/>
        <w:rPr>
          <w:rFonts w:hint="eastAsia"/>
        </w:rPr>
      </w:pPr>
      <w:r>
        <w:rPr>
          <w:rFonts w:ascii="Times New Roman"/>
        </w:rPr>
        <w:br w:type="page"/>
      </w:r>
      <w:bookmarkStart w:id="156" w:name="_Toc188785320"/>
      <w:r>
        <w:rPr>
          <w:rFonts w:hint="eastAsia"/>
        </w:rPr>
        <w:t>附录</w:t>
      </w:r>
      <w:bookmarkEnd w:id="156"/>
    </w:p>
    <w:p w:rsidR="001C7848" w:rsidRDefault="001C7848" w:rsidP="001C7848">
      <w:pPr>
        <w:pStyle w:val="BodyTextIndent3"/>
        <w:numPr>
          <w:ilvl w:val="0"/>
          <w:numId w:val="11"/>
        </w:numPr>
        <w:tabs>
          <w:tab w:val="clear" w:pos="2079"/>
          <w:tab w:val="clear" w:pos="5018"/>
          <w:tab w:val="left" w:pos="480"/>
        </w:tabs>
        <w:overflowPunct w:val="0"/>
        <w:autoSpaceDE w:val="0"/>
        <w:autoSpaceDN w:val="0"/>
        <w:adjustRightInd w:val="0"/>
        <w:spacing w:after="240" w:line="360" w:lineRule="exact"/>
        <w:ind w:left="480" w:right="-68" w:hanging="480"/>
        <w:textAlignment w:val="baseline"/>
        <w:rPr>
          <w:szCs w:val="24"/>
          <w:lang w:val="fi-FI"/>
        </w:rPr>
      </w:pPr>
      <w:r>
        <w:rPr>
          <w:rFonts w:hint="eastAsia"/>
          <w:szCs w:val="24"/>
          <w:lang w:val="fi-FI"/>
        </w:rPr>
        <w:t>工作场所的两性平等；社会事务和卫生部，</w:t>
      </w:r>
      <w:r>
        <w:rPr>
          <w:szCs w:val="24"/>
          <w:lang w:val="fi-FI"/>
        </w:rPr>
        <w:t xml:space="preserve">2005:6 </w:t>
      </w:r>
      <w:r>
        <w:rPr>
          <w:rFonts w:hint="eastAsia"/>
          <w:szCs w:val="24"/>
          <w:lang w:val="fi-FI"/>
        </w:rPr>
        <w:t xml:space="preserve">　</w:t>
      </w:r>
      <w:r>
        <w:rPr>
          <w:szCs w:val="24"/>
          <w:lang w:val="fi-FI"/>
        </w:rPr>
        <w:tab/>
        <w:t xml:space="preserve"> </w:t>
      </w:r>
    </w:p>
    <w:p w:rsidR="001C7848" w:rsidRDefault="001C7848" w:rsidP="001C7848">
      <w:pPr>
        <w:pStyle w:val="BodyTextIndent3"/>
        <w:numPr>
          <w:ilvl w:val="0"/>
          <w:numId w:val="11"/>
        </w:numPr>
        <w:tabs>
          <w:tab w:val="clear" w:pos="2079"/>
          <w:tab w:val="clear" w:pos="5018"/>
          <w:tab w:val="left" w:pos="480"/>
        </w:tabs>
        <w:overflowPunct w:val="0"/>
        <w:autoSpaceDE w:val="0"/>
        <w:autoSpaceDN w:val="0"/>
        <w:adjustRightInd w:val="0"/>
        <w:spacing w:after="240" w:line="360" w:lineRule="exact"/>
        <w:ind w:left="480" w:right="-68" w:hanging="480"/>
        <w:textAlignment w:val="baseline"/>
        <w:rPr>
          <w:rFonts w:hint="eastAsia"/>
          <w:szCs w:val="24"/>
        </w:rPr>
      </w:pPr>
      <w:r>
        <w:rPr>
          <w:rFonts w:hint="eastAsia"/>
          <w:szCs w:val="24"/>
          <w:lang w:val="fi-FI"/>
        </w:rPr>
        <w:t>《</w:t>
      </w:r>
      <w:r>
        <w:rPr>
          <w:rFonts w:hint="eastAsia"/>
          <w:szCs w:val="24"/>
          <w:lang w:val="fi-FI"/>
        </w:rPr>
        <w:t>2005</w:t>
      </w:r>
      <w:r>
        <w:rPr>
          <w:rFonts w:hint="eastAsia"/>
          <w:szCs w:val="24"/>
          <w:lang w:val="fi-FI"/>
        </w:rPr>
        <w:t>年男女平等法》；社会事务和卫生部，</w:t>
      </w:r>
      <w:r>
        <w:rPr>
          <w:szCs w:val="24"/>
        </w:rPr>
        <w:t>2005:2</w:t>
      </w:r>
      <w:r>
        <w:rPr>
          <w:rFonts w:hint="eastAsia"/>
          <w:szCs w:val="24"/>
        </w:rPr>
        <w:t xml:space="preserve">　</w:t>
      </w:r>
    </w:p>
    <w:p w:rsidR="001C7848" w:rsidRDefault="001C7848" w:rsidP="001C7848">
      <w:pPr>
        <w:pStyle w:val="BodyTextIndent3"/>
        <w:numPr>
          <w:ilvl w:val="0"/>
          <w:numId w:val="11"/>
        </w:numPr>
        <w:tabs>
          <w:tab w:val="clear" w:pos="2079"/>
          <w:tab w:val="clear" w:pos="5018"/>
          <w:tab w:val="left" w:pos="480"/>
        </w:tabs>
        <w:overflowPunct w:val="0"/>
        <w:autoSpaceDE w:val="0"/>
        <w:autoSpaceDN w:val="0"/>
        <w:adjustRightInd w:val="0"/>
        <w:spacing w:after="240" w:line="360" w:lineRule="exact"/>
        <w:ind w:left="480" w:right="-68" w:hanging="480"/>
        <w:textAlignment w:val="baseline"/>
        <w:rPr>
          <w:szCs w:val="24"/>
        </w:rPr>
      </w:pPr>
      <w:r>
        <w:rPr>
          <w:rFonts w:hint="eastAsia"/>
          <w:szCs w:val="24"/>
        </w:rPr>
        <w:t>第</w:t>
      </w:r>
      <w:r>
        <w:rPr>
          <w:szCs w:val="24"/>
        </w:rPr>
        <w:t>50/2006</w:t>
      </w:r>
      <w:r>
        <w:rPr>
          <w:rFonts w:hint="eastAsia"/>
          <w:szCs w:val="24"/>
        </w:rPr>
        <w:t>号法案修订的《不歧视法》（</w:t>
      </w:r>
      <w:r>
        <w:rPr>
          <w:szCs w:val="24"/>
        </w:rPr>
        <w:t>21/2004</w:t>
      </w:r>
      <w:r>
        <w:rPr>
          <w:rFonts w:hint="eastAsia"/>
          <w:szCs w:val="24"/>
        </w:rPr>
        <w:t xml:space="preserve">）　</w:t>
      </w:r>
    </w:p>
    <w:p w:rsidR="001C7848" w:rsidRDefault="001C7848" w:rsidP="001C7848">
      <w:pPr>
        <w:pStyle w:val="BodyTextIndent3"/>
        <w:numPr>
          <w:ilvl w:val="0"/>
          <w:numId w:val="11"/>
        </w:numPr>
        <w:tabs>
          <w:tab w:val="clear" w:pos="2079"/>
          <w:tab w:val="clear" w:pos="5018"/>
          <w:tab w:val="left" w:pos="480"/>
        </w:tabs>
        <w:overflowPunct w:val="0"/>
        <w:autoSpaceDE w:val="0"/>
        <w:autoSpaceDN w:val="0"/>
        <w:adjustRightInd w:val="0"/>
        <w:spacing w:after="240" w:line="360" w:lineRule="exact"/>
        <w:ind w:left="480" w:right="-68" w:hanging="480"/>
        <w:textAlignment w:val="baseline"/>
        <w:rPr>
          <w:szCs w:val="24"/>
        </w:rPr>
      </w:pPr>
      <w:r>
        <w:rPr>
          <w:rFonts w:hint="eastAsia"/>
          <w:szCs w:val="24"/>
        </w:rPr>
        <w:t>《</w:t>
      </w:r>
      <w:r>
        <w:rPr>
          <w:rFonts w:hint="eastAsia"/>
          <w:szCs w:val="24"/>
          <w:lang w:val="fi-FI"/>
        </w:rPr>
        <w:t>雇用</w:t>
      </w:r>
      <w:r>
        <w:rPr>
          <w:rFonts w:hint="eastAsia"/>
          <w:szCs w:val="24"/>
        </w:rPr>
        <w:t>合同法》（</w:t>
      </w:r>
      <w:r>
        <w:rPr>
          <w:szCs w:val="24"/>
        </w:rPr>
        <w:t>55/2001</w:t>
      </w:r>
      <w:r>
        <w:rPr>
          <w:rFonts w:hint="eastAsia"/>
          <w:szCs w:val="24"/>
        </w:rPr>
        <w:t>，包括第</w:t>
      </w:r>
      <w:r>
        <w:rPr>
          <w:szCs w:val="24"/>
        </w:rPr>
        <w:t>579/2006</w:t>
      </w:r>
      <w:r>
        <w:rPr>
          <w:rFonts w:hint="eastAsia"/>
          <w:szCs w:val="24"/>
        </w:rPr>
        <w:t>号修正案）</w:t>
      </w:r>
    </w:p>
    <w:p w:rsidR="001C7848" w:rsidRDefault="001C7848" w:rsidP="001C7848">
      <w:pPr>
        <w:pStyle w:val="BodyTextIndent3"/>
        <w:numPr>
          <w:ilvl w:val="0"/>
          <w:numId w:val="11"/>
        </w:numPr>
        <w:tabs>
          <w:tab w:val="clear" w:pos="2079"/>
          <w:tab w:val="clear" w:pos="5018"/>
          <w:tab w:val="left" w:pos="480"/>
        </w:tabs>
        <w:overflowPunct w:val="0"/>
        <w:autoSpaceDE w:val="0"/>
        <w:autoSpaceDN w:val="0"/>
        <w:adjustRightInd w:val="0"/>
        <w:spacing w:after="240" w:line="360" w:lineRule="exact"/>
        <w:ind w:left="480" w:right="-68" w:hanging="480"/>
        <w:textAlignment w:val="baseline"/>
        <w:rPr>
          <w:szCs w:val="24"/>
        </w:rPr>
      </w:pPr>
      <w:r>
        <w:rPr>
          <w:rFonts w:hint="eastAsia"/>
          <w:szCs w:val="24"/>
        </w:rPr>
        <w:t>芬兰统计局；两性统计数据；</w:t>
      </w:r>
      <w:r>
        <w:rPr>
          <w:rFonts w:hint="eastAsia"/>
          <w:szCs w:val="24"/>
        </w:rPr>
        <w:t>2005</w:t>
      </w:r>
      <w:r>
        <w:rPr>
          <w:rFonts w:hint="eastAsia"/>
          <w:szCs w:val="24"/>
        </w:rPr>
        <w:t xml:space="preserve">年芬兰的女性和男性　</w:t>
      </w:r>
    </w:p>
    <w:p w:rsidR="001C7848" w:rsidRDefault="001C7848" w:rsidP="001C7848">
      <w:pPr>
        <w:pStyle w:val="BodyTextIndent3"/>
        <w:numPr>
          <w:ilvl w:val="0"/>
          <w:numId w:val="11"/>
        </w:numPr>
        <w:tabs>
          <w:tab w:val="clear" w:pos="2079"/>
          <w:tab w:val="clear" w:pos="5018"/>
          <w:tab w:val="left" w:pos="480"/>
        </w:tabs>
        <w:overflowPunct w:val="0"/>
        <w:autoSpaceDE w:val="0"/>
        <w:autoSpaceDN w:val="0"/>
        <w:adjustRightInd w:val="0"/>
        <w:spacing w:after="240" w:line="360" w:lineRule="exact"/>
        <w:ind w:left="480" w:right="-68" w:hanging="480"/>
        <w:textAlignment w:val="baseline"/>
        <w:rPr>
          <w:szCs w:val="24"/>
        </w:rPr>
      </w:pPr>
      <w:r>
        <w:rPr>
          <w:rFonts w:hint="eastAsia"/>
          <w:szCs w:val="24"/>
        </w:rPr>
        <w:t>统计</w:t>
      </w:r>
      <w:r>
        <w:rPr>
          <w:rFonts w:hint="eastAsia"/>
          <w:szCs w:val="24"/>
          <w:lang w:val="fi-FI"/>
        </w:rPr>
        <w:t>数据</w:t>
      </w:r>
      <w:r>
        <w:rPr>
          <w:rFonts w:hint="eastAsia"/>
          <w:szCs w:val="24"/>
        </w:rPr>
        <w:t xml:space="preserve">：芬兰艾滋病毒感染案例，芬兰艾滋病案例　</w:t>
      </w:r>
    </w:p>
    <w:p w:rsidR="001C7848" w:rsidRDefault="001C7848" w:rsidP="001C7848">
      <w:pPr>
        <w:pStyle w:val="BodyTextIndent3"/>
        <w:numPr>
          <w:ilvl w:val="0"/>
          <w:numId w:val="11"/>
        </w:numPr>
        <w:tabs>
          <w:tab w:val="clear" w:pos="2079"/>
          <w:tab w:val="clear" w:pos="5018"/>
          <w:tab w:val="left" w:pos="480"/>
        </w:tabs>
        <w:overflowPunct w:val="0"/>
        <w:autoSpaceDE w:val="0"/>
        <w:autoSpaceDN w:val="0"/>
        <w:adjustRightInd w:val="0"/>
        <w:spacing w:after="240" w:line="360" w:lineRule="exact"/>
        <w:ind w:left="480" w:right="-68" w:hanging="480"/>
        <w:textAlignment w:val="baseline"/>
        <w:rPr>
          <w:szCs w:val="24"/>
        </w:rPr>
      </w:pPr>
      <w:r>
        <w:rPr>
          <w:rFonts w:hint="eastAsia"/>
          <w:szCs w:val="24"/>
        </w:rPr>
        <w:t>芬兰政府对提高妇女地位委员会关于女童逼婚问题的第</w:t>
      </w:r>
      <w:r>
        <w:rPr>
          <w:szCs w:val="24"/>
        </w:rPr>
        <w:t>51/3</w:t>
      </w:r>
      <w:r>
        <w:rPr>
          <w:rFonts w:hint="eastAsia"/>
          <w:szCs w:val="24"/>
        </w:rPr>
        <w:t>号决议的答复</w:t>
      </w:r>
      <w:r>
        <w:rPr>
          <w:rFonts w:hint="eastAsia"/>
          <w:szCs w:val="24"/>
        </w:rPr>
        <w:t xml:space="preserve"> </w:t>
      </w:r>
    </w:p>
    <w:p w:rsidR="001C7848" w:rsidRDefault="001C7848" w:rsidP="001C7848">
      <w:pPr>
        <w:pStyle w:val="BodyTextIndent3"/>
        <w:numPr>
          <w:ilvl w:val="0"/>
          <w:numId w:val="11"/>
        </w:numPr>
        <w:tabs>
          <w:tab w:val="clear" w:pos="2079"/>
          <w:tab w:val="clear" w:pos="5018"/>
          <w:tab w:val="left" w:pos="480"/>
        </w:tabs>
        <w:overflowPunct w:val="0"/>
        <w:autoSpaceDE w:val="0"/>
        <w:autoSpaceDN w:val="0"/>
        <w:adjustRightInd w:val="0"/>
        <w:spacing w:after="240" w:line="360" w:lineRule="exact"/>
        <w:ind w:left="480" w:right="-68" w:hanging="480"/>
        <w:textAlignment w:val="baseline"/>
        <w:rPr>
          <w:szCs w:val="30"/>
        </w:rPr>
      </w:pPr>
      <w:r>
        <w:rPr>
          <w:rFonts w:hint="eastAsia"/>
          <w:szCs w:val="24"/>
        </w:rPr>
        <w:t>芬兰政府对提高妇女地位委员会关于结束切割女性</w:t>
      </w:r>
      <w:r>
        <w:rPr>
          <w:rFonts w:hint="eastAsia"/>
          <w:szCs w:val="24"/>
          <w:lang w:val="fi-FI"/>
        </w:rPr>
        <w:t>生殖器官</w:t>
      </w:r>
      <w:r>
        <w:rPr>
          <w:rFonts w:hint="eastAsia"/>
          <w:szCs w:val="24"/>
        </w:rPr>
        <w:t>的第</w:t>
      </w:r>
      <w:r>
        <w:rPr>
          <w:szCs w:val="24"/>
        </w:rPr>
        <w:t xml:space="preserve">51/2 </w:t>
      </w:r>
      <w:r>
        <w:rPr>
          <w:rFonts w:hint="eastAsia"/>
          <w:szCs w:val="24"/>
        </w:rPr>
        <w:t>号决议的答复</w:t>
      </w:r>
    </w:p>
    <w:p w:rsidR="001C7848" w:rsidRPr="00BD602D" w:rsidRDefault="00BD602D" w:rsidP="00BD602D">
      <w:pPr>
        <w:spacing w:line="240" w:lineRule="auto"/>
        <w:rPr>
          <w:rFonts w:eastAsia="SimHei" w:hint="eastAsia"/>
          <w:sz w:val="20"/>
          <w:lang w:val="en-GB"/>
        </w:rPr>
      </w:pPr>
      <w:r>
        <w:rPr>
          <w:rFonts w:eastAsia="SimHei" w:hint="eastAsia"/>
          <w:noProof/>
          <w:sz w:val="20"/>
        </w:rPr>
        <w:pict>
          <v:line id="_x0000_s1343" style="position:absolute;left:0;text-align:left;z-index:1;mso-position-horizontal:center" from="0,30pt" to="1in,30pt" strokeweight=".25pt"/>
        </w:pict>
      </w:r>
    </w:p>
    <w:sectPr w:rsidR="001C7848" w:rsidRPr="00BD602D">
      <w:headerReference w:type="even" r:id="rId14"/>
      <w:headerReference w:type="default" r:id="rId15"/>
      <w:footerReference w:type="even" r:id="rId16"/>
      <w:footerReference w:type="default" r:id="rId17"/>
      <w:pgSz w:w="12242" w:h="15842" w:code="1"/>
      <w:pgMar w:top="1741" w:right="1196" w:bottom="1899" w:left="1196" w:header="578" w:footer="1032" w:gutter="0"/>
      <w:cols w:space="425"/>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1-25T10:28:00Z" w:initials="Start">
    <w:p w:rsidR="007569C0" w:rsidRDefault="007569C0">
      <w:pPr>
        <w:pStyle w:val="CommentText"/>
      </w:pPr>
      <w:r>
        <w:fldChar w:fldCharType="begin"/>
      </w:r>
      <w:r>
        <w:instrText>PAGE</w:instrText>
      </w:r>
      <w:r>
        <w:rPr>
          <w:rFonts w:hint="eastAsia"/>
        </w:rPr>
        <w:instrText xml:space="preserve"> \# "'页</w:instrText>
      </w:r>
      <w:r>
        <w:rPr>
          <w:rFonts w:hint="eastAsia"/>
          <w:lang w:val="en-GB"/>
        </w:rPr>
        <w:instrText>：</w:instrText>
      </w:r>
      <w:r>
        <w:rPr>
          <w:rFonts w:hint="eastAsia"/>
        </w:rPr>
        <w:instrText>'#'</w:instrText>
      </w:r>
      <w:r>
        <w:rPr>
          <w:rFonts w:hint="eastAsia"/>
        </w:rPr>
        <w:br/>
        <w:instrText>'"</w:instrText>
      </w:r>
      <w:r>
        <w:rPr>
          <w:rStyle w:val="CommentReference"/>
        </w:rPr>
        <w:instrText xml:space="preserve">  </w:instrText>
      </w:r>
      <w:r>
        <w:fldChar w:fldCharType="separate"/>
      </w:r>
      <w:r>
        <w:rPr>
          <w:rFonts w:hint="eastAsia"/>
          <w:noProof/>
        </w:rPr>
        <w:t>页</w:t>
      </w:r>
      <w:r>
        <w:rPr>
          <w:rFonts w:hint="eastAsia"/>
          <w:noProof/>
          <w:lang w:val="en-GB"/>
        </w:rPr>
        <w:t>：</w:t>
      </w:r>
      <w:r>
        <w:rPr>
          <w:noProof/>
        </w:rPr>
        <w:t>1</w:t>
      </w:r>
      <w:r>
        <w:rPr>
          <w:rFonts w:hint="eastAsia"/>
          <w:noProof/>
        </w:rPr>
        <w:br/>
      </w:r>
      <w:r>
        <w:fldChar w:fldCharType="end"/>
      </w:r>
      <w:r>
        <w:rPr>
          <w:rStyle w:val="CommentReference"/>
          <w:rFonts w:hint="eastAsia"/>
        </w:rPr>
        <w:annotationRef/>
      </w:r>
      <w:r>
        <w:t>&lt;&lt;ODS JOB NO&gt;&gt;N07</w:t>
      </w:r>
      <w:r>
        <w:rPr>
          <w:rFonts w:hint="eastAsia"/>
        </w:rPr>
        <w:t>59649</w:t>
      </w:r>
      <w:r>
        <w:t>C&lt;&lt;ODS JOB NO&gt;&gt;</w:t>
      </w:r>
    </w:p>
    <w:p w:rsidR="007569C0" w:rsidRDefault="007569C0">
      <w:pPr>
        <w:pStyle w:val="CommentText"/>
      </w:pPr>
      <w:r>
        <w:t>&lt;&lt;ODS DOC SYMBOL1&gt;&gt;CEDAW/C/</w:t>
      </w:r>
      <w:r>
        <w:rPr>
          <w:rFonts w:hint="eastAsia"/>
        </w:rPr>
        <w:t>FIN</w:t>
      </w:r>
      <w:r>
        <w:t>/</w:t>
      </w:r>
      <w:r>
        <w:rPr>
          <w:rFonts w:hint="eastAsia"/>
        </w:rPr>
        <w:t>6</w:t>
      </w:r>
      <w:r>
        <w:t>&lt;&lt;ODS DOC SYMBOL1&gt;&gt;</w:t>
      </w:r>
    </w:p>
    <w:p w:rsidR="007569C0" w:rsidRDefault="007569C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1D36" w:rsidRDefault="00A81D36">
      <w:r>
        <w:separator/>
      </w:r>
    </w:p>
  </w:endnote>
  <w:endnote w:type="continuationSeparator" w:id="0">
    <w:p w:rsidR="00A81D36" w:rsidRDefault="00A81D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体">
    <w:altName w:val="仿宋_GB2312"/>
    <w:charset w:val="86"/>
    <w:family w:val="roman"/>
    <w:pitch w:val="variable"/>
    <w:sig w:usb0="00000001" w:usb1="080E0000" w:usb2="00000010" w:usb3="00000000" w:csb0="00040000" w:csb1="00000000"/>
  </w:font>
  <w:font w:name="STKaiti">
    <w:altName w:val="华文楷体"/>
    <w:charset w:val="86"/>
    <w:family w:val="auto"/>
    <w:pitch w:val="variable"/>
    <w:sig w:usb0="00000287" w:usb1="080F0000" w:usb2="00000010" w:usb3="00000000" w:csb0="0004009F" w:csb1="00000000"/>
  </w:font>
  <w:font w:name="KaiTi_GB2312">
    <w:altName w:val="楷体_GB2312"/>
    <w:panose1 w:val="02010609060101010101"/>
    <w:charset w:val="86"/>
    <w:family w:val="modern"/>
    <w:pitch w:val="fixed"/>
    <w:sig w:usb0="00000001" w:usb1="080E0000" w:usb2="00000010" w:usb3="00000000" w:csb0="00040000"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ourier">
    <w:panose1 w:val="02070409020205020404"/>
    <w:charset w:val="00"/>
    <w:family w:val="modern"/>
    <w:notTrueType/>
    <w:pitch w:val="fixed"/>
    <w:sig w:usb0="00000003" w:usb1="00000000" w:usb2="00000000" w:usb3="00000000" w:csb0="00000001" w:csb1="00000000"/>
  </w:font>
  <w:font w:name="ITC Slimbach">
    <w:altName w:val="Times New Roman"/>
    <w:panose1 w:val="00000000000000000000"/>
    <w:charset w:val="00"/>
    <w:family w:val="auto"/>
    <w:notTrueType/>
    <w:pitch w:val="default"/>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Myanmar2.1">
    <w:altName w:val="Times New Roman"/>
    <w:charset w:val="00"/>
    <w:family w:val="swiss"/>
    <w:pitch w:val="variable"/>
    <w:sig w:usb0="00000003" w:usb1="00000000" w:usb2="000004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rsidR="007569C0" w:rsidRDefault="007569C0">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45</w:t>
    </w:r>
    <w:r>
      <w:rPr>
        <w:rStyle w:val="PageNumber"/>
      </w:rPr>
      <w:fldChar w:fldCharType="end"/>
    </w:r>
  </w:p>
  <w:p w:rsidR="007569C0" w:rsidRDefault="007569C0">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rsidP="00EF0192">
    <w:pPr>
      <w:pBdr>
        <w:top w:val="single" w:sz="4" w:space="1" w:color="auto"/>
      </w:pBdr>
      <w:tabs>
        <w:tab w:val="left" w:pos="-720"/>
      </w:tabs>
      <w:ind w:left="31680" w:hangingChars="200" w:firstLine="31680"/>
      <w:rPr>
        <w:rFonts w:hint="eastAsia"/>
        <w:sz w:val="18"/>
        <w:szCs w:val="24"/>
      </w:rPr>
    </w:pPr>
    <w:r>
      <w:rPr>
        <w:bCs/>
        <w:sz w:val="18"/>
        <w:szCs w:val="24"/>
        <w:vertAlign w:val="superscript"/>
      </w:rPr>
      <w:t>*</w:t>
    </w:r>
    <w:r>
      <w:rPr>
        <w:rFonts w:hint="eastAsia"/>
        <w:b/>
        <w:sz w:val="18"/>
        <w:szCs w:val="24"/>
      </w:rPr>
      <w:t xml:space="preserve"> </w:t>
    </w:r>
    <w:r>
      <w:rPr>
        <w:b/>
        <w:sz w:val="18"/>
        <w:szCs w:val="24"/>
      </w:rPr>
      <w:tab/>
    </w:r>
    <w:r>
      <w:rPr>
        <w:rFonts w:hint="eastAsia"/>
        <w:sz w:val="18"/>
        <w:szCs w:val="24"/>
      </w:rPr>
      <w:t>秘书处于</w:t>
    </w:r>
    <w:r>
      <w:rPr>
        <w:rFonts w:hint="eastAsia"/>
        <w:sz w:val="18"/>
        <w:szCs w:val="24"/>
      </w:rPr>
      <w:t>2007</w:t>
    </w:r>
    <w:r>
      <w:rPr>
        <w:rFonts w:hint="eastAsia"/>
        <w:sz w:val="18"/>
        <w:szCs w:val="24"/>
      </w:rPr>
      <w:t>年</w:t>
    </w:r>
    <w:r>
      <w:rPr>
        <w:rFonts w:hint="eastAsia"/>
        <w:sz w:val="18"/>
        <w:szCs w:val="24"/>
      </w:rPr>
      <w:t>11</w:t>
    </w:r>
    <w:r>
      <w:rPr>
        <w:rFonts w:hint="eastAsia"/>
        <w:sz w:val="18"/>
        <w:szCs w:val="24"/>
      </w:rPr>
      <w:t>月</w:t>
    </w:r>
    <w:r>
      <w:rPr>
        <w:rFonts w:hint="eastAsia"/>
        <w:sz w:val="18"/>
        <w:szCs w:val="24"/>
      </w:rPr>
      <w:t>6</w:t>
    </w:r>
    <w:r>
      <w:rPr>
        <w:rFonts w:hint="eastAsia"/>
        <w:sz w:val="18"/>
        <w:szCs w:val="24"/>
      </w:rPr>
      <w:t>日收到芬兰的第六次定期报告。</w:t>
    </w:r>
  </w:p>
  <w:p w:rsidR="007569C0" w:rsidRDefault="007569C0" w:rsidP="00EF0192">
    <w:pPr>
      <w:pStyle w:val="FootnoteText"/>
      <w:spacing w:afterLines="50" w:after="120" w:line="260" w:lineRule="exact"/>
      <w:ind w:firstLineChars="200" w:firstLine="31680"/>
      <w:jc w:val="both"/>
      <w:rPr>
        <w:rFonts w:eastAsia="SimSun" w:hint="eastAsia"/>
        <w:szCs w:val="24"/>
      </w:rPr>
    </w:pPr>
    <w:r>
      <w:rPr>
        <w:rFonts w:eastAsia="SimSun" w:hint="eastAsia"/>
        <w:szCs w:val="24"/>
      </w:rPr>
      <w:t>关于芬兰政府提交的初次报告，见委员会第八届会议审议的</w:t>
    </w:r>
    <w:r>
      <w:rPr>
        <w:rFonts w:eastAsia="SimSun"/>
        <w:szCs w:val="24"/>
      </w:rPr>
      <w:t>CEDAW/C/5/Add.56</w:t>
    </w:r>
    <w:r>
      <w:rPr>
        <w:rFonts w:eastAsia="SimSun" w:hint="eastAsia"/>
        <w:szCs w:val="24"/>
      </w:rPr>
      <w:t>。关于第二次定期报告，见委员会第十四届会议审议的</w:t>
    </w:r>
    <w:r>
      <w:rPr>
        <w:rFonts w:eastAsia="SimSun"/>
        <w:szCs w:val="24"/>
      </w:rPr>
      <w:t>CEDAW/C/FIN/2</w:t>
    </w:r>
    <w:r>
      <w:rPr>
        <w:rFonts w:eastAsia="SimSun" w:hint="eastAsia"/>
        <w:szCs w:val="24"/>
      </w:rPr>
      <w:t>。关于第三次定期报告，见委员会在第二十四届会议审议的</w:t>
    </w:r>
    <w:r>
      <w:rPr>
        <w:rFonts w:eastAsia="SimSun"/>
        <w:szCs w:val="24"/>
      </w:rPr>
      <w:t>CEDAW/C/FIN/</w:t>
    </w:r>
    <w:r>
      <w:rPr>
        <w:rFonts w:eastAsia="SimSun" w:hint="eastAsia"/>
        <w:szCs w:val="24"/>
      </w:rPr>
      <w:t>3</w:t>
    </w:r>
    <w:r>
      <w:rPr>
        <w:rFonts w:eastAsia="SimSun" w:hint="eastAsia"/>
        <w:szCs w:val="24"/>
      </w:rPr>
      <w:t>。关于第四次定期报告，见委员会在第二十四届会议审议的</w:t>
    </w:r>
    <w:r>
      <w:rPr>
        <w:rFonts w:eastAsia="SimSun"/>
        <w:szCs w:val="24"/>
      </w:rPr>
      <w:t>CEDAW/C/FIN/4</w:t>
    </w:r>
    <w:r>
      <w:rPr>
        <w:rFonts w:eastAsia="SimSun" w:hint="eastAsia"/>
        <w:szCs w:val="24"/>
      </w:rPr>
      <w:t>。关于第五次定期报告，见</w:t>
    </w:r>
    <w:r>
      <w:rPr>
        <w:rFonts w:eastAsia="SimSun"/>
        <w:szCs w:val="24"/>
      </w:rPr>
      <w:t>CEDAW/C/FIN/5</w:t>
    </w:r>
    <w:r>
      <w:rPr>
        <w:rFonts w:eastAsia="SimSun" w:hint="eastAsia"/>
        <w:szCs w:val="24"/>
      </w:rPr>
      <w:t>。</w:t>
    </w:r>
  </w:p>
  <w:p w:rsidR="007569C0" w:rsidRDefault="007569C0" w:rsidP="00EF0192">
    <w:pPr>
      <w:pStyle w:val="FootnoteText"/>
      <w:spacing w:afterLines="50" w:after="120" w:line="260" w:lineRule="exact"/>
      <w:ind w:firstLineChars="200" w:firstLine="31680"/>
      <w:jc w:val="both"/>
      <w:rPr>
        <w:rFonts w:eastAsia="SimSun" w:hint="eastAsia"/>
        <w:szCs w:val="24"/>
      </w:rPr>
    </w:pPr>
  </w:p>
  <w:p w:rsidR="007569C0" w:rsidRDefault="007569C0">
    <w:pPr>
      <w:pStyle w:val="FootnoteText"/>
      <w:spacing w:afterLines="50" w:after="120"/>
      <w:rPr>
        <w:rFonts w:hint="eastAsia"/>
        <w:b/>
        <w:bCs/>
        <w:sz w:val="21"/>
      </w:rPr>
    </w:pPr>
    <w:r>
      <w:rPr>
        <w:rFonts w:hint="eastAsia"/>
        <w:sz w:val="21"/>
      </w:rPr>
      <w:t>0</w:t>
    </w:r>
    <w:r>
      <w:rPr>
        <w:sz w:val="21"/>
      </w:rPr>
      <w:t>7</w:t>
    </w:r>
    <w:r>
      <w:rPr>
        <w:rFonts w:hint="eastAsia"/>
        <w:sz w:val="21"/>
      </w:rPr>
      <w:t>-59649</w:t>
    </w:r>
    <w:r>
      <w:rPr>
        <w:sz w:val="21"/>
      </w:rPr>
      <w:t xml:space="preserve"> (</w:t>
    </w:r>
    <w:r>
      <w:rPr>
        <w:rFonts w:hint="eastAsia"/>
        <w:sz w:val="21"/>
      </w:rPr>
      <w:t>C</w:t>
    </w:r>
    <w:r>
      <w:rPr>
        <w:sz w:val="21"/>
      </w:rPr>
      <w:t>)    250108    250108</w:t>
    </w:r>
    <w:r>
      <w:rPr>
        <w:sz w:val="21"/>
      </w:rPr>
      <w:br/>
    </w:r>
    <w:r w:rsidRPr="001C7848">
      <w:rPr>
        <w:rFonts w:ascii="Barcode 3 of 9 by request" w:hAnsi="Barcode 3 of 9 by request"/>
        <w:b/>
        <w:bCs/>
        <w:sz w:val="21"/>
      </w:rPr>
      <w:t>*0759649*</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pPr>
      <w:pStyle w:val="Footer"/>
      <w:framePr w:wrap="around" w:vAnchor="text" w:hAnchor="page" w:x="1197" w:y="-34"/>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rsidR="007569C0" w:rsidRDefault="007569C0">
    <w:pPr>
      <w:pStyle w:val="Footer"/>
      <w:ind w:right="360" w:firstLine="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pPr>
      <w:pStyle w:val="Footer"/>
      <w:framePr w:wrap="around" w:vAnchor="text" w:hAnchor="page" w:x="10917" w:y="-34"/>
      <w:rPr>
        <w:rStyle w:val="PageNumber"/>
      </w:rPr>
    </w:pPr>
    <w:r>
      <w:rPr>
        <w:rStyle w:val="PageNumber"/>
      </w:rPr>
      <w:fldChar w:fldCharType="begin"/>
    </w:r>
    <w:r>
      <w:rPr>
        <w:rStyle w:val="PageNumber"/>
      </w:rPr>
      <w:instrText xml:space="preserve">PAGE  </w:instrText>
    </w:r>
    <w:r>
      <w:rPr>
        <w:rStyle w:val="PageNumber"/>
      </w:rPr>
      <w:fldChar w:fldCharType="separate"/>
    </w:r>
    <w:r w:rsidR="007C524A">
      <w:rPr>
        <w:rStyle w:val="PageNumber"/>
        <w:noProof/>
      </w:rPr>
      <w:t>45</w:t>
    </w:r>
    <w:r>
      <w:rPr>
        <w:rStyle w:val="PageNumber"/>
      </w:rPr>
      <w:fldChar w:fldCharType="end"/>
    </w:r>
  </w:p>
  <w:p w:rsidR="007569C0" w:rsidRDefault="007569C0">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1D36" w:rsidRDefault="00A81D36">
      <w:r>
        <w:separator/>
      </w:r>
    </w:p>
  </w:footnote>
  <w:footnote w:type="continuationSeparator" w:id="0">
    <w:p w:rsidR="00A81D36" w:rsidRDefault="00A81D36">
      <w:r>
        <w:continuationSeparator/>
      </w:r>
    </w:p>
  </w:footnote>
  <w:footnote w:id="1">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见附录：《</w:t>
      </w:r>
      <w:r>
        <w:rPr>
          <w:rFonts w:eastAsia="SimSun" w:hint="eastAsia"/>
        </w:rPr>
        <w:t>2005</w:t>
      </w:r>
      <w:r>
        <w:rPr>
          <w:rFonts w:eastAsia="SimSun" w:hint="eastAsia"/>
        </w:rPr>
        <w:t>年男女平等法》；社会事务和卫生部，</w:t>
      </w:r>
      <w:r>
        <w:rPr>
          <w:rFonts w:eastAsia="SimSun" w:hint="eastAsia"/>
        </w:rPr>
        <w:t>2005</w:t>
      </w:r>
      <w:r>
        <w:rPr>
          <w:rFonts w:eastAsia="SimSun" w:hint="eastAsia"/>
        </w:rPr>
        <w:t>：</w:t>
      </w:r>
      <w:r>
        <w:rPr>
          <w:rFonts w:eastAsia="SimSun" w:hint="eastAsia"/>
        </w:rPr>
        <w:t>2</w:t>
      </w:r>
      <w:r>
        <w:rPr>
          <w:rFonts w:eastAsia="SimSun" w:hint="eastAsia"/>
        </w:rPr>
        <w:t>。</w:t>
      </w:r>
    </w:p>
  </w:footnote>
  <w:footnote w:id="2">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2002</w:t>
      </w:r>
      <w:r>
        <w:rPr>
          <w:rFonts w:eastAsia="SimSun" w:hint="eastAsia"/>
        </w:rPr>
        <w:t>年</w:t>
      </w:r>
      <w:r>
        <w:rPr>
          <w:rFonts w:eastAsia="SimSun" w:hint="eastAsia"/>
        </w:rPr>
        <w:t>9</w:t>
      </w:r>
      <w:r>
        <w:rPr>
          <w:rFonts w:eastAsia="SimSun" w:hint="eastAsia"/>
        </w:rPr>
        <w:t>月</w:t>
      </w:r>
      <w:r>
        <w:rPr>
          <w:rFonts w:eastAsia="SimSun" w:hint="eastAsia"/>
        </w:rPr>
        <w:t>23</w:t>
      </w:r>
      <w:r>
        <w:rPr>
          <w:rFonts w:eastAsia="SimSun" w:hint="eastAsia"/>
        </w:rPr>
        <w:t>日欧洲议会和欧洲理事会关于实施就业、职业培训和晋升以及工作条件方面实行男女待遇平等原则的第</w:t>
      </w:r>
      <w:r>
        <w:rPr>
          <w:rFonts w:eastAsia="SimSun" w:hint="eastAsia"/>
        </w:rPr>
        <w:t>76/207/EEC</w:t>
      </w:r>
      <w:r>
        <w:rPr>
          <w:rFonts w:eastAsia="SimSun" w:hint="eastAsia"/>
        </w:rPr>
        <w:t>号指令的第</w:t>
      </w:r>
      <w:r>
        <w:rPr>
          <w:rFonts w:eastAsia="SimSun"/>
        </w:rPr>
        <w:t>2002/73/EC</w:t>
      </w:r>
      <w:r>
        <w:rPr>
          <w:rFonts w:eastAsia="SimSun" w:hint="eastAsia"/>
        </w:rPr>
        <w:t xml:space="preserve">号指令。　</w:t>
      </w:r>
    </w:p>
  </w:footnote>
  <w:footnote w:id="3">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1997</w:t>
      </w:r>
      <w:r>
        <w:rPr>
          <w:rFonts w:eastAsia="SimSun" w:hint="eastAsia"/>
        </w:rPr>
        <w:t>年</w:t>
      </w:r>
      <w:r>
        <w:rPr>
          <w:rFonts w:eastAsia="SimSun" w:hint="eastAsia"/>
        </w:rPr>
        <w:t>12</w:t>
      </w:r>
      <w:r>
        <w:rPr>
          <w:rFonts w:eastAsia="SimSun" w:hint="eastAsia"/>
        </w:rPr>
        <w:t>月</w:t>
      </w:r>
      <w:r>
        <w:rPr>
          <w:rFonts w:eastAsia="SimSun" w:hint="eastAsia"/>
        </w:rPr>
        <w:t>15</w:t>
      </w:r>
      <w:r>
        <w:rPr>
          <w:rFonts w:eastAsia="SimSun" w:hint="eastAsia"/>
        </w:rPr>
        <w:t>日关于性别歧视案件中的举证责任的第</w:t>
      </w:r>
      <w:r>
        <w:rPr>
          <w:rFonts w:eastAsia="SimSun"/>
        </w:rPr>
        <w:t xml:space="preserve">97/80/EC </w:t>
      </w:r>
      <w:r>
        <w:rPr>
          <w:rFonts w:eastAsia="SimSun" w:hint="eastAsia"/>
        </w:rPr>
        <w:t xml:space="preserve">号指令。　</w:t>
      </w:r>
    </w:p>
  </w:footnote>
  <w:footnote w:id="4">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hint="eastAsia"/>
        </w:rPr>
        <w:t>1996</w:t>
      </w:r>
      <w:r>
        <w:rPr>
          <w:rFonts w:eastAsia="SimSun" w:hint="eastAsia"/>
        </w:rPr>
        <w:t>年</w:t>
      </w:r>
      <w:r>
        <w:rPr>
          <w:rFonts w:eastAsia="SimSun" w:hint="eastAsia"/>
        </w:rPr>
        <w:t>6</w:t>
      </w:r>
      <w:r>
        <w:rPr>
          <w:rFonts w:eastAsia="SimSun" w:hint="eastAsia"/>
        </w:rPr>
        <w:t>月</w:t>
      </w:r>
      <w:r>
        <w:rPr>
          <w:rFonts w:eastAsia="SimSun" w:hint="eastAsia"/>
        </w:rPr>
        <w:t>3</w:t>
      </w:r>
      <w:r>
        <w:rPr>
          <w:rFonts w:eastAsia="SimSun" w:hint="eastAsia"/>
        </w:rPr>
        <w:t>日理事会关于儿童基金会、</w:t>
      </w:r>
      <w:r>
        <w:rPr>
          <w:rFonts w:eastAsia="SimSun"/>
        </w:rPr>
        <w:t>CEEP</w:t>
      </w:r>
      <w:r>
        <w:rPr>
          <w:rFonts w:eastAsia="SimSun" w:hint="eastAsia"/>
        </w:rPr>
        <w:t>和欧洲工会联合会缔结的育儿假问题框架协定的第</w:t>
      </w:r>
      <w:r>
        <w:rPr>
          <w:rFonts w:eastAsia="SimSun"/>
        </w:rPr>
        <w:t>96/34/EC</w:t>
      </w:r>
      <w:r>
        <w:rPr>
          <w:rFonts w:eastAsia="SimSun" w:hint="eastAsia"/>
        </w:rPr>
        <w:t>号指令。</w:t>
      </w:r>
    </w:p>
  </w:footnote>
  <w:footnote w:id="5">
    <w:p w:rsidR="007569C0" w:rsidRDefault="007569C0">
      <w:pPr>
        <w:pStyle w:val="FootnoteText"/>
        <w:spacing w:after="120" w:line="30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见附录：工作场所的性别平等计划；社会事务和卫生部，</w:t>
      </w:r>
      <w:r>
        <w:rPr>
          <w:rFonts w:eastAsia="SimSun"/>
        </w:rPr>
        <w:t>2005</w:t>
      </w:r>
      <w:r>
        <w:rPr>
          <w:rFonts w:eastAsia="SimSun" w:hint="eastAsia"/>
        </w:rPr>
        <w:t>：</w:t>
      </w:r>
      <w:r>
        <w:rPr>
          <w:rFonts w:eastAsia="SimSun" w:hint="eastAsia"/>
        </w:rPr>
        <w:t>6</w:t>
      </w:r>
      <w:r>
        <w:rPr>
          <w:rFonts w:eastAsia="SimSun" w:hint="eastAsia"/>
        </w:rPr>
        <w:t xml:space="preserve">。　</w:t>
      </w:r>
    </w:p>
  </w:footnote>
  <w:footnote w:id="6">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关于</w:t>
      </w:r>
      <w:r>
        <w:rPr>
          <w:rFonts w:eastAsia="SimSun" w:hint="eastAsia"/>
        </w:rPr>
        <w:t>2006</w:t>
      </w:r>
      <w:r>
        <w:rPr>
          <w:rFonts w:eastAsia="SimSun" w:hint="eastAsia"/>
        </w:rPr>
        <w:t>年残疾人政策的政府报告。赫尔辛基，</w:t>
      </w:r>
      <w:r>
        <w:rPr>
          <w:rFonts w:eastAsia="SimSun" w:hint="eastAsia"/>
        </w:rPr>
        <w:t>2006</w:t>
      </w:r>
      <w:r>
        <w:rPr>
          <w:rFonts w:eastAsia="SimSun" w:hint="eastAsia"/>
        </w:rPr>
        <w:t>年（社会事务和卫生部，</w:t>
      </w:r>
      <w:r>
        <w:rPr>
          <w:rFonts w:eastAsia="SimSun"/>
        </w:rPr>
        <w:t>2006</w:t>
      </w:r>
      <w:r>
        <w:rPr>
          <w:rFonts w:eastAsia="SimSun" w:hint="eastAsia"/>
        </w:rPr>
        <w:t>:</w:t>
      </w:r>
      <w:r>
        <w:rPr>
          <w:rFonts w:eastAsia="SimSun"/>
        </w:rPr>
        <w:t>9</w:t>
      </w:r>
      <w:r>
        <w:rPr>
          <w:rFonts w:eastAsia="SimSun" w:hint="eastAsia"/>
        </w:rPr>
        <w:t xml:space="preserve">）。　</w:t>
      </w:r>
    </w:p>
  </w:footnote>
  <w:footnote w:id="7">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关于残疾人政策政府报告的背景材料；社会事务和卫生部，</w:t>
      </w:r>
      <w:r>
        <w:rPr>
          <w:rFonts w:eastAsia="SimSun"/>
        </w:rPr>
        <w:t>2006</w:t>
      </w:r>
      <w:r>
        <w:rPr>
          <w:rFonts w:eastAsia="SimSun" w:hint="eastAsia"/>
        </w:rPr>
        <w:t>:</w:t>
      </w:r>
      <w:r>
        <w:rPr>
          <w:rFonts w:eastAsia="SimSun"/>
        </w:rPr>
        <w:t>23</w:t>
      </w:r>
      <w:r>
        <w:rPr>
          <w:rFonts w:eastAsia="SimSun" w:hint="eastAsia"/>
        </w:rPr>
        <w:t xml:space="preserve">。　</w:t>
      </w:r>
    </w:p>
  </w:footnote>
  <w:footnote w:id="8">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hint="eastAsia"/>
          <w:lang w:val="en-GB"/>
        </w:rPr>
        <w:t xml:space="preserve">  </w:t>
      </w:r>
      <w:r>
        <w:rPr>
          <w:rFonts w:eastAsia="SimSun" w:hint="eastAsia"/>
          <w:lang w:val="en-GB"/>
        </w:rPr>
        <w:t>将性别观点纳入芬兰国家行政部门的主流；社会事务和卫生部，</w:t>
      </w:r>
      <w:r>
        <w:rPr>
          <w:rFonts w:eastAsia="SimSun"/>
        </w:rPr>
        <w:t xml:space="preserve"> 2006:77</w:t>
      </w:r>
      <w:r>
        <w:rPr>
          <w:rFonts w:eastAsia="SimSun" w:hint="eastAsia"/>
        </w:rPr>
        <w:t xml:space="preserve">。　</w:t>
      </w:r>
    </w:p>
  </w:footnote>
  <w:footnote w:id="9">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2004</w:t>
      </w:r>
      <w:r>
        <w:rPr>
          <w:rFonts w:eastAsia="SimSun" w:hint="eastAsia"/>
        </w:rPr>
        <w:t>年性别晴雨表；社会事务和卫生部，</w:t>
      </w:r>
      <w:r>
        <w:rPr>
          <w:rFonts w:eastAsia="SimSun"/>
        </w:rPr>
        <w:t>2004:20</w:t>
      </w:r>
      <w:r>
        <w:rPr>
          <w:rFonts w:eastAsia="SimSun" w:hint="eastAsia"/>
        </w:rPr>
        <w:t>。</w:t>
      </w:r>
    </w:p>
  </w:footnote>
  <w:footnote w:id="10">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lang w:val="fi-FI"/>
        </w:rPr>
        <w:t xml:space="preserve"> </w:t>
      </w:r>
      <w:r>
        <w:rPr>
          <w:rFonts w:eastAsia="SimSun" w:hint="eastAsia"/>
          <w:lang w:val="fi-FI"/>
        </w:rPr>
        <w:t xml:space="preserve"> </w:t>
      </w:r>
      <w:r>
        <w:rPr>
          <w:rFonts w:eastAsia="SimSun"/>
          <w:lang w:val="fi-FI"/>
        </w:rPr>
        <w:t>Piispa</w:t>
      </w:r>
      <w:r>
        <w:rPr>
          <w:rFonts w:eastAsia="SimSun" w:hint="eastAsia"/>
          <w:lang w:val="fi-FI"/>
        </w:rPr>
        <w:t>、</w:t>
      </w:r>
      <w:r>
        <w:rPr>
          <w:rFonts w:eastAsia="SimSun"/>
          <w:lang w:val="fi-FI"/>
        </w:rPr>
        <w:t>Minna &amp; Heiskanen</w:t>
      </w:r>
      <w:r>
        <w:rPr>
          <w:rFonts w:eastAsia="SimSun" w:hint="eastAsia"/>
          <w:lang w:val="fi-FI"/>
        </w:rPr>
        <w:t>、</w:t>
      </w:r>
      <w:r>
        <w:rPr>
          <w:rFonts w:eastAsia="SimSun"/>
          <w:lang w:val="fi-FI"/>
        </w:rPr>
        <w:t>Markku &amp; Kääriäinen</w:t>
      </w:r>
      <w:r>
        <w:rPr>
          <w:rFonts w:eastAsia="SimSun" w:hint="eastAsia"/>
          <w:lang w:val="fi-FI"/>
        </w:rPr>
        <w:t>、</w:t>
      </w:r>
      <w:r>
        <w:rPr>
          <w:rFonts w:eastAsia="SimSun"/>
          <w:lang w:val="fi-FI"/>
        </w:rPr>
        <w:t>Juha &amp; Sirén</w:t>
      </w:r>
      <w:r>
        <w:rPr>
          <w:rFonts w:eastAsia="SimSun" w:hint="eastAsia"/>
          <w:lang w:val="fi-FI"/>
        </w:rPr>
        <w:t>、</w:t>
      </w:r>
      <w:r>
        <w:rPr>
          <w:rFonts w:eastAsia="SimSun"/>
          <w:lang w:val="fi-FI"/>
        </w:rPr>
        <w:t>Reino</w:t>
      </w:r>
      <w:r>
        <w:rPr>
          <w:rFonts w:eastAsia="SimSun"/>
        </w:rPr>
        <w:t>（</w:t>
      </w:r>
      <w:r>
        <w:rPr>
          <w:rFonts w:eastAsia="SimSun"/>
          <w:lang w:val="fi-FI"/>
        </w:rPr>
        <w:t>2006</w:t>
      </w:r>
      <w:r>
        <w:rPr>
          <w:rFonts w:eastAsia="SimSun" w:hint="eastAsia"/>
          <w:lang w:val="fi-FI"/>
        </w:rPr>
        <w:t>年</w:t>
      </w:r>
      <w:r>
        <w:rPr>
          <w:rFonts w:eastAsia="SimSun"/>
        </w:rPr>
        <w:t>）</w:t>
      </w:r>
      <w:r>
        <w:rPr>
          <w:rFonts w:eastAsia="SimSun" w:hint="eastAsia"/>
        </w:rPr>
        <w:t>。</w:t>
      </w:r>
      <w:r>
        <w:rPr>
          <w:rFonts w:eastAsia="SimSun"/>
          <w:lang w:val="fi-FI"/>
        </w:rPr>
        <w:t>Naisiin kohdistuva väkivalta</w:t>
      </w:r>
      <w:r>
        <w:rPr>
          <w:rFonts w:eastAsia="SimSun"/>
          <w:lang w:val="fi-FI"/>
        </w:rPr>
        <w:t>（</w:t>
      </w:r>
      <w:r>
        <w:rPr>
          <w:rFonts w:eastAsia="SimSun" w:hint="eastAsia"/>
        </w:rPr>
        <w:t>对妇女的暴力行为</w:t>
      </w:r>
      <w:r>
        <w:rPr>
          <w:rFonts w:eastAsia="SimSun" w:hint="eastAsia"/>
          <w:lang w:val="fi-FI"/>
        </w:rPr>
        <w:t>），</w:t>
      </w:r>
      <w:r>
        <w:rPr>
          <w:rFonts w:eastAsia="SimSun" w:hint="eastAsia"/>
          <w:lang w:val="fi-FI"/>
        </w:rPr>
        <w:t>2005</w:t>
      </w:r>
      <w:r>
        <w:rPr>
          <w:rFonts w:eastAsia="SimSun" w:hint="eastAsia"/>
          <w:lang w:val="fi-FI"/>
        </w:rPr>
        <w:t>年</w:t>
      </w:r>
      <w:r>
        <w:rPr>
          <w:rFonts w:eastAsia="SimSun" w:hint="eastAsia"/>
        </w:rPr>
        <w:t>。国家法律政策研究所出版物第</w:t>
      </w:r>
      <w:r>
        <w:rPr>
          <w:rFonts w:eastAsia="SimSun" w:hint="eastAsia"/>
        </w:rPr>
        <w:t>225</w:t>
      </w:r>
      <w:r>
        <w:rPr>
          <w:rFonts w:eastAsia="SimSun" w:hint="eastAsia"/>
        </w:rPr>
        <w:t>号和</w:t>
      </w:r>
      <w:r>
        <w:rPr>
          <w:rFonts w:eastAsia="SimSun"/>
          <w:lang w:val="fi-FI"/>
        </w:rPr>
        <w:t xml:space="preserve">HEUNI </w:t>
      </w:r>
      <w:r>
        <w:rPr>
          <w:rFonts w:eastAsia="SimSun" w:hint="eastAsia"/>
          <w:lang w:val="fi-FI"/>
        </w:rPr>
        <w:t>出版物丛书，第</w:t>
      </w:r>
      <w:r>
        <w:rPr>
          <w:rFonts w:eastAsia="SimSun" w:hint="eastAsia"/>
          <w:lang w:val="fi-FI"/>
        </w:rPr>
        <w:t>51</w:t>
      </w:r>
      <w:r>
        <w:rPr>
          <w:rFonts w:eastAsia="SimSun" w:hint="eastAsia"/>
          <w:lang w:val="fi-FI"/>
        </w:rPr>
        <w:t>号，赫尔辛基。登录</w:t>
      </w:r>
      <w:hyperlink r:id="rId1" w:history="1">
        <w:r>
          <w:rPr>
            <w:rStyle w:val="Hyperlink"/>
            <w:rFonts w:eastAsia="SimSun"/>
          </w:rPr>
          <w:t>www.optula.om.fi</w:t>
        </w:r>
      </w:hyperlink>
      <w:r>
        <w:rPr>
          <w:rFonts w:eastAsia="SimSun" w:hint="eastAsia"/>
        </w:rPr>
        <w:t>，</w:t>
      </w:r>
      <w:r>
        <w:rPr>
          <w:rFonts w:eastAsia="SimSun" w:hint="eastAsia"/>
          <w:lang w:val="fi-FI"/>
        </w:rPr>
        <w:t>可在互联网上查阅该出版物。</w:t>
      </w:r>
      <w:r>
        <w:rPr>
          <w:rFonts w:eastAsia="SimSun" w:hint="eastAsia"/>
          <w:lang w:val="fi-FI"/>
        </w:rPr>
        <w:t xml:space="preserve"> </w:t>
      </w:r>
    </w:p>
  </w:footnote>
  <w:footnote w:id="11">
    <w:p w:rsidR="007569C0" w:rsidRDefault="007569C0">
      <w:pPr>
        <w:pStyle w:val="FootnoteText"/>
        <w:spacing w:after="120" w:line="300" w:lineRule="exact"/>
        <w:jc w:val="both"/>
        <w:rPr>
          <w:rFonts w:eastAsia="SimSun" w:hint="eastAsia"/>
          <w:lang w:val="fi-FI"/>
        </w:rPr>
      </w:pPr>
      <w:r>
        <w:rPr>
          <w:rStyle w:val="FootnoteReference"/>
          <w:rFonts w:eastAsia="SimSun"/>
        </w:rPr>
        <w:footnoteRef/>
      </w:r>
      <w:r>
        <w:rPr>
          <w:rFonts w:eastAsia="SimSun"/>
          <w:lang w:val="fi-FI"/>
        </w:rPr>
        <w:t xml:space="preserve"> </w:t>
      </w:r>
      <w:r>
        <w:rPr>
          <w:rFonts w:eastAsia="SimSun" w:hint="eastAsia"/>
          <w:lang w:val="fi-FI"/>
        </w:rPr>
        <w:t xml:space="preserve"> </w:t>
      </w:r>
      <w:r>
        <w:rPr>
          <w:rFonts w:eastAsia="SimSun"/>
          <w:lang w:val="fi-FI"/>
        </w:rPr>
        <w:t>Piispa</w:t>
      </w:r>
      <w:r>
        <w:rPr>
          <w:rFonts w:eastAsia="SimSun" w:hint="eastAsia"/>
          <w:lang w:val="fi-FI"/>
        </w:rPr>
        <w:t>、</w:t>
      </w:r>
      <w:r>
        <w:rPr>
          <w:rFonts w:eastAsia="SimSun"/>
          <w:lang w:val="fi-FI"/>
        </w:rPr>
        <w:t>Minna &amp; Heiskanen</w:t>
      </w:r>
      <w:r>
        <w:rPr>
          <w:rFonts w:eastAsia="SimSun" w:hint="eastAsia"/>
          <w:lang w:val="fi-FI"/>
        </w:rPr>
        <w:t>、</w:t>
      </w:r>
      <w:r>
        <w:rPr>
          <w:rFonts w:eastAsia="SimSun"/>
          <w:lang w:val="fi-FI"/>
        </w:rPr>
        <w:t>Markku &amp; Kääriäinen</w:t>
      </w:r>
      <w:r>
        <w:rPr>
          <w:rFonts w:eastAsia="SimSun" w:hint="eastAsia"/>
          <w:lang w:val="fi-FI"/>
        </w:rPr>
        <w:t>、</w:t>
      </w:r>
      <w:r>
        <w:rPr>
          <w:rFonts w:eastAsia="SimSun"/>
          <w:lang w:val="fi-FI"/>
        </w:rPr>
        <w:t>Juha &amp; Sirén</w:t>
      </w:r>
      <w:r>
        <w:rPr>
          <w:rFonts w:eastAsia="SimSun" w:hint="eastAsia"/>
          <w:lang w:val="fi-FI"/>
        </w:rPr>
        <w:t>、</w:t>
      </w:r>
      <w:r>
        <w:rPr>
          <w:rFonts w:eastAsia="SimSun"/>
          <w:lang w:val="fi-FI"/>
        </w:rPr>
        <w:t>Reino</w:t>
      </w:r>
      <w:r>
        <w:rPr>
          <w:rFonts w:eastAsia="SimSun"/>
        </w:rPr>
        <w:t>（</w:t>
      </w:r>
      <w:r>
        <w:rPr>
          <w:rFonts w:eastAsia="SimSun"/>
          <w:lang w:val="fi-FI"/>
        </w:rPr>
        <w:t>2006</w:t>
      </w:r>
      <w:r>
        <w:rPr>
          <w:rFonts w:eastAsia="SimSun" w:hint="eastAsia"/>
          <w:lang w:val="fi-FI"/>
        </w:rPr>
        <w:t>年</w:t>
      </w:r>
      <w:r>
        <w:rPr>
          <w:rFonts w:eastAsia="SimSun"/>
        </w:rPr>
        <w:t>）</w:t>
      </w:r>
      <w:r>
        <w:rPr>
          <w:rFonts w:eastAsia="SimSun" w:hint="eastAsia"/>
        </w:rPr>
        <w:t>。</w:t>
      </w:r>
      <w:r>
        <w:rPr>
          <w:rFonts w:eastAsia="SimSun"/>
          <w:lang w:val="fi-FI"/>
        </w:rPr>
        <w:t>Naisiin kohdistuva väkivalta</w:t>
      </w:r>
      <w:r>
        <w:rPr>
          <w:rFonts w:eastAsia="SimSun"/>
        </w:rPr>
        <w:t>（</w:t>
      </w:r>
      <w:r>
        <w:rPr>
          <w:rFonts w:eastAsia="SimSun" w:hint="eastAsia"/>
        </w:rPr>
        <w:t>对妇女的暴力行为），</w:t>
      </w:r>
      <w:r>
        <w:rPr>
          <w:rFonts w:eastAsia="SimSun"/>
          <w:lang w:val="fi-FI"/>
        </w:rPr>
        <w:t>2005</w:t>
      </w:r>
      <w:r>
        <w:rPr>
          <w:rFonts w:eastAsia="SimSun" w:hint="eastAsia"/>
          <w:lang w:val="fi-FI"/>
        </w:rPr>
        <w:t>年。</w:t>
      </w:r>
      <w:r>
        <w:rPr>
          <w:rFonts w:eastAsia="SimSun" w:hint="eastAsia"/>
        </w:rPr>
        <w:t>国家法律政策研究所出版物第</w:t>
      </w:r>
      <w:r>
        <w:rPr>
          <w:rFonts w:eastAsia="SimSun" w:hint="eastAsia"/>
        </w:rPr>
        <w:t>225</w:t>
      </w:r>
      <w:r>
        <w:rPr>
          <w:rFonts w:eastAsia="SimSun" w:hint="eastAsia"/>
        </w:rPr>
        <w:t>号和</w:t>
      </w:r>
      <w:r>
        <w:rPr>
          <w:rFonts w:eastAsia="SimSun"/>
          <w:lang w:val="fi-FI"/>
        </w:rPr>
        <w:t xml:space="preserve">HEUNI </w:t>
      </w:r>
      <w:r>
        <w:rPr>
          <w:rFonts w:eastAsia="SimSun" w:hint="eastAsia"/>
          <w:lang w:val="fi-FI"/>
        </w:rPr>
        <w:t>出版物丛书，第</w:t>
      </w:r>
      <w:r>
        <w:rPr>
          <w:rFonts w:eastAsia="SimSun" w:hint="eastAsia"/>
          <w:lang w:val="fi-FI"/>
        </w:rPr>
        <w:t>51</w:t>
      </w:r>
      <w:r>
        <w:rPr>
          <w:rFonts w:eastAsia="SimSun" w:hint="eastAsia"/>
          <w:lang w:val="fi-FI"/>
        </w:rPr>
        <w:t>号，赫尔辛基。登录</w:t>
      </w:r>
      <w:hyperlink r:id="rId2" w:history="1">
        <w:r>
          <w:rPr>
            <w:rStyle w:val="Hyperlink"/>
            <w:rFonts w:eastAsia="SimSun"/>
          </w:rPr>
          <w:t>www.optula.om.fi</w:t>
        </w:r>
      </w:hyperlink>
      <w:r>
        <w:rPr>
          <w:rFonts w:eastAsia="SimSun" w:hint="eastAsia"/>
        </w:rPr>
        <w:t>，</w:t>
      </w:r>
      <w:r>
        <w:rPr>
          <w:rFonts w:eastAsia="SimSun" w:hint="eastAsia"/>
          <w:lang w:val="fi-FI"/>
        </w:rPr>
        <w:t>可在互联网上查阅该出版物。</w:t>
      </w:r>
      <w:r>
        <w:rPr>
          <w:rFonts w:eastAsia="SimSun" w:hint="eastAsia"/>
          <w:lang w:val="fi-FI"/>
        </w:rPr>
        <w:t xml:space="preserve"> </w:t>
      </w:r>
    </w:p>
  </w:footnote>
  <w:footnote w:id="12">
    <w:p w:rsidR="007569C0" w:rsidRDefault="007569C0">
      <w:pPr>
        <w:pStyle w:val="FootnoteText"/>
        <w:spacing w:after="120" w:line="300" w:lineRule="exact"/>
        <w:jc w:val="both"/>
        <w:rPr>
          <w:rFonts w:eastAsia="SimSun"/>
          <w:lang w:val="fi-FI"/>
        </w:rPr>
      </w:pPr>
      <w:r>
        <w:rPr>
          <w:rStyle w:val="FootnoteReference"/>
          <w:rFonts w:eastAsia="SimSun"/>
        </w:rPr>
        <w:footnoteRef/>
      </w:r>
      <w:r>
        <w:rPr>
          <w:rFonts w:eastAsia="SimSun"/>
          <w:lang w:val="fi-FI"/>
        </w:rPr>
        <w:t xml:space="preserve"> </w:t>
      </w:r>
      <w:r>
        <w:rPr>
          <w:rFonts w:eastAsia="SimSun" w:hint="eastAsia"/>
          <w:lang w:val="fi-FI"/>
        </w:rPr>
        <w:t xml:space="preserve"> </w:t>
      </w:r>
      <w:r>
        <w:rPr>
          <w:rFonts w:eastAsia="SimSun" w:hint="eastAsia"/>
          <w:lang w:val="fi-FI"/>
        </w:rPr>
        <w:t>同上。</w:t>
      </w:r>
    </w:p>
  </w:footnote>
  <w:footnote w:id="13">
    <w:p w:rsidR="007569C0" w:rsidRDefault="007569C0">
      <w:pPr>
        <w:pStyle w:val="FootnoteText"/>
        <w:spacing w:after="120" w:line="300" w:lineRule="exact"/>
        <w:jc w:val="both"/>
        <w:rPr>
          <w:rFonts w:eastAsia="SimSun" w:hint="eastAsia"/>
          <w:lang w:val="fi-FI"/>
        </w:rPr>
      </w:pPr>
      <w:r>
        <w:rPr>
          <w:rStyle w:val="FootnoteReference"/>
          <w:rFonts w:eastAsia="SimSun"/>
        </w:rPr>
        <w:footnoteRef/>
      </w:r>
      <w:r>
        <w:rPr>
          <w:rFonts w:eastAsia="SimSun"/>
          <w:lang w:val="fi-FI"/>
        </w:rPr>
        <w:t xml:space="preserve"> </w:t>
      </w:r>
      <w:r>
        <w:rPr>
          <w:rFonts w:eastAsia="SimSun" w:hint="eastAsia"/>
          <w:lang w:val="fi-FI"/>
        </w:rPr>
        <w:t xml:space="preserve"> </w:t>
      </w:r>
      <w:r>
        <w:rPr>
          <w:rFonts w:eastAsia="SimSun" w:hint="eastAsia"/>
          <w:lang w:val="fi-FI"/>
        </w:rPr>
        <w:t>儿童权利委员会第四十届会议；</w:t>
      </w:r>
      <w:r>
        <w:rPr>
          <w:rFonts w:eastAsia="SimSun"/>
          <w:lang w:val="fi-FI"/>
        </w:rPr>
        <w:t>CRC/C/15/add.272</w:t>
      </w:r>
      <w:r>
        <w:rPr>
          <w:rFonts w:eastAsia="SimSun" w:hint="eastAsia"/>
          <w:lang w:val="fi-FI"/>
        </w:rPr>
        <w:t>，</w:t>
      </w:r>
      <w:r>
        <w:rPr>
          <w:rFonts w:eastAsia="SimSun"/>
          <w:lang w:val="fi-FI"/>
        </w:rPr>
        <w:t>2005</w:t>
      </w:r>
      <w:r>
        <w:rPr>
          <w:rFonts w:eastAsia="SimSun" w:hint="eastAsia"/>
          <w:lang w:val="fi-FI"/>
        </w:rPr>
        <w:t>年</w:t>
      </w:r>
      <w:r>
        <w:rPr>
          <w:rFonts w:eastAsia="SimSun" w:hint="eastAsia"/>
          <w:lang w:val="fi-FI"/>
        </w:rPr>
        <w:t>9</w:t>
      </w:r>
      <w:r>
        <w:rPr>
          <w:rFonts w:eastAsia="SimSun" w:hint="eastAsia"/>
          <w:lang w:val="fi-FI"/>
        </w:rPr>
        <w:t>月</w:t>
      </w:r>
      <w:r>
        <w:rPr>
          <w:rFonts w:eastAsia="SimSun" w:hint="eastAsia"/>
          <w:lang w:val="fi-FI"/>
        </w:rPr>
        <w:t>30</w:t>
      </w:r>
      <w:r>
        <w:rPr>
          <w:rFonts w:eastAsia="SimSun" w:hint="eastAsia"/>
          <w:lang w:val="fi-FI"/>
        </w:rPr>
        <w:t>日。</w:t>
      </w:r>
    </w:p>
  </w:footnote>
  <w:footnote w:id="14">
    <w:p w:rsidR="007569C0" w:rsidRDefault="007569C0">
      <w:pPr>
        <w:pStyle w:val="FootnoteText"/>
        <w:spacing w:after="120" w:line="300" w:lineRule="exact"/>
        <w:jc w:val="both"/>
        <w:rPr>
          <w:rFonts w:eastAsia="SimSun" w:hint="eastAsia"/>
          <w:lang w:val="fi-FI"/>
        </w:rPr>
      </w:pPr>
      <w:r>
        <w:rPr>
          <w:rStyle w:val="FootnoteReference"/>
          <w:rFonts w:eastAsia="SimSun"/>
        </w:rPr>
        <w:footnoteRef/>
      </w:r>
      <w:r>
        <w:rPr>
          <w:rFonts w:eastAsia="SimSun"/>
          <w:lang w:val="fi-FI"/>
        </w:rPr>
        <w:t xml:space="preserve"> </w:t>
      </w:r>
      <w:r>
        <w:rPr>
          <w:rFonts w:eastAsia="SimSun" w:hint="eastAsia"/>
          <w:lang w:val="fi-FI"/>
        </w:rPr>
        <w:t xml:space="preserve"> </w:t>
      </w:r>
      <w:r>
        <w:rPr>
          <w:rFonts w:eastAsia="SimSun"/>
          <w:lang w:val="fi-FI"/>
        </w:rPr>
        <w:t>Ellonen- Kivivuori - Kääriäinen: Lapset ja nuoret väkivallan uhreina</w:t>
      </w:r>
      <w:r>
        <w:rPr>
          <w:rFonts w:eastAsia="SimSun" w:hint="eastAsia"/>
          <w:lang w:val="fi-FI"/>
        </w:rPr>
        <w:t>（</w:t>
      </w:r>
      <w:r>
        <w:rPr>
          <w:rFonts w:eastAsia="SimSun" w:hint="eastAsia"/>
        </w:rPr>
        <w:t>儿童和年轻人是暴力的受害者</w:t>
      </w:r>
      <w:r>
        <w:rPr>
          <w:rFonts w:eastAsia="SimSun" w:hint="eastAsia"/>
          <w:lang w:val="fi-FI"/>
        </w:rPr>
        <w:t>）；</w:t>
      </w:r>
      <w:r>
        <w:rPr>
          <w:rFonts w:eastAsia="SimSun" w:hint="eastAsia"/>
        </w:rPr>
        <w:t>芬兰警察学院</w:t>
      </w:r>
      <w:r>
        <w:rPr>
          <w:rFonts w:eastAsia="SimSun" w:hint="eastAsia"/>
          <w:lang w:val="fi-FI"/>
        </w:rPr>
        <w:t>：第</w:t>
      </w:r>
      <w:r>
        <w:rPr>
          <w:rFonts w:eastAsia="SimSun"/>
          <w:lang w:val="fi-FI"/>
        </w:rPr>
        <w:t>64/2007</w:t>
      </w:r>
      <w:r>
        <w:rPr>
          <w:rFonts w:eastAsia="SimSun" w:hint="eastAsia"/>
          <w:lang w:val="fi-FI"/>
        </w:rPr>
        <w:t>号报告；国家法律政策研究所：政策报告</w:t>
      </w:r>
      <w:r>
        <w:rPr>
          <w:rFonts w:eastAsia="SimSun" w:hint="eastAsia"/>
          <w:lang w:val="fi-FI"/>
        </w:rPr>
        <w:t>80</w:t>
      </w:r>
      <w:r>
        <w:rPr>
          <w:rFonts w:eastAsia="SimSun" w:hint="eastAsia"/>
          <w:lang w:val="fi-FI"/>
        </w:rPr>
        <w:t>。</w:t>
      </w:r>
      <w:r>
        <w:rPr>
          <w:rFonts w:eastAsia="SimSun" w:hint="eastAsia"/>
          <w:lang w:val="fi-FI"/>
        </w:rPr>
        <w:t xml:space="preserve"> </w:t>
      </w:r>
    </w:p>
  </w:footnote>
  <w:footnote w:id="15">
    <w:p w:rsidR="007569C0" w:rsidRDefault="007569C0">
      <w:pPr>
        <w:pStyle w:val="FootnoteText"/>
        <w:rPr>
          <w:lang w:val="fi-FI"/>
        </w:rPr>
      </w:pPr>
      <w:r>
        <w:rPr>
          <w:rStyle w:val="FootnoteReference"/>
        </w:rPr>
        <w:footnoteRef/>
      </w:r>
      <w:r>
        <w:rPr>
          <w:rFonts w:hint="eastAsia"/>
          <w:lang w:val="fi-FI"/>
        </w:rPr>
        <w:t xml:space="preserve">  </w:t>
      </w:r>
      <w:r>
        <w:rPr>
          <w:rFonts w:eastAsia="SimSun" w:hint="eastAsia"/>
          <w:lang w:val="fi-FI"/>
        </w:rPr>
        <w:t>同上。</w:t>
      </w:r>
    </w:p>
  </w:footnote>
  <w:footnote w:id="16">
    <w:p w:rsidR="007569C0" w:rsidRDefault="007569C0">
      <w:pPr>
        <w:spacing w:after="120" w:line="300" w:lineRule="exact"/>
        <w:rPr>
          <w:rFonts w:hint="eastAsia"/>
          <w:sz w:val="18"/>
          <w:lang w:val="fi-FI"/>
        </w:rPr>
      </w:pPr>
      <w:r>
        <w:rPr>
          <w:rFonts w:hint="eastAsia"/>
          <w:sz w:val="18"/>
          <w:vertAlign w:val="superscript"/>
        </w:rPr>
        <w:t>16</w:t>
      </w:r>
      <w:r>
        <w:rPr>
          <w:rFonts w:hint="eastAsia"/>
          <w:sz w:val="18"/>
        </w:rPr>
        <w:t xml:space="preserve">  </w:t>
      </w:r>
      <w:r>
        <w:rPr>
          <w:rFonts w:hint="eastAsia"/>
          <w:sz w:val="18"/>
          <w:lang w:val="fi-FI"/>
        </w:rPr>
        <w:t>2004</w:t>
      </w:r>
      <w:r>
        <w:rPr>
          <w:rFonts w:hint="eastAsia"/>
          <w:sz w:val="18"/>
          <w:lang w:val="fi-FI"/>
        </w:rPr>
        <w:t>年</w:t>
      </w:r>
      <w:r>
        <w:rPr>
          <w:rFonts w:hint="eastAsia"/>
          <w:sz w:val="18"/>
          <w:lang w:val="fi-FI"/>
        </w:rPr>
        <w:t>4</w:t>
      </w:r>
      <w:r>
        <w:rPr>
          <w:rFonts w:hint="eastAsia"/>
          <w:sz w:val="18"/>
          <w:lang w:val="fi-FI"/>
        </w:rPr>
        <w:t>月</w:t>
      </w:r>
      <w:r>
        <w:rPr>
          <w:rFonts w:hint="eastAsia"/>
          <w:sz w:val="18"/>
          <w:lang w:val="fi-FI"/>
        </w:rPr>
        <w:t>21</w:t>
      </w:r>
      <w:r>
        <w:rPr>
          <w:rFonts w:hint="eastAsia"/>
          <w:sz w:val="18"/>
          <w:lang w:val="fi-FI"/>
        </w:rPr>
        <w:t>日</w:t>
      </w:r>
      <w:r>
        <w:rPr>
          <w:rFonts w:hint="eastAsia"/>
          <w:sz w:val="18"/>
        </w:rPr>
        <w:t>欧洲议会和欧洲理事会第</w:t>
      </w:r>
      <w:r>
        <w:rPr>
          <w:sz w:val="18"/>
          <w:lang w:val="fi-FI"/>
        </w:rPr>
        <w:t xml:space="preserve">803/2004/EC </w:t>
      </w:r>
      <w:r>
        <w:rPr>
          <w:rFonts w:hint="eastAsia"/>
          <w:sz w:val="18"/>
          <w:lang w:val="fi-FI"/>
        </w:rPr>
        <w:t>号决定，通过了欧共体行动方案（</w:t>
      </w:r>
      <w:r>
        <w:rPr>
          <w:rFonts w:hint="eastAsia"/>
          <w:sz w:val="18"/>
          <w:lang w:val="fi-FI"/>
        </w:rPr>
        <w:t>2004</w:t>
      </w:r>
      <w:r>
        <w:rPr>
          <w:rFonts w:hint="eastAsia"/>
          <w:sz w:val="18"/>
          <w:lang w:val="fi-FI"/>
        </w:rPr>
        <w:t>年至</w:t>
      </w:r>
      <w:r>
        <w:rPr>
          <w:rFonts w:hint="eastAsia"/>
          <w:sz w:val="18"/>
          <w:lang w:val="fi-FI"/>
        </w:rPr>
        <w:t>2008</w:t>
      </w:r>
      <w:r>
        <w:rPr>
          <w:rFonts w:hint="eastAsia"/>
          <w:sz w:val="18"/>
          <w:lang w:val="fi-FI"/>
        </w:rPr>
        <w:t>年），以防止和打击对儿童、年轻人和妇女的暴力，保护处于危险中的受害人和团体（</w:t>
      </w:r>
      <w:r>
        <w:rPr>
          <w:sz w:val="18"/>
          <w:lang w:val="fi-FI"/>
        </w:rPr>
        <w:t xml:space="preserve">Daphne II </w:t>
      </w:r>
      <w:r>
        <w:rPr>
          <w:rFonts w:hint="eastAsia"/>
          <w:sz w:val="18"/>
          <w:lang w:val="fi-FI"/>
        </w:rPr>
        <w:t>方案）。</w:t>
      </w:r>
      <w:r>
        <w:rPr>
          <w:rFonts w:hint="eastAsia"/>
          <w:sz w:val="18"/>
          <w:lang w:val="fi-FI"/>
        </w:rPr>
        <w:t xml:space="preserve"> </w:t>
      </w:r>
    </w:p>
    <w:p w:rsidR="007569C0" w:rsidRDefault="007569C0">
      <w:pPr>
        <w:pStyle w:val="FootnoteText"/>
        <w:spacing w:after="120" w:line="300" w:lineRule="exact"/>
        <w:jc w:val="both"/>
        <w:rPr>
          <w:rFonts w:eastAsia="SimSun"/>
          <w:lang w:val="fi-FI"/>
        </w:rPr>
      </w:pPr>
    </w:p>
  </w:footnote>
  <w:footnote w:id="17">
    <w:p w:rsidR="007569C0" w:rsidRDefault="007569C0">
      <w:pPr>
        <w:pStyle w:val="FootnoteText"/>
        <w:spacing w:after="120" w:line="300" w:lineRule="exact"/>
        <w:jc w:val="both"/>
        <w:rPr>
          <w:rFonts w:eastAsia="SimSun" w:hint="eastAsia"/>
          <w:lang w:val="fi-FI"/>
        </w:rPr>
      </w:pPr>
      <w:r>
        <w:rPr>
          <w:rFonts w:eastAsia="SimSun" w:hint="eastAsia"/>
          <w:lang w:val="fi-FI"/>
        </w:rPr>
        <w:t xml:space="preserve">17  </w:t>
      </w:r>
      <w:hyperlink r:id="rId3" w:history="1">
        <w:r>
          <w:rPr>
            <w:rStyle w:val="Hyperlink"/>
            <w:rFonts w:eastAsia="SimSun"/>
            <w:lang w:val="fi-FI"/>
          </w:rPr>
          <w:t>www.lyomatonlinja.fi</w:t>
        </w:r>
      </w:hyperlink>
      <w:r>
        <w:rPr>
          <w:rFonts w:eastAsia="SimSun" w:hint="eastAsia"/>
        </w:rPr>
        <w:t>。</w:t>
      </w:r>
    </w:p>
  </w:footnote>
  <w:footnote w:id="18">
    <w:p w:rsidR="007569C0" w:rsidRDefault="007569C0">
      <w:pPr>
        <w:pStyle w:val="FootnoteTex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szCs w:val="24"/>
        </w:rPr>
        <w:t>Paula N</w:t>
      </w:r>
      <w:r>
        <w:rPr>
          <w:rFonts w:eastAsia="SimSun"/>
          <w:szCs w:val="24"/>
        </w:rPr>
        <w:t>ä</w:t>
      </w:r>
      <w:r>
        <w:rPr>
          <w:rFonts w:eastAsia="SimSun" w:hint="eastAsia"/>
          <w:szCs w:val="24"/>
        </w:rPr>
        <w:t>rhi</w:t>
      </w:r>
      <w:r>
        <w:rPr>
          <w:rFonts w:eastAsia="SimSun" w:hint="eastAsia"/>
          <w:szCs w:val="24"/>
        </w:rPr>
        <w:t>（</w:t>
      </w:r>
      <w:r>
        <w:rPr>
          <w:rFonts w:eastAsia="SimSun" w:hint="eastAsia"/>
          <w:szCs w:val="24"/>
        </w:rPr>
        <w:t>2006</w:t>
      </w:r>
      <w:r>
        <w:rPr>
          <w:rFonts w:eastAsia="SimSun" w:hint="eastAsia"/>
          <w:szCs w:val="24"/>
        </w:rPr>
        <w:t>年）：当圣坛将我们分开时。因人们对福音路德教会神职人员职位持不同看法而引发的冲突。教会研究所。第</w:t>
      </w:r>
      <w:r>
        <w:rPr>
          <w:rFonts w:eastAsia="SimSun" w:hint="eastAsia"/>
          <w:szCs w:val="24"/>
        </w:rPr>
        <w:t>94</w:t>
      </w:r>
      <w:r>
        <w:rPr>
          <w:rFonts w:eastAsia="SimSun" w:hint="eastAsia"/>
          <w:szCs w:val="24"/>
        </w:rPr>
        <w:t>期出版物。</w:t>
      </w:r>
    </w:p>
  </w:footnote>
  <w:footnote w:id="19">
    <w:p w:rsidR="007569C0" w:rsidRDefault="007569C0">
      <w:pPr>
        <w:pStyle w:val="FootnoteText"/>
      </w:pPr>
      <w:r>
        <w:rPr>
          <w:rStyle w:val="FootnoteReference"/>
        </w:rPr>
        <w:footnoteRef/>
      </w:r>
      <w:r>
        <w:rPr>
          <w:rFonts w:eastAsia="SimSun" w:hint="eastAsia"/>
          <w:szCs w:val="24"/>
        </w:rPr>
        <w:t xml:space="preserve">  </w:t>
      </w:r>
      <w:r>
        <w:rPr>
          <w:rFonts w:eastAsia="SimSun" w:hint="eastAsia"/>
          <w:szCs w:val="24"/>
        </w:rPr>
        <w:t>主教会议。</w:t>
      </w:r>
      <w:r>
        <w:rPr>
          <w:rFonts w:eastAsia="SimSun" w:hint="eastAsia"/>
          <w:szCs w:val="24"/>
        </w:rPr>
        <w:t>2006</w:t>
      </w:r>
      <w:r>
        <w:rPr>
          <w:rFonts w:eastAsia="SimSun" w:hint="eastAsia"/>
          <w:szCs w:val="24"/>
        </w:rPr>
        <w:t>年</w:t>
      </w:r>
      <w:r>
        <w:rPr>
          <w:rFonts w:eastAsia="SimSun" w:hint="eastAsia"/>
          <w:szCs w:val="24"/>
        </w:rPr>
        <w:t>1</w:t>
      </w:r>
      <w:r>
        <w:rPr>
          <w:rFonts w:eastAsia="SimSun" w:hint="eastAsia"/>
          <w:szCs w:val="24"/>
        </w:rPr>
        <w:t>月的函件，个案编号：</w:t>
      </w:r>
      <w:r>
        <w:rPr>
          <w:rFonts w:eastAsia="SimSun" w:hint="eastAsia"/>
          <w:szCs w:val="24"/>
        </w:rPr>
        <w:t>200301121</w:t>
      </w:r>
      <w:r>
        <w:rPr>
          <w:rFonts w:eastAsia="SimSun" w:hint="eastAsia"/>
          <w:szCs w:val="24"/>
        </w:rPr>
        <w:t>。</w:t>
      </w:r>
    </w:p>
  </w:footnote>
  <w:footnote w:id="20">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lang w:val="fi-FI"/>
        </w:rPr>
        <w:t xml:space="preserve"> </w:t>
      </w:r>
      <w:r>
        <w:rPr>
          <w:rFonts w:eastAsia="SimSun" w:hint="eastAsia"/>
          <w:lang w:val="fi-FI"/>
        </w:rPr>
        <w:t xml:space="preserve"> </w:t>
      </w:r>
      <w:r>
        <w:rPr>
          <w:rFonts w:eastAsia="SimSun"/>
          <w:lang w:val="fi-FI"/>
        </w:rPr>
        <w:t>Kontula</w:t>
      </w:r>
      <w:r>
        <w:rPr>
          <w:rFonts w:eastAsia="SimSun" w:hint="eastAsia"/>
          <w:lang w:val="fi-FI"/>
        </w:rPr>
        <w:t>、</w:t>
      </w:r>
      <w:r>
        <w:rPr>
          <w:rFonts w:eastAsia="SimSun"/>
          <w:lang w:val="fi-FI"/>
        </w:rPr>
        <w:t>Osmo</w:t>
      </w:r>
      <w:r>
        <w:rPr>
          <w:rFonts w:eastAsia="SimSun" w:hint="eastAsia"/>
          <w:lang w:val="fi-FI"/>
        </w:rPr>
        <w:t>和</w:t>
      </w:r>
      <w:r>
        <w:rPr>
          <w:rFonts w:eastAsia="SimSun"/>
          <w:lang w:val="fi-FI"/>
        </w:rPr>
        <w:t xml:space="preserve">Meriläinen, </w:t>
      </w:r>
      <w:r>
        <w:rPr>
          <w:rFonts w:eastAsia="SimSun" w:hint="eastAsia"/>
          <w:lang w:val="fi-FI"/>
        </w:rPr>
        <w:t>21</w:t>
      </w:r>
      <w:r>
        <w:rPr>
          <w:rFonts w:eastAsia="SimSun" w:hint="eastAsia"/>
        </w:rPr>
        <w:t>世纪第一个十年芬兰学校的性教育。家庭联合会人口研究中心。</w:t>
      </w:r>
      <w:r>
        <w:rPr>
          <w:rFonts w:eastAsia="SimSun"/>
          <w:lang w:val="fi-FI"/>
        </w:rPr>
        <w:t xml:space="preserve"> </w:t>
      </w:r>
      <w:r>
        <w:rPr>
          <w:rFonts w:eastAsia="SimSun" w:hint="eastAsia"/>
          <w:lang w:val="fi-FI"/>
        </w:rPr>
        <w:t>第</w:t>
      </w:r>
      <w:r>
        <w:rPr>
          <w:rFonts w:eastAsia="SimSun"/>
        </w:rPr>
        <w:t>E26/2007</w:t>
      </w:r>
      <w:r>
        <w:rPr>
          <w:rFonts w:eastAsia="SimSun" w:hint="eastAsia"/>
        </w:rPr>
        <w:t xml:space="preserve">号报告。　</w:t>
      </w:r>
    </w:p>
  </w:footnote>
  <w:footnote w:id="21">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科学和社会工作组备忘录。教育部工作组备忘录和报告，</w:t>
      </w:r>
      <w:r>
        <w:rPr>
          <w:rFonts w:eastAsia="SimSun"/>
        </w:rPr>
        <w:t>2004:28</w:t>
      </w:r>
      <w:r>
        <w:rPr>
          <w:rFonts w:eastAsia="SimSun" w:hint="eastAsia"/>
        </w:rPr>
        <w:t xml:space="preserve">。　</w:t>
      </w:r>
    </w:p>
  </w:footnote>
  <w:footnote w:id="22">
    <w:p w:rsidR="007569C0" w:rsidRDefault="007569C0">
      <w:pPr>
        <w:pStyle w:val="FootnoteText"/>
        <w:spacing w:after="120" w:line="300" w:lineRule="exact"/>
        <w:jc w:val="both"/>
        <w:rPr>
          <w:rFonts w:eastAsia="SimSun"/>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研究生涯工作组的最后报告。工作组备忘录和教育部报告，</w:t>
      </w:r>
      <w:r>
        <w:rPr>
          <w:rFonts w:eastAsia="SimSun"/>
        </w:rPr>
        <w:t>2006:13</w:t>
      </w:r>
      <w:r>
        <w:rPr>
          <w:rFonts w:eastAsia="SimSun" w:hint="eastAsia"/>
        </w:rPr>
        <w:t xml:space="preserve">。　</w:t>
      </w:r>
      <w:r>
        <w:rPr>
          <w:rFonts w:eastAsia="SimSun"/>
        </w:rPr>
        <w:t xml:space="preserve"> </w:t>
      </w:r>
    </w:p>
  </w:footnote>
  <w:footnote w:id="23">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rPr>
        <w:t xml:space="preserve">芬兰技术和创新供资机构向公司、大学、技术大学和研究中心启动的挑战性研究和发展项目提供资金。　</w:t>
      </w:r>
    </w:p>
  </w:footnote>
  <w:footnote w:id="24">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rPr>
        <w:t>2007-2011</w:t>
      </w:r>
      <w:r>
        <w:rPr>
          <w:rFonts w:eastAsia="SimSun" w:hint="eastAsia"/>
        </w:rPr>
        <w:t>年拟定研究员教育和研究职业的措施方案。教育部，</w:t>
      </w:r>
      <w:r>
        <w:rPr>
          <w:rFonts w:eastAsia="SimSun"/>
        </w:rPr>
        <w:t>2007:7</w:t>
      </w:r>
      <w:r>
        <w:rPr>
          <w:rFonts w:eastAsia="SimSun" w:hint="eastAsia"/>
        </w:rPr>
        <w:t>。</w:t>
      </w:r>
    </w:p>
  </w:footnote>
  <w:footnote w:id="25">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w:t>
      </w:r>
      <w:r>
        <w:rPr>
          <w:rFonts w:eastAsia="SimSun"/>
        </w:rPr>
        <w:t xml:space="preserve">Virta L. </w:t>
      </w:r>
      <w:r>
        <w:rPr>
          <w:rFonts w:eastAsia="SimSun" w:hint="eastAsia"/>
        </w:rPr>
        <w:t>对援助残疾人目标的观察。赫尔辛基：社会保险机构，社会和卫生保障报告</w:t>
      </w:r>
      <w:r>
        <w:rPr>
          <w:rFonts w:eastAsia="SimSun"/>
        </w:rPr>
        <w:t>53, 2006</w:t>
      </w:r>
      <w:r>
        <w:rPr>
          <w:rFonts w:eastAsia="SimSun" w:hint="eastAsia"/>
        </w:rPr>
        <w:t>年。</w:t>
      </w:r>
      <w:r>
        <w:rPr>
          <w:rFonts w:eastAsia="SimSun" w:hint="eastAsia"/>
        </w:rPr>
        <w:t xml:space="preserve"> </w:t>
      </w:r>
    </w:p>
  </w:footnote>
  <w:footnote w:id="26">
    <w:p w:rsidR="007569C0" w:rsidRDefault="007569C0">
      <w:pPr>
        <w:pStyle w:val="FootnoteText"/>
        <w:spacing w:after="120" w:line="300" w:lineRule="exact"/>
        <w:jc w:val="both"/>
        <w:rPr>
          <w:rFonts w:eastAsia="SimSun" w:hint="eastAsia"/>
        </w:rPr>
      </w:pPr>
      <w:r>
        <w:rPr>
          <w:rStyle w:val="FootnoteReference"/>
          <w:rFonts w:eastAsia="SimSun"/>
        </w:rPr>
        <w:footnoteRef/>
      </w:r>
      <w:r>
        <w:rPr>
          <w:rFonts w:eastAsia="SimSun"/>
        </w:rPr>
        <w:t xml:space="preserve"> </w:t>
      </w:r>
      <w:r>
        <w:rPr>
          <w:rFonts w:eastAsia="SimSun" w:hint="eastAsia"/>
        </w:rPr>
        <w:t xml:space="preserve"> Arja Rimpel</w:t>
      </w:r>
      <w:r>
        <w:rPr>
          <w:rFonts w:eastAsia="SimSun"/>
        </w:rPr>
        <w:t>ä</w:t>
      </w:r>
      <w:r>
        <w:rPr>
          <w:rFonts w:eastAsia="SimSun" w:hint="eastAsia"/>
        </w:rPr>
        <w:t>、</w:t>
      </w:r>
      <w:r>
        <w:rPr>
          <w:rFonts w:eastAsia="SimSun" w:hint="eastAsia"/>
        </w:rPr>
        <w:t>Susanna Rainio</w:t>
      </w:r>
      <w:r>
        <w:rPr>
          <w:rFonts w:eastAsia="SimSun" w:hint="eastAsia"/>
        </w:rPr>
        <w:t>、</w:t>
      </w:r>
      <w:r>
        <w:rPr>
          <w:rFonts w:eastAsia="SimSun" w:hint="eastAsia"/>
        </w:rPr>
        <w:t>Lasse Pere</w:t>
      </w:r>
      <w:r>
        <w:rPr>
          <w:rFonts w:eastAsia="SimSun" w:hint="eastAsia"/>
        </w:rPr>
        <w:t>、</w:t>
      </w:r>
      <w:r>
        <w:rPr>
          <w:rFonts w:eastAsia="SimSun" w:hint="eastAsia"/>
        </w:rPr>
        <w:t>Tomi Lintonen</w:t>
      </w:r>
      <w:r>
        <w:rPr>
          <w:rFonts w:eastAsia="SimSun" w:hint="eastAsia"/>
        </w:rPr>
        <w:t>、</w:t>
      </w:r>
      <w:r>
        <w:rPr>
          <w:rFonts w:eastAsia="SimSun" w:hint="eastAsia"/>
        </w:rPr>
        <w:t>Matti Rimpel</w:t>
      </w:r>
      <w:r>
        <w:rPr>
          <w:rFonts w:eastAsia="SimSun"/>
        </w:rPr>
        <w:t>ä</w:t>
      </w:r>
      <w:r>
        <w:rPr>
          <w:rFonts w:eastAsia="SimSun" w:hint="eastAsia"/>
        </w:rPr>
        <w:t>；</w:t>
      </w:r>
      <w:r>
        <w:rPr>
          <w:rFonts w:eastAsia="SimSun" w:hint="eastAsia"/>
        </w:rPr>
        <w:t>1977-2005</w:t>
      </w:r>
      <w:r>
        <w:rPr>
          <w:rFonts w:eastAsia="SimSun" w:hint="eastAsia"/>
        </w:rPr>
        <w:t>年对烟草产品和物质的使用。</w:t>
      </w:r>
      <w:r>
        <w:rPr>
          <w:rFonts w:eastAsia="SimSun" w:hint="eastAsia"/>
        </w:rPr>
        <w:t>2005</w:t>
      </w:r>
      <w:r>
        <w:rPr>
          <w:rFonts w:eastAsia="SimSun" w:hint="eastAsia"/>
        </w:rPr>
        <w:t>年青少年健康状况和生活方式调查。社会事务和卫生部，</w:t>
      </w:r>
      <w:r>
        <w:rPr>
          <w:rFonts w:eastAsia="SimSun" w:hint="eastAsia"/>
        </w:rPr>
        <w:t>2005:23</w:t>
      </w:r>
      <w:r>
        <w:rPr>
          <w:rFonts w:eastAsia="SimSun" w:hint="eastAsia"/>
        </w:rPr>
        <w:t>。</w:t>
      </w:r>
    </w:p>
  </w:footnote>
  <w:footnote w:id="27">
    <w:p w:rsidR="007569C0" w:rsidRDefault="007569C0">
      <w:pPr>
        <w:pStyle w:val="FootnoteText"/>
        <w:spacing w:after="120" w:line="300" w:lineRule="exact"/>
        <w:jc w:val="both"/>
        <w:rPr>
          <w:rFonts w:eastAsia="SimSun" w:hint="eastAsia"/>
          <w:lang w:val="fi-FI"/>
        </w:rPr>
      </w:pPr>
      <w:r>
        <w:rPr>
          <w:rStyle w:val="FootnoteReference"/>
          <w:rFonts w:eastAsia="SimSun"/>
        </w:rPr>
        <w:footnoteRef/>
      </w:r>
      <w:r>
        <w:rPr>
          <w:rFonts w:eastAsia="SimSun"/>
        </w:rPr>
        <w:t xml:space="preserve"> </w:t>
      </w:r>
      <w:r>
        <w:rPr>
          <w:rFonts w:eastAsia="SimSun" w:hint="eastAsia"/>
        </w:rPr>
        <w:t xml:space="preserve"> </w:t>
      </w:r>
      <w:r>
        <w:rPr>
          <w:rFonts w:eastAsia="SimSun" w:hint="eastAsia"/>
          <w:lang w:val="fi-FI"/>
        </w:rPr>
        <w:t>同上。</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pPr>
      <w:pStyle w:val="Header"/>
      <w:pBdr>
        <w:bottom w:val="none" w:sz="0" w:space="0" w:color="auto"/>
      </w:pBdr>
      <w:spacing w:line="60" w:lineRule="exact"/>
      <w:jc w:val="both"/>
    </w:pPr>
    <w:r>
      <w:rPr>
        <w:noProof/>
        <w:sz w:val="20"/>
      </w:rPr>
      <w:pict>
        <v:shapetype id="_x0000_t202" coordsize="21600,21600" o:spt="202" path="m,l,21600r21600,l21600,xe">
          <v:stroke joinstyle="miter"/>
          <v:path gradientshapeok="t" o:connecttype="rect"/>
        </v:shapetype>
        <v:shape id="_x0000_s2051" type="#_x0000_t202" style="position:absolute;left:0;text-align:left;margin-left:-5.8pt;margin-top:-.1pt;width:7in;height:50.4pt;z-index:1" stroked="f">
          <v:textbox style="mso-next-textbox:#_x0000_s205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569C0">
                  <w:tblPrEx>
                    <w:tblCellMar>
                      <w:top w:w="0" w:type="dxa"/>
                      <w:bottom w:w="0" w:type="dxa"/>
                    </w:tblCellMar>
                  </w:tblPrEx>
                  <w:trPr>
                    <w:trHeight w:hRule="exact" w:val="864"/>
                  </w:trPr>
                  <w:tc>
                    <w:tcPr>
                      <w:tcW w:w="4838" w:type="dxa"/>
                      <w:tcBorders>
                        <w:bottom w:val="single" w:sz="4" w:space="0" w:color="auto"/>
                      </w:tcBorders>
                      <w:vAlign w:val="bottom"/>
                    </w:tcPr>
                    <w:p w:rsidR="007569C0" w:rsidRDefault="007569C0">
                      <w:pPr>
                        <w:pStyle w:val="Header"/>
                        <w:pBdr>
                          <w:bottom w:val="none" w:sz="0" w:space="0" w:color="auto"/>
                        </w:pBdr>
                        <w:spacing w:after="80"/>
                        <w:jc w:val="both"/>
                        <w:rPr>
                          <w:rFonts w:hint="eastAsia"/>
                          <w:b/>
                        </w:rPr>
                      </w:pPr>
                      <w:r>
                        <w:rPr>
                          <w:b/>
                        </w:rPr>
                        <w:t>CEDAW/C/NLD/4</w:t>
                      </w:r>
                    </w:p>
                  </w:tc>
                  <w:tc>
                    <w:tcPr>
                      <w:tcW w:w="5048" w:type="dxa"/>
                      <w:tcBorders>
                        <w:bottom w:val="single" w:sz="4" w:space="0" w:color="auto"/>
                      </w:tcBorders>
                      <w:vAlign w:val="bottom"/>
                    </w:tcPr>
                    <w:p w:rsidR="007569C0" w:rsidRDefault="007569C0">
                      <w:pPr>
                        <w:pStyle w:val="Header"/>
                        <w:pBdr>
                          <w:bottom w:val="none" w:sz="0" w:space="0" w:color="auto"/>
                        </w:pBdr>
                      </w:pPr>
                    </w:p>
                  </w:tc>
                </w:tr>
              </w:tbl>
              <w:p w:rsidR="007569C0" w:rsidRDefault="007569C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52" type="#_x0000_t202" style="position:absolute;left:0;text-align:left;margin-left:-6pt;margin-top:.95pt;width:7in;height:50.4pt;z-index:2" stroked="f">
          <v:textbox style="mso-next-textbox:#_x0000_s205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569C0">
                  <w:tblPrEx>
                    <w:tblCellMar>
                      <w:top w:w="0" w:type="dxa"/>
                      <w:bottom w:w="0" w:type="dxa"/>
                    </w:tblCellMar>
                  </w:tblPrEx>
                  <w:trPr>
                    <w:trHeight w:hRule="exact" w:val="864"/>
                  </w:trPr>
                  <w:tc>
                    <w:tcPr>
                      <w:tcW w:w="4838" w:type="dxa"/>
                      <w:tcBorders>
                        <w:bottom w:val="single" w:sz="4" w:space="0" w:color="auto"/>
                      </w:tcBorders>
                      <w:vAlign w:val="bottom"/>
                    </w:tcPr>
                    <w:p w:rsidR="007569C0" w:rsidRDefault="007569C0">
                      <w:pPr>
                        <w:pStyle w:val="Header"/>
                        <w:pBdr>
                          <w:bottom w:val="none" w:sz="0" w:space="0" w:color="auto"/>
                        </w:pBdr>
                      </w:pPr>
                    </w:p>
                  </w:tc>
                  <w:tc>
                    <w:tcPr>
                      <w:tcW w:w="5048" w:type="dxa"/>
                      <w:tcBorders>
                        <w:bottom w:val="single" w:sz="4" w:space="0" w:color="auto"/>
                      </w:tcBorders>
                      <w:vAlign w:val="bottom"/>
                    </w:tcPr>
                    <w:p w:rsidR="007569C0" w:rsidRDefault="007569C0">
                      <w:pPr>
                        <w:pStyle w:val="Header"/>
                        <w:pBdr>
                          <w:bottom w:val="none" w:sz="0" w:space="0" w:color="auto"/>
                        </w:pBdr>
                        <w:spacing w:after="80"/>
                        <w:jc w:val="right"/>
                        <w:rPr>
                          <w:rFonts w:hint="eastAsia"/>
                          <w:b/>
                        </w:rPr>
                      </w:pPr>
                      <w:r>
                        <w:rPr>
                          <w:b/>
                        </w:rPr>
                        <w:t>CEDAW/C/NLD/4</w:t>
                      </w:r>
                    </w:p>
                  </w:tc>
                </w:tr>
              </w:tbl>
              <w:p w:rsidR="007569C0" w:rsidRDefault="007569C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26"/>
      <w:gridCol w:w="3187"/>
      <w:gridCol w:w="12"/>
    </w:tblGrid>
    <w:tr w:rsidR="007569C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7569C0" w:rsidRDefault="007569C0">
          <w:pPr>
            <w:pStyle w:val="Header"/>
            <w:pBdr>
              <w:bottom w:val="none" w:sz="0" w:space="0" w:color="auto"/>
            </w:pBdr>
            <w:spacing w:after="120"/>
          </w:pPr>
        </w:p>
      </w:tc>
      <w:tc>
        <w:tcPr>
          <w:tcW w:w="1872" w:type="dxa"/>
          <w:tcBorders>
            <w:top w:val="nil"/>
            <w:left w:val="nil"/>
            <w:bottom w:val="single" w:sz="4" w:space="0" w:color="auto"/>
            <w:right w:val="nil"/>
          </w:tcBorders>
          <w:vAlign w:val="bottom"/>
        </w:tcPr>
        <w:p w:rsidR="007569C0" w:rsidRDefault="007569C0">
          <w:pPr>
            <w:pStyle w:val="HCh"/>
            <w:spacing w:after="80"/>
            <w:rPr>
              <w:rFonts w:eastAsia="SimSun"/>
              <w:spacing w:val="40"/>
              <w:sz w:val="30"/>
            </w:rPr>
          </w:pPr>
          <w:r>
            <w:rPr>
              <w:rFonts w:eastAsia="SimSun" w:hint="eastAsia"/>
              <w:spacing w:val="40"/>
              <w:sz w:val="30"/>
            </w:rPr>
            <w:t>联合国</w:t>
          </w:r>
        </w:p>
      </w:tc>
      <w:tc>
        <w:tcPr>
          <w:tcW w:w="245" w:type="dxa"/>
          <w:tcBorders>
            <w:top w:val="nil"/>
            <w:left w:val="nil"/>
            <w:bottom w:val="single" w:sz="4" w:space="0" w:color="auto"/>
            <w:right w:val="nil"/>
          </w:tcBorders>
          <w:vAlign w:val="bottom"/>
        </w:tcPr>
        <w:p w:rsidR="007569C0" w:rsidRDefault="007569C0">
          <w:pPr>
            <w:pStyle w:val="Header"/>
            <w:pBdr>
              <w:bottom w:val="none" w:sz="0" w:space="0" w:color="auto"/>
            </w:pBdr>
            <w:spacing w:after="120"/>
          </w:pPr>
        </w:p>
      </w:tc>
      <w:tc>
        <w:tcPr>
          <w:tcW w:w="6523" w:type="dxa"/>
          <w:gridSpan w:val="3"/>
          <w:tcBorders>
            <w:top w:val="nil"/>
            <w:left w:val="nil"/>
            <w:bottom w:val="single" w:sz="4" w:space="0" w:color="auto"/>
            <w:right w:val="nil"/>
          </w:tcBorders>
          <w:vAlign w:val="bottom"/>
        </w:tcPr>
        <w:p w:rsidR="007569C0" w:rsidRDefault="007569C0">
          <w:pPr>
            <w:spacing w:line="240" w:lineRule="auto"/>
            <w:jc w:val="right"/>
            <w:rPr>
              <w:rFonts w:hint="eastAsia"/>
              <w:position w:val="-4"/>
              <w:sz w:val="20"/>
            </w:rPr>
          </w:pPr>
          <w:r>
            <w:rPr>
              <w:position w:val="-4"/>
              <w:sz w:val="36"/>
            </w:rPr>
            <w:t>CEDAW</w:t>
          </w:r>
          <w:r>
            <w:rPr>
              <w:rFonts w:ascii="Arial" w:hAnsi="Arial" w:cs="Arial"/>
              <w:position w:val="-4"/>
            </w:rPr>
            <w:t>/</w:t>
          </w:r>
          <w:r>
            <w:rPr>
              <w:position w:val="-4"/>
            </w:rPr>
            <w:t>C/</w:t>
          </w:r>
          <w:r>
            <w:rPr>
              <w:rFonts w:hint="eastAsia"/>
              <w:position w:val="-4"/>
            </w:rPr>
            <w:t>FIN</w:t>
          </w:r>
          <w:r>
            <w:rPr>
              <w:position w:val="-4"/>
            </w:rPr>
            <w:t>/</w:t>
          </w:r>
          <w:r>
            <w:rPr>
              <w:rFonts w:hint="eastAsia"/>
              <w:position w:val="-4"/>
            </w:rPr>
            <w:t>6</w:t>
          </w:r>
        </w:p>
      </w:tc>
    </w:tr>
    <w:tr w:rsidR="007569C0">
      <w:tblPrEx>
        <w:tblCellMar>
          <w:top w:w="0" w:type="dxa"/>
          <w:bottom w:w="0" w:type="dxa"/>
        </w:tblCellMar>
      </w:tblPrEx>
      <w:trPr>
        <w:trHeight w:hRule="exact" w:val="2880"/>
      </w:trPr>
      <w:tc>
        <w:tcPr>
          <w:tcW w:w="1267" w:type="dxa"/>
          <w:tcBorders>
            <w:left w:val="nil"/>
            <w:bottom w:val="single" w:sz="12" w:space="0" w:color="auto"/>
            <w:right w:val="nil"/>
          </w:tcBorders>
        </w:tcPr>
        <w:p w:rsidR="007569C0" w:rsidRDefault="007569C0">
          <w:pPr>
            <w:pStyle w:val="Header"/>
            <w:pBdr>
              <w:bottom w:val="none" w:sz="0" w:space="0" w:color="auto"/>
            </w:pBdr>
            <w:spacing w:before="109"/>
            <w:ind w:left="-72"/>
          </w:pPr>
          <w:r>
            <w:t xml:space="preserve"> </w:t>
          </w:r>
          <w:r>
            <w:rPr>
              <w:rFonts w:hint="eastAsia"/>
              <w:szCs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5.5pt;height:49.5pt" fillcolor="window">
                <v:imagedata r:id="rId1" o:title=""/>
              </v:shape>
            </w:pict>
          </w:r>
        </w:p>
        <w:p w:rsidR="007569C0" w:rsidRDefault="007569C0">
          <w:pPr>
            <w:pStyle w:val="Header"/>
            <w:pBdr>
              <w:bottom w:val="none" w:sz="0" w:space="0" w:color="auto"/>
            </w:pBdr>
            <w:spacing w:before="109"/>
            <w:ind w:left="-72"/>
          </w:pPr>
        </w:p>
      </w:tc>
      <w:tc>
        <w:tcPr>
          <w:tcW w:w="5227" w:type="dxa"/>
          <w:gridSpan w:val="3"/>
          <w:tcBorders>
            <w:left w:val="nil"/>
            <w:bottom w:val="single" w:sz="12" w:space="0" w:color="auto"/>
            <w:right w:val="nil"/>
          </w:tcBorders>
        </w:tcPr>
        <w:p w:rsidR="007569C0" w:rsidRDefault="007569C0">
          <w:pPr>
            <w:pStyle w:val="XLarge"/>
            <w:spacing w:before="109" w:after="140" w:line="520" w:lineRule="exact"/>
          </w:pPr>
          <w:r>
            <w:rPr>
              <w:rFonts w:hint="eastAsia"/>
            </w:rPr>
            <w:t>消除对妇女一切形式</w:t>
          </w:r>
          <w:r>
            <w:br/>
          </w:r>
          <w:r>
            <w:rPr>
              <w:rFonts w:hint="eastAsia"/>
            </w:rPr>
            <w:t>歧视公约</w:t>
          </w:r>
        </w:p>
      </w:tc>
      <w:tc>
        <w:tcPr>
          <w:tcW w:w="226" w:type="dxa"/>
          <w:tcBorders>
            <w:left w:val="nil"/>
            <w:bottom w:val="single" w:sz="12" w:space="0" w:color="auto"/>
            <w:right w:val="nil"/>
          </w:tcBorders>
        </w:tcPr>
        <w:p w:rsidR="007569C0" w:rsidRDefault="007569C0">
          <w:pPr>
            <w:pStyle w:val="Header"/>
            <w:pBdr>
              <w:bottom w:val="none" w:sz="0" w:space="0" w:color="auto"/>
            </w:pBdr>
            <w:spacing w:before="109"/>
          </w:pPr>
        </w:p>
      </w:tc>
      <w:tc>
        <w:tcPr>
          <w:tcW w:w="3199" w:type="dxa"/>
          <w:gridSpan w:val="2"/>
          <w:tcBorders>
            <w:left w:val="nil"/>
            <w:bottom w:val="single" w:sz="12" w:space="0" w:color="auto"/>
            <w:right w:val="nil"/>
          </w:tcBorders>
        </w:tcPr>
        <w:p w:rsidR="007569C0" w:rsidRDefault="007569C0">
          <w:pPr>
            <w:spacing w:before="240" w:line="240" w:lineRule="exact"/>
          </w:pPr>
          <w:r>
            <w:t>Distr.: General</w:t>
          </w:r>
        </w:p>
        <w:p w:rsidR="007569C0" w:rsidRDefault="007569C0">
          <w:pPr>
            <w:spacing w:line="240" w:lineRule="exact"/>
            <w:rPr>
              <w:rFonts w:hint="eastAsia"/>
            </w:rPr>
          </w:pPr>
          <w:r>
            <w:rPr>
              <w:rFonts w:hint="eastAsia"/>
            </w:rPr>
            <w:t>8</w:t>
          </w:r>
          <w:r>
            <w:t xml:space="preserve"> </w:t>
          </w:r>
          <w:r>
            <w:rPr>
              <w:rFonts w:hint="eastAsia"/>
            </w:rPr>
            <w:t xml:space="preserve">November </w:t>
          </w:r>
          <w:r>
            <w:t>2007</w:t>
          </w:r>
        </w:p>
        <w:p w:rsidR="007569C0" w:rsidRDefault="007569C0">
          <w:pPr>
            <w:spacing w:line="240" w:lineRule="exact"/>
          </w:pPr>
          <w:r>
            <w:t>Chinese</w:t>
          </w:r>
        </w:p>
        <w:p w:rsidR="007569C0" w:rsidRDefault="007569C0">
          <w:pPr>
            <w:spacing w:line="240" w:lineRule="exact"/>
          </w:pPr>
          <w:r>
            <w:t>Original: English</w:t>
          </w:r>
        </w:p>
      </w:tc>
    </w:tr>
  </w:tbl>
  <w:p w:rsidR="007569C0" w:rsidRDefault="007569C0">
    <w:pPr>
      <w:pStyle w:val="Header"/>
      <w:pBdr>
        <w:bottom w:val="none" w:sz="0" w:space="0" w:color="auto"/>
      </w:pBdr>
      <w:spacing w:line="60" w:lineRule="exact"/>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pPr>
      <w:pStyle w:val="Header"/>
      <w:pBdr>
        <w:bottom w:val="none" w:sz="0" w:space="0" w:color="auto"/>
      </w:pBdr>
      <w:spacing w:line="240" w:lineRule="auto"/>
    </w:pPr>
    <w:r>
      <w:rPr>
        <w:noProof/>
        <w:sz w:val="20"/>
      </w:rPr>
      <w:pict>
        <v:shapetype id="_x0000_t202" coordsize="21600,21600" o:spt="202" path="m,l,21600r21600,l21600,xe">
          <v:stroke joinstyle="miter"/>
          <v:path gradientshapeok="t" o:connecttype="rect"/>
        </v:shapetype>
        <v:shape id="_x0000_s2072" type="#_x0000_t202" style="position:absolute;left:0;text-align:left;margin-left:-6pt;margin-top:.95pt;width:7in;height:50.4pt;z-index:4" stroked="f">
          <v:textbox style="mso-next-textbox:#_x0000_s2072"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569C0">
                  <w:tblPrEx>
                    <w:tblCellMar>
                      <w:top w:w="0" w:type="dxa"/>
                      <w:bottom w:w="0" w:type="dxa"/>
                    </w:tblCellMar>
                  </w:tblPrEx>
                  <w:trPr>
                    <w:trHeight w:hRule="exact" w:val="864"/>
                  </w:trPr>
                  <w:tc>
                    <w:tcPr>
                      <w:tcW w:w="4838" w:type="dxa"/>
                      <w:tcBorders>
                        <w:bottom w:val="single" w:sz="4" w:space="0" w:color="auto"/>
                      </w:tcBorders>
                      <w:vAlign w:val="bottom"/>
                    </w:tcPr>
                    <w:p w:rsidR="007569C0" w:rsidRDefault="007569C0">
                      <w:pPr>
                        <w:pStyle w:val="Header"/>
                        <w:pBdr>
                          <w:bottom w:val="none" w:sz="0" w:space="0" w:color="auto"/>
                        </w:pBdr>
                        <w:spacing w:after="80"/>
                        <w:jc w:val="both"/>
                        <w:rPr>
                          <w:rFonts w:hint="eastAsia"/>
                          <w:b/>
                        </w:rPr>
                      </w:pPr>
                      <w:r>
                        <w:rPr>
                          <w:b/>
                        </w:rPr>
                        <w:t>CEDAW/C</w:t>
                      </w:r>
                      <w:r>
                        <w:rPr>
                          <w:rFonts w:hint="eastAsia"/>
                          <w:b/>
                        </w:rPr>
                        <w:t>/FIN</w:t>
                      </w:r>
                      <w:r>
                        <w:rPr>
                          <w:b/>
                        </w:rPr>
                        <w:t>/</w:t>
                      </w:r>
                      <w:r>
                        <w:rPr>
                          <w:rFonts w:hint="eastAsia"/>
                          <w:b/>
                        </w:rPr>
                        <w:t>6</w:t>
                      </w:r>
                    </w:p>
                  </w:tc>
                  <w:tc>
                    <w:tcPr>
                      <w:tcW w:w="5048" w:type="dxa"/>
                      <w:tcBorders>
                        <w:bottom w:val="single" w:sz="4" w:space="0" w:color="auto"/>
                      </w:tcBorders>
                      <w:vAlign w:val="bottom"/>
                    </w:tcPr>
                    <w:p w:rsidR="007569C0" w:rsidRDefault="007569C0">
                      <w:pPr>
                        <w:pStyle w:val="Header"/>
                        <w:pBdr>
                          <w:bottom w:val="none" w:sz="0" w:space="0" w:color="auto"/>
                        </w:pBdr>
                      </w:pPr>
                    </w:p>
                  </w:tc>
                </w:tr>
              </w:tbl>
              <w:p w:rsidR="007569C0" w:rsidRDefault="007569C0"/>
            </w:txbxContent>
          </v:textbox>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69C0" w:rsidRDefault="007569C0">
    <w:pPr>
      <w:pStyle w:val="Header"/>
      <w:pBdr>
        <w:bottom w:val="none" w:sz="0" w:space="0" w:color="auto"/>
      </w:pBdr>
    </w:pPr>
    <w:r>
      <w:rPr>
        <w:noProof/>
        <w:sz w:val="20"/>
      </w:rPr>
      <w:pict>
        <v:shapetype id="_x0000_t202" coordsize="21600,21600" o:spt="202" path="m,l,21600r21600,l21600,xe">
          <v:stroke joinstyle="miter"/>
          <v:path gradientshapeok="t" o:connecttype="rect"/>
        </v:shapetype>
        <v:shape id="_x0000_s2071" type="#_x0000_t202" style="position:absolute;left:0;text-align:left;margin-left:-6pt;margin-top:-4.25pt;width:7in;height:50.4pt;z-index:3" stroked="f">
          <v:textbox style="mso-next-textbox:#_x0000_s2071"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7569C0">
                  <w:tblPrEx>
                    <w:tblCellMar>
                      <w:top w:w="0" w:type="dxa"/>
                      <w:bottom w:w="0" w:type="dxa"/>
                    </w:tblCellMar>
                  </w:tblPrEx>
                  <w:trPr>
                    <w:trHeight w:hRule="exact" w:val="864"/>
                  </w:trPr>
                  <w:tc>
                    <w:tcPr>
                      <w:tcW w:w="4838" w:type="dxa"/>
                      <w:tcBorders>
                        <w:bottom w:val="single" w:sz="4" w:space="0" w:color="auto"/>
                      </w:tcBorders>
                      <w:vAlign w:val="bottom"/>
                    </w:tcPr>
                    <w:p w:rsidR="007569C0" w:rsidRDefault="007569C0">
                      <w:pPr>
                        <w:pStyle w:val="Header"/>
                        <w:pBdr>
                          <w:bottom w:val="none" w:sz="0" w:space="0" w:color="auto"/>
                        </w:pBdr>
                      </w:pPr>
                    </w:p>
                  </w:tc>
                  <w:tc>
                    <w:tcPr>
                      <w:tcW w:w="5048" w:type="dxa"/>
                      <w:tcBorders>
                        <w:bottom w:val="single" w:sz="4" w:space="0" w:color="auto"/>
                      </w:tcBorders>
                      <w:vAlign w:val="bottom"/>
                    </w:tcPr>
                    <w:p w:rsidR="007569C0" w:rsidRDefault="007569C0">
                      <w:pPr>
                        <w:pStyle w:val="Header"/>
                        <w:pBdr>
                          <w:bottom w:val="none" w:sz="0" w:space="0" w:color="auto"/>
                        </w:pBdr>
                        <w:spacing w:after="80"/>
                        <w:jc w:val="right"/>
                        <w:rPr>
                          <w:b/>
                        </w:rPr>
                      </w:pPr>
                      <w:r>
                        <w:rPr>
                          <w:b/>
                        </w:rPr>
                        <w:t>CEDAW/C</w:t>
                      </w:r>
                      <w:r>
                        <w:rPr>
                          <w:rFonts w:hint="eastAsia"/>
                          <w:b/>
                        </w:rPr>
                        <w:t>/FIN</w:t>
                      </w:r>
                      <w:r>
                        <w:rPr>
                          <w:b/>
                        </w:rPr>
                        <w:t>/</w:t>
                      </w:r>
                      <w:r>
                        <w:rPr>
                          <w:rFonts w:hint="eastAsia"/>
                          <w:b/>
                        </w:rPr>
                        <w:t>6</w:t>
                      </w:r>
                    </w:p>
                  </w:tc>
                </w:tr>
              </w:tbl>
              <w:p w:rsidR="007569C0" w:rsidRDefault="007569C0"/>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BD4804A4"/>
    <w:lvl w:ilvl="0">
      <w:start w:val="1"/>
      <w:numFmt w:val="decimal"/>
      <w:pStyle w:val="ListNumber"/>
      <w:lvlText w:val="%1."/>
      <w:lvlJc w:val="left"/>
      <w:pPr>
        <w:tabs>
          <w:tab w:val="num" w:pos="360"/>
        </w:tabs>
        <w:ind w:left="360" w:hanging="360"/>
      </w:pPr>
    </w:lvl>
  </w:abstractNum>
  <w:abstractNum w:abstractNumId="1">
    <w:nsid w:val="FFFFFF89"/>
    <w:multiLevelType w:val="singleLevel"/>
    <w:tmpl w:val="4D80A6A0"/>
    <w:lvl w:ilvl="0">
      <w:start w:val="1"/>
      <w:numFmt w:val="bullet"/>
      <w:pStyle w:val="ListBullet"/>
      <w:lvlText w:val=""/>
      <w:lvlJc w:val="left"/>
      <w:pPr>
        <w:tabs>
          <w:tab w:val="num" w:pos="360"/>
        </w:tabs>
        <w:ind w:left="360" w:hanging="360"/>
      </w:pPr>
      <w:rPr>
        <w:rFonts w:ascii="Wingdings" w:hAnsi="Wingdings" w:hint="default"/>
      </w:rPr>
    </w:lvl>
  </w:abstractNum>
  <w:abstractNum w:abstractNumId="2">
    <w:nsid w:val="FFFFFFFB"/>
    <w:multiLevelType w:val="multilevel"/>
    <w:tmpl w:val="3A88FEBA"/>
    <w:lvl w:ilvl="0">
      <w:start w:val="1"/>
      <w:numFmt w:val="decimal"/>
      <w:lvlText w:val="%1"/>
      <w:legacy w:legacy="1" w:legacySpace="113" w:legacyIndent="0"/>
      <w:lvlJc w:val="left"/>
    </w:lvl>
    <w:lvl w:ilvl="1">
      <w:start w:val="1"/>
      <w:numFmt w:val="decimal"/>
      <w:lvlText w:val="%1.%2"/>
      <w:legacy w:legacy="1" w:legacySpace="113" w:legacyIndent="0"/>
      <w:lvlJc w:val="left"/>
    </w:lvl>
    <w:lvl w:ilvl="2">
      <w:start w:val="1"/>
      <w:numFmt w:val="decimal"/>
      <w:lvlText w:val="%1.%2.%3"/>
      <w:legacy w:legacy="1" w:legacySpace="113" w:legacyIndent="0"/>
      <w:lvlJc w:val="left"/>
    </w:lvl>
    <w:lvl w:ilvl="3">
      <w:start w:val="1"/>
      <w:numFmt w:val="decimal"/>
      <w:lvlText w:val="%1.%2.%3.%4"/>
      <w:legacy w:legacy="1" w:legacySpace="113" w:legacyIndent="0"/>
      <w:lvlJc w:val="left"/>
    </w:lvl>
    <w:lvl w:ilvl="4">
      <w:start w:val="1"/>
      <w:numFmt w:val="decimal"/>
      <w:lvlText w:val="%1.%2.%3.%4.%5"/>
      <w:legacy w:legacy="1" w:legacySpace="113" w:legacyIndent="0"/>
      <w:lvlJc w:val="left"/>
    </w:lvl>
    <w:lvl w:ilvl="5">
      <w:start w:val="1"/>
      <w:numFmt w:val="decimal"/>
      <w:pStyle w:val="Heading6"/>
      <w:lvlText w:val="%1.%2.%3.%4.%5.%6"/>
      <w:legacy w:legacy="1" w:legacySpace="113" w:legacyIndent="0"/>
      <w:lvlJc w:val="left"/>
    </w:lvl>
    <w:lvl w:ilvl="6">
      <w:start w:val="1"/>
      <w:numFmt w:val="decimal"/>
      <w:pStyle w:val="Heading7"/>
      <w:lvlText w:val="%1.%2.%3.%4.%5.%6.%7"/>
      <w:legacy w:legacy="1" w:legacySpace="113" w:legacyIndent="0"/>
      <w:lvlJc w:val="left"/>
    </w:lvl>
    <w:lvl w:ilvl="7">
      <w:start w:val="1"/>
      <w:numFmt w:val="decimal"/>
      <w:pStyle w:val="Heading8"/>
      <w:lvlText w:val="%1.%2.%3.%4.%5.%6.%7.%8"/>
      <w:legacy w:legacy="1" w:legacySpace="113" w:legacyIndent="0"/>
      <w:lvlJc w:val="left"/>
    </w:lvl>
    <w:lvl w:ilvl="8">
      <w:start w:val="1"/>
      <w:numFmt w:val="decimal"/>
      <w:pStyle w:val="Heading9"/>
      <w:lvlText w:val="%1.%2.%3.%4.%5.%6.%7.%8.%9"/>
      <w:legacy w:legacy="1" w:legacySpace="113" w:legacyIndent="0"/>
      <w:lvlJc w:val="left"/>
    </w:lvl>
  </w:abstractNum>
  <w:abstractNum w:abstractNumId="3">
    <w:nsid w:val="0A062941"/>
    <w:multiLevelType w:val="hybridMultilevel"/>
    <w:tmpl w:val="77880580"/>
    <w:lvl w:ilvl="0" w:tplc="48FA3352">
      <w:start w:val="2"/>
      <w:numFmt w:val="decimal"/>
      <w:lvlText w:val="%1．"/>
      <w:lvlJc w:val="left"/>
      <w:pPr>
        <w:tabs>
          <w:tab w:val="num" w:pos="360"/>
        </w:tabs>
        <w:ind w:left="360" w:hanging="360"/>
      </w:pPr>
      <w:rPr>
        <w:rFonts w:hint="default"/>
        <w:i w:val="0"/>
        <w:lang w:val="en-GB"/>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3E1F72E8"/>
    <w:multiLevelType w:val="singleLevel"/>
    <w:tmpl w:val="E15AEEFA"/>
    <w:lvl w:ilvl="0">
      <w:start w:val="2"/>
      <w:numFmt w:val="upperLetter"/>
      <w:pStyle w:val="Title"/>
      <w:lvlText w:val="%1."/>
      <w:lvlJc w:val="left"/>
      <w:pPr>
        <w:tabs>
          <w:tab w:val="num" w:pos="420"/>
        </w:tabs>
        <w:ind w:left="420" w:hanging="420"/>
      </w:pPr>
      <w:rPr>
        <w:rFonts w:hint="default"/>
      </w:rPr>
    </w:lvl>
  </w:abstractNum>
  <w:abstractNum w:abstractNumId="5">
    <w:nsid w:val="45D71156"/>
    <w:multiLevelType w:val="hybridMultilevel"/>
    <w:tmpl w:val="95C64C42"/>
    <w:lvl w:ilvl="0" w:tplc="040B000F">
      <w:start w:val="1"/>
      <w:numFmt w:val="decimal"/>
      <w:lvlText w:val="%1."/>
      <w:lvlJc w:val="left"/>
      <w:pPr>
        <w:tabs>
          <w:tab w:val="num" w:pos="5018"/>
        </w:tabs>
        <w:ind w:left="5018" w:hanging="360"/>
      </w:pPr>
    </w:lvl>
    <w:lvl w:ilvl="1" w:tplc="040B0019">
      <w:start w:val="1"/>
      <w:numFmt w:val="lowerLetter"/>
      <w:lvlText w:val="%2."/>
      <w:lvlJc w:val="left"/>
      <w:pPr>
        <w:tabs>
          <w:tab w:val="num" w:pos="5738"/>
        </w:tabs>
        <w:ind w:left="5738" w:hanging="360"/>
      </w:pPr>
    </w:lvl>
    <w:lvl w:ilvl="2" w:tplc="040B001B" w:tentative="1">
      <w:start w:val="1"/>
      <w:numFmt w:val="lowerRoman"/>
      <w:lvlText w:val="%3."/>
      <w:lvlJc w:val="right"/>
      <w:pPr>
        <w:tabs>
          <w:tab w:val="num" w:pos="6458"/>
        </w:tabs>
        <w:ind w:left="6458" w:hanging="180"/>
      </w:pPr>
    </w:lvl>
    <w:lvl w:ilvl="3" w:tplc="040B000F" w:tentative="1">
      <w:start w:val="1"/>
      <w:numFmt w:val="decimal"/>
      <w:lvlText w:val="%4."/>
      <w:lvlJc w:val="left"/>
      <w:pPr>
        <w:tabs>
          <w:tab w:val="num" w:pos="7178"/>
        </w:tabs>
        <w:ind w:left="7178" w:hanging="360"/>
      </w:pPr>
    </w:lvl>
    <w:lvl w:ilvl="4" w:tplc="040B0019" w:tentative="1">
      <w:start w:val="1"/>
      <w:numFmt w:val="lowerLetter"/>
      <w:lvlText w:val="%5."/>
      <w:lvlJc w:val="left"/>
      <w:pPr>
        <w:tabs>
          <w:tab w:val="num" w:pos="7898"/>
        </w:tabs>
        <w:ind w:left="7898" w:hanging="360"/>
      </w:pPr>
    </w:lvl>
    <w:lvl w:ilvl="5" w:tplc="040B001B" w:tentative="1">
      <w:start w:val="1"/>
      <w:numFmt w:val="lowerRoman"/>
      <w:lvlText w:val="%6."/>
      <w:lvlJc w:val="right"/>
      <w:pPr>
        <w:tabs>
          <w:tab w:val="num" w:pos="8618"/>
        </w:tabs>
        <w:ind w:left="8618" w:hanging="180"/>
      </w:pPr>
    </w:lvl>
    <w:lvl w:ilvl="6" w:tplc="040B000F" w:tentative="1">
      <w:start w:val="1"/>
      <w:numFmt w:val="decimal"/>
      <w:lvlText w:val="%7."/>
      <w:lvlJc w:val="left"/>
      <w:pPr>
        <w:tabs>
          <w:tab w:val="num" w:pos="9338"/>
        </w:tabs>
        <w:ind w:left="9338" w:hanging="360"/>
      </w:pPr>
    </w:lvl>
    <w:lvl w:ilvl="7" w:tplc="040B0019" w:tentative="1">
      <w:start w:val="1"/>
      <w:numFmt w:val="lowerLetter"/>
      <w:lvlText w:val="%8."/>
      <w:lvlJc w:val="left"/>
      <w:pPr>
        <w:tabs>
          <w:tab w:val="num" w:pos="10058"/>
        </w:tabs>
        <w:ind w:left="10058" w:hanging="360"/>
      </w:pPr>
    </w:lvl>
    <w:lvl w:ilvl="8" w:tplc="040B001B" w:tentative="1">
      <w:start w:val="1"/>
      <w:numFmt w:val="lowerRoman"/>
      <w:lvlText w:val="%9."/>
      <w:lvlJc w:val="right"/>
      <w:pPr>
        <w:tabs>
          <w:tab w:val="num" w:pos="10778"/>
        </w:tabs>
        <w:ind w:left="10778" w:hanging="180"/>
      </w:pPr>
    </w:lvl>
  </w:abstractNum>
  <w:abstractNum w:abstractNumId="6">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4F9F54A7"/>
    <w:multiLevelType w:val="singleLevel"/>
    <w:tmpl w:val="CA0235C4"/>
    <w:lvl w:ilvl="0">
      <w:start w:val="1"/>
      <w:numFmt w:val="upperLetter"/>
      <w:pStyle w:val="Heading1"/>
      <w:lvlText w:val="%1．"/>
      <w:lvlJc w:val="left"/>
      <w:pPr>
        <w:tabs>
          <w:tab w:val="num" w:pos="345"/>
        </w:tabs>
        <w:ind w:left="345" w:hanging="345"/>
      </w:pPr>
      <w:rPr>
        <w:rFonts w:hint="eastAsia"/>
      </w:rPr>
    </w:lvl>
  </w:abstractNum>
  <w:abstractNum w:abstractNumId="8">
    <w:nsid w:val="63B72A76"/>
    <w:multiLevelType w:val="hybridMultilevel"/>
    <w:tmpl w:val="4816CDDE"/>
    <w:lvl w:ilvl="0" w:tplc="433CCABA">
      <w:start w:val="1"/>
      <w:numFmt w:val="decimal"/>
      <w:lvlText w:val="%1．"/>
      <w:lvlJc w:val="left"/>
      <w:pPr>
        <w:tabs>
          <w:tab w:val="num" w:pos="2020"/>
        </w:tabs>
        <w:ind w:left="2020" w:hanging="360"/>
      </w:pPr>
      <w:rPr>
        <w:rFonts w:ascii="Times New Roman" w:eastAsia="Times New Roman" w:hAnsi="Times New Roman" w:cs="Times New Roman"/>
        <w:b w:val="0"/>
        <w:i w:val="0"/>
        <w:szCs w:val="24"/>
      </w:rPr>
    </w:lvl>
    <w:lvl w:ilvl="1" w:tplc="15FA6176">
      <w:start w:val="1"/>
      <w:numFmt w:val="bullet"/>
      <w:lvlText w:val="−"/>
      <w:lvlJc w:val="left"/>
      <w:pPr>
        <w:tabs>
          <w:tab w:val="num" w:pos="2740"/>
        </w:tabs>
        <w:ind w:left="2740" w:hanging="360"/>
      </w:pPr>
      <w:rPr>
        <w:rFonts w:ascii="Times New Roman" w:hAnsi="Times New Roman" w:cs="Times New Roman" w:hint="default"/>
        <w:i w:val="0"/>
        <w:szCs w:val="24"/>
      </w:rPr>
    </w:lvl>
    <w:lvl w:ilvl="2" w:tplc="625485BE">
      <w:numFmt w:val="bullet"/>
      <w:lvlText w:val="-"/>
      <w:lvlJc w:val="left"/>
      <w:pPr>
        <w:tabs>
          <w:tab w:val="num" w:pos="3640"/>
        </w:tabs>
        <w:ind w:left="3640" w:hanging="360"/>
      </w:pPr>
      <w:rPr>
        <w:rFonts w:ascii="Times New Roman" w:eastAsia="Times New Roman" w:hAnsi="Times New Roman" w:cs="Times New Roman" w:hint="default"/>
      </w:rPr>
    </w:lvl>
    <w:lvl w:ilvl="3" w:tplc="040B000F">
      <w:start w:val="1"/>
      <w:numFmt w:val="decimal"/>
      <w:lvlText w:val="%4."/>
      <w:lvlJc w:val="left"/>
      <w:pPr>
        <w:tabs>
          <w:tab w:val="num" w:pos="4180"/>
        </w:tabs>
        <w:ind w:left="4180" w:hanging="360"/>
      </w:pPr>
      <w:rPr>
        <w:i w:val="0"/>
        <w:szCs w:val="24"/>
      </w:rPr>
    </w:lvl>
    <w:lvl w:ilvl="4" w:tplc="040B0019" w:tentative="1">
      <w:start w:val="1"/>
      <w:numFmt w:val="lowerLetter"/>
      <w:lvlText w:val="%5."/>
      <w:lvlJc w:val="left"/>
      <w:pPr>
        <w:tabs>
          <w:tab w:val="num" w:pos="4900"/>
        </w:tabs>
        <w:ind w:left="4900" w:hanging="360"/>
      </w:pPr>
    </w:lvl>
    <w:lvl w:ilvl="5" w:tplc="040B001B" w:tentative="1">
      <w:start w:val="1"/>
      <w:numFmt w:val="lowerRoman"/>
      <w:lvlText w:val="%6."/>
      <w:lvlJc w:val="right"/>
      <w:pPr>
        <w:tabs>
          <w:tab w:val="num" w:pos="5620"/>
        </w:tabs>
        <w:ind w:left="5620" w:hanging="180"/>
      </w:pPr>
    </w:lvl>
    <w:lvl w:ilvl="6" w:tplc="040B000F" w:tentative="1">
      <w:start w:val="1"/>
      <w:numFmt w:val="decimal"/>
      <w:lvlText w:val="%7."/>
      <w:lvlJc w:val="left"/>
      <w:pPr>
        <w:tabs>
          <w:tab w:val="num" w:pos="6340"/>
        </w:tabs>
        <w:ind w:left="6340" w:hanging="360"/>
      </w:pPr>
    </w:lvl>
    <w:lvl w:ilvl="7" w:tplc="040B0019" w:tentative="1">
      <w:start w:val="1"/>
      <w:numFmt w:val="lowerLetter"/>
      <w:lvlText w:val="%8."/>
      <w:lvlJc w:val="left"/>
      <w:pPr>
        <w:tabs>
          <w:tab w:val="num" w:pos="7060"/>
        </w:tabs>
        <w:ind w:left="7060" w:hanging="360"/>
      </w:pPr>
    </w:lvl>
    <w:lvl w:ilvl="8" w:tplc="040B001B" w:tentative="1">
      <w:start w:val="1"/>
      <w:numFmt w:val="lowerRoman"/>
      <w:lvlText w:val="%9."/>
      <w:lvlJc w:val="right"/>
      <w:pPr>
        <w:tabs>
          <w:tab w:val="num" w:pos="7780"/>
        </w:tabs>
        <w:ind w:left="7780" w:hanging="180"/>
      </w:pPr>
    </w:lvl>
  </w:abstractNum>
  <w:abstractNum w:abstractNumId="9">
    <w:nsid w:val="6E0D27F8"/>
    <w:multiLevelType w:val="singleLevel"/>
    <w:tmpl w:val="B73283FE"/>
    <w:lvl w:ilvl="0">
      <w:start w:val="1"/>
      <w:numFmt w:val="upperLetter"/>
      <w:pStyle w:val="Heading4"/>
      <w:lvlText w:val="%1．"/>
      <w:lvlJc w:val="left"/>
      <w:pPr>
        <w:tabs>
          <w:tab w:val="num" w:pos="360"/>
        </w:tabs>
        <w:ind w:left="360" w:hanging="360"/>
      </w:pPr>
      <w:rPr>
        <w:rFonts w:hint="eastAsia"/>
      </w:rPr>
    </w:lvl>
  </w:abstractNum>
  <w:abstractNum w:abstractNumId="10">
    <w:nsid w:val="7B170319"/>
    <w:multiLevelType w:val="hybridMultilevel"/>
    <w:tmpl w:val="6BF032B4"/>
    <w:lvl w:ilvl="0" w:tplc="FFFFFFFF">
      <w:start w:val="1"/>
      <w:numFmt w:val="decimal"/>
      <w:pStyle w:val="a"/>
      <w:lvlText w:val="%1."/>
      <w:lvlJc w:val="left"/>
      <w:pPr>
        <w:tabs>
          <w:tab w:val="num" w:pos="420"/>
        </w:tabs>
        <w:ind w:left="420" w:hanging="420"/>
      </w:pPr>
    </w:lvl>
    <w:lvl w:ilvl="1" w:tplc="FFFFFFFF">
      <w:start w:val="1"/>
      <w:numFmt w:val="lowerLetter"/>
      <w:lvlText w:val="%2)"/>
      <w:lvlJc w:val="left"/>
      <w:pPr>
        <w:tabs>
          <w:tab w:val="num" w:pos="840"/>
        </w:tabs>
        <w:ind w:left="840" w:hanging="420"/>
      </w:pPr>
    </w:lvl>
    <w:lvl w:ilvl="2" w:tplc="FFFFFFFF">
      <w:start w:val="1"/>
      <w:numFmt w:val="lowerRoman"/>
      <w:lvlText w:val="%3."/>
      <w:lvlJc w:val="right"/>
      <w:pPr>
        <w:tabs>
          <w:tab w:val="num" w:pos="1260"/>
        </w:tabs>
        <w:ind w:left="1260" w:hanging="420"/>
      </w:pPr>
    </w:lvl>
    <w:lvl w:ilvl="3" w:tplc="FFFFFFFF">
      <w:start w:val="1"/>
      <w:numFmt w:val="decimal"/>
      <w:lvlText w:val="%4."/>
      <w:lvlJc w:val="left"/>
      <w:pPr>
        <w:tabs>
          <w:tab w:val="num" w:pos="1680"/>
        </w:tabs>
        <w:ind w:left="1680" w:hanging="420"/>
      </w:pPr>
    </w:lvl>
    <w:lvl w:ilvl="4" w:tplc="FFFFFFFF">
      <w:start w:val="1"/>
      <w:numFmt w:val="lowerLetter"/>
      <w:lvlText w:val="%5)"/>
      <w:lvlJc w:val="left"/>
      <w:pPr>
        <w:tabs>
          <w:tab w:val="num" w:pos="2100"/>
        </w:tabs>
        <w:ind w:left="2100" w:hanging="420"/>
      </w:pPr>
    </w:lvl>
    <w:lvl w:ilvl="5" w:tplc="FFFFFFFF">
      <w:start w:val="1"/>
      <w:numFmt w:val="lowerRoman"/>
      <w:lvlText w:val="%6."/>
      <w:lvlJc w:val="right"/>
      <w:pPr>
        <w:tabs>
          <w:tab w:val="num" w:pos="2520"/>
        </w:tabs>
        <w:ind w:left="2520" w:hanging="420"/>
      </w:pPr>
    </w:lvl>
    <w:lvl w:ilvl="6" w:tplc="FFFFFFFF">
      <w:start w:val="1"/>
      <w:numFmt w:val="decimal"/>
      <w:lvlText w:val="%7."/>
      <w:lvlJc w:val="left"/>
      <w:pPr>
        <w:tabs>
          <w:tab w:val="num" w:pos="2940"/>
        </w:tabs>
        <w:ind w:left="2940" w:hanging="420"/>
      </w:pPr>
    </w:lvl>
    <w:lvl w:ilvl="7" w:tplc="FFFFFFFF">
      <w:start w:val="1"/>
      <w:numFmt w:val="lowerLetter"/>
      <w:lvlText w:val="%8)"/>
      <w:lvlJc w:val="left"/>
      <w:pPr>
        <w:tabs>
          <w:tab w:val="num" w:pos="3360"/>
        </w:tabs>
        <w:ind w:left="3360" w:hanging="420"/>
      </w:pPr>
    </w:lvl>
    <w:lvl w:ilvl="8" w:tplc="FFFFFFFF">
      <w:start w:val="1"/>
      <w:numFmt w:val="lowerRoman"/>
      <w:lvlText w:val="%9."/>
      <w:lvlJc w:val="right"/>
      <w:pPr>
        <w:tabs>
          <w:tab w:val="num" w:pos="3780"/>
        </w:tabs>
        <w:ind w:left="3780" w:hanging="420"/>
      </w:pPr>
    </w:lvl>
  </w:abstractNum>
  <w:abstractNum w:abstractNumId="11">
    <w:nsid w:val="7F67664D"/>
    <w:multiLevelType w:val="multilevel"/>
    <w:tmpl w:val="F0487A52"/>
    <w:lvl w:ilvl="0">
      <w:start w:val="1"/>
      <w:numFmt w:val="decimal"/>
      <w:lvlText w:val="%1."/>
      <w:lvlJc w:val="left"/>
      <w:pPr>
        <w:tabs>
          <w:tab w:val="num" w:pos="0"/>
        </w:tabs>
        <w:ind w:left="390" w:hanging="390"/>
      </w:pPr>
      <w:rPr>
        <w:rFonts w:hint="default"/>
      </w:rPr>
    </w:lvl>
    <w:lvl w:ilvl="1">
      <w:start w:val="1"/>
      <w:numFmt w:val="decimal"/>
      <w:pStyle w:val="ListNumber2"/>
      <w:lvlText w:val="%1.%2"/>
      <w:lvlJc w:val="left"/>
      <w:pPr>
        <w:tabs>
          <w:tab w:val="num" w:pos="792"/>
        </w:tabs>
        <w:ind w:left="792" w:hanging="432"/>
      </w:pPr>
    </w:lvl>
    <w:lvl w:ilvl="2">
      <w:start w:val="1"/>
      <w:numFmt w:val="decimal"/>
      <w:pStyle w:val="ListNumber3"/>
      <w:lvlText w:val="%1.%2.%3"/>
      <w:lvlJc w:val="left"/>
      <w:pPr>
        <w:tabs>
          <w:tab w:val="num" w:pos="1440"/>
        </w:tabs>
        <w:ind w:left="1224" w:hanging="504"/>
      </w:pPr>
    </w:lvl>
    <w:lvl w:ilvl="3">
      <w:start w:val="1"/>
      <w:numFmt w:val="lowerLetter"/>
      <w:pStyle w:val="ListNumber4"/>
      <w:lvlText w:val="%1.%2.%3.%4"/>
      <w:lvlJc w:val="left"/>
      <w:pPr>
        <w:tabs>
          <w:tab w:val="num" w:pos="2160"/>
        </w:tabs>
        <w:ind w:left="1728" w:hanging="648"/>
      </w:pPr>
    </w:lvl>
    <w:lvl w:ilvl="4">
      <w:start w:val="1"/>
      <w:numFmt w:val="lowerLetter"/>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560"/>
        </w:tabs>
        <w:ind w:left="4320" w:hanging="1440"/>
      </w:pPr>
    </w:lvl>
  </w:abstractNum>
  <w:num w:numId="1">
    <w:abstractNumId w:val="7"/>
  </w:num>
  <w:num w:numId="2">
    <w:abstractNumId w:val="0"/>
  </w:num>
  <w:num w:numId="3">
    <w:abstractNumId w:val="1"/>
  </w:num>
  <w:num w:numId="4">
    <w:abstractNumId w:val="9"/>
  </w:num>
  <w:num w:numId="5">
    <w:abstractNumId w:val="4"/>
  </w:num>
  <w:num w:numId="6">
    <w:abstractNumId w:val="6"/>
  </w:num>
  <w:num w:numId="7">
    <w:abstractNumId w:val="10"/>
  </w:num>
  <w:num w:numId="8">
    <w:abstractNumId w:val="2"/>
  </w:num>
  <w:num w:numId="9">
    <w:abstractNumId w:val="11"/>
  </w:num>
  <w:num w:numId="10">
    <w:abstractNumId w:val="8"/>
  </w:num>
  <w:num w:numId="11">
    <w:abstractNumId w:val="5"/>
  </w:num>
  <w:num w:numId="12">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doNotHyphenateCaps/>
  <w:evenAndOddHeaders/>
  <w:drawingGridHorizontalSpacing w:val="120"/>
  <w:drawingGridVerticalSpacing w:val="104"/>
  <w:displayHorizontalDrawingGridEvery w:val="0"/>
  <w:displayVerticalDrawingGridEvery w:val="3"/>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7848"/>
    <w:rsid w:val="000E529E"/>
    <w:rsid w:val="0017020E"/>
    <w:rsid w:val="001C7848"/>
    <w:rsid w:val="00223D36"/>
    <w:rsid w:val="0037645C"/>
    <w:rsid w:val="00405E8A"/>
    <w:rsid w:val="00482D08"/>
    <w:rsid w:val="004B5318"/>
    <w:rsid w:val="005A3CD3"/>
    <w:rsid w:val="0073784C"/>
    <w:rsid w:val="007569C0"/>
    <w:rsid w:val="007C524A"/>
    <w:rsid w:val="00A81D36"/>
    <w:rsid w:val="00AC71F5"/>
    <w:rsid w:val="00BD602D"/>
    <w:rsid w:val="00E379CC"/>
    <w:rsid w:val="00ED0105"/>
    <w:rsid w:val="00EF019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regrouptable v:ext="edit">
        <o:entry new="1" old="0"/>
        <o:entry new="2" old="0"/>
        <o:entry new="3" old="2"/>
        <o:entry new="4" old="0"/>
        <o:entry new="5" old="0"/>
        <o:entry new="6" old="5"/>
        <o:entry new="7" old="6"/>
        <o:entry new="8" old="6"/>
        <o:entry new="9" old="0"/>
        <o:entry new="10" old="0"/>
        <o:entry new="11" old="0"/>
        <o:entry new="12" old="0"/>
        <o:entry new="13"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adjustRightInd w:val="0"/>
      <w:spacing w:line="312" w:lineRule="atLeast"/>
      <w:jc w:val="both"/>
      <w:textAlignment w:val="baseline"/>
    </w:pPr>
    <w:rPr>
      <w:sz w:val="21"/>
      <w:lang w:val="en-US" w:eastAsia="zh-CN"/>
    </w:rPr>
  </w:style>
  <w:style w:type="paragraph" w:styleId="Heading1">
    <w:name w:val="heading 1"/>
    <w:aliases w:val="带编号的标题1,BMGF Überschrift 1"/>
    <w:basedOn w:val="Normal"/>
    <w:next w:val="Normal"/>
    <w:qFormat/>
    <w:pPr>
      <w:keepNext/>
      <w:numPr>
        <w:numId w:val="1"/>
      </w:numPr>
      <w:adjustRightInd/>
      <w:spacing w:beforeLines="50" w:before="50" w:after="240" w:line="400" w:lineRule="exact"/>
      <w:textAlignment w:val="auto"/>
      <w:outlineLvl w:val="0"/>
    </w:pPr>
    <w:rPr>
      <w:rFonts w:eastAsia="SimHei"/>
      <w:kern w:val="2"/>
      <w:sz w:val="28"/>
    </w:rPr>
  </w:style>
  <w:style w:type="paragraph" w:styleId="Heading2">
    <w:name w:val="heading 2"/>
    <w:aliases w:val="带编号的标题2,Article"/>
    <w:basedOn w:val="Normal"/>
    <w:next w:val="NormalIndent"/>
    <w:qFormat/>
    <w:pPr>
      <w:keepNext/>
      <w:keepLines/>
      <w:adjustRightInd/>
      <w:spacing w:before="260" w:after="260" w:line="416" w:lineRule="auto"/>
      <w:textAlignment w:val="auto"/>
      <w:outlineLvl w:val="1"/>
    </w:pPr>
    <w:rPr>
      <w:rFonts w:ascii="Arial" w:eastAsia="SimHei" w:hAnsi="Arial"/>
      <w:b/>
      <w:kern w:val="2"/>
      <w:sz w:val="32"/>
    </w:rPr>
  </w:style>
  <w:style w:type="paragraph" w:styleId="Heading3">
    <w:name w:val="heading 3"/>
    <w:aliases w:val="Heading 3 sub-title,chart title"/>
    <w:basedOn w:val="Normal"/>
    <w:next w:val="NormalIndent"/>
    <w:qFormat/>
    <w:pPr>
      <w:keepNext/>
      <w:tabs>
        <w:tab w:val="num" w:pos="360"/>
      </w:tabs>
      <w:spacing w:before="240" w:after="240" w:line="360" w:lineRule="exact"/>
      <w:ind w:left="357" w:hanging="357"/>
      <w:outlineLvl w:val="2"/>
    </w:pPr>
    <w:rPr>
      <w:rFonts w:ascii="SimHei" w:eastAsia="SimHei"/>
      <w:sz w:val="24"/>
      <w:u w:val="single"/>
    </w:rPr>
  </w:style>
  <w:style w:type="paragraph" w:styleId="Heading4">
    <w:name w:val="heading 4"/>
    <w:basedOn w:val="Normal"/>
    <w:next w:val="NormalIndent"/>
    <w:qFormat/>
    <w:pPr>
      <w:keepNext/>
      <w:numPr>
        <w:numId w:val="4"/>
      </w:numPr>
      <w:spacing w:after="240" w:line="360" w:lineRule="exact"/>
      <w:outlineLvl w:val="3"/>
    </w:pPr>
    <w:rPr>
      <w:rFonts w:ascii="SimHei" w:eastAsia="SimHei"/>
      <w:sz w:val="24"/>
      <w:u w:val="single"/>
    </w:rPr>
  </w:style>
  <w:style w:type="paragraph" w:styleId="Heading5">
    <w:name w:val="heading 5"/>
    <w:basedOn w:val="Normal"/>
    <w:next w:val="Normal"/>
    <w:qFormat/>
    <w:pPr>
      <w:keepNext/>
      <w:pBdr>
        <w:bottom w:val="single" w:sz="4" w:space="1" w:color="auto"/>
      </w:pBdr>
      <w:jc w:val="right"/>
      <w:outlineLvl w:val="4"/>
    </w:pPr>
    <w:rPr>
      <w:b/>
      <w:sz w:val="18"/>
    </w:rPr>
  </w:style>
  <w:style w:type="paragraph" w:styleId="Heading6">
    <w:name w:val="heading 6"/>
    <w:basedOn w:val="Normal"/>
    <w:next w:val="Normal"/>
    <w:qFormat/>
    <w:pPr>
      <w:widowControl/>
      <w:numPr>
        <w:ilvl w:val="5"/>
        <w:numId w:val="8"/>
      </w:numPr>
      <w:adjustRightInd/>
      <w:spacing w:line="280" w:lineRule="exact"/>
      <w:jc w:val="left"/>
      <w:textAlignment w:val="auto"/>
      <w:outlineLvl w:val="5"/>
    </w:pPr>
    <w:rPr>
      <w:rFonts w:eastAsia="Times New Roman"/>
      <w:b/>
      <w:spacing w:val="2"/>
      <w:sz w:val="22"/>
      <w:lang w:val="da-DK" w:eastAsia="da-DK"/>
    </w:rPr>
  </w:style>
  <w:style w:type="paragraph" w:styleId="Heading7">
    <w:name w:val="heading 7"/>
    <w:basedOn w:val="Normal"/>
    <w:next w:val="Normal"/>
    <w:qFormat/>
    <w:pPr>
      <w:widowControl/>
      <w:numPr>
        <w:ilvl w:val="6"/>
        <w:numId w:val="8"/>
      </w:numPr>
      <w:adjustRightInd/>
      <w:spacing w:before="240" w:after="60" w:line="280" w:lineRule="exact"/>
      <w:jc w:val="left"/>
      <w:textAlignment w:val="auto"/>
      <w:outlineLvl w:val="6"/>
    </w:pPr>
    <w:rPr>
      <w:rFonts w:eastAsia="Times New Roman"/>
      <w:b/>
      <w:spacing w:val="2"/>
      <w:sz w:val="22"/>
      <w:lang w:val="da-DK" w:eastAsia="da-DK"/>
    </w:rPr>
  </w:style>
  <w:style w:type="paragraph" w:styleId="Heading8">
    <w:name w:val="heading 8"/>
    <w:basedOn w:val="Normal"/>
    <w:next w:val="Normal"/>
    <w:qFormat/>
    <w:pPr>
      <w:widowControl/>
      <w:numPr>
        <w:ilvl w:val="7"/>
        <w:numId w:val="8"/>
      </w:numPr>
      <w:adjustRightInd/>
      <w:spacing w:before="240" w:after="60" w:line="280" w:lineRule="exact"/>
      <w:jc w:val="left"/>
      <w:textAlignment w:val="auto"/>
      <w:outlineLvl w:val="7"/>
    </w:pPr>
    <w:rPr>
      <w:rFonts w:eastAsia="Times New Roman"/>
      <w:b/>
      <w:spacing w:val="2"/>
      <w:sz w:val="22"/>
      <w:lang w:val="da-DK" w:eastAsia="da-DK"/>
    </w:rPr>
  </w:style>
  <w:style w:type="paragraph" w:styleId="Heading9">
    <w:name w:val="heading 9"/>
    <w:basedOn w:val="Normal"/>
    <w:next w:val="Normal"/>
    <w:qFormat/>
    <w:pPr>
      <w:widowControl/>
      <w:numPr>
        <w:ilvl w:val="8"/>
        <w:numId w:val="8"/>
      </w:numPr>
      <w:adjustRightInd/>
      <w:spacing w:before="240" w:after="60" w:line="280" w:lineRule="exact"/>
      <w:jc w:val="left"/>
      <w:textAlignment w:val="auto"/>
      <w:outlineLvl w:val="8"/>
    </w:pPr>
    <w:rPr>
      <w:rFonts w:eastAsia="Times New Roman"/>
      <w:b/>
      <w:spacing w:val="2"/>
      <w:sz w:val="22"/>
      <w:lang w:val="da-DK" w:eastAsia="da-DK"/>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trPr>
      <w:hidden/>
    </w:trPr>
  </w:style>
  <w:style w:type="numbering" w:default="1" w:styleId="NoList">
    <w:name w:val="No List"/>
    <w:semiHidden/>
  </w:style>
  <w:style w:type="paragraph" w:styleId="NormalIndent">
    <w:name w:val="Normal Indent"/>
    <w:basedOn w:val="Normal"/>
    <w:pPr>
      <w:spacing w:line="240" w:lineRule="auto"/>
      <w:ind w:firstLine="420"/>
    </w:pPr>
    <w:rPr>
      <w:kern w:val="2"/>
    </w:rPr>
  </w:style>
  <w:style w:type="paragraph" w:customStyle="1" w:styleId="2">
    <w:name w:val="页眉2"/>
    <w:basedOn w:val="Normal"/>
    <w:pPr>
      <w:framePr w:w="6747" w:h="284" w:hRule="exact" w:hSpace="181" w:vSpace="181" w:wrap="notBeside" w:vAnchor="page" w:hAnchor="page" w:x="4310" w:y="1163" w:anchorLock="1"/>
      <w:widowControl/>
      <w:tabs>
        <w:tab w:val="left" w:pos="425"/>
      </w:tabs>
      <w:spacing w:line="300" w:lineRule="exact"/>
      <w:jc w:val="right"/>
    </w:pPr>
    <w:rPr>
      <w:color w:val="000000"/>
      <w:kern w:val="19"/>
      <w:sz w:val="19"/>
    </w:rPr>
  </w:style>
  <w:style w:type="paragraph" w:customStyle="1" w:styleId="3">
    <w:name w:val="页眉3"/>
    <w:basedOn w:val="Normal"/>
    <w:pPr>
      <w:framePr w:w="9837" w:h="85" w:hRule="exact" w:hSpace="181" w:vSpace="181" w:wrap="notBeside" w:vAnchor="page" w:hAnchor="margin" w:y="1617" w:anchorLock="1"/>
      <w:widowControl/>
      <w:pBdr>
        <w:top w:val="single" w:sz="6" w:space="1" w:color="auto"/>
      </w:pBdr>
      <w:tabs>
        <w:tab w:val="left" w:pos="425"/>
      </w:tabs>
      <w:spacing w:after="140" w:line="280" w:lineRule="exact"/>
    </w:pPr>
    <w:rPr>
      <w:color w:val="000000"/>
      <w:kern w:val="20"/>
      <w:sz w:val="20"/>
    </w:rPr>
  </w:style>
  <w:style w:type="paragraph" w:customStyle="1" w:styleId="4">
    <w:name w:val="页眉4"/>
    <w:basedOn w:val="Normal"/>
    <w:next w:val="Normal"/>
    <w:pPr>
      <w:framePr w:w="3402" w:h="2268" w:hRule="exact" w:hSpace="181" w:vSpace="181" w:wrap="notBeside" w:vAnchor="page" w:hAnchor="page" w:x="2484" w:y="1883" w:anchorLock="1"/>
      <w:widowControl/>
      <w:tabs>
        <w:tab w:val="left" w:pos="425"/>
      </w:tabs>
      <w:spacing w:after="60" w:line="340" w:lineRule="exact"/>
      <w:jc w:val="left"/>
    </w:pPr>
    <w:rPr>
      <w:rFonts w:eastAsia="SimHei"/>
      <w:b/>
      <w:color w:val="000000"/>
      <w:spacing w:val="140"/>
      <w:kern w:val="34"/>
      <w:sz w:val="34"/>
    </w:rPr>
  </w:style>
  <w:style w:type="paragraph" w:customStyle="1" w:styleId="5">
    <w:name w:val="页眉5"/>
    <w:basedOn w:val="Header"/>
    <w:pPr>
      <w:framePr w:w="3119" w:h="1985" w:hRule="exact" w:hSpace="181" w:vSpace="181" w:wrap="notBeside" w:vAnchor="page" w:hAnchor="page" w:x="7882" w:y="1883" w:anchorLock="1"/>
      <w:pBdr>
        <w:bottom w:val="none" w:sz="0" w:space="0" w:color="auto"/>
      </w:pBdr>
      <w:tabs>
        <w:tab w:val="clear" w:pos="4320"/>
        <w:tab w:val="clear" w:pos="8640"/>
      </w:tabs>
      <w:spacing w:after="60" w:line="180" w:lineRule="exact"/>
      <w:jc w:val="left"/>
    </w:pPr>
    <w:rPr>
      <w:color w:val="000000"/>
      <w:kern w:val="18"/>
    </w:rPr>
  </w:style>
  <w:style w:type="paragraph" w:styleId="Header">
    <w:name w:val="header"/>
    <w:basedOn w:val="Normal"/>
    <w:pPr>
      <w:pBdr>
        <w:bottom w:val="single" w:sz="6" w:space="1" w:color="auto"/>
      </w:pBdr>
      <w:tabs>
        <w:tab w:val="center" w:pos="4320"/>
        <w:tab w:val="right" w:pos="8640"/>
      </w:tabs>
      <w:spacing w:line="240" w:lineRule="atLeast"/>
      <w:jc w:val="center"/>
    </w:pPr>
    <w:rPr>
      <w:sz w:val="18"/>
    </w:rPr>
  </w:style>
  <w:style w:type="paragraph" w:customStyle="1" w:styleId="6">
    <w:name w:val="页眉6"/>
    <w:basedOn w:val="3"/>
    <w:pPr>
      <w:framePr w:wrap="notBeside" w:y="4452"/>
    </w:pPr>
  </w:style>
  <w:style w:type="paragraph" w:styleId="Footer">
    <w:name w:val="footer"/>
    <w:aliases w:val="BMGF Fußzeile"/>
    <w:basedOn w:val="Normal"/>
    <w:pPr>
      <w:tabs>
        <w:tab w:val="center" w:pos="4320"/>
        <w:tab w:val="right" w:pos="8640"/>
      </w:tabs>
      <w:spacing w:line="240" w:lineRule="atLeast"/>
      <w:jc w:val="left"/>
    </w:pPr>
    <w:rPr>
      <w:sz w:val="18"/>
    </w:rPr>
  </w:style>
  <w:style w:type="paragraph" w:styleId="FootnoteText">
    <w:name w:val="footnote text"/>
    <w:basedOn w:val="Normal"/>
    <w:semiHidden/>
    <w:pPr>
      <w:jc w:val="left"/>
    </w:pPr>
    <w:rPr>
      <w:rFonts w:eastAsia="仿宋体"/>
      <w:sz w:val="18"/>
    </w:rPr>
  </w:style>
  <w:style w:type="character" w:styleId="PageNumber">
    <w:name w:val="page number"/>
    <w:basedOn w:val="DefaultParagraphFont"/>
  </w:style>
  <w:style w:type="character" w:styleId="FootnoteReference">
    <w:name w:val="footnote reference"/>
    <w:semiHidden/>
    <w:rPr>
      <w:vertAlign w:val="superscript"/>
    </w:rPr>
  </w:style>
  <w:style w:type="paragraph" w:styleId="Date">
    <w:name w:val="Date"/>
    <w:basedOn w:val="Normal"/>
    <w:next w:val="Normal"/>
  </w:style>
  <w:style w:type="paragraph" w:styleId="BodyTextIndent">
    <w:name w:val="Body Text Indent"/>
    <w:basedOn w:val="Normal"/>
    <w:pPr>
      <w:spacing w:after="240" w:line="360" w:lineRule="exact"/>
      <w:ind w:firstLine="425"/>
    </w:pPr>
  </w:style>
  <w:style w:type="paragraph" w:styleId="PlainText">
    <w:name w:val="Plain Text"/>
    <w:basedOn w:val="Normal"/>
    <w:pPr>
      <w:spacing w:line="240" w:lineRule="auto"/>
    </w:pPr>
    <w:rPr>
      <w:rFonts w:ascii="SimSun"/>
    </w:rPr>
  </w:style>
  <w:style w:type="paragraph" w:styleId="Caption">
    <w:name w:val="caption"/>
    <w:basedOn w:val="Normal"/>
    <w:next w:val="Normal"/>
    <w:qFormat/>
    <w:pPr>
      <w:spacing w:before="152" w:after="160"/>
    </w:pPr>
    <w:rPr>
      <w:rFonts w:ascii="Arial" w:eastAsia="SimHei" w:hAnsi="Arial"/>
    </w:rPr>
  </w:style>
  <w:style w:type="paragraph" w:styleId="BodyText">
    <w:name w:val="Body Text"/>
    <w:aliases w:val="Body Text Char,Body Text Char1 Char,Body Text Char Char Char1,Body Text Char2 Char Char Char,Body Text Char1 Char Char Char Char,Body Text Char Char Char1 Char Char Char,Body Text Char1 Char Char Char Char Char Char,Body Text Char Char2"/>
    <w:basedOn w:val="Normal"/>
    <w:pPr>
      <w:spacing w:line="240" w:lineRule="auto"/>
    </w:pPr>
    <w:rPr>
      <w:rFonts w:ascii="SimSun"/>
      <w:kern w:val="2"/>
      <w:sz w:val="28"/>
    </w:rPr>
  </w:style>
  <w:style w:type="paragraph" w:styleId="BlockText">
    <w:name w:val="Block Text"/>
    <w:basedOn w:val="Normal"/>
    <w:pPr>
      <w:spacing w:after="240" w:line="440" w:lineRule="exact"/>
      <w:ind w:left="794" w:right="794" w:firstLine="425"/>
    </w:pPr>
  </w:style>
  <w:style w:type="paragraph" w:styleId="BodyTextIndent3">
    <w:name w:val="Body Text Indent 3"/>
    <w:basedOn w:val="Normal"/>
    <w:pPr>
      <w:tabs>
        <w:tab w:val="left" w:pos="2079"/>
      </w:tabs>
      <w:adjustRightInd/>
      <w:spacing w:line="240" w:lineRule="auto"/>
      <w:ind w:left="942"/>
      <w:textAlignment w:val="auto"/>
    </w:pPr>
    <w:rPr>
      <w:kern w:val="2"/>
    </w:rPr>
  </w:style>
  <w:style w:type="paragraph" w:styleId="BodyTextIndent2">
    <w:name w:val="Body Text Indent 2"/>
    <w:basedOn w:val="Normal"/>
    <w:pPr>
      <w:adjustRightInd/>
      <w:spacing w:line="240" w:lineRule="auto"/>
      <w:ind w:firstLine="462"/>
      <w:textAlignment w:val="auto"/>
    </w:pPr>
    <w:rPr>
      <w:i/>
      <w:kern w:val="2"/>
    </w:rPr>
  </w:style>
  <w:style w:type="character" w:styleId="EndnoteReference">
    <w:name w:val="endnote reference"/>
    <w:semiHidden/>
    <w:rPr>
      <w:vertAlign w:val="superscript"/>
    </w:rPr>
  </w:style>
  <w:style w:type="paragraph" w:styleId="EndnoteText">
    <w:name w:val="endnote text"/>
    <w:basedOn w:val="Normal"/>
    <w:semiHidden/>
    <w:pPr>
      <w:adjustRightInd/>
      <w:snapToGrid w:val="0"/>
      <w:spacing w:line="240" w:lineRule="auto"/>
      <w:jc w:val="left"/>
      <w:textAlignment w:val="auto"/>
    </w:pPr>
    <w:rPr>
      <w:kern w:val="2"/>
    </w:rPr>
  </w:style>
  <w:style w:type="paragraph" w:styleId="TOC1">
    <w:name w:val="toc 1"/>
    <w:aliases w:val="Special1,Report 1"/>
    <w:basedOn w:val="Normal"/>
    <w:next w:val="Normal"/>
    <w:autoRedefine/>
    <w:semiHidden/>
    <w:pPr>
      <w:tabs>
        <w:tab w:val="right" w:leader="dot" w:pos="9840"/>
      </w:tabs>
      <w:adjustRightInd/>
      <w:spacing w:after="60" w:line="360" w:lineRule="exact"/>
      <w:textAlignment w:val="auto"/>
    </w:pPr>
    <w:rPr>
      <w:noProof/>
      <w:kern w:val="2"/>
    </w:rPr>
  </w:style>
  <w:style w:type="paragraph" w:styleId="TOC2">
    <w:name w:val="toc 2"/>
    <w:aliases w:val="Special2,Report 2"/>
    <w:basedOn w:val="Normal"/>
    <w:next w:val="Normal"/>
    <w:autoRedefine/>
    <w:semiHidden/>
    <w:pPr>
      <w:tabs>
        <w:tab w:val="center" w:leader="dot" w:pos="8880"/>
        <w:tab w:val="right" w:pos="9720"/>
      </w:tabs>
      <w:spacing w:after="120" w:line="320" w:lineRule="atLeast"/>
      <w:ind w:leftChars="200" w:left="420"/>
    </w:pPr>
  </w:style>
  <w:style w:type="paragraph" w:customStyle="1" w:styleId="1">
    <w:name w:val="样式1"/>
    <w:basedOn w:val="BodyText"/>
    <w:pPr>
      <w:adjustRightInd/>
      <w:ind w:firstLineChars="200" w:firstLine="420"/>
      <w:textAlignment w:val="auto"/>
    </w:pPr>
    <w:rPr>
      <w:rFonts w:ascii="Times New Roman"/>
      <w:sz w:val="21"/>
      <w:szCs w:val="24"/>
    </w:rPr>
  </w:style>
  <w:style w:type="character" w:styleId="Hyperlink">
    <w:name w:val="Hyperlink"/>
    <w:rPr>
      <w:color w:val="0000FF"/>
      <w:u w:val="single"/>
    </w:rPr>
  </w:style>
  <w:style w:type="character" w:styleId="FollowedHyperlink">
    <w:name w:val="FollowedHyperlink"/>
    <w:rPr>
      <w:color w:val="800080"/>
      <w:u w:val="single"/>
    </w:rPr>
  </w:style>
  <w:style w:type="paragraph" w:styleId="Title">
    <w:name w:val="Title"/>
    <w:basedOn w:val="Normal"/>
    <w:qFormat/>
    <w:pPr>
      <w:numPr>
        <w:numId w:val="5"/>
      </w:numPr>
      <w:adjustRightInd/>
      <w:spacing w:line="360" w:lineRule="auto"/>
      <w:jc w:val="center"/>
      <w:textAlignment w:val="auto"/>
    </w:pPr>
    <w:rPr>
      <w:rFonts w:eastAsia="STKaiti"/>
      <w:b/>
      <w:kern w:val="2"/>
      <w:sz w:val="24"/>
    </w:rPr>
  </w:style>
  <w:style w:type="paragraph" w:styleId="BodyText2">
    <w:name w:val="Body Text 2"/>
    <w:basedOn w:val="Normal"/>
    <w:pPr>
      <w:framePr w:w="3609" w:h="1458" w:hRule="exact" w:hSpace="181" w:wrap="auto" w:vAnchor="text" w:hAnchor="page" w:x="2511" w:y="1"/>
      <w:spacing w:line="560" w:lineRule="exact"/>
      <w:jc w:val="left"/>
    </w:pPr>
    <w:rPr>
      <w:rFonts w:eastAsia="SimHei"/>
      <w:sz w:val="40"/>
    </w:rPr>
  </w:style>
  <w:style w:type="paragraph" w:customStyle="1" w:styleId="OmniPage6">
    <w:name w:val="OmniPage #6"/>
    <w:basedOn w:val="Normal"/>
    <w:pPr>
      <w:widowControl/>
      <w:adjustRightInd/>
      <w:spacing w:line="240" w:lineRule="auto"/>
      <w:jc w:val="left"/>
      <w:textAlignment w:val="auto"/>
    </w:pPr>
    <w:rPr>
      <w:sz w:val="24"/>
      <w:lang w:val="fr-FR" w:eastAsia="en-US"/>
    </w:rPr>
  </w:style>
  <w:style w:type="paragraph" w:customStyle="1" w:styleId="OmniPage12">
    <w:name w:val="OmniPage #12"/>
    <w:basedOn w:val="Normal"/>
    <w:pPr>
      <w:widowControl/>
      <w:adjustRightInd/>
      <w:spacing w:line="240" w:lineRule="auto"/>
      <w:jc w:val="left"/>
      <w:textAlignment w:val="auto"/>
    </w:pPr>
    <w:rPr>
      <w:sz w:val="24"/>
      <w:lang w:val="fr-FR" w:eastAsia="en-US"/>
    </w:rPr>
  </w:style>
  <w:style w:type="paragraph" w:customStyle="1" w:styleId="OmniPage15">
    <w:name w:val="OmniPage #15"/>
    <w:basedOn w:val="Normal"/>
    <w:pPr>
      <w:widowControl/>
      <w:adjustRightInd/>
      <w:spacing w:line="240" w:lineRule="auto"/>
      <w:jc w:val="left"/>
      <w:textAlignment w:val="auto"/>
    </w:pPr>
    <w:rPr>
      <w:sz w:val="24"/>
      <w:lang w:val="fr-FR" w:eastAsia="en-US"/>
    </w:rPr>
  </w:style>
  <w:style w:type="paragraph" w:customStyle="1" w:styleId="OmniPage13">
    <w:name w:val="OmniPage #13"/>
    <w:basedOn w:val="Normal"/>
    <w:pPr>
      <w:widowControl/>
      <w:adjustRightInd/>
      <w:spacing w:line="240" w:lineRule="auto"/>
      <w:jc w:val="left"/>
      <w:textAlignment w:val="auto"/>
    </w:pPr>
    <w:rPr>
      <w:sz w:val="24"/>
      <w:lang w:val="fr-FR" w:eastAsia="en-US"/>
    </w:rPr>
  </w:style>
  <w:style w:type="paragraph" w:customStyle="1" w:styleId="OmniPage9">
    <w:name w:val="OmniPage #9"/>
    <w:basedOn w:val="Normal"/>
    <w:pPr>
      <w:widowControl/>
      <w:adjustRightInd/>
      <w:spacing w:line="240" w:lineRule="auto"/>
      <w:jc w:val="left"/>
      <w:textAlignment w:val="auto"/>
    </w:pPr>
    <w:rPr>
      <w:sz w:val="24"/>
      <w:lang w:val="fr-FR" w:eastAsia="en-US"/>
    </w:rPr>
  </w:style>
  <w:style w:type="paragraph" w:customStyle="1" w:styleId="OmniPage14">
    <w:name w:val="OmniPage #14"/>
    <w:basedOn w:val="Normal"/>
    <w:pPr>
      <w:widowControl/>
      <w:adjustRightInd/>
      <w:spacing w:line="240" w:lineRule="auto"/>
      <w:jc w:val="left"/>
      <w:textAlignment w:val="auto"/>
    </w:pPr>
    <w:rPr>
      <w:sz w:val="24"/>
      <w:lang w:val="fr-FR" w:eastAsia="en-US"/>
    </w:rPr>
  </w:style>
  <w:style w:type="paragraph" w:styleId="BodyText3">
    <w:name w:val="Body Text 3"/>
    <w:basedOn w:val="Normal"/>
    <w:pPr>
      <w:widowControl/>
      <w:adjustRightInd/>
      <w:spacing w:line="240" w:lineRule="auto"/>
      <w:textAlignment w:val="auto"/>
    </w:pPr>
    <w:rPr>
      <w:color w:val="000000"/>
      <w:sz w:val="24"/>
      <w:lang w:val="fr-FR" w:eastAsia="en-US"/>
    </w:rPr>
  </w:style>
  <w:style w:type="paragraph" w:customStyle="1" w:styleId="HCh">
    <w:name w:val="_ H _Ch"/>
    <w:basedOn w:val="Normal"/>
    <w:next w:val="Normal"/>
    <w:pPr>
      <w:keepNext/>
      <w:keepLines/>
      <w:widowControl/>
      <w:tabs>
        <w:tab w:val="left" w:pos="57"/>
      </w:tabs>
      <w:suppressAutoHyphens/>
      <w:adjustRightInd/>
      <w:spacing w:before="120" w:after="240" w:line="460" w:lineRule="exact"/>
      <w:jc w:val="left"/>
      <w:textAlignment w:val="auto"/>
      <w:outlineLvl w:val="0"/>
    </w:pPr>
    <w:rPr>
      <w:rFonts w:ascii="SimHei" w:eastAsia="SimHei"/>
      <w:color w:val="FF0000"/>
      <w:kern w:val="14"/>
      <w:sz w:val="28"/>
    </w:rPr>
  </w:style>
  <w:style w:type="paragraph" w:customStyle="1" w:styleId="XLarge">
    <w:name w:val="XLarge"/>
    <w:basedOn w:val="Normal"/>
    <w:pPr>
      <w:keepNext/>
      <w:keepLines/>
      <w:widowControl/>
      <w:tabs>
        <w:tab w:val="left" w:pos="57"/>
        <w:tab w:val="right" w:leader="dot" w:pos="360"/>
      </w:tabs>
      <w:suppressAutoHyphens/>
      <w:adjustRightInd/>
      <w:spacing w:line="390" w:lineRule="exact"/>
      <w:jc w:val="left"/>
      <w:textAlignment w:val="auto"/>
      <w:outlineLvl w:val="0"/>
    </w:pPr>
    <w:rPr>
      <w:rFonts w:ascii="SimHei" w:eastAsia="SimHei"/>
      <w:color w:val="FF0000"/>
      <w:kern w:val="14"/>
      <w:sz w:val="40"/>
    </w:rPr>
  </w:style>
  <w:style w:type="paragraph" w:customStyle="1" w:styleId="H1">
    <w:name w:val="_ H_1"/>
    <w:basedOn w:val="Normal"/>
    <w:next w:val="Normal"/>
    <w:pPr>
      <w:keepNext/>
      <w:keepLines/>
      <w:widowControl/>
      <w:suppressAutoHyphens/>
      <w:adjustRightInd/>
      <w:spacing w:beforeLines="50" w:before="50" w:after="240" w:line="360" w:lineRule="exact"/>
      <w:jc w:val="left"/>
      <w:textAlignment w:val="auto"/>
      <w:outlineLvl w:val="0"/>
    </w:pPr>
    <w:rPr>
      <w:rFonts w:ascii="SimHei" w:eastAsia="SimHei"/>
      <w:color w:val="FF0000"/>
      <w:kern w:val="14"/>
      <w:sz w:val="24"/>
    </w:rPr>
  </w:style>
  <w:style w:type="paragraph" w:customStyle="1" w:styleId="H3">
    <w:name w:val="_ H_3"/>
    <w:basedOn w:val="Normal"/>
    <w:next w:val="Normal"/>
    <w:pPr>
      <w:widowControl/>
      <w:adjustRightInd/>
      <w:spacing w:after="240" w:line="360" w:lineRule="exact"/>
      <w:jc w:val="left"/>
      <w:textAlignment w:val="auto"/>
      <w:outlineLvl w:val="1"/>
    </w:pPr>
    <w:rPr>
      <w:rFonts w:ascii="KaiTi_GB2312" w:eastAsia="KaiTi_GB2312"/>
      <w:b/>
      <w:color w:val="0000FF"/>
      <w:spacing w:val="2"/>
      <w:kern w:val="14"/>
    </w:rPr>
  </w:style>
  <w:style w:type="character" w:styleId="CommentReference">
    <w:name w:val="annotation reference"/>
    <w:semiHidden/>
    <w:rPr>
      <w:sz w:val="6"/>
    </w:rPr>
  </w:style>
  <w:style w:type="paragraph" w:styleId="CommentText">
    <w:name w:val="annotation text"/>
    <w:basedOn w:val="Normal"/>
    <w:semiHidden/>
    <w:pPr>
      <w:widowControl/>
      <w:adjustRightInd/>
      <w:spacing w:line="320" w:lineRule="exact"/>
      <w:jc w:val="left"/>
      <w:textAlignment w:val="auto"/>
    </w:pPr>
    <w:rPr>
      <w:rFonts w:ascii="SimSun"/>
      <w:kern w:val="14"/>
    </w:rPr>
  </w:style>
  <w:style w:type="paragraph" w:customStyle="1" w:styleId="50">
    <w:name w:val="正文5"/>
    <w:basedOn w:val="Normal"/>
    <w:pPr>
      <w:adjustRightInd/>
      <w:spacing w:beforeLines="100" w:before="100" w:afterLines="100" w:after="100" w:line="240" w:lineRule="auto"/>
      <w:textAlignment w:val="auto"/>
    </w:pPr>
    <w:rPr>
      <w:b/>
      <w:kern w:val="2"/>
      <w:szCs w:val="24"/>
    </w:rPr>
  </w:style>
  <w:style w:type="paragraph" w:customStyle="1" w:styleId="40">
    <w:name w:val="正文4"/>
    <w:basedOn w:val="Normal"/>
    <w:pPr>
      <w:numPr>
        <w:numId w:val="6"/>
      </w:numPr>
      <w:adjustRightInd/>
      <w:spacing w:beforeLines="50" w:before="50" w:afterLines="50" w:after="50" w:line="240" w:lineRule="auto"/>
      <w:textAlignment w:val="auto"/>
    </w:pPr>
    <w:rPr>
      <w:kern w:val="2"/>
      <w:szCs w:val="24"/>
    </w:rPr>
  </w:style>
  <w:style w:type="paragraph" w:customStyle="1" w:styleId="H2">
    <w:name w:val="_H_2"/>
    <w:basedOn w:val="Normal"/>
    <w:pPr>
      <w:spacing w:after="240" w:line="360" w:lineRule="exact"/>
    </w:pPr>
    <w:rPr>
      <w:rFonts w:ascii="SimHei" w:eastAsia="SimHei"/>
      <w:color w:val="FF0000"/>
      <w:lang w:val="en-GB"/>
    </w:rPr>
  </w:style>
  <w:style w:type="paragraph" w:customStyle="1" w:styleId="20">
    <w:name w:val="正文2"/>
    <w:basedOn w:val="Normal"/>
    <w:pPr>
      <w:adjustRightInd/>
      <w:spacing w:beforeLines="50" w:before="50" w:afterLines="50" w:after="50" w:line="240" w:lineRule="auto"/>
      <w:ind w:firstLineChars="200" w:firstLine="200"/>
      <w:textAlignment w:val="auto"/>
    </w:pPr>
    <w:rPr>
      <w:kern w:val="2"/>
    </w:rPr>
  </w:style>
  <w:style w:type="paragraph" w:customStyle="1" w:styleId="30">
    <w:name w:val="正文3"/>
    <w:basedOn w:val="Normal"/>
    <w:pPr>
      <w:adjustRightInd/>
      <w:spacing w:line="240" w:lineRule="auto"/>
      <w:textAlignment w:val="auto"/>
    </w:pPr>
    <w:rPr>
      <w:kern w:val="2"/>
      <w:szCs w:val="24"/>
    </w:rPr>
  </w:style>
  <w:style w:type="paragraph" w:customStyle="1" w:styleId="60">
    <w:name w:val="样式6"/>
    <w:basedOn w:val="21"/>
    <w:rPr>
      <w:sz w:val="21"/>
    </w:rPr>
  </w:style>
  <w:style w:type="paragraph" w:customStyle="1" w:styleId="21">
    <w:name w:val="样式2"/>
    <w:basedOn w:val="Normal"/>
    <w:pPr>
      <w:adjustRightInd/>
      <w:spacing w:beforeLines="50" w:before="50" w:afterLines="50" w:after="50" w:line="240" w:lineRule="auto"/>
      <w:textAlignment w:val="auto"/>
    </w:pPr>
    <w:rPr>
      <w:rFonts w:ascii="Book Antiqua" w:eastAsia="KaiTi_GB2312" w:hAnsi="Book Antiqua"/>
      <w:kern w:val="2"/>
      <w:sz w:val="24"/>
      <w:szCs w:val="24"/>
      <w:lang w:val="es-ES"/>
    </w:rPr>
  </w:style>
  <w:style w:type="paragraph" w:styleId="TOC4">
    <w:name w:val="toc 4"/>
    <w:aliases w:val="Special4,Report 4"/>
    <w:basedOn w:val="Normal"/>
    <w:next w:val="Normal"/>
    <w:autoRedefine/>
    <w:semiHidden/>
    <w:pPr>
      <w:widowControl/>
      <w:adjustRightInd/>
      <w:spacing w:line="240" w:lineRule="auto"/>
      <w:jc w:val="left"/>
      <w:textAlignment w:val="auto"/>
    </w:pPr>
    <w:rPr>
      <w:sz w:val="24"/>
      <w:szCs w:val="24"/>
    </w:rPr>
  </w:style>
  <w:style w:type="paragraph" w:customStyle="1" w:styleId="SinglePara">
    <w:name w:val="Single Para"/>
    <w:basedOn w:val="Normal"/>
    <w:pPr>
      <w:widowControl/>
      <w:adjustRightInd/>
      <w:spacing w:line="240" w:lineRule="auto"/>
      <w:jc w:val="left"/>
      <w:textAlignment w:val="auto"/>
    </w:pPr>
    <w:rPr>
      <w:rFonts w:eastAsia="Times New Roman"/>
      <w:sz w:val="24"/>
      <w:szCs w:val="24"/>
      <w:lang w:val="en-AU"/>
    </w:rPr>
  </w:style>
  <w:style w:type="paragraph" w:customStyle="1" w:styleId="a">
    <w:name w:val="简要记录正文"/>
    <w:basedOn w:val="Normal"/>
    <w:pPr>
      <w:numPr>
        <w:numId w:val="7"/>
      </w:numPr>
      <w:autoSpaceDE w:val="0"/>
      <w:autoSpaceDN w:val="0"/>
      <w:spacing w:beforeLines="150" w:before="360" w:afterLines="150" w:after="360" w:line="240" w:lineRule="auto"/>
      <w:jc w:val="left"/>
      <w:textAlignment w:val="auto"/>
    </w:pPr>
    <w:rPr>
      <w:kern w:val="14"/>
      <w:szCs w:val="21"/>
    </w:rPr>
  </w:style>
  <w:style w:type="paragraph" w:customStyle="1" w:styleId="a0">
    <w:name w:val="样式 简要记录正文 + (中文) 黑体 加粗"/>
    <w:basedOn w:val="a"/>
    <w:autoRedefine/>
    <w:pPr>
      <w:numPr>
        <w:numId w:val="0"/>
      </w:numPr>
    </w:pPr>
    <w:rPr>
      <w:rFonts w:eastAsia="SimHei"/>
      <w:b/>
      <w:bCs/>
    </w:rPr>
  </w:style>
  <w:style w:type="paragraph" w:customStyle="1" w:styleId="a1">
    <w:name w:val="黑体正文"/>
    <w:basedOn w:val="Normal"/>
    <w:next w:val="Normal"/>
    <w:pPr>
      <w:autoSpaceDE w:val="0"/>
      <w:autoSpaceDN w:val="0"/>
      <w:spacing w:line="360" w:lineRule="auto"/>
      <w:jc w:val="left"/>
      <w:textAlignment w:val="auto"/>
    </w:pPr>
    <w:rPr>
      <w:rFonts w:eastAsia="SimHei"/>
      <w:sz w:val="24"/>
      <w:szCs w:val="24"/>
    </w:rPr>
  </w:style>
  <w:style w:type="paragraph" w:customStyle="1" w:styleId="DefaultText">
    <w:name w:val="Default Text"/>
    <w:basedOn w:val="Normal"/>
    <w:pPr>
      <w:widowControl/>
      <w:adjustRightInd/>
      <w:spacing w:line="240" w:lineRule="auto"/>
      <w:jc w:val="left"/>
      <w:textAlignment w:val="auto"/>
    </w:pPr>
    <w:rPr>
      <w:rFonts w:ascii="Tahoma" w:eastAsia="Times New Roman" w:hAnsi="Tahoma" w:cs="Tahoma"/>
      <w:snapToGrid w:val="0"/>
      <w:sz w:val="20"/>
      <w:lang w:eastAsia="en-US"/>
    </w:rPr>
  </w:style>
  <w:style w:type="paragraph" w:styleId="TOC3">
    <w:name w:val="toc 3"/>
    <w:aliases w:val="Special3,Report 3"/>
    <w:basedOn w:val="Normal"/>
    <w:next w:val="Normal"/>
    <w:autoRedefine/>
    <w:semiHidden/>
    <w:pPr>
      <w:tabs>
        <w:tab w:val="left" w:pos="1320"/>
        <w:tab w:val="right" w:leader="dot" w:pos="9840"/>
      </w:tabs>
      <w:ind w:leftChars="400" w:left="840"/>
    </w:pPr>
    <w:rPr>
      <w:noProof/>
      <w:szCs w:val="21"/>
    </w:rPr>
  </w:style>
  <w:style w:type="paragraph" w:styleId="TOC5">
    <w:name w:val="toc 5"/>
    <w:basedOn w:val="Normal"/>
    <w:next w:val="Normal"/>
    <w:autoRedefine/>
    <w:semiHidden/>
    <w:pPr>
      <w:ind w:leftChars="800" w:left="1680"/>
    </w:pPr>
  </w:style>
  <w:style w:type="paragraph" w:styleId="TOC6">
    <w:name w:val="toc 6"/>
    <w:basedOn w:val="Normal"/>
    <w:next w:val="Normal"/>
    <w:autoRedefine/>
    <w:semiHidden/>
    <w:pPr>
      <w:ind w:leftChars="1000" w:left="2100"/>
    </w:pPr>
  </w:style>
  <w:style w:type="paragraph" w:styleId="TOC7">
    <w:name w:val="toc 7"/>
    <w:basedOn w:val="Normal"/>
    <w:next w:val="Normal"/>
    <w:autoRedefine/>
    <w:semiHidden/>
    <w:pPr>
      <w:ind w:leftChars="1200" w:left="2520"/>
    </w:pPr>
  </w:style>
  <w:style w:type="paragraph" w:styleId="TOC8">
    <w:name w:val="toc 8"/>
    <w:basedOn w:val="Normal"/>
    <w:next w:val="Normal"/>
    <w:autoRedefine/>
    <w:semiHidden/>
    <w:pPr>
      <w:ind w:leftChars="1400" w:left="2940"/>
    </w:pPr>
  </w:style>
  <w:style w:type="paragraph" w:styleId="TOC9">
    <w:name w:val="toc 9"/>
    <w:basedOn w:val="Normal"/>
    <w:next w:val="Normal"/>
    <w:autoRedefine/>
    <w:semiHidden/>
    <w:pPr>
      <w:ind w:leftChars="1600" w:left="3360"/>
    </w:pPr>
  </w:style>
  <w:style w:type="character" w:styleId="Strong">
    <w:name w:val="Strong"/>
    <w:qFormat/>
    <w:rPr>
      <w:b/>
      <w:bCs/>
    </w:rPr>
  </w:style>
  <w:style w:type="character" w:customStyle="1" w:styleId="indrykning">
    <w:name w:val="indrykning"/>
    <w:basedOn w:val="DefaultParagraphFont"/>
  </w:style>
  <w:style w:type="paragraph" w:customStyle="1" w:styleId="22">
    <w:name w:val="标题2"/>
    <w:basedOn w:val="Normal"/>
    <w:pPr>
      <w:adjustRightInd/>
      <w:spacing w:line="240" w:lineRule="auto"/>
      <w:ind w:firstLineChars="200" w:firstLine="200"/>
      <w:textAlignment w:val="auto"/>
    </w:pPr>
    <w:rPr>
      <w:b/>
      <w:bCs/>
      <w:kern w:val="2"/>
      <w:szCs w:val="24"/>
    </w:rPr>
  </w:style>
  <w:style w:type="paragraph" w:customStyle="1" w:styleId="a2">
    <w:name w:val="表的注释"/>
    <w:basedOn w:val="Normal"/>
    <w:pPr>
      <w:adjustRightInd/>
      <w:spacing w:line="240" w:lineRule="auto"/>
      <w:ind w:firstLineChars="200" w:firstLine="200"/>
      <w:textAlignment w:val="auto"/>
    </w:pPr>
    <w:rPr>
      <w:kern w:val="2"/>
      <w:sz w:val="18"/>
      <w:szCs w:val="24"/>
    </w:rPr>
  </w:style>
  <w:style w:type="paragraph" w:customStyle="1" w:styleId="a3">
    <w:name w:val="注释"/>
    <w:basedOn w:val="Normal"/>
    <w:pPr>
      <w:adjustRightInd/>
      <w:spacing w:line="240" w:lineRule="auto"/>
      <w:textAlignment w:val="auto"/>
    </w:pPr>
    <w:rPr>
      <w:kern w:val="2"/>
      <w:sz w:val="18"/>
      <w:szCs w:val="24"/>
    </w:rPr>
  </w:style>
  <w:style w:type="paragraph" w:customStyle="1" w:styleId="Standard-AKT">
    <w:name w:val="Standard-AKT"/>
    <w:basedOn w:val="Normal"/>
    <w:pPr>
      <w:widowControl/>
      <w:autoSpaceDE w:val="0"/>
      <w:autoSpaceDN w:val="0"/>
      <w:adjustRightInd/>
      <w:spacing w:line="360" w:lineRule="auto"/>
      <w:jc w:val="left"/>
      <w:textAlignment w:val="auto"/>
    </w:pPr>
    <w:rPr>
      <w:rFonts w:ascii="Arial" w:hAnsi="Arial" w:cs="Arial"/>
      <w:sz w:val="24"/>
      <w:szCs w:val="24"/>
      <w:lang w:val="de-DE" w:eastAsia="de-DE"/>
    </w:rPr>
  </w:style>
  <w:style w:type="paragraph" w:customStyle="1" w:styleId="xl65">
    <w:name w:val="xl65"/>
    <w:basedOn w:val="Normal"/>
    <w:pPr>
      <w:widowControl/>
      <w:adjustRightInd/>
      <w:spacing w:before="100" w:beforeAutospacing="1" w:after="100" w:afterAutospacing="1" w:line="240" w:lineRule="auto"/>
      <w:jc w:val="left"/>
      <w:textAlignment w:val="auto"/>
    </w:pPr>
    <w:rPr>
      <w:rFonts w:ascii="Verdana" w:eastAsia="Arial Unicode MS" w:hAnsi="Verdana" w:cs="Arial Unicode MS"/>
      <w:sz w:val="18"/>
      <w:szCs w:val="18"/>
      <w:lang w:val="de-DE" w:eastAsia="de-DE"/>
    </w:rPr>
  </w:style>
  <w:style w:type="paragraph" w:customStyle="1" w:styleId="font6">
    <w:name w:val="font6"/>
    <w:basedOn w:val="Normal"/>
    <w:pPr>
      <w:widowControl/>
      <w:adjustRightInd/>
      <w:spacing w:before="100" w:beforeAutospacing="1" w:after="100" w:afterAutospacing="1" w:line="240" w:lineRule="auto"/>
      <w:jc w:val="left"/>
      <w:textAlignment w:val="auto"/>
    </w:pPr>
    <w:rPr>
      <w:rFonts w:ascii="Verdana" w:eastAsia="Arial Unicode MS" w:hAnsi="Verdana" w:cs="Arial Unicode MS"/>
      <w:b/>
      <w:bCs/>
      <w:sz w:val="20"/>
      <w:lang w:val="de-DE" w:eastAsia="de-DE"/>
    </w:rPr>
  </w:style>
  <w:style w:type="paragraph" w:customStyle="1" w:styleId="xl52">
    <w:name w:val="xl52"/>
    <w:basedOn w:val="Normal"/>
    <w:pPr>
      <w:widowControl/>
      <w:adjustRightInd/>
      <w:spacing w:before="100" w:beforeAutospacing="1" w:after="100" w:afterAutospacing="1" w:line="240" w:lineRule="auto"/>
      <w:jc w:val="right"/>
      <w:textAlignment w:val="auto"/>
    </w:pPr>
    <w:rPr>
      <w:rFonts w:ascii="Verdana" w:eastAsia="Arial Unicode MS" w:hAnsi="Verdana" w:cs="Arial Unicode MS"/>
      <w:b/>
      <w:bCs/>
      <w:sz w:val="18"/>
      <w:szCs w:val="18"/>
      <w:lang w:val="de-DE" w:eastAsia="de-DE"/>
    </w:rPr>
  </w:style>
  <w:style w:type="paragraph" w:styleId="NormalWeb">
    <w:name w:val="Normal (Web)"/>
    <w:basedOn w:val="Normal"/>
    <w:pPr>
      <w:widowControl/>
      <w:adjustRightInd/>
      <w:spacing w:before="100" w:beforeAutospacing="1" w:after="100" w:afterAutospacing="1" w:line="240" w:lineRule="auto"/>
      <w:jc w:val="left"/>
      <w:textAlignment w:val="auto"/>
    </w:pPr>
    <w:rPr>
      <w:sz w:val="24"/>
      <w:szCs w:val="24"/>
      <w:lang w:eastAsia="en-US"/>
    </w:rPr>
  </w:style>
  <w:style w:type="character" w:styleId="Emphasis">
    <w:name w:val="Emphasis"/>
    <w:qFormat/>
    <w:rPr>
      <w:i/>
      <w:iCs/>
    </w:rPr>
  </w:style>
  <w:style w:type="paragraph" w:customStyle="1" w:styleId="ChtTabTitle">
    <w:name w:val="Cht&amp;Tab Title"/>
    <w:basedOn w:val="Caption"/>
    <w:autoRedefine/>
    <w:pPr>
      <w:widowControl/>
      <w:tabs>
        <w:tab w:val="left" w:pos="810"/>
        <w:tab w:val="left" w:pos="1080"/>
      </w:tabs>
      <w:adjustRightInd/>
      <w:spacing w:before="0" w:afterLines="50" w:after="120" w:line="360" w:lineRule="exact"/>
      <w:ind w:left="1077" w:hanging="1077"/>
      <w:jc w:val="center"/>
      <w:textAlignment w:val="auto"/>
    </w:pPr>
    <w:rPr>
      <w:rFonts w:ascii="SimHei" w:hAnsi="Times New Roman"/>
      <w:bCs/>
      <w:color w:val="A0274B"/>
      <w:szCs w:val="24"/>
      <w:lang w:val="en-GB"/>
    </w:rPr>
  </w:style>
  <w:style w:type="paragraph" w:customStyle="1" w:styleId="xl49">
    <w:name w:val="xl49"/>
    <w:basedOn w:val="Normal"/>
    <w:pPr>
      <w:widowControl/>
      <w:pBdr>
        <w:left w:val="single" w:sz="4" w:space="0" w:color="auto"/>
      </w:pBdr>
      <w:adjustRightInd/>
      <w:spacing w:before="100" w:beforeAutospacing="1" w:after="100" w:afterAutospacing="1" w:line="240" w:lineRule="auto"/>
      <w:jc w:val="right"/>
      <w:textAlignment w:val="auto"/>
    </w:pPr>
    <w:rPr>
      <w:rFonts w:ascii="Arial" w:eastAsia="Arial Unicode MS" w:hAnsi="Arial" w:cs="Arial"/>
      <w:sz w:val="16"/>
      <w:szCs w:val="16"/>
    </w:rPr>
  </w:style>
  <w:style w:type="character" w:styleId="HTMLTypewriter">
    <w:name w:val="HTML Typewriter"/>
    <w:rPr>
      <w:rFonts w:ascii="SimSun" w:eastAsia="SimSun" w:hAnsi="SimSun" w:cs="SimSun"/>
      <w:sz w:val="24"/>
      <w:szCs w:val="24"/>
    </w:rPr>
  </w:style>
  <w:style w:type="paragraph" w:styleId="ListNumber2">
    <w:name w:val="List Number 2"/>
    <w:basedOn w:val="Normal"/>
    <w:pPr>
      <w:widowControl/>
      <w:numPr>
        <w:ilvl w:val="1"/>
        <w:numId w:val="9"/>
      </w:numPr>
      <w:tabs>
        <w:tab w:val="clear" w:pos="792"/>
        <w:tab w:val="left" w:pos="851"/>
      </w:tabs>
      <w:adjustRightInd/>
      <w:spacing w:line="260" w:lineRule="atLeast"/>
      <w:ind w:left="851" w:hanging="851"/>
      <w:jc w:val="left"/>
      <w:textAlignment w:val="auto"/>
    </w:pPr>
    <w:rPr>
      <w:rFonts w:ascii="Univers" w:hAnsi="Univers"/>
      <w:sz w:val="20"/>
      <w:lang w:val="nl-NL" w:eastAsia="nl-NL"/>
    </w:rPr>
  </w:style>
  <w:style w:type="paragraph" w:styleId="ListNumber3">
    <w:name w:val="List Number 3"/>
    <w:basedOn w:val="Normal"/>
    <w:pPr>
      <w:widowControl/>
      <w:numPr>
        <w:ilvl w:val="2"/>
        <w:numId w:val="9"/>
      </w:numPr>
      <w:tabs>
        <w:tab w:val="clear" w:pos="1440"/>
        <w:tab w:val="left" w:pos="1134"/>
      </w:tabs>
      <w:adjustRightInd/>
      <w:spacing w:line="260" w:lineRule="atLeast"/>
      <w:ind w:left="1134" w:hanging="1134"/>
      <w:jc w:val="left"/>
      <w:textAlignment w:val="auto"/>
    </w:pPr>
    <w:rPr>
      <w:rFonts w:ascii="Univers" w:hAnsi="Univers"/>
      <w:sz w:val="20"/>
      <w:lang w:val="nl-NL" w:eastAsia="nl-NL"/>
    </w:rPr>
  </w:style>
  <w:style w:type="paragraph" w:styleId="ListNumber4">
    <w:name w:val="List Number 4"/>
    <w:basedOn w:val="Normal"/>
    <w:pPr>
      <w:widowControl/>
      <w:numPr>
        <w:ilvl w:val="3"/>
        <w:numId w:val="9"/>
      </w:numPr>
      <w:tabs>
        <w:tab w:val="clear" w:pos="2160"/>
        <w:tab w:val="left" w:pos="1418"/>
      </w:tabs>
      <w:adjustRightInd/>
      <w:spacing w:line="260" w:lineRule="atLeast"/>
      <w:ind w:left="1418" w:hanging="1418"/>
      <w:jc w:val="left"/>
      <w:textAlignment w:val="auto"/>
    </w:pPr>
    <w:rPr>
      <w:rFonts w:ascii="Univers" w:hAnsi="Univers"/>
      <w:sz w:val="20"/>
      <w:lang w:val="nl-NL" w:eastAsia="nl-NL"/>
    </w:rPr>
  </w:style>
  <w:style w:type="paragraph" w:customStyle="1" w:styleId="Auteurs">
    <w:name w:val="Auteurs"/>
    <w:basedOn w:val="Normal"/>
    <w:pPr>
      <w:widowControl/>
      <w:adjustRightInd/>
      <w:spacing w:line="280" w:lineRule="atLeast"/>
      <w:jc w:val="left"/>
      <w:textAlignment w:val="auto"/>
    </w:pPr>
    <w:rPr>
      <w:sz w:val="22"/>
      <w:lang w:val="nl-NL" w:eastAsia="nl-NL"/>
    </w:rPr>
  </w:style>
  <w:style w:type="paragraph" w:customStyle="1" w:styleId="NormalWeb1">
    <w:name w:val="Normal (Web)1"/>
    <w:basedOn w:val="Normal"/>
    <w:pPr>
      <w:widowControl/>
      <w:adjustRightInd/>
      <w:spacing w:before="100" w:beforeAutospacing="1" w:after="100" w:afterAutospacing="1" w:line="240" w:lineRule="auto"/>
      <w:jc w:val="left"/>
      <w:textAlignment w:val="auto"/>
    </w:pPr>
    <w:rPr>
      <w:sz w:val="24"/>
      <w:szCs w:val="24"/>
      <w:lang w:val="nl-NL" w:eastAsia="nl-NL"/>
    </w:rPr>
  </w:style>
  <w:style w:type="character" w:customStyle="1" w:styleId="t31">
    <w:name w:val="t31"/>
    <w:rPr>
      <w:color w:val="000000"/>
      <w:sz w:val="26"/>
      <w:szCs w:val="26"/>
    </w:rPr>
  </w:style>
  <w:style w:type="paragraph" w:customStyle="1" w:styleId="Level1">
    <w:name w:val="Level 1"/>
    <w:basedOn w:val="Normal"/>
    <w:pPr>
      <w:autoSpaceDE w:val="0"/>
      <w:autoSpaceDN w:val="0"/>
      <w:spacing w:line="240" w:lineRule="auto"/>
      <w:ind w:left="720" w:hanging="720"/>
      <w:jc w:val="left"/>
      <w:textAlignment w:val="auto"/>
    </w:pPr>
    <w:rPr>
      <w:sz w:val="20"/>
      <w:szCs w:val="24"/>
      <w:lang w:eastAsia="en-US"/>
    </w:rPr>
  </w:style>
  <w:style w:type="paragraph" w:customStyle="1" w:styleId="TopofForm">
    <w:name w:val="TopofForm"/>
    <w:basedOn w:val="Normal"/>
    <w:pPr>
      <w:widowControl/>
      <w:adjustRightInd/>
      <w:spacing w:after="240" w:line="240" w:lineRule="auto"/>
      <w:ind w:left="240"/>
      <w:jc w:val="left"/>
      <w:textAlignment w:val="auto"/>
    </w:pPr>
    <w:rPr>
      <w:rFonts w:ascii="Courier" w:hAnsi="Courier"/>
      <w:sz w:val="24"/>
      <w:lang w:eastAsia="en-US"/>
    </w:rPr>
  </w:style>
  <w:style w:type="paragraph" w:customStyle="1" w:styleId="Agreement">
    <w:name w:val="Agreement"/>
    <w:basedOn w:val="Normal"/>
    <w:pPr>
      <w:widowControl/>
      <w:tabs>
        <w:tab w:val="num" w:pos="720"/>
      </w:tabs>
      <w:adjustRightInd/>
      <w:spacing w:after="240" w:line="240" w:lineRule="auto"/>
      <w:ind w:left="720" w:hanging="720"/>
      <w:textAlignment w:val="auto"/>
    </w:pPr>
    <w:rPr>
      <w:rFonts w:ascii="Arial" w:hAnsi="Arial"/>
      <w:sz w:val="24"/>
      <w:lang w:val="en-CA" w:eastAsia="en-US"/>
    </w:rPr>
  </w:style>
  <w:style w:type="paragraph" w:customStyle="1" w:styleId="BriefingNotes">
    <w:name w:val="Briefing Notes"/>
    <w:next w:val="Normal"/>
    <w:pPr>
      <w:tabs>
        <w:tab w:val="num" w:pos="360"/>
      </w:tabs>
      <w:spacing w:before="120"/>
      <w:ind w:left="360" w:hanging="360"/>
    </w:pPr>
    <w:rPr>
      <w:rFonts w:ascii="Arial" w:hAnsi="Arial" w:cs="Arial"/>
      <w:b/>
      <w:bCs/>
      <w:sz w:val="22"/>
      <w:u w:val="single"/>
      <w:lang w:val="en-CA" w:eastAsia="en-US"/>
    </w:rPr>
  </w:style>
  <w:style w:type="character" w:customStyle="1" w:styleId="titreloi">
    <w:name w:val="titreloi"/>
    <w:basedOn w:val="DefaultParagraphFont"/>
  </w:style>
  <w:style w:type="character" w:customStyle="1" w:styleId="emphtypeital">
    <w:name w:val="emphtypeital"/>
    <w:basedOn w:val="DefaultParagraphFont"/>
  </w:style>
  <w:style w:type="character" w:customStyle="1" w:styleId="printexpandtree">
    <w:name w:val="print expandtree"/>
    <w:basedOn w:val="DefaultParagraphFont"/>
  </w:style>
  <w:style w:type="character" w:customStyle="1" w:styleId="QPNormal">
    <w:name w:val="QP  Normal"/>
    <w:rPr>
      <w:rFonts w:ascii="Times New Roman" w:hAnsi="Times New Roman" w:cs="ITC Slimbach"/>
      <w:position w:val="0"/>
    </w:rPr>
  </w:style>
  <w:style w:type="character" w:customStyle="1" w:styleId="Hypertext">
    <w:name w:val="Hypertext"/>
    <w:rPr>
      <w:color w:val="0000FF"/>
      <w:u w:val="single"/>
    </w:rPr>
  </w:style>
  <w:style w:type="paragraph" w:customStyle="1" w:styleId="a4">
    <w:name w:val="_"/>
    <w:basedOn w:val="Normal"/>
    <w:pPr>
      <w:autoSpaceDE w:val="0"/>
      <w:autoSpaceDN w:val="0"/>
      <w:spacing w:line="240" w:lineRule="auto"/>
      <w:ind w:left="720" w:hanging="720"/>
      <w:jc w:val="left"/>
      <w:textAlignment w:val="auto"/>
    </w:pPr>
    <w:rPr>
      <w:sz w:val="20"/>
      <w:szCs w:val="24"/>
      <w:lang w:eastAsia="en-US"/>
    </w:rPr>
  </w:style>
  <w:style w:type="paragraph" w:customStyle="1" w:styleId="ReferenceLine">
    <w:name w:val="Reference Line"/>
    <w:basedOn w:val="BodyText"/>
    <w:pPr>
      <w:widowControl/>
      <w:adjustRightInd/>
      <w:spacing w:after="120"/>
      <w:jc w:val="left"/>
      <w:textAlignment w:val="auto"/>
    </w:pPr>
    <w:rPr>
      <w:rFonts w:ascii="Arial" w:hAnsi="Arial"/>
      <w:kern w:val="0"/>
      <w:sz w:val="20"/>
      <w:lang w:eastAsia="en-US"/>
    </w:rPr>
  </w:style>
  <w:style w:type="character" w:customStyle="1" w:styleId="A20">
    <w:name w:val="A2"/>
    <w:rPr>
      <w:rFonts w:cs="Times"/>
      <w:color w:val="000000"/>
      <w:sz w:val="20"/>
      <w:szCs w:val="20"/>
    </w:rPr>
  </w:style>
  <w:style w:type="paragraph" w:customStyle="1" w:styleId="LastYearResponseStyle">
    <w:name w:val="LastYearResponseStyle"/>
    <w:basedOn w:val="Normal"/>
    <w:pPr>
      <w:widowControl/>
      <w:adjustRightInd/>
      <w:spacing w:line="240" w:lineRule="auto"/>
      <w:jc w:val="left"/>
      <w:textAlignment w:val="auto"/>
    </w:pPr>
    <w:rPr>
      <w:rFonts w:ascii="Tahoma" w:hAnsi="Tahoma"/>
      <w:i/>
      <w:sz w:val="16"/>
      <w:szCs w:val="24"/>
      <w:lang w:eastAsia="en-US"/>
    </w:rPr>
  </w:style>
  <w:style w:type="paragraph" w:customStyle="1" w:styleId="header0">
    <w:name w:val="header"/>
    <w:basedOn w:val="Normal"/>
    <w:pPr>
      <w:widowControl/>
      <w:adjustRightInd/>
      <w:spacing w:before="100" w:beforeAutospacing="1" w:after="100" w:afterAutospacing="1" w:line="240" w:lineRule="auto"/>
      <w:jc w:val="right"/>
      <w:textAlignment w:val="auto"/>
    </w:pPr>
    <w:rPr>
      <w:b/>
      <w:bCs/>
      <w:color w:val="000000"/>
      <w:sz w:val="28"/>
      <w:szCs w:val="28"/>
      <w:lang w:val="en-CA" w:eastAsia="en-CA"/>
    </w:rPr>
  </w:style>
  <w:style w:type="paragraph" w:customStyle="1" w:styleId="17">
    <w:name w:val="_17"/>
    <w:basedOn w:val="Normal"/>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spacing w:line="240" w:lineRule="auto"/>
      <w:jc w:val="left"/>
      <w:textAlignment w:val="auto"/>
      <w:outlineLvl w:val="0"/>
    </w:pPr>
    <w:rPr>
      <w:sz w:val="24"/>
      <w:szCs w:val="24"/>
      <w:lang w:eastAsia="en-US"/>
    </w:rPr>
  </w:style>
  <w:style w:type="paragraph" w:styleId="BalloonText">
    <w:name w:val="Balloon Text"/>
    <w:basedOn w:val="Normal"/>
    <w:semiHidden/>
    <w:pPr>
      <w:widowControl/>
      <w:adjustRightInd/>
      <w:spacing w:line="240" w:lineRule="auto"/>
      <w:jc w:val="left"/>
      <w:textAlignment w:val="auto"/>
    </w:pPr>
    <w:rPr>
      <w:rFonts w:ascii="Tahoma" w:hAnsi="Tahoma" w:cs="Tahoma"/>
      <w:sz w:val="16"/>
      <w:szCs w:val="16"/>
      <w:lang w:eastAsia="en-US"/>
    </w:rPr>
  </w:style>
  <w:style w:type="paragraph" w:customStyle="1" w:styleId="PRAExecutiveNormal">
    <w:name w:val="PRA Executive Normal"/>
    <w:basedOn w:val="Normal"/>
    <w:pPr>
      <w:widowControl/>
      <w:adjustRightInd/>
      <w:spacing w:after="240" w:line="240" w:lineRule="auto"/>
      <w:jc w:val="left"/>
      <w:textAlignment w:val="auto"/>
    </w:pPr>
    <w:rPr>
      <w:sz w:val="24"/>
      <w:szCs w:val="24"/>
      <w:lang w:val="en-CA" w:eastAsia="en-US"/>
    </w:rPr>
  </w:style>
  <w:style w:type="paragraph" w:customStyle="1" w:styleId="BulletedList">
    <w:name w:val="Bulleted List"/>
    <w:basedOn w:val="Normal"/>
    <w:next w:val="Normal"/>
    <w:pPr>
      <w:widowControl/>
      <w:tabs>
        <w:tab w:val="num" w:pos="720"/>
      </w:tabs>
      <w:adjustRightInd/>
      <w:spacing w:line="240" w:lineRule="auto"/>
      <w:ind w:left="720" w:hanging="360"/>
      <w:jc w:val="left"/>
      <w:textAlignment w:val="auto"/>
    </w:pPr>
    <w:rPr>
      <w:rFonts w:ascii="Arial" w:hAnsi="Arial"/>
      <w:sz w:val="24"/>
      <w:lang w:val="en-GB" w:eastAsia="en-US"/>
    </w:rPr>
  </w:style>
  <w:style w:type="character" w:customStyle="1" w:styleId="SYSHYPERTEXT">
    <w:name w:val="SYS_HYPERTEXT"/>
    <w:rPr>
      <w:color w:val="0000FF"/>
      <w:u w:val="single"/>
    </w:rPr>
  </w:style>
  <w:style w:type="paragraph" w:customStyle="1" w:styleId="Default">
    <w:name w:val="Default"/>
    <w:pPr>
      <w:autoSpaceDE w:val="0"/>
      <w:autoSpaceDN w:val="0"/>
      <w:adjustRightInd w:val="0"/>
    </w:pPr>
    <w:rPr>
      <w:color w:val="000000"/>
      <w:sz w:val="24"/>
      <w:szCs w:val="24"/>
      <w:lang w:val="en-US" w:eastAsia="en-US"/>
    </w:rPr>
  </w:style>
  <w:style w:type="paragraph" w:customStyle="1" w:styleId="EDU-BodyTextBullet1">
    <w:name w:val="EDU-Body Text Bullet 1"/>
    <w:pPr>
      <w:tabs>
        <w:tab w:val="num" w:pos="1080"/>
      </w:tabs>
      <w:ind w:left="1080" w:hanging="360"/>
    </w:pPr>
    <w:rPr>
      <w:rFonts w:ascii="Arial" w:hAnsi="Arial" w:cs="Arial"/>
      <w:b/>
      <w:sz w:val="32"/>
      <w:szCs w:val="32"/>
      <w:lang w:val="en-GB" w:eastAsia="en-US"/>
    </w:rPr>
  </w:style>
  <w:style w:type="paragraph" w:customStyle="1" w:styleId="retrait2-texte">
    <w:name w:val="retrait2-texte"/>
    <w:basedOn w:val="Normal"/>
    <w:pPr>
      <w:widowControl/>
      <w:adjustRightInd/>
      <w:spacing w:after="240" w:line="240" w:lineRule="auto"/>
      <w:ind w:left="2160"/>
      <w:textAlignment w:val="auto"/>
    </w:pPr>
    <w:rPr>
      <w:rFonts w:ascii="Arial" w:hAnsi="Arial"/>
      <w:sz w:val="24"/>
      <w:szCs w:val="24"/>
      <w:lang w:val="fr-CA" w:eastAsia="fr-FR"/>
    </w:rPr>
  </w:style>
  <w:style w:type="paragraph" w:customStyle="1" w:styleId="retrait2-textedp">
    <w:name w:val="retrait2-textedp"/>
    <w:basedOn w:val="Normal"/>
    <w:pPr>
      <w:widowControl/>
      <w:adjustRightInd/>
      <w:spacing w:after="480" w:line="240" w:lineRule="auto"/>
      <w:ind w:left="2160"/>
      <w:textAlignment w:val="auto"/>
    </w:pPr>
    <w:rPr>
      <w:rFonts w:ascii="Arial" w:hAnsi="Arial"/>
      <w:sz w:val="24"/>
      <w:szCs w:val="24"/>
      <w:lang w:val="fr-CA" w:eastAsia="fr-FR"/>
    </w:rPr>
  </w:style>
  <w:style w:type="character" w:customStyle="1" w:styleId="acctxt1">
    <w:name w:val="acctxt1"/>
    <w:rPr>
      <w:rFonts w:ascii="Arial" w:hAnsi="Arial" w:cs="Arial" w:hint="default"/>
      <w:sz w:val="24"/>
      <w:szCs w:val="24"/>
    </w:rPr>
  </w:style>
  <w:style w:type="paragraph" w:customStyle="1" w:styleId="FootnoteTex">
    <w:name w:val="Footnote Tex"/>
    <w:pPr>
      <w:autoSpaceDE w:val="0"/>
      <w:autoSpaceDN w:val="0"/>
      <w:adjustRightInd w:val="0"/>
    </w:pPr>
    <w:rPr>
      <w:lang w:val="en-US" w:eastAsia="en-US"/>
    </w:rPr>
  </w:style>
  <w:style w:type="character" w:customStyle="1" w:styleId="exp1">
    <w:name w:val="exp1"/>
    <w:rPr>
      <w:color w:val="3E3E3E"/>
    </w:rPr>
  </w:style>
  <w:style w:type="paragraph" w:styleId="ListBullet">
    <w:name w:val="List Bullet"/>
    <w:basedOn w:val="Normal"/>
    <w:autoRedefine/>
    <w:pPr>
      <w:widowControl/>
      <w:numPr>
        <w:numId w:val="3"/>
      </w:numPr>
      <w:adjustRightInd/>
      <w:spacing w:line="240" w:lineRule="auto"/>
      <w:jc w:val="left"/>
      <w:textAlignment w:val="auto"/>
    </w:pPr>
    <w:rPr>
      <w:sz w:val="24"/>
      <w:szCs w:val="24"/>
      <w:lang w:eastAsia="en-US"/>
    </w:rPr>
  </w:style>
  <w:style w:type="paragraph" w:styleId="ListNumber">
    <w:name w:val="List Number"/>
    <w:basedOn w:val="Normal"/>
    <w:pPr>
      <w:widowControl/>
      <w:numPr>
        <w:numId w:val="2"/>
      </w:numPr>
      <w:adjustRightInd/>
      <w:spacing w:line="240" w:lineRule="auto"/>
      <w:jc w:val="left"/>
      <w:textAlignment w:val="auto"/>
    </w:pPr>
    <w:rPr>
      <w:rFonts w:ascii="Myanmar2.1" w:hAnsi="Myanmar2.1"/>
      <w:sz w:val="30"/>
      <w:szCs w:val="30"/>
      <w:lang w:eastAsia="en-US"/>
    </w:rPr>
  </w:style>
  <w:style w:type="paragraph" w:customStyle="1" w:styleId="STMleipteksti">
    <w:name w:val="STM leipäteksti"/>
    <w:pPr>
      <w:overflowPunct w:val="0"/>
      <w:autoSpaceDE w:val="0"/>
      <w:autoSpaceDN w:val="0"/>
      <w:adjustRightInd w:val="0"/>
      <w:ind w:left="2608"/>
      <w:textAlignment w:val="baseline"/>
    </w:pPr>
    <w:rPr>
      <w:sz w:val="24"/>
      <w:lang w:val="fi-FI"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3" Type="http://schemas.openxmlformats.org/officeDocument/2006/relationships/hyperlink" Target="http://www.lyomatonlinja.fi" TargetMode="External"/><Relationship Id="rId2" Type="http://schemas.openxmlformats.org/officeDocument/2006/relationships/hyperlink" Target="http://www.optula.om.fi" TargetMode="External"/><Relationship Id="rId1" Type="http://schemas.openxmlformats.org/officeDocument/2006/relationships/hyperlink" Target="http://www.optula.om.fi"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WORK\&#26032;&#24314;&#25991;&#20214;&#22841;\&#26032;&#24314;&#25991;&#20214;&#22841;\un02075-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un02075-1</Template>
  <TotalTime>117</TotalTime>
  <Pages>1</Pages>
  <Words>6262</Words>
  <Characters>35700</Characters>
  <Application>Microsoft Office Word</Application>
  <DocSecurity>4</DocSecurity>
  <Lines>297</Lines>
  <Paragraphs>83</Paragraphs>
  <ScaleCrop>false</ScaleCrop>
  <Company>infoll</Company>
  <LinksUpToDate>false</LinksUpToDate>
  <CharactersWithSpaces>41879</CharactersWithSpaces>
  <SharedDoc>false</SharedDoc>
  <HLinks>
    <vt:vector size="492" baseType="variant">
      <vt:variant>
        <vt:i4>2031666</vt:i4>
      </vt:variant>
      <vt:variant>
        <vt:i4>470</vt:i4>
      </vt:variant>
      <vt:variant>
        <vt:i4>0</vt:i4>
      </vt:variant>
      <vt:variant>
        <vt:i4>5</vt:i4>
      </vt:variant>
      <vt:variant>
        <vt:lpwstr/>
      </vt:variant>
      <vt:variant>
        <vt:lpwstr>_Toc188785320</vt:lpwstr>
      </vt:variant>
      <vt:variant>
        <vt:i4>1835058</vt:i4>
      </vt:variant>
      <vt:variant>
        <vt:i4>464</vt:i4>
      </vt:variant>
      <vt:variant>
        <vt:i4>0</vt:i4>
      </vt:variant>
      <vt:variant>
        <vt:i4>5</vt:i4>
      </vt:variant>
      <vt:variant>
        <vt:lpwstr/>
      </vt:variant>
      <vt:variant>
        <vt:lpwstr>_Toc188785319</vt:lpwstr>
      </vt:variant>
      <vt:variant>
        <vt:i4>1835058</vt:i4>
      </vt:variant>
      <vt:variant>
        <vt:i4>458</vt:i4>
      </vt:variant>
      <vt:variant>
        <vt:i4>0</vt:i4>
      </vt:variant>
      <vt:variant>
        <vt:i4>5</vt:i4>
      </vt:variant>
      <vt:variant>
        <vt:lpwstr/>
      </vt:variant>
      <vt:variant>
        <vt:lpwstr>_Toc188785318</vt:lpwstr>
      </vt:variant>
      <vt:variant>
        <vt:i4>1835058</vt:i4>
      </vt:variant>
      <vt:variant>
        <vt:i4>452</vt:i4>
      </vt:variant>
      <vt:variant>
        <vt:i4>0</vt:i4>
      </vt:variant>
      <vt:variant>
        <vt:i4>5</vt:i4>
      </vt:variant>
      <vt:variant>
        <vt:lpwstr/>
      </vt:variant>
      <vt:variant>
        <vt:lpwstr>_Toc188785317</vt:lpwstr>
      </vt:variant>
      <vt:variant>
        <vt:i4>1835058</vt:i4>
      </vt:variant>
      <vt:variant>
        <vt:i4>446</vt:i4>
      </vt:variant>
      <vt:variant>
        <vt:i4>0</vt:i4>
      </vt:variant>
      <vt:variant>
        <vt:i4>5</vt:i4>
      </vt:variant>
      <vt:variant>
        <vt:lpwstr/>
      </vt:variant>
      <vt:variant>
        <vt:lpwstr>_Toc188785316</vt:lpwstr>
      </vt:variant>
      <vt:variant>
        <vt:i4>1835058</vt:i4>
      </vt:variant>
      <vt:variant>
        <vt:i4>440</vt:i4>
      </vt:variant>
      <vt:variant>
        <vt:i4>0</vt:i4>
      </vt:variant>
      <vt:variant>
        <vt:i4>5</vt:i4>
      </vt:variant>
      <vt:variant>
        <vt:lpwstr/>
      </vt:variant>
      <vt:variant>
        <vt:lpwstr>_Toc188785315</vt:lpwstr>
      </vt:variant>
      <vt:variant>
        <vt:i4>1835058</vt:i4>
      </vt:variant>
      <vt:variant>
        <vt:i4>434</vt:i4>
      </vt:variant>
      <vt:variant>
        <vt:i4>0</vt:i4>
      </vt:variant>
      <vt:variant>
        <vt:i4>5</vt:i4>
      </vt:variant>
      <vt:variant>
        <vt:lpwstr/>
      </vt:variant>
      <vt:variant>
        <vt:lpwstr>_Toc188785314</vt:lpwstr>
      </vt:variant>
      <vt:variant>
        <vt:i4>1835058</vt:i4>
      </vt:variant>
      <vt:variant>
        <vt:i4>428</vt:i4>
      </vt:variant>
      <vt:variant>
        <vt:i4>0</vt:i4>
      </vt:variant>
      <vt:variant>
        <vt:i4>5</vt:i4>
      </vt:variant>
      <vt:variant>
        <vt:lpwstr/>
      </vt:variant>
      <vt:variant>
        <vt:lpwstr>_Toc188785313</vt:lpwstr>
      </vt:variant>
      <vt:variant>
        <vt:i4>1835058</vt:i4>
      </vt:variant>
      <vt:variant>
        <vt:i4>422</vt:i4>
      </vt:variant>
      <vt:variant>
        <vt:i4>0</vt:i4>
      </vt:variant>
      <vt:variant>
        <vt:i4>5</vt:i4>
      </vt:variant>
      <vt:variant>
        <vt:lpwstr/>
      </vt:variant>
      <vt:variant>
        <vt:lpwstr>_Toc188785312</vt:lpwstr>
      </vt:variant>
      <vt:variant>
        <vt:i4>1835058</vt:i4>
      </vt:variant>
      <vt:variant>
        <vt:i4>416</vt:i4>
      </vt:variant>
      <vt:variant>
        <vt:i4>0</vt:i4>
      </vt:variant>
      <vt:variant>
        <vt:i4>5</vt:i4>
      </vt:variant>
      <vt:variant>
        <vt:lpwstr/>
      </vt:variant>
      <vt:variant>
        <vt:lpwstr>_Toc188785311</vt:lpwstr>
      </vt:variant>
      <vt:variant>
        <vt:i4>1835058</vt:i4>
      </vt:variant>
      <vt:variant>
        <vt:i4>410</vt:i4>
      </vt:variant>
      <vt:variant>
        <vt:i4>0</vt:i4>
      </vt:variant>
      <vt:variant>
        <vt:i4>5</vt:i4>
      </vt:variant>
      <vt:variant>
        <vt:lpwstr/>
      </vt:variant>
      <vt:variant>
        <vt:lpwstr>_Toc188785310</vt:lpwstr>
      </vt:variant>
      <vt:variant>
        <vt:i4>1900594</vt:i4>
      </vt:variant>
      <vt:variant>
        <vt:i4>404</vt:i4>
      </vt:variant>
      <vt:variant>
        <vt:i4>0</vt:i4>
      </vt:variant>
      <vt:variant>
        <vt:i4>5</vt:i4>
      </vt:variant>
      <vt:variant>
        <vt:lpwstr/>
      </vt:variant>
      <vt:variant>
        <vt:lpwstr>_Toc188785309</vt:lpwstr>
      </vt:variant>
      <vt:variant>
        <vt:i4>1900594</vt:i4>
      </vt:variant>
      <vt:variant>
        <vt:i4>398</vt:i4>
      </vt:variant>
      <vt:variant>
        <vt:i4>0</vt:i4>
      </vt:variant>
      <vt:variant>
        <vt:i4>5</vt:i4>
      </vt:variant>
      <vt:variant>
        <vt:lpwstr/>
      </vt:variant>
      <vt:variant>
        <vt:lpwstr>_Toc188785308</vt:lpwstr>
      </vt:variant>
      <vt:variant>
        <vt:i4>1900594</vt:i4>
      </vt:variant>
      <vt:variant>
        <vt:i4>392</vt:i4>
      </vt:variant>
      <vt:variant>
        <vt:i4>0</vt:i4>
      </vt:variant>
      <vt:variant>
        <vt:i4>5</vt:i4>
      </vt:variant>
      <vt:variant>
        <vt:lpwstr/>
      </vt:variant>
      <vt:variant>
        <vt:lpwstr>_Toc188785307</vt:lpwstr>
      </vt:variant>
      <vt:variant>
        <vt:i4>1900594</vt:i4>
      </vt:variant>
      <vt:variant>
        <vt:i4>386</vt:i4>
      </vt:variant>
      <vt:variant>
        <vt:i4>0</vt:i4>
      </vt:variant>
      <vt:variant>
        <vt:i4>5</vt:i4>
      </vt:variant>
      <vt:variant>
        <vt:lpwstr/>
      </vt:variant>
      <vt:variant>
        <vt:lpwstr>_Toc188785306</vt:lpwstr>
      </vt:variant>
      <vt:variant>
        <vt:i4>1900594</vt:i4>
      </vt:variant>
      <vt:variant>
        <vt:i4>380</vt:i4>
      </vt:variant>
      <vt:variant>
        <vt:i4>0</vt:i4>
      </vt:variant>
      <vt:variant>
        <vt:i4>5</vt:i4>
      </vt:variant>
      <vt:variant>
        <vt:lpwstr/>
      </vt:variant>
      <vt:variant>
        <vt:lpwstr>_Toc188785305</vt:lpwstr>
      </vt:variant>
      <vt:variant>
        <vt:i4>1900594</vt:i4>
      </vt:variant>
      <vt:variant>
        <vt:i4>374</vt:i4>
      </vt:variant>
      <vt:variant>
        <vt:i4>0</vt:i4>
      </vt:variant>
      <vt:variant>
        <vt:i4>5</vt:i4>
      </vt:variant>
      <vt:variant>
        <vt:lpwstr/>
      </vt:variant>
      <vt:variant>
        <vt:lpwstr>_Toc188785304</vt:lpwstr>
      </vt:variant>
      <vt:variant>
        <vt:i4>1900594</vt:i4>
      </vt:variant>
      <vt:variant>
        <vt:i4>368</vt:i4>
      </vt:variant>
      <vt:variant>
        <vt:i4>0</vt:i4>
      </vt:variant>
      <vt:variant>
        <vt:i4>5</vt:i4>
      </vt:variant>
      <vt:variant>
        <vt:lpwstr/>
      </vt:variant>
      <vt:variant>
        <vt:lpwstr>_Toc188785303</vt:lpwstr>
      </vt:variant>
      <vt:variant>
        <vt:i4>1900594</vt:i4>
      </vt:variant>
      <vt:variant>
        <vt:i4>362</vt:i4>
      </vt:variant>
      <vt:variant>
        <vt:i4>0</vt:i4>
      </vt:variant>
      <vt:variant>
        <vt:i4>5</vt:i4>
      </vt:variant>
      <vt:variant>
        <vt:lpwstr/>
      </vt:variant>
      <vt:variant>
        <vt:lpwstr>_Toc188785302</vt:lpwstr>
      </vt:variant>
      <vt:variant>
        <vt:i4>1900594</vt:i4>
      </vt:variant>
      <vt:variant>
        <vt:i4>356</vt:i4>
      </vt:variant>
      <vt:variant>
        <vt:i4>0</vt:i4>
      </vt:variant>
      <vt:variant>
        <vt:i4>5</vt:i4>
      </vt:variant>
      <vt:variant>
        <vt:lpwstr/>
      </vt:variant>
      <vt:variant>
        <vt:lpwstr>_Toc188785301</vt:lpwstr>
      </vt:variant>
      <vt:variant>
        <vt:i4>1900594</vt:i4>
      </vt:variant>
      <vt:variant>
        <vt:i4>350</vt:i4>
      </vt:variant>
      <vt:variant>
        <vt:i4>0</vt:i4>
      </vt:variant>
      <vt:variant>
        <vt:i4>5</vt:i4>
      </vt:variant>
      <vt:variant>
        <vt:lpwstr/>
      </vt:variant>
      <vt:variant>
        <vt:lpwstr>_Toc188785300</vt:lpwstr>
      </vt:variant>
      <vt:variant>
        <vt:i4>1310771</vt:i4>
      </vt:variant>
      <vt:variant>
        <vt:i4>344</vt:i4>
      </vt:variant>
      <vt:variant>
        <vt:i4>0</vt:i4>
      </vt:variant>
      <vt:variant>
        <vt:i4>5</vt:i4>
      </vt:variant>
      <vt:variant>
        <vt:lpwstr/>
      </vt:variant>
      <vt:variant>
        <vt:lpwstr>_Toc188785299</vt:lpwstr>
      </vt:variant>
      <vt:variant>
        <vt:i4>1310771</vt:i4>
      </vt:variant>
      <vt:variant>
        <vt:i4>338</vt:i4>
      </vt:variant>
      <vt:variant>
        <vt:i4>0</vt:i4>
      </vt:variant>
      <vt:variant>
        <vt:i4>5</vt:i4>
      </vt:variant>
      <vt:variant>
        <vt:lpwstr/>
      </vt:variant>
      <vt:variant>
        <vt:lpwstr>_Toc188785298</vt:lpwstr>
      </vt:variant>
      <vt:variant>
        <vt:i4>1310771</vt:i4>
      </vt:variant>
      <vt:variant>
        <vt:i4>332</vt:i4>
      </vt:variant>
      <vt:variant>
        <vt:i4>0</vt:i4>
      </vt:variant>
      <vt:variant>
        <vt:i4>5</vt:i4>
      </vt:variant>
      <vt:variant>
        <vt:lpwstr/>
      </vt:variant>
      <vt:variant>
        <vt:lpwstr>_Toc188785297</vt:lpwstr>
      </vt:variant>
      <vt:variant>
        <vt:i4>1310771</vt:i4>
      </vt:variant>
      <vt:variant>
        <vt:i4>326</vt:i4>
      </vt:variant>
      <vt:variant>
        <vt:i4>0</vt:i4>
      </vt:variant>
      <vt:variant>
        <vt:i4>5</vt:i4>
      </vt:variant>
      <vt:variant>
        <vt:lpwstr/>
      </vt:variant>
      <vt:variant>
        <vt:lpwstr>_Toc188785296</vt:lpwstr>
      </vt:variant>
      <vt:variant>
        <vt:i4>1310771</vt:i4>
      </vt:variant>
      <vt:variant>
        <vt:i4>320</vt:i4>
      </vt:variant>
      <vt:variant>
        <vt:i4>0</vt:i4>
      </vt:variant>
      <vt:variant>
        <vt:i4>5</vt:i4>
      </vt:variant>
      <vt:variant>
        <vt:lpwstr/>
      </vt:variant>
      <vt:variant>
        <vt:lpwstr>_Toc188785295</vt:lpwstr>
      </vt:variant>
      <vt:variant>
        <vt:i4>1310771</vt:i4>
      </vt:variant>
      <vt:variant>
        <vt:i4>314</vt:i4>
      </vt:variant>
      <vt:variant>
        <vt:i4>0</vt:i4>
      </vt:variant>
      <vt:variant>
        <vt:i4>5</vt:i4>
      </vt:variant>
      <vt:variant>
        <vt:lpwstr/>
      </vt:variant>
      <vt:variant>
        <vt:lpwstr>_Toc188785294</vt:lpwstr>
      </vt:variant>
      <vt:variant>
        <vt:i4>1310771</vt:i4>
      </vt:variant>
      <vt:variant>
        <vt:i4>308</vt:i4>
      </vt:variant>
      <vt:variant>
        <vt:i4>0</vt:i4>
      </vt:variant>
      <vt:variant>
        <vt:i4>5</vt:i4>
      </vt:variant>
      <vt:variant>
        <vt:lpwstr/>
      </vt:variant>
      <vt:variant>
        <vt:lpwstr>_Toc188785293</vt:lpwstr>
      </vt:variant>
      <vt:variant>
        <vt:i4>1310771</vt:i4>
      </vt:variant>
      <vt:variant>
        <vt:i4>302</vt:i4>
      </vt:variant>
      <vt:variant>
        <vt:i4>0</vt:i4>
      </vt:variant>
      <vt:variant>
        <vt:i4>5</vt:i4>
      </vt:variant>
      <vt:variant>
        <vt:lpwstr/>
      </vt:variant>
      <vt:variant>
        <vt:lpwstr>_Toc188785292</vt:lpwstr>
      </vt:variant>
      <vt:variant>
        <vt:i4>1310771</vt:i4>
      </vt:variant>
      <vt:variant>
        <vt:i4>296</vt:i4>
      </vt:variant>
      <vt:variant>
        <vt:i4>0</vt:i4>
      </vt:variant>
      <vt:variant>
        <vt:i4>5</vt:i4>
      </vt:variant>
      <vt:variant>
        <vt:lpwstr/>
      </vt:variant>
      <vt:variant>
        <vt:lpwstr>_Toc188785291</vt:lpwstr>
      </vt:variant>
      <vt:variant>
        <vt:i4>1310771</vt:i4>
      </vt:variant>
      <vt:variant>
        <vt:i4>290</vt:i4>
      </vt:variant>
      <vt:variant>
        <vt:i4>0</vt:i4>
      </vt:variant>
      <vt:variant>
        <vt:i4>5</vt:i4>
      </vt:variant>
      <vt:variant>
        <vt:lpwstr/>
      </vt:variant>
      <vt:variant>
        <vt:lpwstr>_Toc188785290</vt:lpwstr>
      </vt:variant>
      <vt:variant>
        <vt:i4>1376307</vt:i4>
      </vt:variant>
      <vt:variant>
        <vt:i4>284</vt:i4>
      </vt:variant>
      <vt:variant>
        <vt:i4>0</vt:i4>
      </vt:variant>
      <vt:variant>
        <vt:i4>5</vt:i4>
      </vt:variant>
      <vt:variant>
        <vt:lpwstr/>
      </vt:variant>
      <vt:variant>
        <vt:lpwstr>_Toc188785289</vt:lpwstr>
      </vt:variant>
      <vt:variant>
        <vt:i4>1376307</vt:i4>
      </vt:variant>
      <vt:variant>
        <vt:i4>278</vt:i4>
      </vt:variant>
      <vt:variant>
        <vt:i4>0</vt:i4>
      </vt:variant>
      <vt:variant>
        <vt:i4>5</vt:i4>
      </vt:variant>
      <vt:variant>
        <vt:lpwstr/>
      </vt:variant>
      <vt:variant>
        <vt:lpwstr>_Toc188785288</vt:lpwstr>
      </vt:variant>
      <vt:variant>
        <vt:i4>1376307</vt:i4>
      </vt:variant>
      <vt:variant>
        <vt:i4>272</vt:i4>
      </vt:variant>
      <vt:variant>
        <vt:i4>0</vt:i4>
      </vt:variant>
      <vt:variant>
        <vt:i4>5</vt:i4>
      </vt:variant>
      <vt:variant>
        <vt:lpwstr/>
      </vt:variant>
      <vt:variant>
        <vt:lpwstr>_Toc188785287</vt:lpwstr>
      </vt:variant>
      <vt:variant>
        <vt:i4>1376307</vt:i4>
      </vt:variant>
      <vt:variant>
        <vt:i4>266</vt:i4>
      </vt:variant>
      <vt:variant>
        <vt:i4>0</vt:i4>
      </vt:variant>
      <vt:variant>
        <vt:i4>5</vt:i4>
      </vt:variant>
      <vt:variant>
        <vt:lpwstr/>
      </vt:variant>
      <vt:variant>
        <vt:lpwstr>_Toc188785286</vt:lpwstr>
      </vt:variant>
      <vt:variant>
        <vt:i4>1376307</vt:i4>
      </vt:variant>
      <vt:variant>
        <vt:i4>260</vt:i4>
      </vt:variant>
      <vt:variant>
        <vt:i4>0</vt:i4>
      </vt:variant>
      <vt:variant>
        <vt:i4>5</vt:i4>
      </vt:variant>
      <vt:variant>
        <vt:lpwstr/>
      </vt:variant>
      <vt:variant>
        <vt:lpwstr>_Toc188785285</vt:lpwstr>
      </vt:variant>
      <vt:variant>
        <vt:i4>1376307</vt:i4>
      </vt:variant>
      <vt:variant>
        <vt:i4>254</vt:i4>
      </vt:variant>
      <vt:variant>
        <vt:i4>0</vt:i4>
      </vt:variant>
      <vt:variant>
        <vt:i4>5</vt:i4>
      </vt:variant>
      <vt:variant>
        <vt:lpwstr/>
      </vt:variant>
      <vt:variant>
        <vt:lpwstr>_Toc188785284</vt:lpwstr>
      </vt:variant>
      <vt:variant>
        <vt:i4>1376307</vt:i4>
      </vt:variant>
      <vt:variant>
        <vt:i4>248</vt:i4>
      </vt:variant>
      <vt:variant>
        <vt:i4>0</vt:i4>
      </vt:variant>
      <vt:variant>
        <vt:i4>5</vt:i4>
      </vt:variant>
      <vt:variant>
        <vt:lpwstr/>
      </vt:variant>
      <vt:variant>
        <vt:lpwstr>_Toc188785283</vt:lpwstr>
      </vt:variant>
      <vt:variant>
        <vt:i4>1376307</vt:i4>
      </vt:variant>
      <vt:variant>
        <vt:i4>242</vt:i4>
      </vt:variant>
      <vt:variant>
        <vt:i4>0</vt:i4>
      </vt:variant>
      <vt:variant>
        <vt:i4>5</vt:i4>
      </vt:variant>
      <vt:variant>
        <vt:lpwstr/>
      </vt:variant>
      <vt:variant>
        <vt:lpwstr>_Toc188785282</vt:lpwstr>
      </vt:variant>
      <vt:variant>
        <vt:i4>1376307</vt:i4>
      </vt:variant>
      <vt:variant>
        <vt:i4>236</vt:i4>
      </vt:variant>
      <vt:variant>
        <vt:i4>0</vt:i4>
      </vt:variant>
      <vt:variant>
        <vt:i4>5</vt:i4>
      </vt:variant>
      <vt:variant>
        <vt:lpwstr/>
      </vt:variant>
      <vt:variant>
        <vt:lpwstr>_Toc188785281</vt:lpwstr>
      </vt:variant>
      <vt:variant>
        <vt:i4>1376307</vt:i4>
      </vt:variant>
      <vt:variant>
        <vt:i4>230</vt:i4>
      </vt:variant>
      <vt:variant>
        <vt:i4>0</vt:i4>
      </vt:variant>
      <vt:variant>
        <vt:i4>5</vt:i4>
      </vt:variant>
      <vt:variant>
        <vt:lpwstr/>
      </vt:variant>
      <vt:variant>
        <vt:lpwstr>_Toc188785280</vt:lpwstr>
      </vt:variant>
      <vt:variant>
        <vt:i4>1703987</vt:i4>
      </vt:variant>
      <vt:variant>
        <vt:i4>224</vt:i4>
      </vt:variant>
      <vt:variant>
        <vt:i4>0</vt:i4>
      </vt:variant>
      <vt:variant>
        <vt:i4>5</vt:i4>
      </vt:variant>
      <vt:variant>
        <vt:lpwstr/>
      </vt:variant>
      <vt:variant>
        <vt:lpwstr>_Toc188785279</vt:lpwstr>
      </vt:variant>
      <vt:variant>
        <vt:i4>1703987</vt:i4>
      </vt:variant>
      <vt:variant>
        <vt:i4>218</vt:i4>
      </vt:variant>
      <vt:variant>
        <vt:i4>0</vt:i4>
      </vt:variant>
      <vt:variant>
        <vt:i4>5</vt:i4>
      </vt:variant>
      <vt:variant>
        <vt:lpwstr/>
      </vt:variant>
      <vt:variant>
        <vt:lpwstr>_Toc188785278</vt:lpwstr>
      </vt:variant>
      <vt:variant>
        <vt:i4>1703987</vt:i4>
      </vt:variant>
      <vt:variant>
        <vt:i4>212</vt:i4>
      </vt:variant>
      <vt:variant>
        <vt:i4>0</vt:i4>
      </vt:variant>
      <vt:variant>
        <vt:i4>5</vt:i4>
      </vt:variant>
      <vt:variant>
        <vt:lpwstr/>
      </vt:variant>
      <vt:variant>
        <vt:lpwstr>_Toc188785277</vt:lpwstr>
      </vt:variant>
      <vt:variant>
        <vt:i4>1703987</vt:i4>
      </vt:variant>
      <vt:variant>
        <vt:i4>206</vt:i4>
      </vt:variant>
      <vt:variant>
        <vt:i4>0</vt:i4>
      </vt:variant>
      <vt:variant>
        <vt:i4>5</vt:i4>
      </vt:variant>
      <vt:variant>
        <vt:lpwstr/>
      </vt:variant>
      <vt:variant>
        <vt:lpwstr>_Toc188785276</vt:lpwstr>
      </vt:variant>
      <vt:variant>
        <vt:i4>1703987</vt:i4>
      </vt:variant>
      <vt:variant>
        <vt:i4>200</vt:i4>
      </vt:variant>
      <vt:variant>
        <vt:i4>0</vt:i4>
      </vt:variant>
      <vt:variant>
        <vt:i4>5</vt:i4>
      </vt:variant>
      <vt:variant>
        <vt:lpwstr/>
      </vt:variant>
      <vt:variant>
        <vt:lpwstr>_Toc188785275</vt:lpwstr>
      </vt:variant>
      <vt:variant>
        <vt:i4>1703987</vt:i4>
      </vt:variant>
      <vt:variant>
        <vt:i4>194</vt:i4>
      </vt:variant>
      <vt:variant>
        <vt:i4>0</vt:i4>
      </vt:variant>
      <vt:variant>
        <vt:i4>5</vt:i4>
      </vt:variant>
      <vt:variant>
        <vt:lpwstr/>
      </vt:variant>
      <vt:variant>
        <vt:lpwstr>_Toc188785274</vt:lpwstr>
      </vt:variant>
      <vt:variant>
        <vt:i4>1703987</vt:i4>
      </vt:variant>
      <vt:variant>
        <vt:i4>188</vt:i4>
      </vt:variant>
      <vt:variant>
        <vt:i4>0</vt:i4>
      </vt:variant>
      <vt:variant>
        <vt:i4>5</vt:i4>
      </vt:variant>
      <vt:variant>
        <vt:lpwstr/>
      </vt:variant>
      <vt:variant>
        <vt:lpwstr>_Toc188785273</vt:lpwstr>
      </vt:variant>
      <vt:variant>
        <vt:i4>1703987</vt:i4>
      </vt:variant>
      <vt:variant>
        <vt:i4>182</vt:i4>
      </vt:variant>
      <vt:variant>
        <vt:i4>0</vt:i4>
      </vt:variant>
      <vt:variant>
        <vt:i4>5</vt:i4>
      </vt:variant>
      <vt:variant>
        <vt:lpwstr/>
      </vt:variant>
      <vt:variant>
        <vt:lpwstr>_Toc188785272</vt:lpwstr>
      </vt:variant>
      <vt:variant>
        <vt:i4>1703987</vt:i4>
      </vt:variant>
      <vt:variant>
        <vt:i4>176</vt:i4>
      </vt:variant>
      <vt:variant>
        <vt:i4>0</vt:i4>
      </vt:variant>
      <vt:variant>
        <vt:i4>5</vt:i4>
      </vt:variant>
      <vt:variant>
        <vt:lpwstr/>
      </vt:variant>
      <vt:variant>
        <vt:lpwstr>_Toc188785271</vt:lpwstr>
      </vt:variant>
      <vt:variant>
        <vt:i4>1703987</vt:i4>
      </vt:variant>
      <vt:variant>
        <vt:i4>170</vt:i4>
      </vt:variant>
      <vt:variant>
        <vt:i4>0</vt:i4>
      </vt:variant>
      <vt:variant>
        <vt:i4>5</vt:i4>
      </vt:variant>
      <vt:variant>
        <vt:lpwstr/>
      </vt:variant>
      <vt:variant>
        <vt:lpwstr>_Toc188785270</vt:lpwstr>
      </vt:variant>
      <vt:variant>
        <vt:i4>1769523</vt:i4>
      </vt:variant>
      <vt:variant>
        <vt:i4>164</vt:i4>
      </vt:variant>
      <vt:variant>
        <vt:i4>0</vt:i4>
      </vt:variant>
      <vt:variant>
        <vt:i4>5</vt:i4>
      </vt:variant>
      <vt:variant>
        <vt:lpwstr/>
      </vt:variant>
      <vt:variant>
        <vt:lpwstr>_Toc188785269</vt:lpwstr>
      </vt:variant>
      <vt:variant>
        <vt:i4>1769523</vt:i4>
      </vt:variant>
      <vt:variant>
        <vt:i4>158</vt:i4>
      </vt:variant>
      <vt:variant>
        <vt:i4>0</vt:i4>
      </vt:variant>
      <vt:variant>
        <vt:i4>5</vt:i4>
      </vt:variant>
      <vt:variant>
        <vt:lpwstr/>
      </vt:variant>
      <vt:variant>
        <vt:lpwstr>_Toc188785268</vt:lpwstr>
      </vt:variant>
      <vt:variant>
        <vt:i4>1769523</vt:i4>
      </vt:variant>
      <vt:variant>
        <vt:i4>152</vt:i4>
      </vt:variant>
      <vt:variant>
        <vt:i4>0</vt:i4>
      </vt:variant>
      <vt:variant>
        <vt:i4>5</vt:i4>
      </vt:variant>
      <vt:variant>
        <vt:lpwstr/>
      </vt:variant>
      <vt:variant>
        <vt:lpwstr>_Toc188785267</vt:lpwstr>
      </vt:variant>
      <vt:variant>
        <vt:i4>1769523</vt:i4>
      </vt:variant>
      <vt:variant>
        <vt:i4>146</vt:i4>
      </vt:variant>
      <vt:variant>
        <vt:i4>0</vt:i4>
      </vt:variant>
      <vt:variant>
        <vt:i4>5</vt:i4>
      </vt:variant>
      <vt:variant>
        <vt:lpwstr/>
      </vt:variant>
      <vt:variant>
        <vt:lpwstr>_Toc188785266</vt:lpwstr>
      </vt:variant>
      <vt:variant>
        <vt:i4>1769523</vt:i4>
      </vt:variant>
      <vt:variant>
        <vt:i4>140</vt:i4>
      </vt:variant>
      <vt:variant>
        <vt:i4>0</vt:i4>
      </vt:variant>
      <vt:variant>
        <vt:i4>5</vt:i4>
      </vt:variant>
      <vt:variant>
        <vt:lpwstr/>
      </vt:variant>
      <vt:variant>
        <vt:lpwstr>_Toc188785265</vt:lpwstr>
      </vt:variant>
      <vt:variant>
        <vt:i4>1769523</vt:i4>
      </vt:variant>
      <vt:variant>
        <vt:i4>134</vt:i4>
      </vt:variant>
      <vt:variant>
        <vt:i4>0</vt:i4>
      </vt:variant>
      <vt:variant>
        <vt:i4>5</vt:i4>
      </vt:variant>
      <vt:variant>
        <vt:lpwstr/>
      </vt:variant>
      <vt:variant>
        <vt:lpwstr>_Toc188785264</vt:lpwstr>
      </vt:variant>
      <vt:variant>
        <vt:i4>1769523</vt:i4>
      </vt:variant>
      <vt:variant>
        <vt:i4>128</vt:i4>
      </vt:variant>
      <vt:variant>
        <vt:i4>0</vt:i4>
      </vt:variant>
      <vt:variant>
        <vt:i4>5</vt:i4>
      </vt:variant>
      <vt:variant>
        <vt:lpwstr/>
      </vt:variant>
      <vt:variant>
        <vt:lpwstr>_Toc188785263</vt:lpwstr>
      </vt:variant>
      <vt:variant>
        <vt:i4>1769523</vt:i4>
      </vt:variant>
      <vt:variant>
        <vt:i4>122</vt:i4>
      </vt:variant>
      <vt:variant>
        <vt:i4>0</vt:i4>
      </vt:variant>
      <vt:variant>
        <vt:i4>5</vt:i4>
      </vt:variant>
      <vt:variant>
        <vt:lpwstr/>
      </vt:variant>
      <vt:variant>
        <vt:lpwstr>_Toc188785262</vt:lpwstr>
      </vt:variant>
      <vt:variant>
        <vt:i4>1769523</vt:i4>
      </vt:variant>
      <vt:variant>
        <vt:i4>116</vt:i4>
      </vt:variant>
      <vt:variant>
        <vt:i4>0</vt:i4>
      </vt:variant>
      <vt:variant>
        <vt:i4>5</vt:i4>
      </vt:variant>
      <vt:variant>
        <vt:lpwstr/>
      </vt:variant>
      <vt:variant>
        <vt:lpwstr>_Toc188785261</vt:lpwstr>
      </vt:variant>
      <vt:variant>
        <vt:i4>1769523</vt:i4>
      </vt:variant>
      <vt:variant>
        <vt:i4>110</vt:i4>
      </vt:variant>
      <vt:variant>
        <vt:i4>0</vt:i4>
      </vt:variant>
      <vt:variant>
        <vt:i4>5</vt:i4>
      </vt:variant>
      <vt:variant>
        <vt:lpwstr/>
      </vt:variant>
      <vt:variant>
        <vt:lpwstr>_Toc188785260</vt:lpwstr>
      </vt:variant>
      <vt:variant>
        <vt:i4>1572915</vt:i4>
      </vt:variant>
      <vt:variant>
        <vt:i4>104</vt:i4>
      </vt:variant>
      <vt:variant>
        <vt:i4>0</vt:i4>
      </vt:variant>
      <vt:variant>
        <vt:i4>5</vt:i4>
      </vt:variant>
      <vt:variant>
        <vt:lpwstr/>
      </vt:variant>
      <vt:variant>
        <vt:lpwstr>_Toc188785259</vt:lpwstr>
      </vt:variant>
      <vt:variant>
        <vt:i4>1572915</vt:i4>
      </vt:variant>
      <vt:variant>
        <vt:i4>98</vt:i4>
      </vt:variant>
      <vt:variant>
        <vt:i4>0</vt:i4>
      </vt:variant>
      <vt:variant>
        <vt:i4>5</vt:i4>
      </vt:variant>
      <vt:variant>
        <vt:lpwstr/>
      </vt:variant>
      <vt:variant>
        <vt:lpwstr>_Toc188785258</vt:lpwstr>
      </vt:variant>
      <vt:variant>
        <vt:i4>1572915</vt:i4>
      </vt:variant>
      <vt:variant>
        <vt:i4>92</vt:i4>
      </vt:variant>
      <vt:variant>
        <vt:i4>0</vt:i4>
      </vt:variant>
      <vt:variant>
        <vt:i4>5</vt:i4>
      </vt:variant>
      <vt:variant>
        <vt:lpwstr/>
      </vt:variant>
      <vt:variant>
        <vt:lpwstr>_Toc188785257</vt:lpwstr>
      </vt:variant>
      <vt:variant>
        <vt:i4>1572915</vt:i4>
      </vt:variant>
      <vt:variant>
        <vt:i4>86</vt:i4>
      </vt:variant>
      <vt:variant>
        <vt:i4>0</vt:i4>
      </vt:variant>
      <vt:variant>
        <vt:i4>5</vt:i4>
      </vt:variant>
      <vt:variant>
        <vt:lpwstr/>
      </vt:variant>
      <vt:variant>
        <vt:lpwstr>_Toc188785256</vt:lpwstr>
      </vt:variant>
      <vt:variant>
        <vt:i4>1572915</vt:i4>
      </vt:variant>
      <vt:variant>
        <vt:i4>80</vt:i4>
      </vt:variant>
      <vt:variant>
        <vt:i4>0</vt:i4>
      </vt:variant>
      <vt:variant>
        <vt:i4>5</vt:i4>
      </vt:variant>
      <vt:variant>
        <vt:lpwstr/>
      </vt:variant>
      <vt:variant>
        <vt:lpwstr>_Toc188785255</vt:lpwstr>
      </vt:variant>
      <vt:variant>
        <vt:i4>1572915</vt:i4>
      </vt:variant>
      <vt:variant>
        <vt:i4>74</vt:i4>
      </vt:variant>
      <vt:variant>
        <vt:i4>0</vt:i4>
      </vt:variant>
      <vt:variant>
        <vt:i4>5</vt:i4>
      </vt:variant>
      <vt:variant>
        <vt:lpwstr/>
      </vt:variant>
      <vt:variant>
        <vt:lpwstr>_Toc188785254</vt:lpwstr>
      </vt:variant>
      <vt:variant>
        <vt:i4>1572915</vt:i4>
      </vt:variant>
      <vt:variant>
        <vt:i4>68</vt:i4>
      </vt:variant>
      <vt:variant>
        <vt:i4>0</vt:i4>
      </vt:variant>
      <vt:variant>
        <vt:i4>5</vt:i4>
      </vt:variant>
      <vt:variant>
        <vt:lpwstr/>
      </vt:variant>
      <vt:variant>
        <vt:lpwstr>_Toc188785253</vt:lpwstr>
      </vt:variant>
      <vt:variant>
        <vt:i4>1572915</vt:i4>
      </vt:variant>
      <vt:variant>
        <vt:i4>62</vt:i4>
      </vt:variant>
      <vt:variant>
        <vt:i4>0</vt:i4>
      </vt:variant>
      <vt:variant>
        <vt:i4>5</vt:i4>
      </vt:variant>
      <vt:variant>
        <vt:lpwstr/>
      </vt:variant>
      <vt:variant>
        <vt:lpwstr>_Toc188785252</vt:lpwstr>
      </vt:variant>
      <vt:variant>
        <vt:i4>1572915</vt:i4>
      </vt:variant>
      <vt:variant>
        <vt:i4>56</vt:i4>
      </vt:variant>
      <vt:variant>
        <vt:i4>0</vt:i4>
      </vt:variant>
      <vt:variant>
        <vt:i4>5</vt:i4>
      </vt:variant>
      <vt:variant>
        <vt:lpwstr/>
      </vt:variant>
      <vt:variant>
        <vt:lpwstr>_Toc188785251</vt:lpwstr>
      </vt:variant>
      <vt:variant>
        <vt:i4>1572915</vt:i4>
      </vt:variant>
      <vt:variant>
        <vt:i4>50</vt:i4>
      </vt:variant>
      <vt:variant>
        <vt:i4>0</vt:i4>
      </vt:variant>
      <vt:variant>
        <vt:i4>5</vt:i4>
      </vt:variant>
      <vt:variant>
        <vt:lpwstr/>
      </vt:variant>
      <vt:variant>
        <vt:lpwstr>_Toc188785250</vt:lpwstr>
      </vt:variant>
      <vt:variant>
        <vt:i4>1638451</vt:i4>
      </vt:variant>
      <vt:variant>
        <vt:i4>44</vt:i4>
      </vt:variant>
      <vt:variant>
        <vt:i4>0</vt:i4>
      </vt:variant>
      <vt:variant>
        <vt:i4>5</vt:i4>
      </vt:variant>
      <vt:variant>
        <vt:lpwstr/>
      </vt:variant>
      <vt:variant>
        <vt:lpwstr>_Toc188785249</vt:lpwstr>
      </vt:variant>
      <vt:variant>
        <vt:i4>1638451</vt:i4>
      </vt:variant>
      <vt:variant>
        <vt:i4>38</vt:i4>
      </vt:variant>
      <vt:variant>
        <vt:i4>0</vt:i4>
      </vt:variant>
      <vt:variant>
        <vt:i4>5</vt:i4>
      </vt:variant>
      <vt:variant>
        <vt:lpwstr/>
      </vt:variant>
      <vt:variant>
        <vt:lpwstr>_Toc188785248</vt:lpwstr>
      </vt:variant>
      <vt:variant>
        <vt:i4>1638451</vt:i4>
      </vt:variant>
      <vt:variant>
        <vt:i4>32</vt:i4>
      </vt:variant>
      <vt:variant>
        <vt:i4>0</vt:i4>
      </vt:variant>
      <vt:variant>
        <vt:i4>5</vt:i4>
      </vt:variant>
      <vt:variant>
        <vt:lpwstr/>
      </vt:variant>
      <vt:variant>
        <vt:lpwstr>_Toc188785247</vt:lpwstr>
      </vt:variant>
      <vt:variant>
        <vt:i4>1638451</vt:i4>
      </vt:variant>
      <vt:variant>
        <vt:i4>26</vt:i4>
      </vt:variant>
      <vt:variant>
        <vt:i4>0</vt:i4>
      </vt:variant>
      <vt:variant>
        <vt:i4>5</vt:i4>
      </vt:variant>
      <vt:variant>
        <vt:lpwstr/>
      </vt:variant>
      <vt:variant>
        <vt:lpwstr>_Toc188785246</vt:lpwstr>
      </vt:variant>
      <vt:variant>
        <vt:i4>1638451</vt:i4>
      </vt:variant>
      <vt:variant>
        <vt:i4>20</vt:i4>
      </vt:variant>
      <vt:variant>
        <vt:i4>0</vt:i4>
      </vt:variant>
      <vt:variant>
        <vt:i4>5</vt:i4>
      </vt:variant>
      <vt:variant>
        <vt:lpwstr/>
      </vt:variant>
      <vt:variant>
        <vt:lpwstr>_Toc188785245</vt:lpwstr>
      </vt:variant>
      <vt:variant>
        <vt:i4>1638451</vt:i4>
      </vt:variant>
      <vt:variant>
        <vt:i4>14</vt:i4>
      </vt:variant>
      <vt:variant>
        <vt:i4>0</vt:i4>
      </vt:variant>
      <vt:variant>
        <vt:i4>5</vt:i4>
      </vt:variant>
      <vt:variant>
        <vt:lpwstr/>
      </vt:variant>
      <vt:variant>
        <vt:lpwstr>_Toc188785244</vt:lpwstr>
      </vt:variant>
      <vt:variant>
        <vt:i4>1638451</vt:i4>
      </vt:variant>
      <vt:variant>
        <vt:i4>8</vt:i4>
      </vt:variant>
      <vt:variant>
        <vt:i4>0</vt:i4>
      </vt:variant>
      <vt:variant>
        <vt:i4>5</vt:i4>
      </vt:variant>
      <vt:variant>
        <vt:lpwstr/>
      </vt:variant>
      <vt:variant>
        <vt:lpwstr>_Toc188785243</vt:lpwstr>
      </vt:variant>
      <vt:variant>
        <vt:i4>1638451</vt:i4>
      </vt:variant>
      <vt:variant>
        <vt:i4>2</vt:i4>
      </vt:variant>
      <vt:variant>
        <vt:i4>0</vt:i4>
      </vt:variant>
      <vt:variant>
        <vt:i4>5</vt:i4>
      </vt:variant>
      <vt:variant>
        <vt:lpwstr/>
      </vt:variant>
      <vt:variant>
        <vt:lpwstr>_Toc188785242</vt:lpwstr>
      </vt:variant>
      <vt:variant>
        <vt:i4>786458</vt:i4>
      </vt:variant>
      <vt:variant>
        <vt:i4>6</vt:i4>
      </vt:variant>
      <vt:variant>
        <vt:i4>0</vt:i4>
      </vt:variant>
      <vt:variant>
        <vt:i4>5</vt:i4>
      </vt:variant>
      <vt:variant>
        <vt:lpwstr>http://www.lyomatonlinja.fi/</vt:lpwstr>
      </vt:variant>
      <vt:variant>
        <vt:lpwstr/>
      </vt:variant>
      <vt:variant>
        <vt:i4>5636124</vt:i4>
      </vt:variant>
      <vt:variant>
        <vt:i4>3</vt:i4>
      </vt:variant>
      <vt:variant>
        <vt:i4>0</vt:i4>
      </vt:variant>
      <vt:variant>
        <vt:i4>5</vt:i4>
      </vt:variant>
      <vt:variant>
        <vt:lpwstr>http://www.optula.om.fi/</vt:lpwstr>
      </vt:variant>
      <vt:variant>
        <vt:lpwstr/>
      </vt:variant>
      <vt:variant>
        <vt:i4>5636124</vt:i4>
      </vt:variant>
      <vt:variant>
        <vt:i4>0</vt:i4>
      </vt:variant>
      <vt:variant>
        <vt:i4>0</vt:i4>
      </vt:variant>
      <vt:variant>
        <vt:i4>5</vt:i4>
      </vt:variant>
      <vt:variant>
        <vt:lpwstr>http://www.optula.om.fi/</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联合国</dc:title>
  <dc:subject/>
  <dc:creator>CTPC</dc:creator>
  <cp:keywords/>
  <cp:lastModifiedBy>Aiyun.Zhou</cp:lastModifiedBy>
  <cp:revision>158</cp:revision>
  <cp:lastPrinted>2008-01-25T08:28:00Z</cp:lastPrinted>
  <dcterms:created xsi:type="dcterms:W3CDTF">2008-01-22T14:12:00Z</dcterms:created>
  <dcterms:modified xsi:type="dcterms:W3CDTF">2008-01-25T08:52:00Z</dcterms:modified>
</cp:coreProperties>
</file>