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12247AC6" w14:textId="77777777" w:rsidTr="00EE2AFF">
        <w:trPr>
          <w:trHeight w:hRule="exact" w:val="851"/>
        </w:trPr>
        <w:tc>
          <w:tcPr>
            <w:tcW w:w="1274" w:type="dxa"/>
            <w:tcBorders>
              <w:bottom w:val="single" w:sz="4" w:space="0" w:color="auto"/>
            </w:tcBorders>
          </w:tcPr>
          <w:p w14:paraId="2768BEA8" w14:textId="77777777" w:rsidR="006B3E27" w:rsidRPr="00BD31CD" w:rsidRDefault="006B3E27" w:rsidP="00EA20BE">
            <w:pPr>
              <w:pStyle w:val="H4GA"/>
              <w:kinsoku w:val="0"/>
              <w:overflowPunct w:val="0"/>
              <w:autoSpaceDE w:val="0"/>
              <w:autoSpaceDN w:val="0"/>
              <w:adjustRightInd w:val="0"/>
              <w:snapToGrid w:val="0"/>
              <w:rPr>
                <w:rFonts w:asciiTheme="minorHAnsi" w:hAnsiTheme="minorHAnsi" w:hint="cs"/>
                <w:rtl/>
                <w:lang w:val="en-US"/>
              </w:rPr>
            </w:pPr>
          </w:p>
        </w:tc>
        <w:tc>
          <w:tcPr>
            <w:tcW w:w="4963" w:type="dxa"/>
            <w:tcBorders>
              <w:bottom w:val="single" w:sz="4" w:space="0" w:color="auto"/>
            </w:tcBorders>
            <w:vAlign w:val="bottom"/>
          </w:tcPr>
          <w:p w14:paraId="78670633"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2365C432" w14:textId="387B3AD5" w:rsidR="006B3E27" w:rsidRPr="001C4411" w:rsidRDefault="001C4411" w:rsidP="001C4411">
            <w:pPr>
              <w:bidi w:val="0"/>
              <w:jc w:val="left"/>
            </w:pPr>
            <w:r w:rsidRPr="001C4411">
              <w:rPr>
                <w:sz w:val="40"/>
              </w:rPr>
              <w:t>E</w:t>
            </w:r>
            <w:r>
              <w:t>/C.</w:t>
            </w:r>
            <w:r w:rsidRPr="00BD31CD">
              <w:t>12</w:t>
            </w:r>
            <w:r>
              <w:t>/</w:t>
            </w:r>
            <w:r w:rsidRPr="00BD31CD">
              <w:t>2021</w:t>
            </w:r>
            <w:r>
              <w:t>/</w:t>
            </w:r>
            <w:r w:rsidRPr="00BD31CD">
              <w:t>1</w:t>
            </w:r>
          </w:p>
        </w:tc>
      </w:tr>
      <w:tr w:rsidR="006B3E27" w:rsidRPr="00ED7442" w14:paraId="489D83CB" w14:textId="77777777" w:rsidTr="00EE2AFF">
        <w:trPr>
          <w:trHeight w:hRule="exact" w:val="2835"/>
        </w:trPr>
        <w:tc>
          <w:tcPr>
            <w:tcW w:w="1274" w:type="dxa"/>
            <w:tcBorders>
              <w:top w:val="single" w:sz="4" w:space="0" w:color="auto"/>
              <w:bottom w:val="single" w:sz="12" w:space="0" w:color="auto"/>
            </w:tcBorders>
          </w:tcPr>
          <w:p w14:paraId="1C86B1C8" w14:textId="77777777" w:rsidR="006B3E27" w:rsidRPr="00ED7442" w:rsidRDefault="0059622A" w:rsidP="00EE2AFF">
            <w:pPr>
              <w:jc w:val="center"/>
              <w:rPr>
                <w:sz w:val="56"/>
                <w:szCs w:val="56"/>
                <w:rtl/>
              </w:rPr>
            </w:pPr>
            <w:r w:rsidRPr="00ED7442">
              <w:rPr>
                <w:noProof/>
                <w:sz w:val="56"/>
                <w:szCs w:val="56"/>
              </w:rPr>
              <w:drawing>
                <wp:inline distT="0" distB="0" distL="0" distR="0" wp14:anchorId="7392B499" wp14:editId="5E273C94">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765F13CE" w14:textId="77777777" w:rsidR="006B3E27" w:rsidRPr="00BD31CD" w:rsidRDefault="00606EDF" w:rsidP="009E0EDE">
            <w:pPr>
              <w:spacing w:before="120" w:after="40" w:line="640" w:lineRule="exact"/>
              <w:ind w:left="57"/>
              <w:jc w:val="left"/>
              <w:rPr>
                <w:rFonts w:ascii="Times New Roman Bold" w:hAnsi="Times New Roman Bold" w:hint="eastAsia"/>
                <w:b/>
                <w:bCs/>
                <w:spacing w:val="-4"/>
                <w:sz w:val="48"/>
                <w:szCs w:val="48"/>
              </w:rPr>
            </w:pPr>
            <w:r w:rsidRPr="00BD31CD">
              <w:rPr>
                <w:rFonts w:ascii="Times New Roman Bold" w:hAnsi="Times New Roman Bold" w:hint="cs"/>
                <w:b/>
                <w:bCs/>
                <w:spacing w:val="-4"/>
                <w:sz w:val="48"/>
                <w:szCs w:val="48"/>
                <w:rtl/>
              </w:rPr>
              <w:t>ا</w:t>
            </w:r>
            <w:r w:rsidR="008930DB" w:rsidRPr="00BD31CD">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183B0B30" w14:textId="77777777" w:rsidR="00FF2EA3" w:rsidRDefault="00FF2EA3" w:rsidP="00FF2EA3">
            <w:pPr>
              <w:bidi w:val="0"/>
              <w:spacing w:before="240"/>
            </w:pPr>
            <w:r>
              <w:t>Distr.: General</w:t>
            </w:r>
          </w:p>
          <w:p w14:paraId="2C28E4D0" w14:textId="77777777" w:rsidR="00FF2EA3" w:rsidRDefault="00FF2EA3" w:rsidP="00FF2EA3">
            <w:pPr>
              <w:bidi w:val="0"/>
            </w:pPr>
            <w:r w:rsidRPr="00BD31CD">
              <w:t>23</w:t>
            </w:r>
            <w:r>
              <w:t xml:space="preserve"> April </w:t>
            </w:r>
            <w:r w:rsidRPr="00BD31CD">
              <w:t>2021</w:t>
            </w:r>
          </w:p>
          <w:p w14:paraId="37DED821" w14:textId="3C64602A" w:rsidR="00FF2EA3" w:rsidRDefault="00FF2EA3" w:rsidP="00FF2EA3">
            <w:pPr>
              <w:bidi w:val="0"/>
            </w:pPr>
            <w:r>
              <w:t>Arabic</w:t>
            </w:r>
          </w:p>
          <w:p w14:paraId="3887B0FC" w14:textId="7B163849" w:rsidR="001C4411" w:rsidRPr="001C4411" w:rsidRDefault="00FF2EA3" w:rsidP="00FF2EA3">
            <w:pPr>
              <w:bidi w:val="0"/>
              <w:spacing w:line="240" w:lineRule="exact"/>
              <w:jc w:val="left"/>
            </w:pPr>
            <w:r>
              <w:t>Original: English</w:t>
            </w:r>
          </w:p>
        </w:tc>
      </w:tr>
    </w:tbl>
    <w:p w14:paraId="6EF2BB05" w14:textId="77777777" w:rsidR="00FF2EA3" w:rsidRPr="00BD31CD" w:rsidRDefault="00FF2EA3" w:rsidP="00FF2EA3">
      <w:pPr>
        <w:spacing w:before="120" w:line="360" w:lineRule="exact"/>
        <w:textDirection w:val="tbRlV"/>
        <w:rPr>
          <w:rFonts w:ascii="Simplified Arabic" w:hAnsi="Simplified Arabic"/>
          <w:b/>
          <w:bCs/>
          <w:sz w:val="26"/>
          <w:szCs w:val="26"/>
          <w:lang w:val="ar-SA" w:eastAsia="zh-TW" w:bidi="en-GB"/>
        </w:rPr>
      </w:pPr>
      <w:r w:rsidRPr="00BD31CD">
        <w:rPr>
          <w:rFonts w:ascii="Simplified Arabic" w:hAnsi="Simplified Arabic"/>
          <w:b/>
          <w:bCs/>
          <w:sz w:val="26"/>
          <w:szCs w:val="26"/>
          <w:rtl/>
        </w:rPr>
        <w:t>اللجنة المعنية بالحقوق الاقتصادية والاجتماعية والثقافية</w:t>
      </w:r>
    </w:p>
    <w:p w14:paraId="70FD9564" w14:textId="77777777" w:rsidR="00FF2EA3" w:rsidRPr="00BD31CD" w:rsidRDefault="00FF2EA3" w:rsidP="00FF2EA3">
      <w:pPr>
        <w:pStyle w:val="HChGA"/>
        <w:rPr>
          <w:lang w:val="ar-SA" w:eastAsia="zh-TW" w:bidi="en-GB"/>
        </w:rPr>
      </w:pPr>
      <w:r w:rsidRPr="00BD31CD">
        <w:rPr>
          <w:sz w:val="22"/>
          <w:szCs w:val="22"/>
          <w:rtl/>
        </w:rPr>
        <w:tab/>
      </w:r>
      <w:r w:rsidRPr="00BD31CD">
        <w:rPr>
          <w:sz w:val="22"/>
          <w:szCs w:val="22"/>
          <w:rtl/>
        </w:rPr>
        <w:tab/>
      </w:r>
      <w:r w:rsidRPr="00BD31CD">
        <w:rPr>
          <w:rtl/>
        </w:rPr>
        <w:t>بيان بشأن تلقيح الجميع بأسعار معقولة ضد مرض فيروس كورونا (كوفيد-19)، والتعاون الدولي، والملكية الفكرية</w:t>
      </w:r>
      <w:bookmarkStart w:id="0" w:name="_Hlk69207298"/>
      <w:bookmarkEnd w:id="0"/>
    </w:p>
    <w:p w14:paraId="4B5910CB" w14:textId="0669D6F4" w:rsidR="00FF2EA3" w:rsidRPr="00BD31CD" w:rsidRDefault="00FF2EA3" w:rsidP="00FF2EA3">
      <w:pPr>
        <w:pStyle w:val="H1GA"/>
        <w:rPr>
          <w:sz w:val="32"/>
          <w:szCs w:val="32"/>
          <w:lang w:val="en-US" w:eastAsia="zh-TW" w:bidi="en-GB"/>
        </w:rPr>
      </w:pPr>
      <w:r w:rsidRPr="00BD31CD">
        <w:rPr>
          <w:rtl/>
        </w:rPr>
        <w:tab/>
      </w:r>
      <w:r w:rsidRPr="00BD31CD">
        <w:rPr>
          <w:rtl/>
        </w:rPr>
        <w:tab/>
        <w:t>بيان للجنة المعنية بالحقوق الاقتصادية والاجتماعية والثقافية</w:t>
      </w:r>
      <w:r w:rsidRPr="00BD31CD">
        <w:rPr>
          <w:rStyle w:val="FootnoteReference"/>
          <w:sz w:val="28"/>
          <w:szCs w:val="28"/>
          <w:vertAlign w:val="baseline"/>
          <w:rtl/>
        </w:rPr>
        <w:footnoteReference w:customMarkFollows="1" w:id="1"/>
        <w:t>*</w:t>
      </w:r>
    </w:p>
    <w:p w14:paraId="32E61224" w14:textId="281E2144" w:rsidR="00FF2EA3" w:rsidRPr="007C26DF" w:rsidRDefault="00FF2EA3" w:rsidP="00FF2EA3">
      <w:pPr>
        <w:pStyle w:val="SingleTxtGA"/>
        <w:rPr>
          <w:lang w:val="ar-SA" w:eastAsia="zh-TW" w:bidi="en-GB"/>
        </w:rPr>
      </w:pPr>
      <w:r w:rsidRPr="00BD31CD">
        <w:rPr>
          <w:rtl/>
        </w:rPr>
        <w:t>1</w:t>
      </w:r>
      <w:r w:rsidRPr="007C26DF">
        <w:rPr>
          <w:rtl/>
        </w:rPr>
        <w:t>-</w:t>
      </w:r>
      <w:r w:rsidRPr="007C26DF">
        <w:rPr>
          <w:rtl/>
        </w:rPr>
        <w:tab/>
        <w:t>أتاح التعاون العلمي الدولي والبحث المكثف والدعم المالي الكبير من جانب الدول إمكانية تطوير عدة لقاحات مأمونة وفعالة ضد مرض فيروس كورونا (كوفيد-</w:t>
      </w:r>
      <w:r w:rsidRPr="00BD31CD">
        <w:rPr>
          <w:rtl/>
        </w:rPr>
        <w:t>19</w:t>
      </w:r>
      <w:r w:rsidRPr="007C26DF">
        <w:rPr>
          <w:rtl/>
        </w:rPr>
        <w:t>) في وقت قياسي، من دون المساس بالسلامة الصحية، إذ اتُّبعت البروتوكولات والمبادئ التوجيهية الدولية المعمول بها في هذا الصدد ووافقت السلطات الصحية المعنية على اللقاحات. غير أن هذا الإنجاز العلمي الهائل لا يزال غير مستغَل بكامل إمكاناته للسيطرة على الجائحة والحد من المعاناة الناجمة عنها، وذلك بسبب مشاكل توافر اللقاحات، إذ لم يُنتج منها ما يكفي حتى الآن، وعدم ال</w:t>
      </w:r>
      <w:r>
        <w:rPr>
          <w:rtl/>
        </w:rPr>
        <w:t>تكافؤ</w:t>
      </w:r>
      <w:r w:rsidRPr="007C26DF">
        <w:rPr>
          <w:rtl/>
        </w:rPr>
        <w:t xml:space="preserve"> على الصعيد العالمي في توزيع اللقاحات التي أُنتجت بالفعل وتسليم تلك التي طُلبت. فمعظم اللقاحات أُعطي في البلدان المتقدمة النمو والمرتفعة الدخل أو حُجز لها، في حين لم تبدأ بعد عملية التلقيح في كثير من البلدان النامية وأقل البلدان نمواً. ولا تشكل هذه الحالة فحسب تمييزاً في التمتع بالحق في الاستفادة من التلقيح على الصعيد العالمي، بل تقوض كذلك التقدم المحرز في تحقيق أهداف التنمية المستدامة، ولا سيما الهدف </w:t>
      </w:r>
      <w:r w:rsidRPr="00BD31CD">
        <w:rPr>
          <w:rtl/>
        </w:rPr>
        <w:t>3</w:t>
      </w:r>
      <w:r w:rsidRPr="007C26DF">
        <w:rPr>
          <w:rtl/>
        </w:rPr>
        <w:t xml:space="preserve"> المتعلق بضمان تمتّع الجميع بأنماط عيش صحية وبالرفاهية في جميع الأعمار، والهدف </w:t>
      </w:r>
      <w:r w:rsidRPr="00BD31CD">
        <w:rPr>
          <w:rtl/>
        </w:rPr>
        <w:t>10</w:t>
      </w:r>
      <w:r w:rsidRPr="007C26DF">
        <w:rPr>
          <w:rtl/>
        </w:rPr>
        <w:t xml:space="preserve"> المتعلق بالحد من انعدام المساواة داخل البلدان وفيما بينها، والهدف </w:t>
      </w:r>
      <w:r w:rsidRPr="00BD31CD">
        <w:rPr>
          <w:rtl/>
        </w:rPr>
        <w:t>17</w:t>
      </w:r>
      <w:r w:rsidRPr="007C26DF">
        <w:rPr>
          <w:rtl/>
        </w:rPr>
        <w:t xml:space="preserve"> المتعلق بتعزيز وسائل التنفيذ وتنشيط الشراكة العالمية من أجل تحقيق التنمية المستدامة</w:t>
      </w:r>
      <w:r>
        <w:rPr>
          <w:rStyle w:val="FootnoteReference"/>
          <w:rFonts w:ascii="Simplified Arabic" w:hAnsi="Simplified Arabic"/>
          <w:rtl/>
        </w:rPr>
        <w:t>(</w:t>
      </w:r>
      <w:r w:rsidRPr="00BD31CD">
        <w:rPr>
          <w:rStyle w:val="FootnoteReference"/>
          <w:rFonts w:ascii="Simplified Arabic" w:hAnsi="Simplified Arabic"/>
          <w:lang w:val="en-US"/>
        </w:rPr>
        <w:footnoteReference w:id="2"/>
      </w:r>
      <w:r>
        <w:rPr>
          <w:rStyle w:val="FootnoteReference"/>
          <w:rFonts w:ascii="Simplified Arabic" w:hAnsi="Simplified Arabic"/>
          <w:rtl/>
        </w:rPr>
        <w:t>)</w:t>
      </w:r>
      <w:r w:rsidRPr="007C26DF">
        <w:rPr>
          <w:rtl/>
        </w:rPr>
        <w:t>. وتشكل أيضاً تهديداً خطيراً للصحة العالمية. فإن لم يجر تلقيح الملايي</w:t>
      </w:r>
      <w:r w:rsidR="00904329">
        <w:rPr>
          <w:rFonts w:hint="cs"/>
          <w:rtl/>
        </w:rPr>
        <w:t>ن</w:t>
      </w:r>
      <w:r w:rsidRPr="007C26DF">
        <w:rPr>
          <w:rtl/>
        </w:rPr>
        <w:t xml:space="preserve"> من الأشخاص بسرعة، ستستمر العدوى بفيروس كورونا المسبب لمتلازمة الالتهاب الرئوي الحاد الوخيم (سارس-كوف-</w:t>
      </w:r>
      <w:r w:rsidRPr="00BD31CD">
        <w:rPr>
          <w:rtl/>
        </w:rPr>
        <w:t>2</w:t>
      </w:r>
      <w:r w:rsidRPr="007C26DF">
        <w:rPr>
          <w:rtl/>
        </w:rPr>
        <w:t>)، وسيموت المزيد من الأشخاص. وتفيد التقارير الواردة بأن التوزيع البطيء وغير المنصف للقاحات يزيد أيضاً احتمال حدوث مزيد من طفرات الفيروس الجديدة، وهو ما يزيد خطر ظهور أنواع متحورة جديدة أسرع انتشاراً وأكثر فتكاً، قد تكون اللقاحات الحالية أقل فعالية ضدها</w:t>
      </w:r>
      <w:r>
        <w:rPr>
          <w:rStyle w:val="FootnoteReference"/>
          <w:rFonts w:ascii="Simplified Arabic" w:hAnsi="Simplified Arabic"/>
          <w:rtl/>
        </w:rPr>
        <w:t>(</w:t>
      </w:r>
      <w:r w:rsidRPr="00BD31CD">
        <w:rPr>
          <w:rStyle w:val="FootnoteReference"/>
          <w:rFonts w:ascii="Simplified Arabic" w:hAnsi="Simplified Arabic"/>
          <w:lang w:val="en-US"/>
        </w:rPr>
        <w:footnoteReference w:id="3"/>
      </w:r>
      <w:r>
        <w:rPr>
          <w:rStyle w:val="FootnoteReference"/>
          <w:rFonts w:ascii="Simplified Arabic" w:hAnsi="Simplified Arabic"/>
          <w:rtl/>
        </w:rPr>
        <w:t>)</w:t>
      </w:r>
      <w:r w:rsidRPr="007C26DF">
        <w:rPr>
          <w:rtl/>
        </w:rPr>
        <w:t>.</w:t>
      </w:r>
    </w:p>
    <w:p w14:paraId="3F52B31D" w14:textId="100EADDC" w:rsidR="00FF2EA3" w:rsidRPr="007C26DF" w:rsidRDefault="00FF2EA3" w:rsidP="00FF2EA3">
      <w:pPr>
        <w:pStyle w:val="SingleTxtGA"/>
        <w:rPr>
          <w:lang w:val="ar-SA" w:eastAsia="zh-TW" w:bidi="en-GB"/>
        </w:rPr>
      </w:pPr>
      <w:r w:rsidRPr="00BD31CD">
        <w:rPr>
          <w:rtl/>
        </w:rPr>
        <w:lastRenderedPageBreak/>
        <w:t>2</w:t>
      </w:r>
      <w:r w:rsidRPr="007C26DF">
        <w:rPr>
          <w:rtl/>
        </w:rPr>
        <w:t>-</w:t>
      </w:r>
      <w:r w:rsidRPr="007C26DF">
        <w:rPr>
          <w:rtl/>
        </w:rPr>
        <w:tab/>
        <w:t>وقد دفع التباين بين ما تتيحه اللقاحات من إمكانات هائلة لتحسين الصحة العالمية وما لها حتى الآن من أثر إيجابي محدود وغير متكافئ اللجنة إلى اعتماد هذا البيان. وتستند إلى بياناتها السابقة بشأن كوفيد-</w:t>
      </w:r>
      <w:r w:rsidRPr="00BD31CD">
        <w:rPr>
          <w:rtl/>
        </w:rPr>
        <w:t>19</w:t>
      </w:r>
      <w:r>
        <w:rPr>
          <w:rStyle w:val="FootnoteReference"/>
          <w:rFonts w:ascii="Simplified Arabic" w:hAnsi="Simplified Arabic"/>
          <w:rtl/>
        </w:rPr>
        <w:t>(</w:t>
      </w:r>
      <w:r w:rsidRPr="00BD31CD">
        <w:rPr>
          <w:rStyle w:val="FootnoteReference"/>
          <w:rFonts w:ascii="Simplified Arabic" w:hAnsi="Simplified Arabic"/>
          <w:lang w:val="en-US"/>
        </w:rPr>
        <w:footnoteReference w:id="4"/>
      </w:r>
      <w:r>
        <w:rPr>
          <w:rStyle w:val="FootnoteReference"/>
          <w:rFonts w:ascii="Simplified Arabic" w:hAnsi="Simplified Arabic"/>
          <w:rtl/>
        </w:rPr>
        <w:t>)</w:t>
      </w:r>
      <w:r w:rsidRPr="007C26DF">
        <w:rPr>
          <w:rtl/>
        </w:rPr>
        <w:t>، لتذكير الدول بالتزاماتها بموجب العهد فيما يتعلق باستفادة الجميع بأسعار معقولة من اللقاحات المضادة لكوفيد-</w:t>
      </w:r>
      <w:r w:rsidRPr="00BD31CD">
        <w:rPr>
          <w:rtl/>
        </w:rPr>
        <w:t>19</w:t>
      </w:r>
      <w:r w:rsidRPr="007C26DF">
        <w:rPr>
          <w:rtl/>
        </w:rPr>
        <w:t>، وبخاصة فيما يتعلق بالتعاون الدولي والملكية الفكرية.</w:t>
      </w:r>
    </w:p>
    <w:p w14:paraId="62AE36AD" w14:textId="28153F8D" w:rsidR="00FF2EA3" w:rsidRPr="007C26DF" w:rsidRDefault="00FF2EA3" w:rsidP="00FF2EA3">
      <w:pPr>
        <w:pStyle w:val="SingleTxtGA"/>
        <w:rPr>
          <w:lang w:val="ar-SA" w:eastAsia="zh-TW" w:bidi="en-GB"/>
        </w:rPr>
      </w:pPr>
      <w:r w:rsidRPr="00BD31CD">
        <w:rPr>
          <w:rtl/>
        </w:rPr>
        <w:t>3</w:t>
      </w:r>
      <w:r w:rsidRPr="007C26DF">
        <w:rPr>
          <w:rtl/>
        </w:rPr>
        <w:t>-</w:t>
      </w:r>
      <w:r w:rsidRPr="007C26DF">
        <w:rPr>
          <w:rtl/>
        </w:rPr>
        <w:tab/>
        <w:t>ويشكل الحصول على لقاح مضاد لكوفيد-</w:t>
      </w:r>
      <w:r w:rsidRPr="00BD31CD">
        <w:rPr>
          <w:rtl/>
        </w:rPr>
        <w:t>19</w:t>
      </w:r>
      <w:r w:rsidRPr="007C26DF">
        <w:rPr>
          <w:rtl/>
        </w:rPr>
        <w:t xml:space="preserve"> يكون آمناً وفعالاً وقائماً على أفضل التطورات العلمية عنصراً أساسياً من عناصر حق كل إنسان في التمتع بأعلى مستوى ممكن من الصحة البدنية والعقلية</w:t>
      </w:r>
      <w:r>
        <w:rPr>
          <w:rStyle w:val="FootnoteReference"/>
          <w:rFonts w:ascii="Simplified Arabic" w:hAnsi="Simplified Arabic"/>
          <w:rtl/>
        </w:rPr>
        <w:t>(</w:t>
      </w:r>
      <w:r w:rsidRPr="00BD31CD">
        <w:rPr>
          <w:rStyle w:val="FootnoteReference"/>
          <w:rFonts w:ascii="Simplified Arabic" w:hAnsi="Simplified Arabic"/>
          <w:lang w:val="en-US"/>
        </w:rPr>
        <w:footnoteReference w:id="5"/>
      </w:r>
      <w:r>
        <w:rPr>
          <w:rStyle w:val="FootnoteReference"/>
          <w:rFonts w:ascii="Simplified Arabic" w:hAnsi="Simplified Arabic"/>
          <w:rtl/>
        </w:rPr>
        <w:t>)</w:t>
      </w:r>
      <w:r w:rsidRPr="007C26DF">
        <w:rPr>
          <w:rtl/>
        </w:rPr>
        <w:t xml:space="preserve"> وحق كل شخص في التمتع بفوائد التقدم العلمي وتطبيقاته</w:t>
      </w:r>
      <w:r>
        <w:rPr>
          <w:rStyle w:val="FootnoteReference"/>
          <w:rFonts w:ascii="Simplified Arabic" w:hAnsi="Simplified Arabic"/>
          <w:rtl/>
        </w:rPr>
        <w:t>(</w:t>
      </w:r>
      <w:r w:rsidRPr="00BD31CD">
        <w:rPr>
          <w:rStyle w:val="FootnoteReference"/>
          <w:rFonts w:ascii="Simplified Arabic" w:hAnsi="Simplified Arabic"/>
          <w:lang w:val="en-US"/>
        </w:rPr>
        <w:footnoteReference w:id="6"/>
      </w:r>
      <w:r>
        <w:rPr>
          <w:rStyle w:val="FootnoteReference"/>
          <w:rFonts w:ascii="Simplified Arabic" w:hAnsi="Simplified Arabic"/>
          <w:rtl/>
        </w:rPr>
        <w:t>)</w:t>
      </w:r>
      <w:r w:rsidRPr="007C26DF">
        <w:rPr>
          <w:rtl/>
        </w:rPr>
        <w:t>. ولذلك، يقع على الدول التزام بأن تتخذ، على سبيل الأولوية و</w:t>
      </w:r>
      <w:r>
        <w:rPr>
          <w:rtl/>
        </w:rPr>
        <w:t xml:space="preserve">في نطاق </w:t>
      </w:r>
      <w:r w:rsidRPr="007C26DF">
        <w:rPr>
          <w:rtl/>
        </w:rPr>
        <w:t>أقصى ما تسمح به مواردها المتاحة، جميع التدابير اللازمة لكفالة حصول جميع الأشخاص دون تمييز على اللقاحات المضادة لكوفيد-</w:t>
      </w:r>
      <w:r w:rsidRPr="00BD31CD">
        <w:rPr>
          <w:rtl/>
        </w:rPr>
        <w:t>19</w:t>
      </w:r>
      <w:r>
        <w:rPr>
          <w:rStyle w:val="FootnoteReference"/>
          <w:rFonts w:ascii="Simplified Arabic" w:hAnsi="Simplified Arabic"/>
          <w:rtl/>
        </w:rPr>
        <w:t>(</w:t>
      </w:r>
      <w:r w:rsidRPr="00BD31CD">
        <w:rPr>
          <w:rStyle w:val="FootnoteReference"/>
          <w:rFonts w:ascii="Simplified Arabic" w:hAnsi="Simplified Arabic"/>
          <w:lang w:val="en-US"/>
        </w:rPr>
        <w:footnoteReference w:id="7"/>
      </w:r>
      <w:r>
        <w:rPr>
          <w:rStyle w:val="FootnoteReference"/>
          <w:rFonts w:ascii="Simplified Arabic" w:hAnsi="Simplified Arabic"/>
          <w:rtl/>
        </w:rPr>
        <w:t>)</w:t>
      </w:r>
      <w:r w:rsidRPr="007C26DF">
        <w:rPr>
          <w:rtl/>
        </w:rPr>
        <w:t>. ويكتسي هذا الالتزام، الذي ينبغي تنفيذه على الصعيد الوطني، أيضاً بعداً دولياً، لأن دولاً عديدة في جميع أنحاء العالم لا تنتج اللقاحات بنفسها. ويقع بالتالي على عاتق الدول واجب التعاون والمساعدة الدوليين لضمان الحصول على اللقاحات المضادة لكوفيد-</w:t>
      </w:r>
      <w:r w:rsidRPr="00BD31CD">
        <w:rPr>
          <w:rtl/>
        </w:rPr>
        <w:t>19</w:t>
      </w:r>
      <w:r w:rsidRPr="007C26DF">
        <w:rPr>
          <w:rtl/>
        </w:rPr>
        <w:t xml:space="preserve"> حيثما توجد الحاجة إليها، وذلك بطرق منها استخدام حقوقها في التصويت كأعضاء في مختلف المؤسسات والمنظمات الدولية ومنظمات التكامل الإقليمي</w:t>
      </w:r>
      <w:r>
        <w:rPr>
          <w:rtl/>
        </w:rPr>
        <w:t>،</w:t>
      </w:r>
      <w:r w:rsidRPr="007C26DF">
        <w:rPr>
          <w:rtl/>
        </w:rPr>
        <w:t xml:space="preserve"> مثل الاتحاد الأوروبي</w:t>
      </w:r>
      <w:r>
        <w:rPr>
          <w:rStyle w:val="FootnoteReference"/>
          <w:rFonts w:ascii="Simplified Arabic" w:hAnsi="Simplified Arabic"/>
          <w:rtl/>
        </w:rPr>
        <w:t>(</w:t>
      </w:r>
      <w:r w:rsidRPr="00BD31CD">
        <w:rPr>
          <w:rStyle w:val="FootnoteReference"/>
          <w:rFonts w:ascii="Simplified Arabic" w:hAnsi="Simplified Arabic"/>
          <w:lang w:val="en-US"/>
        </w:rPr>
        <w:footnoteReference w:id="8"/>
      </w:r>
      <w:r>
        <w:rPr>
          <w:rStyle w:val="FootnoteReference"/>
          <w:rFonts w:ascii="Simplified Arabic" w:hAnsi="Simplified Arabic"/>
          <w:rtl/>
        </w:rPr>
        <w:t>)</w:t>
      </w:r>
      <w:r w:rsidRPr="007C26DF">
        <w:rPr>
          <w:rtl/>
        </w:rPr>
        <w:t>. وينبغي أن تساهم جميع تلك المنظمات الدولية أيضاً في تحقيق إمكانية حصول الجميع بشكل منصف على اللقاحات وأن تمتنع عن اتخاذ تدابير تعوق تحقيق هذا الهدف. وبالتالي، يجب على الدول أن تعزز تعاونها الدولي لضمان توفير اللقاحات المضادة لكوفيد-</w:t>
      </w:r>
      <w:r w:rsidRPr="00BD31CD">
        <w:rPr>
          <w:rtl/>
        </w:rPr>
        <w:t>19</w:t>
      </w:r>
      <w:r w:rsidRPr="007C26DF">
        <w:rPr>
          <w:rtl/>
        </w:rPr>
        <w:t xml:space="preserve"> في أقرب وقت ممكن بأسعار معقولة على الصعيد العالمي، بما في ذلك للبلدان النامية وأقل البلدان نمواً.</w:t>
      </w:r>
    </w:p>
    <w:p w14:paraId="50746E34" w14:textId="1432827D" w:rsidR="00FF2EA3" w:rsidRPr="00187EFC" w:rsidRDefault="00FF2EA3" w:rsidP="00FF2EA3">
      <w:pPr>
        <w:pStyle w:val="SingleTxtGA"/>
        <w:rPr>
          <w:lang w:val="en-US" w:eastAsia="zh-TW" w:bidi="en-GB"/>
        </w:rPr>
      </w:pPr>
      <w:r w:rsidRPr="00BD31CD">
        <w:rPr>
          <w:rtl/>
        </w:rPr>
        <w:t>4</w:t>
      </w:r>
      <w:r w:rsidRPr="007C26DF">
        <w:rPr>
          <w:rtl/>
        </w:rPr>
        <w:t>-</w:t>
      </w:r>
      <w:r w:rsidRPr="0032249E">
        <w:rPr>
          <w:spacing w:val="-4"/>
          <w:rtl/>
        </w:rPr>
        <w:tab/>
        <w:t>وتأسف اللجنة للسباق غير الصحي الحالي بين الدول من أجل الحصول على لقاحات كوفيد-</w:t>
      </w:r>
      <w:r w:rsidRPr="00BD31CD">
        <w:rPr>
          <w:spacing w:val="-4"/>
          <w:rtl/>
        </w:rPr>
        <w:t>19</w:t>
      </w:r>
      <w:r w:rsidRPr="0032249E">
        <w:rPr>
          <w:spacing w:val="-4"/>
          <w:rtl/>
        </w:rPr>
        <w:t>،</w:t>
      </w:r>
      <w:r w:rsidRPr="007C26DF">
        <w:rPr>
          <w:rtl/>
        </w:rPr>
        <w:t xml:space="preserve"> الذي نتج عنه نوع من الاحتكار المؤقت من جانب بعض الدول المتقدمة النمو للقاحات الأولى المنتجة، ولا سيما في عام </w:t>
      </w:r>
      <w:r w:rsidRPr="00BD31CD">
        <w:rPr>
          <w:rtl/>
        </w:rPr>
        <w:t>2021</w:t>
      </w:r>
      <w:r w:rsidRPr="007C26DF">
        <w:rPr>
          <w:rtl/>
        </w:rPr>
        <w:t xml:space="preserve">، وهو عام حاسم فيما يتعلق بجهود التلقيح، حيث استحوذت هذه الدول كلياً بالفعل من خلال برامجها للمشتريات العامة على القدرة الإنتاجية المتاحة حالياً. وبالنظر إلى الطابع العالمي للجائحة، فإن الدول ملزمة بأن تدعم، </w:t>
      </w:r>
      <w:r>
        <w:rPr>
          <w:rtl/>
        </w:rPr>
        <w:t xml:space="preserve">في نطاق </w:t>
      </w:r>
      <w:r w:rsidRPr="007C26DF">
        <w:rPr>
          <w:rtl/>
        </w:rPr>
        <w:t>أقصى ما تسمح به مواردها المتاحة، الجهود المبذولة لتوفير اللقاحات على الصعيد العالمي. وتشكل النزعة القومية فيما يتعلق باللقاحات إخلالاً بما</w:t>
      </w:r>
      <w:r w:rsidR="0032249E">
        <w:rPr>
          <w:rFonts w:hint="cs"/>
          <w:rtl/>
        </w:rPr>
        <w:t> </w:t>
      </w:r>
      <w:r w:rsidRPr="007C26DF">
        <w:rPr>
          <w:rtl/>
        </w:rPr>
        <w:t>يقع على الدول من التزامات تتجاوز نطاق حدودها الإقليمية بأن تمتنع عن اتخاذ قرارات تحد من قدرة الدول الأخرى على إتاحة اللقاحات لسكانها، وبالتالي على تنفيذ التزاماتها المتعلقة بالحق في الصحة، لأن هذه النزعة تحرم من اللقاحات من هم في أمس الحاجة إليها في أقل البلدان نمواً.</w:t>
      </w:r>
    </w:p>
    <w:p w14:paraId="1DB49530" w14:textId="2D2870B2" w:rsidR="00FF2EA3" w:rsidRPr="007C26DF" w:rsidRDefault="00FF2EA3" w:rsidP="00FF2EA3">
      <w:pPr>
        <w:pStyle w:val="SingleTxtGA"/>
        <w:rPr>
          <w:lang w:val="ar-SA" w:eastAsia="zh-TW" w:bidi="en-GB"/>
        </w:rPr>
      </w:pPr>
      <w:r w:rsidRPr="00BD31CD">
        <w:rPr>
          <w:rtl/>
        </w:rPr>
        <w:t>5</w:t>
      </w:r>
      <w:r w:rsidRPr="007C26DF">
        <w:rPr>
          <w:rtl/>
        </w:rPr>
        <w:t>-</w:t>
      </w:r>
      <w:r w:rsidRPr="007C26DF">
        <w:rPr>
          <w:rtl/>
        </w:rPr>
        <w:tab/>
        <w:t xml:space="preserve">وتؤكد اللجنة أنه يجب على الدول، عوض هذه الانعزالية الصحية، أن تفي بالتزاماتها بالمساهمة في التمتع </w:t>
      </w:r>
      <w:r w:rsidRPr="004C1A2E">
        <w:rPr>
          <w:rtl/>
        </w:rPr>
        <w:t>على الصعيد العالمي</w:t>
      </w:r>
      <w:r>
        <w:rPr>
          <w:rtl/>
        </w:rPr>
        <w:t xml:space="preserve"> </w:t>
      </w:r>
      <w:r w:rsidRPr="007C26DF">
        <w:rPr>
          <w:rtl/>
        </w:rPr>
        <w:t>بجميع حقوق الإنسان، بما في ذلك الحق في الصحة</w:t>
      </w:r>
      <w:r>
        <w:rPr>
          <w:rStyle w:val="FootnoteReference"/>
          <w:rFonts w:ascii="Simplified Arabic" w:hAnsi="Simplified Arabic"/>
          <w:rtl/>
        </w:rPr>
        <w:t>(</w:t>
      </w:r>
      <w:r w:rsidRPr="00BD31CD">
        <w:rPr>
          <w:rStyle w:val="FootnoteReference"/>
          <w:rFonts w:ascii="Simplified Arabic" w:hAnsi="Simplified Arabic"/>
          <w:lang w:val="en-US"/>
        </w:rPr>
        <w:footnoteReference w:id="9"/>
      </w:r>
      <w:r>
        <w:rPr>
          <w:rStyle w:val="FootnoteReference"/>
          <w:rFonts w:ascii="Simplified Arabic" w:hAnsi="Simplified Arabic"/>
          <w:rtl/>
        </w:rPr>
        <w:t>)</w:t>
      </w:r>
      <w:r w:rsidRPr="007C26DF">
        <w:rPr>
          <w:rtl/>
        </w:rPr>
        <w:t>. وينبغي تنظيم ودعم إنتاج وتوزيع اللقاحات من خلال التعاون والمساعدة الدولييْن، ويشمل ذلك تقاسم فوائد التقدم العلمي وتطبيقاته</w:t>
      </w:r>
      <w:r>
        <w:rPr>
          <w:rStyle w:val="FootnoteReference"/>
          <w:rFonts w:ascii="Simplified Arabic" w:hAnsi="Simplified Arabic"/>
          <w:rtl/>
        </w:rPr>
        <w:t>(</w:t>
      </w:r>
      <w:r w:rsidRPr="00BD31CD">
        <w:rPr>
          <w:rStyle w:val="FootnoteReference"/>
          <w:rFonts w:ascii="Simplified Arabic" w:hAnsi="Simplified Arabic"/>
          <w:lang w:val="en-US"/>
        </w:rPr>
        <w:footnoteReference w:id="10"/>
      </w:r>
      <w:r>
        <w:rPr>
          <w:rStyle w:val="FootnoteReference"/>
          <w:rFonts w:ascii="Simplified Arabic" w:hAnsi="Simplified Arabic"/>
          <w:rtl/>
        </w:rPr>
        <w:t>)</w:t>
      </w:r>
      <w:r w:rsidRPr="007C26DF">
        <w:rPr>
          <w:rtl/>
        </w:rPr>
        <w:t>. ويجب على الدول الأطراف أن تضع استراتيجيات وآليات لضمان إنتاج ما يكفي من اللقاحات المضادة لكوفيد-</w:t>
      </w:r>
      <w:r w:rsidRPr="00BD31CD">
        <w:rPr>
          <w:rtl/>
        </w:rPr>
        <w:t>19</w:t>
      </w:r>
      <w:r w:rsidRPr="007C26DF">
        <w:rPr>
          <w:rtl/>
        </w:rPr>
        <w:t xml:space="preserve"> وتوزيعها بشكل منصف على الصعيد العالمي. وينبغي أن يستند تحديد الأولويات في توزيع اللقاحات على الصعيدين العالمي والوطني إلى الاحتياجات الطبية والاعتبارات الصحية العامة. وفي هذا السياق، ترحب اللجنة بالبيانات والمقترحات التي قدمتها مختلف الدول بهدف ضمان حصول الجميع بشكل منصف على لقاحات كوفيد-</w:t>
      </w:r>
      <w:r w:rsidRPr="00BD31CD">
        <w:rPr>
          <w:rtl/>
        </w:rPr>
        <w:t>19</w:t>
      </w:r>
      <w:r>
        <w:rPr>
          <w:rStyle w:val="FootnoteReference"/>
          <w:rFonts w:ascii="Simplified Arabic" w:hAnsi="Simplified Arabic"/>
          <w:rtl/>
        </w:rPr>
        <w:t>(</w:t>
      </w:r>
      <w:r w:rsidRPr="00BD31CD">
        <w:rPr>
          <w:rStyle w:val="FootnoteReference"/>
          <w:rFonts w:ascii="Simplified Arabic" w:hAnsi="Simplified Arabic"/>
          <w:lang w:val="en-US"/>
        </w:rPr>
        <w:footnoteReference w:id="11"/>
      </w:r>
      <w:r>
        <w:rPr>
          <w:rStyle w:val="FootnoteReference"/>
          <w:rFonts w:ascii="Simplified Arabic" w:hAnsi="Simplified Arabic"/>
          <w:rtl/>
        </w:rPr>
        <w:t>)</w:t>
      </w:r>
      <w:r w:rsidRPr="007C26DF">
        <w:rPr>
          <w:rtl/>
        </w:rPr>
        <w:t>.</w:t>
      </w:r>
    </w:p>
    <w:p w14:paraId="33CC132D" w14:textId="77777777" w:rsidR="00FF2EA3" w:rsidRPr="007C26DF" w:rsidRDefault="00FF2EA3" w:rsidP="00FF2EA3">
      <w:pPr>
        <w:pStyle w:val="SingleTxtGA"/>
        <w:rPr>
          <w:lang w:val="ar-SA" w:eastAsia="zh-TW" w:bidi="en-GB"/>
        </w:rPr>
      </w:pPr>
      <w:r w:rsidRPr="00BD31CD">
        <w:rPr>
          <w:rtl/>
        </w:rPr>
        <w:t>6</w:t>
      </w:r>
      <w:r w:rsidRPr="007C26DF">
        <w:rPr>
          <w:rtl/>
        </w:rPr>
        <w:t>-</w:t>
      </w:r>
      <w:r w:rsidRPr="007C26DF">
        <w:rPr>
          <w:rtl/>
        </w:rPr>
        <w:tab/>
        <w:t>وبصفة خاصة، تحث اللجنة جميع الدول، ولا سيما أكثرها تقدماً و</w:t>
      </w:r>
      <w:r>
        <w:rPr>
          <w:rtl/>
        </w:rPr>
        <w:t>تلك</w:t>
      </w:r>
      <w:r w:rsidRPr="007C26DF">
        <w:rPr>
          <w:rtl/>
        </w:rPr>
        <w:t xml:space="preserve"> التي تُنت</w:t>
      </w:r>
      <w:r>
        <w:rPr>
          <w:rtl/>
        </w:rPr>
        <w:t>َ</w:t>
      </w:r>
      <w:r w:rsidRPr="007C26DF">
        <w:rPr>
          <w:rtl/>
        </w:rPr>
        <w:t xml:space="preserve">ج فيها اللقاحات، على توفير كل الدعم المالي والتقني اللازم لتعزيز مرفق </w:t>
      </w:r>
      <w:proofErr w:type="spellStart"/>
      <w:r w:rsidRPr="007C26DF">
        <w:rPr>
          <w:rtl/>
        </w:rPr>
        <w:t>كوفاكس</w:t>
      </w:r>
      <w:proofErr w:type="spellEnd"/>
      <w:r w:rsidRPr="007C26DF">
        <w:rPr>
          <w:rtl/>
        </w:rPr>
        <w:t xml:space="preserve"> لإتاحة لقاحات كوفيد-</w:t>
      </w:r>
      <w:r w:rsidRPr="00BD31CD">
        <w:rPr>
          <w:rtl/>
        </w:rPr>
        <w:t>19</w:t>
      </w:r>
      <w:r w:rsidRPr="007C26DF">
        <w:rPr>
          <w:rtl/>
        </w:rPr>
        <w:t xml:space="preserve"> على الصعيد العالمي من أجل توزيع اللقاحات بشكل أكثر إنصافاً. غير أن هذه الآلية لا تحل مشكلة عدم كفاية إنتاج اللقاحات. ولذلك، ينبغي اتخاذ تدابير أخرى عاجلة وضرورية، و</w:t>
      </w:r>
      <w:r>
        <w:rPr>
          <w:rtl/>
        </w:rPr>
        <w:t>بخاصة</w:t>
      </w:r>
      <w:r w:rsidRPr="007C26DF">
        <w:rPr>
          <w:rtl/>
        </w:rPr>
        <w:t xml:space="preserve"> فيما يتعلق بالملكية الفكرية، من أجل تحقيق إمكانية حصول الجميع على اللقاحات بأسرع ما يمكن من الناحية التقنية.</w:t>
      </w:r>
    </w:p>
    <w:p w14:paraId="37087CCA" w14:textId="7287AC3D" w:rsidR="00FF2EA3" w:rsidRPr="007C26DF" w:rsidRDefault="00FF2EA3" w:rsidP="00FF2EA3">
      <w:pPr>
        <w:pStyle w:val="SingleTxtGA"/>
        <w:rPr>
          <w:lang w:val="ar-SA" w:eastAsia="zh-TW" w:bidi="en-GB"/>
        </w:rPr>
      </w:pPr>
      <w:r w:rsidRPr="00BD31CD">
        <w:rPr>
          <w:rtl/>
        </w:rPr>
        <w:t>7</w:t>
      </w:r>
      <w:r w:rsidRPr="007C26DF">
        <w:rPr>
          <w:rtl/>
        </w:rPr>
        <w:t>-</w:t>
      </w:r>
      <w:r w:rsidRPr="007C26DF">
        <w:rPr>
          <w:rtl/>
        </w:rPr>
        <w:tab/>
        <w:t xml:space="preserve">ويخضع معظم اللقاحات المعتمدة لنظام حقوق الملكية الفكرية. ومن الإنصاف أن تحصل الكيانات التجارية الخاصة أو مؤسسات البحوث العامة التي ابتكرت اللقاحات، وإن كان ذلك بدعم مالي ضخم من صناديق </w:t>
      </w:r>
      <w:r>
        <w:rPr>
          <w:rtl/>
        </w:rPr>
        <w:t xml:space="preserve">التمويل </w:t>
      </w:r>
      <w:r w:rsidRPr="007C26DF">
        <w:rPr>
          <w:rtl/>
        </w:rPr>
        <w:t>العامة، على تعويض معقول عن استثماراتها وبحوثها. غير أن اللجنة تذكر بأن حقوق الملكية الفكرية لا تندرج ضمن حقوق الإنسان، وإنما هي نتاج اجتماعي له وظيفة اجتماعية. وبالتالي، يقع على عاتق الدول الأطراف واجب منع النظم القانونية للملكية الفكرية وبراءات الاختراع من تقويض التمتع بالحقوق الاقتصادية والاجتماعية والثقافية</w:t>
      </w:r>
      <w:r>
        <w:rPr>
          <w:rStyle w:val="FootnoteReference"/>
          <w:rFonts w:ascii="Simplified Arabic" w:hAnsi="Simplified Arabic"/>
          <w:rtl/>
        </w:rPr>
        <w:t>(</w:t>
      </w:r>
      <w:r w:rsidRPr="00BD31CD">
        <w:rPr>
          <w:rStyle w:val="FootnoteReference"/>
          <w:rFonts w:ascii="Simplified Arabic" w:hAnsi="Simplified Arabic"/>
          <w:lang w:val="en-US"/>
        </w:rPr>
        <w:footnoteReference w:id="12"/>
      </w:r>
      <w:r>
        <w:rPr>
          <w:rStyle w:val="FootnoteReference"/>
          <w:rFonts w:ascii="Simplified Arabic" w:hAnsi="Simplified Arabic"/>
          <w:rtl/>
        </w:rPr>
        <w:t>)</w:t>
      </w:r>
      <w:r w:rsidRPr="007C26DF">
        <w:rPr>
          <w:rtl/>
        </w:rPr>
        <w:t>. وكما جاء في إعلان منظمة التجارة العالمية بشأن الاتفاق المتعلق بالجوانب المتصلة بالتجارة من حقوق الملكية الفكرية والصحة العامة (</w:t>
      </w:r>
      <w:r w:rsidRPr="00BD31CD">
        <w:rPr>
          <w:rtl/>
        </w:rPr>
        <w:t>2001</w:t>
      </w:r>
      <w:r w:rsidRPr="007C26DF">
        <w:rPr>
          <w:rtl/>
        </w:rPr>
        <w:t>)، ينبغي تفسير نظام الملكية الفكرية وتنفيذه بطريقة تدعم واجب الدول في "حماية الصحة العامة"</w:t>
      </w:r>
      <w:r>
        <w:rPr>
          <w:rStyle w:val="FootnoteReference"/>
          <w:rFonts w:ascii="Simplified Arabic" w:hAnsi="Simplified Arabic"/>
          <w:rtl/>
        </w:rPr>
        <w:t>(</w:t>
      </w:r>
      <w:r w:rsidRPr="00BD31CD">
        <w:rPr>
          <w:rStyle w:val="FootnoteReference"/>
          <w:rFonts w:ascii="Simplified Arabic" w:hAnsi="Simplified Arabic"/>
          <w:lang w:val="en-US"/>
        </w:rPr>
        <w:footnoteReference w:id="13"/>
      </w:r>
      <w:r>
        <w:rPr>
          <w:rStyle w:val="FootnoteReference"/>
          <w:rFonts w:ascii="Simplified Arabic" w:hAnsi="Simplified Arabic"/>
          <w:rtl/>
        </w:rPr>
        <w:t>)</w:t>
      </w:r>
      <w:r w:rsidRPr="007C26DF">
        <w:rPr>
          <w:rtl/>
        </w:rPr>
        <w:t>.</w:t>
      </w:r>
    </w:p>
    <w:p w14:paraId="5BA82A3F" w14:textId="55AABE68" w:rsidR="00FF2EA3" w:rsidRPr="00764721" w:rsidRDefault="00FF2EA3" w:rsidP="00FF2EA3">
      <w:pPr>
        <w:pStyle w:val="SingleTxtGA"/>
        <w:rPr>
          <w:lang w:val="en-US" w:eastAsia="zh-TW" w:bidi="en-GB"/>
        </w:rPr>
      </w:pPr>
      <w:r w:rsidRPr="00BD31CD">
        <w:rPr>
          <w:rtl/>
        </w:rPr>
        <w:t>8</w:t>
      </w:r>
      <w:r w:rsidRPr="007C26DF">
        <w:rPr>
          <w:rtl/>
        </w:rPr>
        <w:t>-</w:t>
      </w:r>
      <w:r w:rsidRPr="007C26DF">
        <w:rPr>
          <w:rtl/>
        </w:rPr>
        <w:tab/>
        <w:t xml:space="preserve">ويقع على الكيانات التجارية، بما فيها شركات </w:t>
      </w:r>
      <w:r>
        <w:rPr>
          <w:rtl/>
        </w:rPr>
        <w:t xml:space="preserve">صناعة </w:t>
      </w:r>
      <w:r w:rsidRPr="007C26DF">
        <w:rPr>
          <w:rtl/>
        </w:rPr>
        <w:t>ال</w:t>
      </w:r>
      <w:r>
        <w:rPr>
          <w:rtl/>
        </w:rPr>
        <w:t>أ</w:t>
      </w:r>
      <w:r w:rsidRPr="007C26DF">
        <w:rPr>
          <w:rtl/>
        </w:rPr>
        <w:t>د</w:t>
      </w:r>
      <w:r>
        <w:rPr>
          <w:rtl/>
        </w:rPr>
        <w:t>و</w:t>
      </w:r>
      <w:r w:rsidRPr="007C26DF">
        <w:rPr>
          <w:rtl/>
        </w:rPr>
        <w:t xml:space="preserve">ية، </w:t>
      </w:r>
      <w:r>
        <w:rPr>
          <w:rtl/>
        </w:rPr>
        <w:t>واجب ال</w:t>
      </w:r>
      <w:r w:rsidRPr="007C26DF">
        <w:rPr>
          <w:rtl/>
        </w:rPr>
        <w:t>التزام، كحد أدنى، باحترام الحقوق الواردة في العهد</w:t>
      </w:r>
      <w:r>
        <w:rPr>
          <w:rStyle w:val="FootnoteReference"/>
          <w:rFonts w:ascii="Simplified Arabic" w:hAnsi="Simplified Arabic"/>
          <w:rtl/>
        </w:rPr>
        <w:t>(</w:t>
      </w:r>
      <w:r w:rsidRPr="00BD31CD">
        <w:rPr>
          <w:rStyle w:val="FootnoteReference"/>
          <w:rFonts w:ascii="Simplified Arabic" w:hAnsi="Simplified Arabic"/>
          <w:lang w:val="en-US"/>
        </w:rPr>
        <w:footnoteReference w:id="14"/>
      </w:r>
      <w:r>
        <w:rPr>
          <w:rStyle w:val="FootnoteReference"/>
          <w:rFonts w:ascii="Simplified Arabic" w:hAnsi="Simplified Arabic"/>
          <w:rtl/>
        </w:rPr>
        <w:t>)</w:t>
      </w:r>
      <w:r w:rsidRPr="007C26DF">
        <w:rPr>
          <w:rtl/>
        </w:rPr>
        <w:t>؛ وتتحمل مسؤوليات محددة عن إعمال الحق في الصحة، بما في ذلك فيما يتعلق بالحصول على الأدوية واللقاحات</w:t>
      </w:r>
      <w:r>
        <w:rPr>
          <w:rStyle w:val="FootnoteReference"/>
          <w:rFonts w:ascii="Simplified Arabic" w:hAnsi="Simplified Arabic"/>
          <w:rtl/>
        </w:rPr>
        <w:t>(</w:t>
      </w:r>
      <w:r w:rsidRPr="00BD31CD">
        <w:rPr>
          <w:rStyle w:val="FootnoteReference"/>
          <w:rFonts w:ascii="Simplified Arabic" w:hAnsi="Simplified Arabic"/>
          <w:lang w:val="en-US"/>
        </w:rPr>
        <w:footnoteReference w:id="15"/>
      </w:r>
      <w:r>
        <w:rPr>
          <w:rStyle w:val="FootnoteReference"/>
          <w:rFonts w:ascii="Simplified Arabic" w:hAnsi="Simplified Arabic"/>
          <w:rtl/>
        </w:rPr>
        <w:t>)</w:t>
      </w:r>
      <w:r w:rsidRPr="007C26DF">
        <w:rPr>
          <w:rtl/>
        </w:rPr>
        <w:t xml:space="preserve">. وبصفة خاصة، تقع على شركات </w:t>
      </w:r>
      <w:r>
        <w:rPr>
          <w:rtl/>
        </w:rPr>
        <w:t xml:space="preserve">صناعة </w:t>
      </w:r>
      <w:r w:rsidRPr="007C26DF">
        <w:rPr>
          <w:rtl/>
        </w:rPr>
        <w:t>ال</w:t>
      </w:r>
      <w:r>
        <w:rPr>
          <w:rtl/>
        </w:rPr>
        <w:t>أ</w:t>
      </w:r>
      <w:r w:rsidRPr="007C26DF">
        <w:rPr>
          <w:rtl/>
        </w:rPr>
        <w:t>د</w:t>
      </w:r>
      <w:r>
        <w:rPr>
          <w:rtl/>
        </w:rPr>
        <w:t>و</w:t>
      </w:r>
      <w:r w:rsidRPr="007C26DF">
        <w:rPr>
          <w:rtl/>
        </w:rPr>
        <w:t>ية، بما</w:t>
      </w:r>
      <w:r w:rsidR="0032249E">
        <w:rPr>
          <w:rFonts w:hint="cs"/>
          <w:rtl/>
        </w:rPr>
        <w:t> </w:t>
      </w:r>
      <w:r w:rsidRPr="007C26DF">
        <w:rPr>
          <w:rtl/>
        </w:rPr>
        <w:t>فيها الشركات المبتكِرة و</w:t>
      </w:r>
      <w:r>
        <w:rPr>
          <w:rtl/>
        </w:rPr>
        <w:t>المنتجة ل</w:t>
      </w:r>
      <w:r w:rsidRPr="007C26DF">
        <w:rPr>
          <w:rtl/>
        </w:rPr>
        <w:t>لأدوية الجن</w:t>
      </w:r>
      <w:r w:rsidR="00D605E6">
        <w:rPr>
          <w:rFonts w:hint="cs"/>
          <w:rtl/>
        </w:rPr>
        <w:t>سية</w:t>
      </w:r>
      <w:r w:rsidRPr="007C26DF">
        <w:rPr>
          <w:rtl/>
        </w:rPr>
        <w:t xml:space="preserve"> والتكنولوجيا الأحيائية، مسؤوليات في مجال حقوق الإنسان متعلقة بالحصول على الأدوية، بما في ذلك المكونات الصيدلانية النشطة وأدوات التشخيص واللقاحات والمستحضرات الصيدلانية الحيوية وغيرها من تكنولوجيات الرعاية الصحية ذات الصلة</w:t>
      </w:r>
      <w:r>
        <w:rPr>
          <w:rStyle w:val="FootnoteReference"/>
          <w:rFonts w:ascii="Simplified Arabic" w:hAnsi="Simplified Arabic"/>
          <w:rtl/>
        </w:rPr>
        <w:t>(</w:t>
      </w:r>
      <w:r w:rsidRPr="00BD31CD">
        <w:rPr>
          <w:rStyle w:val="FootnoteReference"/>
          <w:rFonts w:ascii="Simplified Arabic" w:hAnsi="Simplified Arabic"/>
          <w:lang w:val="en-US"/>
        </w:rPr>
        <w:footnoteReference w:id="16"/>
      </w:r>
      <w:r>
        <w:rPr>
          <w:rStyle w:val="FootnoteReference"/>
          <w:rFonts w:ascii="Simplified Arabic" w:hAnsi="Simplified Arabic"/>
          <w:rtl/>
        </w:rPr>
        <w:t>)</w:t>
      </w:r>
      <w:r w:rsidRPr="007C26DF">
        <w:rPr>
          <w:rtl/>
        </w:rPr>
        <w:t xml:space="preserve">. وبالتالي، ينبغي للكيانات التجارية أيضاً أن تمتنع عن الاحتجاج بحقوق الملكية الفكرية بطريقة </w:t>
      </w:r>
      <w:r>
        <w:rPr>
          <w:rtl/>
        </w:rPr>
        <w:t xml:space="preserve">تتعارض </w:t>
      </w:r>
      <w:r w:rsidRPr="007C26DF">
        <w:rPr>
          <w:rtl/>
        </w:rPr>
        <w:t>مع حق كل شخص في الحصول على لقاح مأمون وفعال ضد كوفيد-</w:t>
      </w:r>
      <w:r w:rsidRPr="00BD31CD">
        <w:rPr>
          <w:rtl/>
        </w:rPr>
        <w:t>19</w:t>
      </w:r>
      <w:r w:rsidRPr="007C26DF">
        <w:rPr>
          <w:rtl/>
        </w:rPr>
        <w:t xml:space="preserve"> أو حق الدول في استخدام أحكام المرونة الواردة في الاتفاق المتعلق بالجوانب المتصلة بالتجارة من حقوق الملكية الفكرية</w:t>
      </w:r>
      <w:r>
        <w:rPr>
          <w:rStyle w:val="FootnoteReference"/>
          <w:rFonts w:ascii="Simplified Arabic" w:hAnsi="Simplified Arabic"/>
          <w:rtl/>
        </w:rPr>
        <w:t>(</w:t>
      </w:r>
      <w:r w:rsidRPr="00BD31CD">
        <w:rPr>
          <w:rStyle w:val="FootnoteReference"/>
          <w:rFonts w:ascii="Simplified Arabic" w:hAnsi="Simplified Arabic"/>
          <w:lang w:val="en-US"/>
        </w:rPr>
        <w:footnoteReference w:id="17"/>
      </w:r>
      <w:r>
        <w:rPr>
          <w:rStyle w:val="FootnoteReference"/>
          <w:rFonts w:ascii="Simplified Arabic" w:hAnsi="Simplified Arabic"/>
          <w:rtl/>
        </w:rPr>
        <w:t>)</w:t>
      </w:r>
      <w:r w:rsidRPr="007C26DF">
        <w:rPr>
          <w:rtl/>
        </w:rPr>
        <w:t>.</w:t>
      </w:r>
    </w:p>
    <w:p w14:paraId="5D699D0F" w14:textId="1F0CD58B" w:rsidR="00FF2EA3" w:rsidRPr="00462275" w:rsidRDefault="00FF2EA3" w:rsidP="00FF2EA3">
      <w:pPr>
        <w:pStyle w:val="SingleTxtGA"/>
        <w:rPr>
          <w:lang w:val="en-US" w:eastAsia="zh-TW" w:bidi="en-GB"/>
        </w:rPr>
      </w:pPr>
      <w:r w:rsidRPr="00BD31CD">
        <w:rPr>
          <w:rtl/>
        </w:rPr>
        <w:t>9</w:t>
      </w:r>
      <w:r w:rsidRPr="007C26DF">
        <w:rPr>
          <w:rtl/>
        </w:rPr>
        <w:t>-</w:t>
      </w:r>
      <w:r w:rsidRPr="007C26DF">
        <w:rPr>
          <w:rtl/>
        </w:rPr>
        <w:tab/>
        <w:t>ويقع على الدول الأطراف التزام دولي بكفالة التمتع بالحق في الصحة في بلدان أخرى، وبمنع أطراف ثالثة، بما فيها الكيانات التجارية، من انتهاك هذا الحق في بلدان أخرى، إذا كانت تستطيع التأثير على أطراف ثالثة بوسائل قانونية أو سياسية، وفقاً لميثاق الأمم المتحدة والقانون الدولي الساري. ورهناً بتوافر الموارد، ينبغي للدول أن تيسر</w:t>
      </w:r>
      <w:r>
        <w:rPr>
          <w:rtl/>
        </w:rPr>
        <w:t>،</w:t>
      </w:r>
      <w:r w:rsidRPr="007C26DF">
        <w:rPr>
          <w:rtl/>
        </w:rPr>
        <w:t xml:space="preserve"> حيثما أمكن</w:t>
      </w:r>
      <w:r>
        <w:rPr>
          <w:rtl/>
        </w:rPr>
        <w:t>ها</w:t>
      </w:r>
      <w:r w:rsidRPr="007C26DF">
        <w:rPr>
          <w:rtl/>
        </w:rPr>
        <w:t xml:space="preserve"> ذلك</w:t>
      </w:r>
      <w:r>
        <w:rPr>
          <w:rtl/>
        </w:rPr>
        <w:t>،</w:t>
      </w:r>
      <w:r w:rsidRPr="007C26DF">
        <w:rPr>
          <w:rtl/>
        </w:rPr>
        <w:t xml:space="preserve"> الاستفادة من المرافق والسلع والخدمات الصحية الأساسية في بلدان أخرى، وأن توفر المساعدة الضرورية عند الاقتضاء</w:t>
      </w:r>
      <w:r>
        <w:rPr>
          <w:rStyle w:val="FootnoteReference"/>
          <w:rFonts w:ascii="Simplified Arabic" w:hAnsi="Simplified Arabic"/>
          <w:rtl/>
        </w:rPr>
        <w:t>(</w:t>
      </w:r>
      <w:r w:rsidRPr="00BD31CD">
        <w:rPr>
          <w:rStyle w:val="FootnoteReference"/>
          <w:rFonts w:ascii="Simplified Arabic" w:hAnsi="Simplified Arabic"/>
          <w:lang w:val="en-US"/>
        </w:rPr>
        <w:footnoteReference w:id="18"/>
      </w:r>
      <w:r>
        <w:rPr>
          <w:rStyle w:val="FootnoteReference"/>
          <w:rFonts w:ascii="Simplified Arabic" w:hAnsi="Simplified Arabic"/>
          <w:rtl/>
        </w:rPr>
        <w:t>)</w:t>
      </w:r>
      <w:r w:rsidRPr="007C26DF">
        <w:rPr>
          <w:rtl/>
        </w:rPr>
        <w:t xml:space="preserve">. وبالإضافة إلى ذلك، يقع على عاتق الدول الأطراف التزام يتجاوز نطاق حدودها الإقليمية بأن تتخذ التدابير اللازمة لضمان عدم انتهاك الكيانات التجارية الموجودة في إقليمها و/أو الخاضعة لولايتها القضائية </w:t>
      </w:r>
      <w:r>
        <w:rPr>
          <w:rtl/>
        </w:rPr>
        <w:t>ا</w:t>
      </w:r>
      <w:r w:rsidRPr="007C26DF">
        <w:rPr>
          <w:rtl/>
        </w:rPr>
        <w:t>لحقوق</w:t>
      </w:r>
      <w:r>
        <w:rPr>
          <w:rtl/>
        </w:rPr>
        <w:t>َ</w:t>
      </w:r>
      <w:r w:rsidRPr="007C26DF">
        <w:rPr>
          <w:rtl/>
        </w:rPr>
        <w:t xml:space="preserve"> الاقتصادية والاجتماعية والثقافية في الخارج</w:t>
      </w:r>
      <w:r>
        <w:rPr>
          <w:rStyle w:val="FootnoteReference"/>
          <w:rFonts w:ascii="Simplified Arabic" w:hAnsi="Simplified Arabic"/>
          <w:rtl/>
        </w:rPr>
        <w:t>(</w:t>
      </w:r>
      <w:r w:rsidRPr="00BD31CD">
        <w:rPr>
          <w:rStyle w:val="FootnoteReference"/>
          <w:rFonts w:ascii="Simplified Arabic" w:hAnsi="Simplified Arabic"/>
          <w:lang w:val="en-US"/>
        </w:rPr>
        <w:footnoteReference w:id="19"/>
      </w:r>
      <w:r>
        <w:rPr>
          <w:rStyle w:val="FootnoteReference"/>
          <w:rFonts w:ascii="Simplified Arabic" w:hAnsi="Simplified Arabic"/>
          <w:rtl/>
        </w:rPr>
        <w:t>)</w:t>
      </w:r>
      <w:r w:rsidRPr="007C26DF">
        <w:rPr>
          <w:rtl/>
        </w:rPr>
        <w:t>. وبالتالي، ينبغي للدول أن تتخذ جميع التدابير اللازمة لضمان ألاّ تحتج هذه الكيانات التجارية بقانون الملكية الفكرية، سواء في إقليمها أو في الخارج، بشكل يتعارض مع حق كل شخص في الحصول على لقاح مأمون وفعال ضد كوفيد-</w:t>
      </w:r>
      <w:r w:rsidRPr="00BD31CD">
        <w:rPr>
          <w:rtl/>
        </w:rPr>
        <w:t>19</w:t>
      </w:r>
      <w:r w:rsidRPr="007C26DF">
        <w:rPr>
          <w:rtl/>
        </w:rPr>
        <w:t>.</w:t>
      </w:r>
    </w:p>
    <w:p w14:paraId="37BB310D" w14:textId="77777777" w:rsidR="00FF2EA3" w:rsidRPr="007C26DF" w:rsidRDefault="00FF2EA3" w:rsidP="00FF2EA3">
      <w:pPr>
        <w:pStyle w:val="SingleTxtGA"/>
        <w:rPr>
          <w:lang w:val="ar-SA" w:eastAsia="zh-TW" w:bidi="en-GB"/>
        </w:rPr>
      </w:pPr>
      <w:r w:rsidRPr="00BD31CD">
        <w:rPr>
          <w:rtl/>
        </w:rPr>
        <w:t>10</w:t>
      </w:r>
      <w:r w:rsidRPr="007C26DF">
        <w:rPr>
          <w:rtl/>
        </w:rPr>
        <w:t>-</w:t>
      </w:r>
      <w:r w:rsidRPr="007C26DF">
        <w:rPr>
          <w:rtl/>
        </w:rPr>
        <w:tab/>
        <w:t>وفي هذا السياق، ينبغي للدول الأطراف، عند الاقتضاء، استخدام جميع أحكام المرونة الواردة في الاتفاق المتعلق بالجوانب المتصلة بالتجارة من حقوق الملكية الفكرية، مثل التراخيص الإلزامية، لزيادة الإنتاج وضمان توافر لقاح مأمون وفعال ضد كوفيد-</w:t>
      </w:r>
      <w:r w:rsidRPr="00BD31CD">
        <w:rPr>
          <w:rtl/>
        </w:rPr>
        <w:t>19</w:t>
      </w:r>
      <w:r w:rsidRPr="007C26DF">
        <w:rPr>
          <w:rtl/>
        </w:rPr>
        <w:t xml:space="preserve"> وإمكانية الحصول عليه للجميع. غير أنه ثبت حتى الآن أن أحكام المرونة الواردة في هذا الاتفاق غير كافية لضمان ما يكفي من اللقاحات وتوزيعها العادل، ولا سيما في البلدان النامية. وبصفة خاصة، تسري أحكام المرونة تبعاً لكل حالة على حدة، من خلال القرارات التي تتخذها بلدان معينة بشأن منتجات محددة ومقتضيات قانونية غير مناسبة لأزمة صحية استثنائية مثل تلك التي خلفتها هذه الجائحة. وعلى سبيل المثال، يشكل طلب ومنح رخصة إلزامية، بموجب الاتفاق المتعلق بالجوانب المتصلة بالتجارة من حقوق الملكية الفكرية، عملية معقدة ينبغي أن تستوفي عدة شروط، مثل ضمان طلب رخصة إلزامية لكل منتج محمي ببراءة اختراع، واستخدامها في الغالب لتزويد الأسواق المحلية في حالة منحها. وفي سياق هذه الجائحة، تقيد هذه الشروط بشدة التعاون الدولي السريع اللازم، لأنها تعوق قدرة البلدان التي تستطيع إنتاج اللقاحات على تصديرها إلى البلدان المحتاجة إليها. ويفسر ذلك أيضاً سبب امتناع بعض البلدان والكيانات التجارية التي لديها القدرة التقنية على إنتاج اللقاحات التي جرت الموافقة عليها بالفعل عن القيام بذلك، لأنها تخشى المقاضاة بسبب انتهاك أحكام براءات الاختراع. وينبغي كذلك دعم الشركات التي ابتكرت اللقاحات في تيسير نقل التكنولوجيا اللازمة لزيادة الإنتاج في بلدان ومواقع إنتاج أخرى.</w:t>
      </w:r>
    </w:p>
    <w:p w14:paraId="23558914" w14:textId="77777777" w:rsidR="00FF2EA3" w:rsidRPr="007C26DF" w:rsidRDefault="00FF2EA3" w:rsidP="00FF2EA3">
      <w:pPr>
        <w:pStyle w:val="SingleTxtGA"/>
        <w:rPr>
          <w:lang w:val="ar-SA" w:eastAsia="zh-TW" w:bidi="en-GB"/>
        </w:rPr>
      </w:pPr>
      <w:r w:rsidRPr="00BD31CD">
        <w:rPr>
          <w:rtl/>
        </w:rPr>
        <w:t>11</w:t>
      </w:r>
      <w:r w:rsidRPr="007C26DF">
        <w:rPr>
          <w:rtl/>
        </w:rPr>
        <w:t>-</w:t>
      </w:r>
      <w:r w:rsidRPr="007C26DF">
        <w:rPr>
          <w:rtl/>
        </w:rPr>
        <w:tab/>
        <w:t>وتجعل القيود الحالية التي تفرضها قواعد الملكية الفكرية الواردة في الاتفاق المتعلق بالجوانب المتصلة بالتجارة من حقوق الملكية الفكرية من الصعب للغاية تحقيق التعاون الدولي اللازم لزيادة إنتاج وتوزيع اللقاحات على نطاق واسع إلى المستويات الممكنة حالياً من الناحية التقنية والمطلوبة ع</w:t>
      </w:r>
      <w:r>
        <w:rPr>
          <w:rtl/>
        </w:rPr>
        <w:t>ا</w:t>
      </w:r>
      <w:r w:rsidRPr="007C26DF">
        <w:rPr>
          <w:rtl/>
        </w:rPr>
        <w:t>جل</w:t>
      </w:r>
      <w:r>
        <w:rPr>
          <w:rtl/>
        </w:rPr>
        <w:t>اً</w:t>
      </w:r>
      <w:r w:rsidRPr="007C26DF">
        <w:rPr>
          <w:rtl/>
        </w:rPr>
        <w:t xml:space="preserve"> لتحقيق المناعة الجماعية في أقرب وقت ممكن. وهذا أمر حتمي لتجنب ملايين الوفيات التي يمكن منعها، وللتغلب على الاضطرابات الاقتصادية والاجتماعية التي تخلفها الجائحة، وللحد من مخاطر طفرات الفيروس الخطيرة.</w:t>
      </w:r>
    </w:p>
    <w:p w14:paraId="23789770" w14:textId="7B8023E9" w:rsidR="00FF2EA3" w:rsidRPr="007C26DF" w:rsidRDefault="00FF2EA3" w:rsidP="00FF2EA3">
      <w:pPr>
        <w:pStyle w:val="SingleTxtGA"/>
        <w:rPr>
          <w:lang w:val="ar-SA" w:eastAsia="zh-TW" w:bidi="en-GB"/>
        </w:rPr>
      </w:pPr>
      <w:r w:rsidRPr="00BD31CD">
        <w:rPr>
          <w:rtl/>
        </w:rPr>
        <w:t>12</w:t>
      </w:r>
      <w:r w:rsidRPr="007C26DF">
        <w:rPr>
          <w:rtl/>
        </w:rPr>
        <w:t>-</w:t>
      </w:r>
      <w:r w:rsidRPr="007C26DF">
        <w:rPr>
          <w:rtl/>
        </w:rPr>
        <w:tab/>
        <w:t>ويتطلب عدم كفاية إمدادات اللقاحات وعدم التكافؤ الكبير في توزيعها على الصعيد العالمي اتخاذ تدابير إضافية عاجلة فيما يتعلق بنظام الملكية الفكرية. وفي هذا السياق، اقترح بعض الدول أن تعتمد منظمة التجارة العالمية إعفاء مؤقتاً من بعض أحكام الاتفاق المتعلق بالجوانب المتصلة بالتجارة من حقوق الملكية الفكرية فيما يتعلق باللقاحات المضادة لكوفيد-</w:t>
      </w:r>
      <w:r w:rsidRPr="00BD31CD">
        <w:rPr>
          <w:rtl/>
        </w:rPr>
        <w:t>19</w:t>
      </w:r>
      <w:r w:rsidRPr="007C26DF">
        <w:rPr>
          <w:rtl/>
        </w:rPr>
        <w:t xml:space="preserve"> وبعلاجه، على الأقل إلى أن تتحقق المناعة الجماعية العالمية </w:t>
      </w:r>
      <w:r>
        <w:rPr>
          <w:rtl/>
        </w:rPr>
        <w:t>ضد</w:t>
      </w:r>
      <w:r w:rsidRPr="007C26DF">
        <w:rPr>
          <w:rtl/>
        </w:rPr>
        <w:t xml:space="preserve"> كوفيد-</w:t>
      </w:r>
      <w:r w:rsidRPr="00BD31CD">
        <w:rPr>
          <w:rtl/>
        </w:rPr>
        <w:t>19</w:t>
      </w:r>
      <w:r w:rsidRPr="007C26DF">
        <w:rPr>
          <w:rtl/>
        </w:rPr>
        <w:t xml:space="preserve"> و</w:t>
      </w:r>
      <w:r>
        <w:rPr>
          <w:rtl/>
        </w:rPr>
        <w:t xml:space="preserve">تجري </w:t>
      </w:r>
      <w:r w:rsidRPr="007C26DF">
        <w:rPr>
          <w:rtl/>
        </w:rPr>
        <w:t>السيطرة على الجائحة</w:t>
      </w:r>
      <w:r>
        <w:rPr>
          <w:rStyle w:val="FootnoteReference"/>
          <w:rFonts w:ascii="Simplified Arabic" w:hAnsi="Simplified Arabic"/>
          <w:rtl/>
        </w:rPr>
        <w:t>(</w:t>
      </w:r>
      <w:r w:rsidRPr="00BD31CD">
        <w:rPr>
          <w:rStyle w:val="FootnoteReference"/>
          <w:rFonts w:ascii="Simplified Arabic" w:hAnsi="Simplified Arabic"/>
          <w:lang w:val="en-US"/>
        </w:rPr>
        <w:footnoteReference w:id="20"/>
      </w:r>
      <w:r>
        <w:rPr>
          <w:rStyle w:val="FootnoteReference"/>
          <w:rFonts w:ascii="Simplified Arabic" w:hAnsi="Simplified Arabic"/>
          <w:rtl/>
        </w:rPr>
        <w:t>)</w:t>
      </w:r>
      <w:r w:rsidRPr="007C26DF">
        <w:rPr>
          <w:rtl/>
        </w:rPr>
        <w:t>. وقد حظي هذا المقترح بتأييد عدد من المكلفين بولايات في إطار الإجراءات الخاصة لمجلس حقوق الإنسان، وآلية الخبراء المعنية بالحق في التنمية</w:t>
      </w:r>
      <w:r>
        <w:rPr>
          <w:rStyle w:val="FootnoteReference"/>
          <w:rFonts w:ascii="Simplified Arabic" w:hAnsi="Simplified Arabic"/>
          <w:rtl/>
        </w:rPr>
        <w:t>(</w:t>
      </w:r>
      <w:r w:rsidRPr="00BD31CD">
        <w:rPr>
          <w:rStyle w:val="FootnoteReference"/>
          <w:rFonts w:ascii="Simplified Arabic" w:hAnsi="Simplified Arabic"/>
          <w:lang w:val="en-US"/>
        </w:rPr>
        <w:footnoteReference w:id="21"/>
      </w:r>
      <w:r>
        <w:rPr>
          <w:rStyle w:val="FootnoteReference"/>
          <w:rFonts w:ascii="Simplified Arabic" w:hAnsi="Simplified Arabic"/>
          <w:rtl/>
        </w:rPr>
        <w:t>)</w:t>
      </w:r>
      <w:r w:rsidRPr="007C26DF">
        <w:rPr>
          <w:rtl/>
        </w:rPr>
        <w:t>، ومنظمة الصحة العالمية</w:t>
      </w:r>
      <w:r>
        <w:rPr>
          <w:rStyle w:val="FootnoteReference"/>
          <w:rFonts w:ascii="Simplified Arabic" w:hAnsi="Simplified Arabic"/>
          <w:rtl/>
        </w:rPr>
        <w:t>(</w:t>
      </w:r>
      <w:r w:rsidRPr="00BD31CD">
        <w:rPr>
          <w:rStyle w:val="FootnoteReference"/>
          <w:rFonts w:ascii="Simplified Arabic" w:hAnsi="Simplified Arabic"/>
          <w:lang w:val="en-US"/>
        </w:rPr>
        <w:footnoteReference w:id="22"/>
      </w:r>
      <w:r>
        <w:rPr>
          <w:rStyle w:val="FootnoteReference"/>
          <w:rFonts w:ascii="Simplified Arabic" w:hAnsi="Simplified Arabic"/>
          <w:rtl/>
        </w:rPr>
        <w:t>)</w:t>
      </w:r>
      <w:r w:rsidRPr="007C26DF">
        <w:rPr>
          <w:rtl/>
        </w:rPr>
        <w:t>، وعدد متزايد من الدول والمنظمات العلمية والإنسانية.</w:t>
      </w:r>
    </w:p>
    <w:p w14:paraId="64566EFD" w14:textId="66E2AAC7" w:rsidR="00FF2EA3" w:rsidRPr="007C26DF" w:rsidRDefault="00FF2EA3" w:rsidP="00FF2EA3">
      <w:pPr>
        <w:pStyle w:val="SingleTxtGA"/>
        <w:rPr>
          <w:lang w:val="ar-SA" w:eastAsia="zh-TW" w:bidi="en-GB"/>
        </w:rPr>
      </w:pPr>
      <w:r w:rsidRPr="00BD31CD">
        <w:rPr>
          <w:rtl/>
        </w:rPr>
        <w:t>13</w:t>
      </w:r>
      <w:r w:rsidRPr="007C26DF">
        <w:rPr>
          <w:rtl/>
        </w:rPr>
        <w:t>-</w:t>
      </w:r>
      <w:r w:rsidRPr="007C26DF">
        <w:rPr>
          <w:rtl/>
        </w:rPr>
        <w:tab/>
        <w:t>وفي الظروف الاستثنائية الراهنة التي خلفتها الجائحة تذكير</w:t>
      </w:r>
      <w:r>
        <w:rPr>
          <w:rtl/>
        </w:rPr>
        <w:t>ٌ</w:t>
      </w:r>
      <w:r w:rsidRPr="007C26DF">
        <w:rPr>
          <w:rtl/>
        </w:rPr>
        <w:t xml:space="preserve"> قوي</w:t>
      </w:r>
      <w:r>
        <w:rPr>
          <w:rtl/>
        </w:rPr>
        <w:t>ٌّ</w:t>
      </w:r>
      <w:r w:rsidRPr="007C26DF">
        <w:rPr>
          <w:rtl/>
        </w:rPr>
        <w:t xml:space="preserve"> بالأهمية القصوى لالتزام جميع الدول، بموجب ميثاق الأمم المتحدة، بالمساهمة في التمتع </w:t>
      </w:r>
      <w:r w:rsidRPr="00BA3BE7">
        <w:rPr>
          <w:rtl/>
        </w:rPr>
        <w:t xml:space="preserve">على الصعيد العالمي </w:t>
      </w:r>
      <w:r w:rsidRPr="007C26DF">
        <w:rPr>
          <w:rtl/>
        </w:rPr>
        <w:t>بجميع حقوق الإنسان، بما فيها الحق في الصحة</w:t>
      </w:r>
      <w:r>
        <w:rPr>
          <w:rStyle w:val="FootnoteReference"/>
          <w:rFonts w:ascii="Simplified Arabic" w:hAnsi="Simplified Arabic"/>
          <w:rtl/>
        </w:rPr>
        <w:t>(</w:t>
      </w:r>
      <w:r w:rsidRPr="00BD31CD">
        <w:rPr>
          <w:rStyle w:val="FootnoteReference"/>
          <w:rFonts w:ascii="Simplified Arabic" w:hAnsi="Simplified Arabic"/>
          <w:lang w:val="en-US"/>
        </w:rPr>
        <w:footnoteReference w:id="23"/>
      </w:r>
      <w:r>
        <w:rPr>
          <w:rStyle w:val="FootnoteReference"/>
          <w:rFonts w:ascii="Simplified Arabic" w:hAnsi="Simplified Arabic"/>
          <w:rtl/>
        </w:rPr>
        <w:t>)</w:t>
      </w:r>
      <w:r w:rsidRPr="007C26DF">
        <w:rPr>
          <w:rtl/>
        </w:rPr>
        <w:t xml:space="preserve">، والتزام الدول الأطراف بالتعاون الدولي من أجل </w:t>
      </w:r>
      <w:r>
        <w:rPr>
          <w:rtl/>
        </w:rPr>
        <w:t xml:space="preserve">كفالة </w:t>
      </w:r>
      <w:r w:rsidRPr="007C26DF">
        <w:rPr>
          <w:rtl/>
        </w:rPr>
        <w:t>التمتع الكامل بالحقوق الاقتصادية والاجتماعية والثقافية. وفي هذا السياق، ينبغي للدول أن تأخذ في الاعتبار أنه يمكن من الناحية التقنية زيادة إنتاج وتوزيع اللقاحات لتحقيق إمكانية استفادة الجميع بسرعة وبأسعار معقولة من التلقيح ضد كوفيد-</w:t>
      </w:r>
      <w:r w:rsidRPr="00BD31CD">
        <w:rPr>
          <w:rtl/>
        </w:rPr>
        <w:t>19</w:t>
      </w:r>
      <w:r w:rsidRPr="007C26DF">
        <w:rPr>
          <w:rtl/>
        </w:rPr>
        <w:t xml:space="preserve">. وأهم هدف هو منع الوفيات والتمكن من التصدي للجائحة في أقرب وقت ممكن. ومن شأن اتفاقات بشأن التقاسم الطوعي للخبرات والترخيص لإنتاج اللقاحات بطريقة شفافة وغير حصرية </w:t>
      </w:r>
      <w:proofErr w:type="spellStart"/>
      <w:r w:rsidRPr="007C26DF">
        <w:rPr>
          <w:rtl/>
        </w:rPr>
        <w:t>منطلقها</w:t>
      </w:r>
      <w:proofErr w:type="spellEnd"/>
      <w:r w:rsidRPr="007C26DF">
        <w:rPr>
          <w:rtl/>
        </w:rPr>
        <w:t xml:space="preserve"> اعتبارات الصحة العامة وبشأن نقل التكنولوجيا أن تشجع المنافسة وتزيد وتيرة تصنيع اللقاحات. وينبغي </w:t>
      </w:r>
      <w:r>
        <w:rPr>
          <w:rtl/>
        </w:rPr>
        <w:t>أن تُ</w:t>
      </w:r>
      <w:r w:rsidRPr="007C26DF">
        <w:rPr>
          <w:rtl/>
        </w:rPr>
        <w:t>ستكشف بعناية و</w:t>
      </w:r>
      <w:r>
        <w:rPr>
          <w:rtl/>
        </w:rPr>
        <w:t>تُ</w:t>
      </w:r>
      <w:r w:rsidRPr="007C26DF">
        <w:rPr>
          <w:rtl/>
        </w:rPr>
        <w:t>ستغل</w:t>
      </w:r>
      <w:r w:rsidRPr="00E22ECE">
        <w:rPr>
          <w:rtl/>
        </w:rPr>
        <w:t xml:space="preserve"> جميع الآليات </w:t>
      </w:r>
      <w:r>
        <w:rPr>
          <w:rtl/>
        </w:rPr>
        <w:t>المتاحة</w:t>
      </w:r>
      <w:r w:rsidRPr="007C26DF">
        <w:rPr>
          <w:rtl/>
        </w:rPr>
        <w:t>، بما في</w:t>
      </w:r>
      <w:r>
        <w:rPr>
          <w:rtl/>
        </w:rPr>
        <w:t xml:space="preserve">ها </w:t>
      </w:r>
      <w:r w:rsidRPr="007C26DF">
        <w:rPr>
          <w:rtl/>
        </w:rPr>
        <w:t>الترخيص الطوعي، والمجمعات التكنولوجية، واستخدام أحكام المرونة الواردة في الاتفاق المتعلق بالجوانب المتصلة بالتجارة من حقوق الملكية الفكرية، والإعفاء من بعض</w:t>
      </w:r>
      <w:bookmarkStart w:id="1" w:name="_GoBack"/>
      <w:bookmarkEnd w:id="1"/>
      <w:r w:rsidRPr="007C26DF">
        <w:rPr>
          <w:rtl/>
        </w:rPr>
        <w:t xml:space="preserve"> أحكام الملكية الفكرية أو حقوق التسويق الحصرية. ولكل هذه المبادرات المختلفة خصائص مختلفة ويمكن تنفيذها بطرق مختلفة ومتكاملة، حيث توجد أيضاً تحديات قائمة تعترض تنفيذ كل منها. ولذلك، يجب استكشافها بشكل متزامن تبعاً لاختلاف احتياجات البلدان وقدرتها على تنفيذها على الصعيدين الوطني والدولي. وبالتالي، يشكل الإعفاء من بعض أحكام الاتفاق المتعلق بالجوانب المتصلة بالتجارة من حقوق الملكية الفكرية عنصراً أساسياً من عناصر هذه الاستراتيجيات التكميلية. وعلاوة على ذلك، فإن عدم الموافقة على الإعفاء المؤقت من أحكام الاتفاق المتعلق بالجوانب المتصلة بالتجارة من حقوق الملكية الفكرية من أجل الحصول بشكل منصف وبأسعار معقولة على التكنولوجيات الطبية، بما في ذلك لقاحات كوفيد-</w:t>
      </w:r>
      <w:r w:rsidRPr="00BD31CD">
        <w:rPr>
          <w:rtl/>
        </w:rPr>
        <w:t>19</w:t>
      </w:r>
      <w:r w:rsidRPr="007C26DF">
        <w:rPr>
          <w:rtl/>
        </w:rPr>
        <w:t>، سيعوق أيضاً تحقيق الانتعاش الاقتصادي العالمي اللازم للتغلب على الأثر السلبي للجائحة على التمتع بجميع الحقوق الاقتصادية والاجتماعية والثقافية. وفي هذا السياق، توصي اللجنة الدول بإلحاح بأن تؤيد مقترحات هذا الإعفاء المؤقت، بطرق منها استخدام حقوقها في التصويت داخل منظمة التجارة العالمية.</w:t>
      </w:r>
    </w:p>
    <w:p w14:paraId="62ECCECD" w14:textId="335211BA" w:rsidR="00FF2EA3" w:rsidRDefault="00FF2EA3" w:rsidP="00FF2EA3">
      <w:pPr>
        <w:pStyle w:val="SingleTxtGA"/>
        <w:rPr>
          <w:lang w:val="en-US" w:eastAsia="zh-TW" w:bidi="en-GB"/>
        </w:rPr>
      </w:pPr>
      <w:r w:rsidRPr="00BD31CD">
        <w:rPr>
          <w:rtl/>
        </w:rPr>
        <w:t>14</w:t>
      </w:r>
      <w:r w:rsidRPr="007C26DF">
        <w:rPr>
          <w:rtl/>
        </w:rPr>
        <w:t>-</w:t>
      </w:r>
      <w:r w:rsidRPr="007C26DF">
        <w:rPr>
          <w:rtl/>
        </w:rPr>
        <w:tab/>
        <w:t xml:space="preserve">وأخيراً، ورغم أن هذا البيان يركز أساساً على </w:t>
      </w:r>
      <w:r>
        <w:rPr>
          <w:rtl/>
        </w:rPr>
        <w:t xml:space="preserve">مسألة </w:t>
      </w:r>
      <w:r w:rsidRPr="007C26DF">
        <w:rPr>
          <w:rtl/>
        </w:rPr>
        <w:t>إتاحة إمكانية حصول الجميع بشكل منصف على اللقاحات المضادة لكوفيد-</w:t>
      </w:r>
      <w:r w:rsidRPr="00BD31CD">
        <w:rPr>
          <w:rtl/>
        </w:rPr>
        <w:t>19</w:t>
      </w:r>
      <w:r w:rsidRPr="007C26DF">
        <w:rPr>
          <w:rtl/>
        </w:rPr>
        <w:t>، فإن اللجنة ترى أن اعتباراته الرئيسية، مع إدخال التغييرات الضرورية، لها صلة بالتزامات الدول بأن تكفل أيضاً استفادة الجميع بشكل منصف من علاج كوفيد-</w:t>
      </w:r>
      <w:r w:rsidRPr="00BD31CD">
        <w:rPr>
          <w:rtl/>
        </w:rPr>
        <w:t>19</w:t>
      </w:r>
      <w:r w:rsidRPr="007C26DF">
        <w:rPr>
          <w:rtl/>
        </w:rPr>
        <w:t>. وستواصل اللجنة بحث ورصد تأثير جائحة كوفيد-</w:t>
      </w:r>
      <w:r w:rsidRPr="00BD31CD">
        <w:rPr>
          <w:rtl/>
        </w:rPr>
        <w:t>19</w:t>
      </w:r>
      <w:r w:rsidRPr="007C26DF">
        <w:rPr>
          <w:rtl/>
        </w:rPr>
        <w:t xml:space="preserve"> على الحقوق الاقتصادية والاجتماعية والثقافية، وب</w:t>
      </w:r>
      <w:r>
        <w:rPr>
          <w:rtl/>
        </w:rPr>
        <w:t>خ</w:t>
      </w:r>
      <w:r w:rsidRPr="007C26DF">
        <w:rPr>
          <w:rtl/>
        </w:rPr>
        <w:t>اصة فيما يتعلق بالحق في الصحة، من خلال الوفاء بولاياتها المختلفة بموجب العهد.</w:t>
      </w:r>
    </w:p>
    <w:p w14:paraId="7E3AC3BD" w14:textId="2F742FA2" w:rsidR="00FF2EA3" w:rsidRPr="00FF2EA3" w:rsidRDefault="00FF2EA3" w:rsidP="00FF2EA3">
      <w:pPr>
        <w:pStyle w:val="SingleTxtGA"/>
        <w:jc w:val="center"/>
        <w:rPr>
          <w:rFonts w:hint="cs"/>
          <w:u w:val="single"/>
          <w:rtl/>
          <w:lang w:eastAsia="zh-TW"/>
        </w:rPr>
      </w:pPr>
      <w:r>
        <w:rPr>
          <w:u w:val="single"/>
          <w:rtl/>
          <w:lang w:eastAsia="zh-TW"/>
        </w:rPr>
        <w:tab/>
      </w:r>
      <w:r>
        <w:rPr>
          <w:u w:val="single"/>
          <w:rtl/>
          <w:lang w:eastAsia="zh-TW"/>
        </w:rPr>
        <w:tab/>
      </w:r>
      <w:r>
        <w:rPr>
          <w:u w:val="single"/>
          <w:rtl/>
          <w:lang w:eastAsia="zh-TW"/>
        </w:rPr>
        <w:tab/>
      </w:r>
    </w:p>
    <w:sectPr w:rsidR="00FF2EA3" w:rsidRPr="00FF2EA3" w:rsidSect="001C4411">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64518F" w14:textId="77777777" w:rsidR="00E94671" w:rsidRPr="002901D9" w:rsidRDefault="00E94671" w:rsidP="00485999">
      <w:pPr>
        <w:spacing w:after="60" w:line="240" w:lineRule="auto"/>
        <w:ind w:left="57"/>
        <w:rPr>
          <w:i/>
          <w:iCs/>
        </w:rPr>
      </w:pPr>
      <w:r>
        <w:rPr>
          <w:rFonts w:hint="cs"/>
          <w:i/>
          <w:iCs/>
          <w:rtl/>
        </w:rPr>
        <w:t>الحواشي</w:t>
      </w:r>
    </w:p>
  </w:endnote>
  <w:endnote w:type="continuationSeparator" w:id="0">
    <w:p w14:paraId="5095A09A" w14:textId="77777777" w:rsidR="00E94671" w:rsidRDefault="00E9467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F62D86" w14:textId="568365C6" w:rsidR="00EA20BE" w:rsidRPr="00EA20BE" w:rsidRDefault="00EA20BE" w:rsidP="00EA20BE">
    <w:pPr>
      <w:pStyle w:val="Footer"/>
      <w:tabs>
        <w:tab w:val="right" w:pos="9638"/>
      </w:tabs>
      <w:rPr>
        <w:b/>
        <w:sz w:val="18"/>
        <w:lang w:val="en-US"/>
      </w:rPr>
    </w:pPr>
    <w:r>
      <w:rPr>
        <w:lang w:val="en-US"/>
      </w:rPr>
      <w:t>GE.21-05434</w:t>
    </w:r>
    <w:r>
      <w:rPr>
        <w:lang w:val="en-US"/>
      </w:rPr>
      <w:tab/>
    </w:r>
    <w:r w:rsidRPr="00EA20BE">
      <w:rPr>
        <w:b/>
        <w:sz w:val="18"/>
        <w:lang w:val="en-US"/>
      </w:rPr>
      <w:fldChar w:fldCharType="begin"/>
    </w:r>
    <w:r w:rsidRPr="00EA20BE">
      <w:rPr>
        <w:b/>
        <w:sz w:val="18"/>
        <w:lang w:val="en-US"/>
      </w:rPr>
      <w:instrText xml:space="preserve"> PAGE  \* MERGEFORMAT </w:instrText>
    </w:r>
    <w:r w:rsidRPr="00EA20BE">
      <w:rPr>
        <w:b/>
        <w:sz w:val="18"/>
        <w:lang w:val="en-US"/>
      </w:rPr>
      <w:fldChar w:fldCharType="separate"/>
    </w:r>
    <w:r w:rsidRPr="00EA20BE">
      <w:rPr>
        <w:b/>
        <w:noProof/>
        <w:sz w:val="18"/>
        <w:lang w:val="en-US"/>
      </w:rPr>
      <w:t>2</w:t>
    </w:r>
    <w:r w:rsidRPr="00EA20B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B4B5F" w14:textId="73C99E7A" w:rsidR="006959B0" w:rsidRPr="00EA20BE" w:rsidRDefault="00EA20BE" w:rsidP="00EA20BE">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GE.21-05434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875E4" w14:textId="7CF5F797" w:rsidR="00FD4BC9" w:rsidRPr="00EA20BE" w:rsidRDefault="00EA20BE" w:rsidP="00EA20BE">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418DEEDE" wp14:editId="131CAEA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21-05434 (A)</w:t>
    </w:r>
    <w:r>
      <w:rPr>
        <w:noProof/>
        <w:sz w:val="20"/>
        <w:lang w:val="en-US"/>
      </w:rPr>
      <w:drawing>
        <wp:anchor distT="0" distB="0" distL="114300" distR="114300" simplePos="0" relativeHeight="251659264" behindDoc="0" locked="0" layoutInCell="1" allowOverlap="1" wp14:anchorId="134590CB" wp14:editId="6BAD17D9">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4BE24B" w14:textId="77777777" w:rsidR="00E94671" w:rsidRPr="0054762C" w:rsidRDefault="00E94671" w:rsidP="004C7897">
      <w:pPr>
        <w:pStyle w:val="Footer"/>
        <w:bidi/>
        <w:spacing w:after="80" w:line="200" w:lineRule="exact"/>
        <w:ind w:left="680"/>
      </w:pPr>
      <w:r>
        <w:rPr>
          <w:rtl/>
        </w:rPr>
        <w:t>__________</w:t>
      </w:r>
    </w:p>
  </w:footnote>
  <w:footnote w:type="continuationSeparator" w:id="0">
    <w:p w14:paraId="14253325" w14:textId="77777777" w:rsidR="00E94671" w:rsidRDefault="00E94671" w:rsidP="00656392">
      <w:pPr>
        <w:spacing w:line="240" w:lineRule="auto"/>
      </w:pPr>
      <w:r>
        <w:continuationSeparator/>
      </w:r>
    </w:p>
  </w:footnote>
  <w:footnote w:id="1">
    <w:p w14:paraId="0935AD83" w14:textId="183D6574" w:rsidR="00FF2EA3" w:rsidRPr="00FF2EA3" w:rsidRDefault="00FF2EA3" w:rsidP="00FF2EA3">
      <w:pPr>
        <w:pStyle w:val="FootnoteText1"/>
        <w:rPr>
          <w:rFonts w:hint="cs"/>
          <w:rtl/>
        </w:rPr>
      </w:pPr>
      <w:r w:rsidRPr="00FF2EA3">
        <w:rPr>
          <w:rtl/>
        </w:rPr>
        <w:t>*</w:t>
      </w:r>
      <w:r w:rsidRPr="00FF2EA3">
        <w:rPr>
          <w:rtl/>
        </w:rPr>
        <w:tab/>
      </w:r>
      <w:r w:rsidRPr="00FF2EA3">
        <w:rPr>
          <w:rFonts w:eastAsiaTheme="minorEastAsia"/>
          <w:rtl/>
        </w:rPr>
        <w:t xml:space="preserve">اعتمدته اللجنة بين دورتين في </w:t>
      </w:r>
      <w:r w:rsidRPr="00BD31CD">
        <w:rPr>
          <w:rFonts w:eastAsiaTheme="minorEastAsia"/>
          <w:rtl/>
        </w:rPr>
        <w:t>12</w:t>
      </w:r>
      <w:r w:rsidRPr="00FF2EA3">
        <w:rPr>
          <w:rFonts w:eastAsiaTheme="minorEastAsia"/>
          <w:rtl/>
        </w:rPr>
        <w:t xml:space="preserve"> آذار/مارس </w:t>
      </w:r>
      <w:r w:rsidRPr="00BD31CD">
        <w:rPr>
          <w:rFonts w:eastAsiaTheme="minorEastAsia"/>
          <w:rtl/>
        </w:rPr>
        <w:t>2021</w:t>
      </w:r>
      <w:r w:rsidRPr="00FF2EA3">
        <w:rPr>
          <w:rFonts w:eastAsiaTheme="minorEastAsia"/>
          <w:rtl/>
        </w:rPr>
        <w:t>.</w:t>
      </w:r>
    </w:p>
  </w:footnote>
  <w:footnote w:id="2">
    <w:p w14:paraId="5BF9BE86" w14:textId="08288789" w:rsidR="00FF2EA3" w:rsidRPr="00FF2EA3" w:rsidRDefault="00FF2EA3" w:rsidP="00FF2EA3">
      <w:pPr>
        <w:pStyle w:val="FootnoteText1"/>
        <w:textDirection w:val="tbRlV"/>
        <w:rPr>
          <w:rFonts w:eastAsiaTheme="minorEastAsia"/>
          <w:lang w:val="ar-SA" w:eastAsia="zh-TW" w:bidi="en-GB"/>
        </w:rPr>
      </w:pPr>
      <w:r w:rsidRPr="00FF2EA3">
        <w:rPr>
          <w:rtl/>
        </w:rPr>
        <w:t>(</w:t>
      </w:r>
      <w:r w:rsidRPr="00BD31CD">
        <w:footnoteRef/>
      </w:r>
      <w:r w:rsidRPr="00FF2EA3">
        <w:rPr>
          <w:rtl/>
        </w:rPr>
        <w:t>)</w:t>
      </w:r>
      <w:r w:rsidRPr="00FF2EA3">
        <w:rPr>
          <w:rFonts w:eastAsiaTheme="minorEastAsia"/>
          <w:rtl/>
        </w:rPr>
        <w:tab/>
        <w:t xml:space="preserve">انظر قرار الجمعية العامة </w:t>
      </w:r>
      <w:r w:rsidRPr="00BD31CD">
        <w:rPr>
          <w:rFonts w:eastAsiaTheme="minorEastAsia"/>
          <w:rtl/>
        </w:rPr>
        <w:t>70</w:t>
      </w:r>
      <w:r w:rsidRPr="00FF2EA3">
        <w:rPr>
          <w:rFonts w:eastAsiaTheme="minorEastAsia"/>
          <w:rtl/>
        </w:rPr>
        <w:t>/</w:t>
      </w:r>
      <w:r w:rsidRPr="00BD31CD">
        <w:rPr>
          <w:rFonts w:eastAsiaTheme="minorEastAsia"/>
          <w:rtl/>
        </w:rPr>
        <w:t>1</w:t>
      </w:r>
      <w:r w:rsidRPr="00FF2EA3">
        <w:rPr>
          <w:rFonts w:eastAsiaTheme="minorEastAsia"/>
          <w:rtl/>
        </w:rPr>
        <w:t xml:space="preserve"> بشأن تحويل عالمنا: خطة التنمية المستدامة لعام </w:t>
      </w:r>
      <w:r w:rsidRPr="00BD31CD">
        <w:rPr>
          <w:rFonts w:eastAsiaTheme="minorEastAsia"/>
          <w:rtl/>
        </w:rPr>
        <w:t>2030</w:t>
      </w:r>
      <w:r w:rsidRPr="00FF2EA3">
        <w:rPr>
          <w:rFonts w:eastAsiaTheme="minorEastAsia"/>
          <w:rtl/>
        </w:rPr>
        <w:t xml:space="preserve">. وانظر أيضاً بيان </w:t>
      </w:r>
      <w:proofErr w:type="spellStart"/>
      <w:r w:rsidRPr="00FF2EA3">
        <w:rPr>
          <w:rFonts w:eastAsiaTheme="minorEastAsia"/>
          <w:rtl/>
        </w:rPr>
        <w:t>أوبيورا</w:t>
      </w:r>
      <w:proofErr w:type="spellEnd"/>
      <w:r w:rsidRPr="00FF2EA3">
        <w:rPr>
          <w:rFonts w:eastAsiaTheme="minorEastAsia"/>
          <w:rtl/>
        </w:rPr>
        <w:t xml:space="preserve"> س. </w:t>
      </w:r>
      <w:proofErr w:type="spellStart"/>
      <w:r w:rsidRPr="00FF2EA3">
        <w:rPr>
          <w:rFonts w:eastAsiaTheme="minorEastAsia"/>
          <w:rtl/>
        </w:rPr>
        <w:t>أوكافور</w:t>
      </w:r>
      <w:proofErr w:type="spellEnd"/>
      <w:r w:rsidRPr="00FF2EA3">
        <w:rPr>
          <w:rFonts w:eastAsiaTheme="minorEastAsia"/>
          <w:rtl/>
        </w:rPr>
        <w:t xml:space="preserve">، الخبير المستقل المعني بحقوق الإنسان والتضامن الدولي، </w:t>
      </w:r>
      <w:r w:rsidRPr="00FF2EA3">
        <w:rPr>
          <w:rFonts w:eastAsiaTheme="minorEastAsia"/>
        </w:rPr>
        <w:t>“UN expert says global coordination and more equitable sharing of COVID-</w:t>
      </w:r>
      <w:r w:rsidRPr="00BD31CD">
        <w:rPr>
          <w:rFonts w:eastAsiaTheme="minorEastAsia"/>
        </w:rPr>
        <w:t>19</w:t>
      </w:r>
      <w:r w:rsidRPr="00FF2EA3">
        <w:rPr>
          <w:rFonts w:eastAsiaTheme="minorEastAsia"/>
        </w:rPr>
        <w:t xml:space="preserve"> vaccines key to recovery”</w:t>
      </w:r>
      <w:r w:rsidRPr="00FF2EA3">
        <w:rPr>
          <w:rFonts w:eastAsiaTheme="minorEastAsia"/>
          <w:rtl/>
        </w:rPr>
        <w:t xml:space="preserve">، </w:t>
      </w:r>
      <w:r w:rsidRPr="00BD31CD">
        <w:rPr>
          <w:rFonts w:eastAsiaTheme="minorEastAsia"/>
          <w:rtl/>
        </w:rPr>
        <w:t>22</w:t>
      </w:r>
      <w:r w:rsidRPr="00FF2EA3">
        <w:rPr>
          <w:rFonts w:eastAsiaTheme="minorEastAsia"/>
          <w:rtl/>
        </w:rPr>
        <w:t xml:space="preserve"> كانون الثاني/يناير </w:t>
      </w:r>
      <w:r w:rsidRPr="00BD31CD">
        <w:rPr>
          <w:rFonts w:eastAsiaTheme="minorEastAsia"/>
          <w:rtl/>
        </w:rPr>
        <w:t>2021</w:t>
      </w:r>
      <w:r w:rsidRPr="00FF2EA3">
        <w:rPr>
          <w:rFonts w:eastAsiaTheme="minorEastAsia"/>
          <w:rtl/>
        </w:rPr>
        <w:t>.</w:t>
      </w:r>
    </w:p>
  </w:footnote>
  <w:footnote w:id="3">
    <w:p w14:paraId="099EC5C0" w14:textId="1C4CBEDD" w:rsidR="00FF2EA3" w:rsidRPr="00FF2EA3" w:rsidRDefault="00FF2EA3" w:rsidP="00FF2EA3">
      <w:pPr>
        <w:pStyle w:val="FootnoteText1"/>
        <w:textDirection w:val="tbRlV"/>
        <w:rPr>
          <w:rFonts w:eastAsiaTheme="minorEastAsia"/>
          <w:lang w:val="ar-SA" w:eastAsia="zh-TW" w:bidi="en-GB"/>
        </w:rPr>
      </w:pPr>
      <w:r w:rsidRPr="00FF2EA3">
        <w:rPr>
          <w:rtl/>
        </w:rPr>
        <w:t>(</w:t>
      </w:r>
      <w:r w:rsidRPr="00BD31CD">
        <w:footnoteRef/>
      </w:r>
      <w:r w:rsidRPr="00FF2EA3">
        <w:rPr>
          <w:rtl/>
        </w:rPr>
        <w:t>)</w:t>
      </w:r>
      <w:r w:rsidRPr="00FF2EA3">
        <w:rPr>
          <w:rFonts w:eastAsiaTheme="minorEastAsia"/>
          <w:rtl/>
        </w:rPr>
        <w:tab/>
        <w:t xml:space="preserve">لين </w:t>
      </w:r>
      <w:proofErr w:type="spellStart"/>
      <w:r w:rsidRPr="00FF2EA3">
        <w:rPr>
          <w:rFonts w:eastAsiaTheme="minorEastAsia"/>
          <w:rtl/>
        </w:rPr>
        <w:t>إيتون</w:t>
      </w:r>
      <w:proofErr w:type="spellEnd"/>
      <w:r w:rsidRPr="00FF2EA3">
        <w:rPr>
          <w:rFonts w:eastAsiaTheme="minorEastAsia"/>
          <w:rtl/>
        </w:rPr>
        <w:t xml:space="preserve">، </w:t>
      </w:r>
      <w:r w:rsidRPr="00FF2EA3">
        <w:rPr>
          <w:rFonts w:eastAsiaTheme="minorEastAsia"/>
        </w:rPr>
        <w:t>“Covid-</w:t>
      </w:r>
      <w:r w:rsidRPr="00BD31CD">
        <w:rPr>
          <w:rFonts w:eastAsiaTheme="minorEastAsia"/>
        </w:rPr>
        <w:t>19</w:t>
      </w:r>
      <w:r w:rsidRPr="00FF2EA3">
        <w:rPr>
          <w:rFonts w:eastAsiaTheme="minorEastAsia"/>
        </w:rPr>
        <w:t xml:space="preserve">: WHO warns against ‘vaccine nationalism’ or face further virus </w:t>
      </w:r>
      <w:proofErr w:type="gramStart"/>
      <w:r w:rsidRPr="00FF2EA3">
        <w:rPr>
          <w:rFonts w:eastAsiaTheme="minorEastAsia"/>
        </w:rPr>
        <w:t>mutations”,</w:t>
      </w:r>
      <w:proofErr w:type="gramEnd"/>
      <w:r w:rsidR="00E57B80">
        <w:rPr>
          <w:rFonts w:eastAsiaTheme="minorEastAsia"/>
          <w:rtl/>
        </w:rPr>
        <w:br/>
      </w:r>
      <w:r w:rsidRPr="00FF2EA3">
        <w:rPr>
          <w:rFonts w:eastAsiaTheme="minorEastAsia"/>
        </w:rPr>
        <w:t xml:space="preserve"> </w:t>
      </w:r>
      <w:r w:rsidRPr="00BD31CD">
        <w:rPr>
          <w:rFonts w:eastAsiaTheme="minorEastAsia"/>
          <w:i/>
          <w:iCs/>
        </w:rPr>
        <w:t>The</w:t>
      </w:r>
      <w:r w:rsidRPr="00FF2EA3">
        <w:rPr>
          <w:rFonts w:eastAsiaTheme="minorEastAsia"/>
        </w:rPr>
        <w:t xml:space="preserve"> </w:t>
      </w:r>
      <w:r w:rsidRPr="00BD31CD">
        <w:rPr>
          <w:rFonts w:eastAsiaTheme="minorEastAsia"/>
          <w:i/>
          <w:iCs/>
        </w:rPr>
        <w:t>BMJ</w:t>
      </w:r>
      <w:r w:rsidRPr="00FF2EA3">
        <w:rPr>
          <w:rFonts w:eastAsiaTheme="minorEastAsia"/>
        </w:rPr>
        <w:t xml:space="preserve">, vol. </w:t>
      </w:r>
      <w:r w:rsidRPr="00BD31CD">
        <w:rPr>
          <w:rFonts w:eastAsiaTheme="minorEastAsia"/>
        </w:rPr>
        <w:t>372</w:t>
      </w:r>
      <w:r w:rsidRPr="00FF2EA3">
        <w:rPr>
          <w:rFonts w:eastAsiaTheme="minorEastAsia"/>
        </w:rPr>
        <w:t xml:space="preserve">, No. </w:t>
      </w:r>
      <w:r w:rsidRPr="00BD31CD">
        <w:rPr>
          <w:rFonts w:eastAsiaTheme="minorEastAsia"/>
        </w:rPr>
        <w:t>292</w:t>
      </w:r>
      <w:r w:rsidRPr="00FF2EA3">
        <w:rPr>
          <w:rFonts w:eastAsiaTheme="minorEastAsia"/>
          <w:rtl/>
        </w:rPr>
        <w:t xml:space="preserve"> (</w:t>
      </w:r>
      <w:r w:rsidRPr="00BD31CD">
        <w:rPr>
          <w:rFonts w:eastAsiaTheme="minorEastAsia"/>
          <w:rtl/>
        </w:rPr>
        <w:t>1</w:t>
      </w:r>
      <w:r w:rsidRPr="00FF2EA3">
        <w:rPr>
          <w:rFonts w:eastAsiaTheme="minorEastAsia"/>
          <w:rtl/>
        </w:rPr>
        <w:t xml:space="preserve"> شباط/فبراير </w:t>
      </w:r>
      <w:r w:rsidRPr="00BD31CD">
        <w:rPr>
          <w:rFonts w:eastAsiaTheme="minorEastAsia"/>
          <w:rtl/>
        </w:rPr>
        <w:t>2021</w:t>
      </w:r>
      <w:r w:rsidRPr="00FF2EA3">
        <w:rPr>
          <w:rFonts w:eastAsiaTheme="minorEastAsia"/>
          <w:rtl/>
        </w:rPr>
        <w:t>).</w:t>
      </w:r>
    </w:p>
  </w:footnote>
  <w:footnote w:id="4">
    <w:p w14:paraId="1E308EE4" w14:textId="1C62BA97" w:rsidR="00FF2EA3" w:rsidRPr="00FF2EA3" w:rsidRDefault="00FF2EA3" w:rsidP="00FF2EA3">
      <w:pPr>
        <w:pStyle w:val="FootnoteText1"/>
        <w:textDirection w:val="tbRlV"/>
        <w:rPr>
          <w:rFonts w:eastAsiaTheme="minorEastAsia"/>
          <w:lang w:eastAsia="zh-TW" w:bidi="en-GB"/>
        </w:rPr>
      </w:pPr>
      <w:r w:rsidRPr="00FF2EA3">
        <w:rPr>
          <w:rFonts w:eastAsiaTheme="minorEastAsia"/>
          <w:rtl/>
        </w:rPr>
        <w:t>(</w:t>
      </w:r>
      <w:r w:rsidRPr="00BD31CD">
        <w:rPr>
          <w:rStyle w:val="FootnoteReference"/>
          <w:rFonts w:eastAsiaTheme="minorEastAsia"/>
          <w:vertAlign w:val="baseline"/>
        </w:rPr>
        <w:footnoteRef/>
      </w:r>
      <w:r w:rsidRPr="00FF2EA3">
        <w:rPr>
          <w:rStyle w:val="FootnoteReference"/>
          <w:rFonts w:eastAsiaTheme="minorEastAsia"/>
          <w:vertAlign w:val="baseline"/>
          <w:rtl/>
        </w:rPr>
        <w:t>)</w:t>
      </w:r>
      <w:r w:rsidRPr="00FF2EA3">
        <w:rPr>
          <w:rFonts w:eastAsiaTheme="minorEastAsia"/>
          <w:rtl/>
        </w:rPr>
        <w:tab/>
        <w:t xml:space="preserve">انظر بيان اللجنة المؤرخ </w:t>
      </w:r>
      <w:r w:rsidRPr="00BD31CD">
        <w:rPr>
          <w:rFonts w:eastAsiaTheme="minorEastAsia"/>
          <w:rtl/>
        </w:rPr>
        <w:t>6</w:t>
      </w:r>
      <w:r w:rsidRPr="00FF2EA3">
        <w:rPr>
          <w:rFonts w:eastAsiaTheme="minorEastAsia"/>
          <w:rtl/>
        </w:rPr>
        <w:t xml:space="preserve"> نيسان/أبريل </w:t>
      </w:r>
      <w:r w:rsidRPr="00BD31CD">
        <w:rPr>
          <w:rFonts w:eastAsiaTheme="minorEastAsia"/>
          <w:rtl/>
        </w:rPr>
        <w:t>2020</w:t>
      </w:r>
      <w:r w:rsidRPr="00FF2EA3">
        <w:rPr>
          <w:rFonts w:eastAsiaTheme="minorEastAsia"/>
          <w:rtl/>
        </w:rPr>
        <w:t xml:space="preserve"> بشأن جائحة مرض فيروس كورونا (</w:t>
      </w:r>
      <w:proofErr w:type="spellStart"/>
      <w:r w:rsidRPr="00FF2EA3">
        <w:rPr>
          <w:rFonts w:eastAsiaTheme="minorEastAsia"/>
          <w:rtl/>
        </w:rPr>
        <w:t>كوفيد</w:t>
      </w:r>
      <w:proofErr w:type="spellEnd"/>
      <w:r w:rsidRPr="00FF2EA3">
        <w:rPr>
          <w:rFonts w:eastAsiaTheme="minorEastAsia"/>
        </w:rPr>
        <w:t>-</w:t>
      </w:r>
      <w:r w:rsidRPr="00BD31CD">
        <w:rPr>
          <w:rFonts w:eastAsiaTheme="minorEastAsia"/>
          <w:rtl/>
        </w:rPr>
        <w:t>19</w:t>
      </w:r>
      <w:r w:rsidRPr="00FF2EA3">
        <w:rPr>
          <w:rFonts w:eastAsiaTheme="minorEastAsia"/>
          <w:rtl/>
        </w:rPr>
        <w:t>) والحقوق الاقتصادية والاجتماعية والثقافية (</w:t>
      </w:r>
      <w:r w:rsidRPr="00FF2EA3">
        <w:rPr>
          <w:rFonts w:eastAsiaTheme="minorEastAsia"/>
        </w:rPr>
        <w:t>E/C.</w:t>
      </w:r>
      <w:r w:rsidRPr="00BD31CD">
        <w:rPr>
          <w:rFonts w:eastAsiaTheme="minorEastAsia"/>
        </w:rPr>
        <w:t>12</w:t>
      </w:r>
      <w:r w:rsidRPr="00FF2EA3">
        <w:rPr>
          <w:rFonts w:eastAsiaTheme="minorEastAsia"/>
        </w:rPr>
        <w:t>/</w:t>
      </w:r>
      <w:r w:rsidRPr="00BD31CD">
        <w:rPr>
          <w:rFonts w:eastAsiaTheme="minorEastAsia"/>
        </w:rPr>
        <w:t>2020</w:t>
      </w:r>
      <w:r w:rsidRPr="00FF2EA3">
        <w:rPr>
          <w:rFonts w:eastAsiaTheme="minorEastAsia"/>
        </w:rPr>
        <w:t>/</w:t>
      </w:r>
      <w:r w:rsidRPr="00BD31CD">
        <w:rPr>
          <w:rFonts w:eastAsiaTheme="minorEastAsia"/>
        </w:rPr>
        <w:t>1</w:t>
      </w:r>
      <w:r w:rsidRPr="00FF2EA3">
        <w:rPr>
          <w:rFonts w:eastAsiaTheme="minorEastAsia"/>
          <w:rtl/>
        </w:rPr>
        <w:t xml:space="preserve">) وبيانها المؤرخ </w:t>
      </w:r>
      <w:r w:rsidRPr="00BD31CD">
        <w:rPr>
          <w:rFonts w:eastAsiaTheme="minorEastAsia"/>
          <w:rtl/>
        </w:rPr>
        <w:t>27</w:t>
      </w:r>
      <w:r w:rsidRPr="00FF2EA3">
        <w:rPr>
          <w:rFonts w:eastAsiaTheme="minorEastAsia"/>
          <w:rtl/>
        </w:rPr>
        <w:t xml:space="preserve"> تشرين الثاني/نوفمبر </w:t>
      </w:r>
      <w:r w:rsidRPr="00BD31CD">
        <w:rPr>
          <w:rFonts w:eastAsiaTheme="minorEastAsia"/>
          <w:rtl/>
        </w:rPr>
        <w:t>2020</w:t>
      </w:r>
      <w:r w:rsidRPr="00FF2EA3">
        <w:rPr>
          <w:rFonts w:eastAsiaTheme="minorEastAsia"/>
          <w:rtl/>
        </w:rPr>
        <w:t xml:space="preserve"> بشأن توفير لقاحات مضادة لمرض فيروس كورونا (كوفيد-</w:t>
      </w:r>
      <w:r w:rsidRPr="00BD31CD">
        <w:rPr>
          <w:rFonts w:eastAsiaTheme="minorEastAsia"/>
          <w:rtl/>
        </w:rPr>
        <w:t>19</w:t>
      </w:r>
      <w:r w:rsidRPr="00FF2EA3">
        <w:rPr>
          <w:rFonts w:eastAsiaTheme="minorEastAsia"/>
          <w:rtl/>
        </w:rPr>
        <w:t>) للجميع على قدم المساواة (</w:t>
      </w:r>
      <w:r w:rsidRPr="00FF2EA3">
        <w:rPr>
          <w:rFonts w:eastAsiaTheme="minorEastAsia"/>
        </w:rPr>
        <w:t>E/C.</w:t>
      </w:r>
      <w:r w:rsidRPr="00BD31CD">
        <w:rPr>
          <w:rFonts w:eastAsiaTheme="minorEastAsia"/>
        </w:rPr>
        <w:t>12</w:t>
      </w:r>
      <w:r w:rsidRPr="00FF2EA3">
        <w:rPr>
          <w:rFonts w:eastAsiaTheme="minorEastAsia"/>
        </w:rPr>
        <w:t>/</w:t>
      </w:r>
      <w:r w:rsidRPr="00BD31CD">
        <w:rPr>
          <w:rFonts w:eastAsiaTheme="minorEastAsia"/>
        </w:rPr>
        <w:t>2020</w:t>
      </w:r>
      <w:r w:rsidRPr="00FF2EA3">
        <w:rPr>
          <w:rFonts w:eastAsiaTheme="minorEastAsia"/>
        </w:rPr>
        <w:t>/</w:t>
      </w:r>
      <w:r w:rsidRPr="00BD31CD">
        <w:rPr>
          <w:rFonts w:eastAsiaTheme="minorEastAsia"/>
        </w:rPr>
        <w:t>2</w:t>
      </w:r>
      <w:r w:rsidRPr="00FF2EA3">
        <w:rPr>
          <w:rFonts w:eastAsiaTheme="minorEastAsia"/>
          <w:rtl/>
        </w:rPr>
        <w:t>).</w:t>
      </w:r>
    </w:p>
  </w:footnote>
  <w:footnote w:id="5">
    <w:p w14:paraId="62591515" w14:textId="2C872B26" w:rsidR="00FF2EA3" w:rsidRPr="00FF2EA3" w:rsidRDefault="00FF2EA3" w:rsidP="00FF2EA3">
      <w:pPr>
        <w:pStyle w:val="FootnoteText1"/>
        <w:textDirection w:val="tbRlV"/>
        <w:rPr>
          <w:rFonts w:eastAsiaTheme="minorEastAsia"/>
          <w:lang w:eastAsia="zh-TW" w:bidi="en-GB"/>
        </w:rPr>
      </w:pPr>
      <w:r w:rsidRPr="00FF2EA3">
        <w:rPr>
          <w:rFonts w:eastAsiaTheme="minorEastAsia"/>
          <w:rtl/>
        </w:rPr>
        <w:t>(</w:t>
      </w:r>
      <w:r w:rsidRPr="00BD31CD">
        <w:rPr>
          <w:rStyle w:val="FootnoteReference"/>
          <w:rFonts w:eastAsiaTheme="minorEastAsia"/>
          <w:vertAlign w:val="baseline"/>
        </w:rPr>
        <w:footnoteRef/>
      </w:r>
      <w:r w:rsidRPr="00FF2EA3">
        <w:rPr>
          <w:rStyle w:val="FootnoteReference"/>
          <w:rFonts w:eastAsiaTheme="minorEastAsia"/>
          <w:vertAlign w:val="baseline"/>
          <w:rtl/>
        </w:rPr>
        <w:t>)</w:t>
      </w:r>
      <w:r w:rsidRPr="00FF2EA3">
        <w:rPr>
          <w:rFonts w:eastAsiaTheme="minorEastAsia"/>
          <w:rtl/>
        </w:rPr>
        <w:tab/>
        <w:t xml:space="preserve">العهد الدولي الخاص بالحقوق الاقتصادية والاجتماعية والثقافية، المادة </w:t>
      </w:r>
      <w:r w:rsidRPr="00BD31CD">
        <w:rPr>
          <w:rFonts w:eastAsiaTheme="minorEastAsia"/>
          <w:rtl/>
        </w:rPr>
        <w:t>12</w:t>
      </w:r>
      <w:r w:rsidRPr="00FF2EA3">
        <w:rPr>
          <w:rFonts w:eastAsiaTheme="minorEastAsia"/>
          <w:rtl/>
        </w:rPr>
        <w:t xml:space="preserve">، والإعلان العالمي لحقوق الإنسان، المادة </w:t>
      </w:r>
      <w:r w:rsidRPr="00BD31CD">
        <w:rPr>
          <w:rFonts w:eastAsiaTheme="minorEastAsia"/>
          <w:rtl/>
        </w:rPr>
        <w:t>25</w:t>
      </w:r>
      <w:r w:rsidRPr="00FF2EA3">
        <w:rPr>
          <w:rFonts w:eastAsiaTheme="minorEastAsia"/>
          <w:rtl/>
        </w:rPr>
        <w:t>.</w:t>
      </w:r>
    </w:p>
  </w:footnote>
  <w:footnote w:id="6">
    <w:p w14:paraId="4DAD5BAE" w14:textId="071ED0B9" w:rsidR="00FF2EA3" w:rsidRPr="00FF2EA3" w:rsidRDefault="00FF2EA3" w:rsidP="00FF2EA3">
      <w:pPr>
        <w:pStyle w:val="FootnoteText1"/>
        <w:textDirection w:val="tbRlV"/>
        <w:rPr>
          <w:rFonts w:eastAsiaTheme="minorEastAsia"/>
          <w:lang w:val="ar-SA" w:eastAsia="zh-TW" w:bidi="en-GB"/>
        </w:rPr>
      </w:pPr>
      <w:r w:rsidRPr="00FF2EA3">
        <w:rPr>
          <w:rFonts w:eastAsiaTheme="minorEastAsia"/>
          <w:rtl/>
        </w:rPr>
        <w:t>(</w:t>
      </w:r>
      <w:r w:rsidRPr="00BD31CD">
        <w:rPr>
          <w:rStyle w:val="FootnoteReference"/>
          <w:rFonts w:eastAsiaTheme="minorEastAsia"/>
          <w:vertAlign w:val="baseline"/>
        </w:rPr>
        <w:footnoteRef/>
      </w:r>
      <w:r w:rsidRPr="00FF2EA3">
        <w:rPr>
          <w:rStyle w:val="FootnoteReference"/>
          <w:rFonts w:eastAsiaTheme="minorEastAsia"/>
          <w:vertAlign w:val="baseline"/>
          <w:rtl/>
        </w:rPr>
        <w:t>)</w:t>
      </w:r>
      <w:r w:rsidRPr="00FF2EA3">
        <w:rPr>
          <w:rFonts w:eastAsiaTheme="minorEastAsia"/>
          <w:rtl/>
        </w:rPr>
        <w:tab/>
        <w:t xml:space="preserve">العهد الدولي الخاص بالحقوق الاقتصادية والاجتماعية والثقافية، المادة </w:t>
      </w:r>
      <w:r w:rsidRPr="00BD31CD">
        <w:rPr>
          <w:rFonts w:eastAsiaTheme="minorEastAsia"/>
          <w:rtl/>
        </w:rPr>
        <w:t>15</w:t>
      </w:r>
      <w:r w:rsidRPr="00FF2EA3">
        <w:rPr>
          <w:rFonts w:eastAsiaTheme="minorEastAsia"/>
          <w:rtl/>
        </w:rPr>
        <w:t xml:space="preserve">، والإعلان العالمي لحقوق الإنسان، المادة </w:t>
      </w:r>
      <w:r w:rsidRPr="00BD31CD">
        <w:rPr>
          <w:rFonts w:eastAsiaTheme="minorEastAsia"/>
          <w:rtl/>
        </w:rPr>
        <w:t>27</w:t>
      </w:r>
      <w:r w:rsidRPr="00FF2EA3">
        <w:rPr>
          <w:rFonts w:eastAsiaTheme="minorEastAsia"/>
          <w:rtl/>
        </w:rPr>
        <w:t>.</w:t>
      </w:r>
    </w:p>
  </w:footnote>
  <w:footnote w:id="7">
    <w:p w14:paraId="76B38722" w14:textId="7D2173F4" w:rsidR="00FF2EA3" w:rsidRPr="00FF2EA3" w:rsidRDefault="00FF2EA3" w:rsidP="00FF2EA3">
      <w:pPr>
        <w:pStyle w:val="FootnoteText1"/>
        <w:textDirection w:val="tbRlV"/>
        <w:rPr>
          <w:rFonts w:eastAsiaTheme="minorEastAsia"/>
          <w:lang w:val="ar-SA" w:eastAsia="zh-TW" w:bidi="en-GB"/>
        </w:rPr>
      </w:pPr>
      <w:r w:rsidRPr="00FF2EA3">
        <w:rPr>
          <w:rFonts w:eastAsiaTheme="minorEastAsia"/>
          <w:rtl/>
        </w:rPr>
        <w:t>(</w:t>
      </w:r>
      <w:r w:rsidRPr="00BD31CD">
        <w:rPr>
          <w:rStyle w:val="FootnoteReference"/>
          <w:rFonts w:eastAsiaTheme="minorEastAsia"/>
          <w:vertAlign w:val="baseline"/>
        </w:rPr>
        <w:footnoteRef/>
      </w:r>
      <w:r w:rsidRPr="00FF2EA3">
        <w:rPr>
          <w:rStyle w:val="FootnoteReference"/>
          <w:rFonts w:eastAsiaTheme="minorEastAsia"/>
          <w:vertAlign w:val="baseline"/>
          <w:rtl/>
        </w:rPr>
        <w:t>)</w:t>
      </w:r>
      <w:r w:rsidRPr="00FF2EA3">
        <w:rPr>
          <w:rFonts w:eastAsiaTheme="minorEastAsia"/>
          <w:rtl/>
        </w:rPr>
        <w:tab/>
        <w:t xml:space="preserve">العهد الدولي الخاص بالحقوق الاقتصادية والاجتماعية والثقافية، المواد </w:t>
      </w:r>
      <w:r w:rsidRPr="00BD31CD">
        <w:rPr>
          <w:rFonts w:eastAsiaTheme="minorEastAsia"/>
          <w:rtl/>
        </w:rPr>
        <w:t>2</w:t>
      </w:r>
      <w:r w:rsidRPr="00FF2EA3">
        <w:rPr>
          <w:rFonts w:eastAsiaTheme="minorEastAsia"/>
          <w:rtl/>
        </w:rPr>
        <w:t xml:space="preserve"> و</w:t>
      </w:r>
      <w:r w:rsidRPr="00BD31CD">
        <w:rPr>
          <w:rFonts w:eastAsiaTheme="minorEastAsia"/>
          <w:rtl/>
        </w:rPr>
        <w:t>12</w:t>
      </w:r>
      <w:r w:rsidRPr="00FF2EA3">
        <w:rPr>
          <w:rFonts w:eastAsiaTheme="minorEastAsia"/>
          <w:rtl/>
        </w:rPr>
        <w:t xml:space="preserve"> و</w:t>
      </w:r>
      <w:r w:rsidRPr="00BD31CD">
        <w:rPr>
          <w:rFonts w:eastAsiaTheme="minorEastAsia"/>
          <w:rtl/>
        </w:rPr>
        <w:t>15</w:t>
      </w:r>
      <w:r w:rsidRPr="00FF2EA3">
        <w:rPr>
          <w:rFonts w:eastAsiaTheme="minorEastAsia"/>
          <w:rtl/>
        </w:rPr>
        <w:t>.</w:t>
      </w:r>
    </w:p>
  </w:footnote>
  <w:footnote w:id="8">
    <w:p w14:paraId="5233D42C" w14:textId="14C75615" w:rsidR="00FF2EA3" w:rsidRPr="00FF2EA3" w:rsidRDefault="00FF2EA3" w:rsidP="00FF2EA3">
      <w:pPr>
        <w:pStyle w:val="FootnoteText1"/>
        <w:textDirection w:val="tbRlV"/>
        <w:rPr>
          <w:rFonts w:eastAsiaTheme="minorEastAsia"/>
          <w:lang w:val="ar-SA" w:eastAsia="zh-TW" w:bidi="en-GB"/>
        </w:rPr>
      </w:pPr>
      <w:r w:rsidRPr="00FF2EA3">
        <w:rPr>
          <w:rFonts w:eastAsiaTheme="minorEastAsia"/>
          <w:rtl/>
        </w:rPr>
        <w:t>(</w:t>
      </w:r>
      <w:r w:rsidRPr="00BD31CD">
        <w:rPr>
          <w:rStyle w:val="FootnoteReference"/>
          <w:rFonts w:eastAsiaTheme="minorEastAsia"/>
          <w:vertAlign w:val="baseline"/>
        </w:rPr>
        <w:footnoteRef/>
      </w:r>
      <w:r w:rsidRPr="00FF2EA3">
        <w:rPr>
          <w:rStyle w:val="FootnoteReference"/>
          <w:rFonts w:eastAsiaTheme="minorEastAsia"/>
          <w:vertAlign w:val="baseline"/>
          <w:rtl/>
        </w:rPr>
        <w:t>)</w:t>
      </w:r>
      <w:r w:rsidRPr="00FF2EA3">
        <w:rPr>
          <w:rFonts w:eastAsiaTheme="minorEastAsia"/>
          <w:rtl/>
        </w:rPr>
        <w:tab/>
        <w:t>اللجنة المعنية بالحقوق الاقتصادية والاجتماعية والثقافية، البيان المتعلق بالديْن العام، وتدابير التقشف، والعهد الدولي الخاص بالحقوق الاقتصادية والاجتماعية والثقافية (</w:t>
      </w:r>
      <w:r w:rsidRPr="00FF2EA3">
        <w:rPr>
          <w:rFonts w:eastAsiaTheme="minorEastAsia"/>
        </w:rPr>
        <w:t>E/C.</w:t>
      </w:r>
      <w:r w:rsidRPr="00BD31CD">
        <w:rPr>
          <w:rFonts w:eastAsiaTheme="minorEastAsia"/>
        </w:rPr>
        <w:t>12</w:t>
      </w:r>
      <w:r w:rsidRPr="00FF2EA3">
        <w:rPr>
          <w:rFonts w:eastAsiaTheme="minorEastAsia"/>
        </w:rPr>
        <w:t>/</w:t>
      </w:r>
      <w:r w:rsidRPr="00BD31CD">
        <w:rPr>
          <w:rFonts w:eastAsiaTheme="minorEastAsia"/>
        </w:rPr>
        <w:t>2016</w:t>
      </w:r>
      <w:r w:rsidRPr="00FF2EA3">
        <w:rPr>
          <w:rFonts w:eastAsiaTheme="minorEastAsia"/>
        </w:rPr>
        <w:t>/</w:t>
      </w:r>
      <w:r w:rsidRPr="00BD31CD">
        <w:rPr>
          <w:rFonts w:eastAsiaTheme="minorEastAsia"/>
        </w:rPr>
        <w:t>1</w:t>
      </w:r>
      <w:r w:rsidRPr="00FF2EA3">
        <w:rPr>
          <w:rFonts w:eastAsiaTheme="minorEastAsia"/>
          <w:rtl/>
        </w:rPr>
        <w:t xml:space="preserve">)، الفقرة </w:t>
      </w:r>
      <w:r w:rsidRPr="00BD31CD">
        <w:rPr>
          <w:rFonts w:eastAsiaTheme="minorEastAsia"/>
          <w:rtl/>
        </w:rPr>
        <w:t>9</w:t>
      </w:r>
      <w:r w:rsidRPr="00FF2EA3">
        <w:rPr>
          <w:rFonts w:eastAsiaTheme="minorEastAsia"/>
          <w:rtl/>
        </w:rPr>
        <w:t>.</w:t>
      </w:r>
    </w:p>
  </w:footnote>
  <w:footnote w:id="9">
    <w:p w14:paraId="7DA8EA9B" w14:textId="6151AB52" w:rsidR="00FF2EA3" w:rsidRPr="00FF2EA3" w:rsidRDefault="00FF2EA3" w:rsidP="00FF2EA3">
      <w:pPr>
        <w:pStyle w:val="FootnoteText1"/>
        <w:textDirection w:val="tbRlV"/>
        <w:rPr>
          <w:rFonts w:eastAsiaTheme="minorEastAsia"/>
          <w:lang w:val="ar-SA" w:eastAsia="zh-TW" w:bidi="en-GB"/>
        </w:rPr>
      </w:pPr>
      <w:r w:rsidRPr="00FF2EA3">
        <w:rPr>
          <w:rFonts w:eastAsiaTheme="minorEastAsia"/>
          <w:rtl/>
        </w:rPr>
        <w:t>(</w:t>
      </w:r>
      <w:r w:rsidRPr="00BD31CD">
        <w:rPr>
          <w:rStyle w:val="FootnoteReference"/>
          <w:rFonts w:eastAsiaTheme="minorEastAsia"/>
          <w:vertAlign w:val="baseline"/>
        </w:rPr>
        <w:footnoteRef/>
      </w:r>
      <w:r w:rsidRPr="00FF2EA3">
        <w:rPr>
          <w:rStyle w:val="FootnoteReference"/>
          <w:rFonts w:eastAsiaTheme="minorEastAsia"/>
          <w:vertAlign w:val="baseline"/>
          <w:rtl/>
        </w:rPr>
        <w:t>)</w:t>
      </w:r>
      <w:r w:rsidRPr="00FF2EA3">
        <w:rPr>
          <w:rFonts w:eastAsiaTheme="minorEastAsia"/>
          <w:rtl/>
        </w:rPr>
        <w:tab/>
        <w:t xml:space="preserve">ميثاق الأمم </w:t>
      </w:r>
      <w:r w:rsidRPr="00FF2EA3">
        <w:rPr>
          <w:rtl/>
        </w:rPr>
        <w:t>المتحدة</w:t>
      </w:r>
      <w:r w:rsidRPr="00FF2EA3">
        <w:rPr>
          <w:rFonts w:eastAsiaTheme="minorEastAsia"/>
          <w:rtl/>
        </w:rPr>
        <w:t xml:space="preserve">، المادتان </w:t>
      </w:r>
      <w:r w:rsidRPr="00BD31CD">
        <w:rPr>
          <w:rFonts w:eastAsiaTheme="minorEastAsia"/>
          <w:rtl/>
        </w:rPr>
        <w:t>55</w:t>
      </w:r>
      <w:r w:rsidRPr="00FF2EA3">
        <w:rPr>
          <w:rFonts w:eastAsiaTheme="minorEastAsia"/>
          <w:rtl/>
        </w:rPr>
        <w:t xml:space="preserve"> و</w:t>
      </w:r>
      <w:r w:rsidRPr="00BD31CD">
        <w:rPr>
          <w:rFonts w:eastAsiaTheme="minorEastAsia"/>
          <w:rtl/>
        </w:rPr>
        <w:t>56</w:t>
      </w:r>
      <w:r w:rsidRPr="00FF2EA3">
        <w:rPr>
          <w:rFonts w:eastAsiaTheme="minorEastAsia"/>
          <w:rtl/>
        </w:rPr>
        <w:t>. انظر أيضاً اللجنة المعنية بالحقوق الاقتصادية والاجتماعية والثقافية، التعليق العام رقم</w:t>
      </w:r>
      <w:r w:rsidR="00E57B80">
        <w:rPr>
          <w:rFonts w:eastAsiaTheme="minorEastAsia" w:hint="cs"/>
          <w:rtl/>
        </w:rPr>
        <w:t> </w:t>
      </w:r>
      <w:r w:rsidRPr="00BD31CD">
        <w:rPr>
          <w:rFonts w:eastAsiaTheme="minorEastAsia"/>
          <w:rtl/>
        </w:rPr>
        <w:t>24</w:t>
      </w:r>
      <w:r w:rsidRPr="00FF2EA3">
        <w:rPr>
          <w:rFonts w:eastAsiaTheme="minorEastAsia"/>
          <w:rtl/>
        </w:rPr>
        <w:t>(</w:t>
      </w:r>
      <w:r w:rsidRPr="00BD31CD">
        <w:rPr>
          <w:rFonts w:eastAsiaTheme="minorEastAsia"/>
          <w:rtl/>
        </w:rPr>
        <w:t>2017</w:t>
      </w:r>
      <w:r w:rsidRPr="00FF2EA3">
        <w:rPr>
          <w:rFonts w:eastAsiaTheme="minorEastAsia"/>
          <w:rtl/>
        </w:rPr>
        <w:t>) بشأن التزامات الدول بموجب العهد الدولي الخاص بالحقوق الاقتصادية والاجتماعية والثقافية في سياق الأنشطة</w:t>
      </w:r>
      <w:r w:rsidR="00E57B80">
        <w:rPr>
          <w:rFonts w:eastAsiaTheme="minorEastAsia" w:hint="cs"/>
          <w:rtl/>
        </w:rPr>
        <w:t> </w:t>
      </w:r>
      <w:r w:rsidRPr="00FF2EA3">
        <w:rPr>
          <w:rFonts w:eastAsiaTheme="minorEastAsia"/>
          <w:rtl/>
        </w:rPr>
        <w:t>التجارية.</w:t>
      </w:r>
    </w:p>
  </w:footnote>
  <w:footnote w:id="10">
    <w:p w14:paraId="128FB19D" w14:textId="2534CB34" w:rsidR="00FF2EA3" w:rsidRPr="00FF2EA3" w:rsidRDefault="00FF2EA3" w:rsidP="00FF2EA3">
      <w:pPr>
        <w:pStyle w:val="FootnoteText1"/>
        <w:textDirection w:val="tbRlV"/>
        <w:rPr>
          <w:rFonts w:eastAsiaTheme="minorEastAsia"/>
          <w:lang w:val="ar-SA" w:eastAsia="zh-TW" w:bidi="en-GB"/>
        </w:rPr>
      </w:pPr>
      <w:r w:rsidRPr="00FF2EA3">
        <w:rPr>
          <w:rFonts w:eastAsiaTheme="minorEastAsia"/>
          <w:rtl/>
        </w:rPr>
        <w:t>(</w:t>
      </w:r>
      <w:r w:rsidRPr="00BD31CD">
        <w:rPr>
          <w:rStyle w:val="FootnoteReference"/>
          <w:rFonts w:eastAsiaTheme="minorEastAsia"/>
          <w:vertAlign w:val="baseline"/>
        </w:rPr>
        <w:footnoteRef/>
      </w:r>
      <w:r w:rsidRPr="00FF2EA3">
        <w:rPr>
          <w:rStyle w:val="FootnoteReference"/>
          <w:rFonts w:eastAsiaTheme="minorEastAsia"/>
          <w:vertAlign w:val="baseline"/>
          <w:rtl/>
        </w:rPr>
        <w:t>)</w:t>
      </w:r>
      <w:r w:rsidRPr="00FF2EA3">
        <w:rPr>
          <w:rFonts w:eastAsiaTheme="minorEastAsia"/>
          <w:rtl/>
        </w:rPr>
        <w:tab/>
        <w:t xml:space="preserve">العهد الدولي الخاص بالحقوق الاقتصادية والاجتماعية والثقافية، المادة </w:t>
      </w:r>
      <w:r w:rsidRPr="00BD31CD">
        <w:rPr>
          <w:rFonts w:eastAsiaTheme="minorEastAsia"/>
          <w:rtl/>
        </w:rPr>
        <w:t>2</w:t>
      </w:r>
      <w:r w:rsidRPr="00FF2EA3">
        <w:rPr>
          <w:rFonts w:eastAsiaTheme="minorEastAsia"/>
          <w:rtl/>
        </w:rPr>
        <w:t xml:space="preserve">. انظر أيضاً الهدف </w:t>
      </w:r>
      <w:r w:rsidRPr="00BD31CD">
        <w:rPr>
          <w:rFonts w:eastAsiaTheme="minorEastAsia"/>
          <w:rtl/>
        </w:rPr>
        <w:t>3</w:t>
      </w:r>
      <w:r w:rsidRPr="00FF2EA3">
        <w:rPr>
          <w:rFonts w:eastAsiaTheme="minorEastAsia"/>
          <w:rtl/>
        </w:rPr>
        <w:t xml:space="preserve"> من أهداف التنمية المستدامة.</w:t>
      </w:r>
    </w:p>
  </w:footnote>
  <w:footnote w:id="11">
    <w:p w14:paraId="03782B7E" w14:textId="6AB29763" w:rsidR="00FF2EA3" w:rsidRPr="00FF2EA3" w:rsidRDefault="00FF2EA3" w:rsidP="00FF2EA3">
      <w:pPr>
        <w:pStyle w:val="FootnoteText1"/>
        <w:textDirection w:val="tbRlV"/>
        <w:rPr>
          <w:rFonts w:eastAsiaTheme="minorEastAsia"/>
          <w:lang w:val="ar-SA" w:eastAsia="zh-TW" w:bidi="en-GB"/>
        </w:rPr>
      </w:pPr>
      <w:r w:rsidRPr="00FF2EA3">
        <w:rPr>
          <w:rFonts w:eastAsiaTheme="minorEastAsia"/>
          <w:rtl/>
        </w:rPr>
        <w:t>(</w:t>
      </w:r>
      <w:r w:rsidRPr="00BD31CD">
        <w:rPr>
          <w:rStyle w:val="FootnoteReference"/>
          <w:rFonts w:eastAsiaTheme="minorEastAsia"/>
          <w:vertAlign w:val="baseline"/>
        </w:rPr>
        <w:footnoteRef/>
      </w:r>
      <w:r w:rsidRPr="00FF2EA3">
        <w:rPr>
          <w:rStyle w:val="FootnoteReference"/>
          <w:rFonts w:eastAsiaTheme="minorEastAsia"/>
          <w:vertAlign w:val="baseline"/>
          <w:rtl/>
        </w:rPr>
        <w:t>)</w:t>
      </w:r>
      <w:r w:rsidRPr="00FF2EA3">
        <w:rPr>
          <w:rFonts w:eastAsiaTheme="minorEastAsia"/>
          <w:rtl/>
        </w:rPr>
        <w:tab/>
        <w:t>انظر، على سبيل المثال، البيان المعنون "</w:t>
      </w:r>
      <w:r w:rsidRPr="00FF2EA3">
        <w:rPr>
          <w:rFonts w:eastAsiaTheme="minorEastAsia"/>
        </w:rPr>
        <w:t>the solidarity call to action to realize equitable global access to</w:t>
      </w:r>
      <w:r w:rsidR="001C068C">
        <w:rPr>
          <w:rFonts w:eastAsiaTheme="minorEastAsia"/>
        </w:rPr>
        <w:br/>
      </w:r>
      <w:r w:rsidRPr="00FF2EA3">
        <w:rPr>
          <w:rFonts w:eastAsiaTheme="minorEastAsia"/>
        </w:rPr>
        <w:t>COVID-</w:t>
      </w:r>
      <w:r w:rsidRPr="00BD31CD">
        <w:rPr>
          <w:rFonts w:eastAsiaTheme="minorEastAsia"/>
        </w:rPr>
        <w:t>19</w:t>
      </w:r>
      <w:r w:rsidRPr="00FF2EA3">
        <w:rPr>
          <w:rFonts w:eastAsiaTheme="minorEastAsia"/>
        </w:rPr>
        <w:t xml:space="preserve"> health technologies through </w:t>
      </w:r>
      <w:proofErr w:type="spellStart"/>
      <w:r w:rsidRPr="00FF2EA3">
        <w:rPr>
          <w:rFonts w:eastAsiaTheme="minorEastAsia"/>
        </w:rPr>
        <w:t>pooling</w:t>
      </w:r>
      <w:proofErr w:type="spellEnd"/>
      <w:r w:rsidRPr="00FF2EA3">
        <w:rPr>
          <w:rFonts w:eastAsiaTheme="minorEastAsia"/>
        </w:rPr>
        <w:t xml:space="preserve"> </w:t>
      </w:r>
      <w:proofErr w:type="spellStart"/>
      <w:r w:rsidRPr="00FF2EA3">
        <w:rPr>
          <w:rFonts w:eastAsiaTheme="minorEastAsia"/>
        </w:rPr>
        <w:t>of</w:t>
      </w:r>
      <w:proofErr w:type="spellEnd"/>
      <w:r w:rsidRPr="00FF2EA3">
        <w:rPr>
          <w:rFonts w:eastAsiaTheme="minorEastAsia"/>
        </w:rPr>
        <w:t xml:space="preserve"> </w:t>
      </w:r>
      <w:proofErr w:type="spellStart"/>
      <w:r w:rsidRPr="00FF2EA3">
        <w:rPr>
          <w:rFonts w:eastAsiaTheme="minorEastAsia"/>
        </w:rPr>
        <w:t>knowledge</w:t>
      </w:r>
      <w:proofErr w:type="spellEnd"/>
      <w:r w:rsidRPr="00FF2EA3">
        <w:rPr>
          <w:rFonts w:eastAsiaTheme="minorEastAsia"/>
        </w:rPr>
        <w:t xml:space="preserve">, </w:t>
      </w:r>
      <w:proofErr w:type="spellStart"/>
      <w:r w:rsidRPr="00FF2EA3">
        <w:rPr>
          <w:rFonts w:eastAsiaTheme="minorEastAsia"/>
        </w:rPr>
        <w:t>intellectual</w:t>
      </w:r>
      <w:proofErr w:type="spellEnd"/>
      <w:r w:rsidRPr="00FF2EA3">
        <w:rPr>
          <w:rFonts w:eastAsiaTheme="minorEastAsia"/>
        </w:rPr>
        <w:t xml:space="preserve"> </w:t>
      </w:r>
      <w:proofErr w:type="spellStart"/>
      <w:r w:rsidRPr="00FF2EA3">
        <w:rPr>
          <w:rFonts w:eastAsiaTheme="minorEastAsia"/>
        </w:rPr>
        <w:t>property</w:t>
      </w:r>
      <w:proofErr w:type="spellEnd"/>
      <w:r w:rsidRPr="00FF2EA3">
        <w:rPr>
          <w:rFonts w:eastAsiaTheme="minorEastAsia"/>
        </w:rPr>
        <w:t xml:space="preserve"> </w:t>
      </w:r>
      <w:proofErr w:type="spellStart"/>
      <w:r w:rsidRPr="00FF2EA3">
        <w:rPr>
          <w:rFonts w:eastAsiaTheme="minorEastAsia"/>
        </w:rPr>
        <w:t>and</w:t>
      </w:r>
      <w:proofErr w:type="spellEnd"/>
      <w:r w:rsidRPr="00FF2EA3">
        <w:rPr>
          <w:rFonts w:eastAsiaTheme="minorEastAsia"/>
        </w:rPr>
        <w:t xml:space="preserve"> </w:t>
      </w:r>
      <w:proofErr w:type="spellStart"/>
      <w:r w:rsidRPr="00FF2EA3">
        <w:rPr>
          <w:rFonts w:eastAsiaTheme="minorEastAsia"/>
        </w:rPr>
        <w:t>data</w:t>
      </w:r>
      <w:proofErr w:type="spellEnd"/>
      <w:r w:rsidRPr="00FF2EA3">
        <w:rPr>
          <w:rFonts w:eastAsiaTheme="minorEastAsia"/>
          <w:rtl/>
        </w:rPr>
        <w:t xml:space="preserve">"، الذي وقَّع عليه المدير العام لمنظمة الصحة العالمية ورئيس كوستاريكا، وأيدته </w:t>
      </w:r>
      <w:r w:rsidRPr="00BD31CD">
        <w:rPr>
          <w:rFonts w:eastAsiaTheme="minorEastAsia"/>
          <w:rtl/>
        </w:rPr>
        <w:t>40</w:t>
      </w:r>
      <w:r w:rsidRPr="00FF2EA3">
        <w:rPr>
          <w:rFonts w:eastAsiaTheme="minorEastAsia"/>
          <w:rtl/>
        </w:rPr>
        <w:t xml:space="preserve"> دولة (</w:t>
      </w:r>
      <w:r w:rsidRPr="00FF2EA3">
        <w:rPr>
          <w:rFonts w:eastAsiaTheme="minorEastAsia"/>
        </w:rPr>
        <w:t>www.who.int/initiatives/covid-</w:t>
      </w:r>
      <w:r w:rsidRPr="00BD31CD">
        <w:rPr>
          <w:rFonts w:eastAsiaTheme="minorEastAsia"/>
        </w:rPr>
        <w:t>19</w:t>
      </w:r>
      <w:r w:rsidRPr="00FF2EA3">
        <w:rPr>
          <w:rFonts w:eastAsiaTheme="minorEastAsia"/>
        </w:rPr>
        <w:t>-technology-access-pool/endorsements-of-the-solidarity-call-to-action</w:t>
      </w:r>
      <w:r w:rsidRPr="00FF2EA3">
        <w:rPr>
          <w:rFonts w:eastAsiaTheme="minorEastAsia"/>
          <w:rtl/>
        </w:rPr>
        <w:t>). وانظر أيضاً البلاغ الوارد من الهند</w:t>
      </w:r>
      <w:r w:rsidR="00E57B80">
        <w:rPr>
          <w:rFonts w:eastAsiaTheme="minorEastAsia" w:hint="cs"/>
          <w:rtl/>
        </w:rPr>
        <w:t> </w:t>
      </w:r>
      <w:r w:rsidRPr="00FF2EA3">
        <w:rPr>
          <w:rFonts w:eastAsiaTheme="minorEastAsia"/>
          <w:spacing w:val="-4"/>
          <w:rtl/>
        </w:rPr>
        <w:t>وجنوب أفريقيا بشأن الإعفاء من بعض أحكام الاتفاق المتعلق بالجوانب المتصلة بالتجارة من حقوق الملكية الفكرية فيما يخص الوقاية من كوفيد-</w:t>
      </w:r>
      <w:r w:rsidRPr="00BD31CD">
        <w:rPr>
          <w:rFonts w:eastAsiaTheme="minorEastAsia"/>
          <w:spacing w:val="-4"/>
          <w:rtl/>
        </w:rPr>
        <w:t>19</w:t>
      </w:r>
      <w:r w:rsidRPr="00FF2EA3">
        <w:rPr>
          <w:rFonts w:eastAsiaTheme="minorEastAsia"/>
          <w:spacing w:val="-4"/>
          <w:rtl/>
        </w:rPr>
        <w:t xml:space="preserve"> واحتوائه وعلاجه (</w:t>
      </w:r>
      <w:hyperlink r:id="rId1" w:tgtFrame="_blank" w:history="1">
        <w:r w:rsidRPr="00FF2EA3">
          <w:rPr>
            <w:rFonts w:eastAsiaTheme="minorEastAsia"/>
            <w:spacing w:val="-4"/>
            <w:shd w:val="clear" w:color="auto" w:fill="FFFFFF"/>
          </w:rPr>
          <w:t>IP/C/W/</w:t>
        </w:r>
        <w:r w:rsidRPr="00BD31CD">
          <w:rPr>
            <w:rFonts w:eastAsiaTheme="minorEastAsia"/>
            <w:spacing w:val="-4"/>
            <w:shd w:val="clear" w:color="auto" w:fill="FFFFFF"/>
          </w:rPr>
          <w:t>669</w:t>
        </w:r>
      </w:hyperlink>
      <w:r w:rsidRPr="00FF2EA3">
        <w:rPr>
          <w:rFonts w:eastAsiaTheme="minorEastAsia"/>
          <w:spacing w:val="-4"/>
          <w:rtl/>
        </w:rPr>
        <w:t xml:space="preserve">)، والبيان الذي أدلى به رئيس الاتحاد الروسي أمام الجمعية العامة في </w:t>
      </w:r>
      <w:r w:rsidRPr="00BD31CD">
        <w:rPr>
          <w:rFonts w:eastAsiaTheme="minorEastAsia"/>
          <w:spacing w:val="-4"/>
          <w:rtl/>
        </w:rPr>
        <w:t>22</w:t>
      </w:r>
      <w:r w:rsidRPr="00FF2EA3">
        <w:rPr>
          <w:rFonts w:eastAsiaTheme="minorEastAsia"/>
          <w:spacing w:val="-4"/>
          <w:rtl/>
        </w:rPr>
        <w:t xml:space="preserve"> أيلول/سبتمبر </w:t>
      </w:r>
      <w:r w:rsidRPr="00BD31CD">
        <w:rPr>
          <w:rFonts w:eastAsiaTheme="minorEastAsia"/>
          <w:spacing w:val="-4"/>
          <w:rtl/>
        </w:rPr>
        <w:t>2020</w:t>
      </w:r>
      <w:r w:rsidRPr="00FF2EA3">
        <w:rPr>
          <w:rFonts w:eastAsiaTheme="minorEastAsia"/>
          <w:spacing w:val="-4"/>
          <w:rtl/>
        </w:rPr>
        <w:t xml:space="preserve"> بشأن ضرورة استغلال جميع قدرات الصناعة الصيدلانية العالمية من أجل إتاحة إمكانية الحصول مجاناً على اللقاحات لمواطني جميع الدول في المستقبل المنظور. متاح في</w:t>
      </w:r>
      <w:r w:rsidRPr="00FF2EA3">
        <w:rPr>
          <w:rFonts w:eastAsiaTheme="minorEastAsia"/>
          <w:rtl/>
        </w:rPr>
        <w:t xml:space="preserve"> </w:t>
      </w:r>
      <w:r w:rsidRPr="00FF2EA3">
        <w:rPr>
          <w:rFonts w:eastAsiaTheme="minorEastAsia"/>
        </w:rPr>
        <w:t>https://news.un.org/en/story/</w:t>
      </w:r>
      <w:r w:rsidRPr="00BD31CD">
        <w:rPr>
          <w:rFonts w:eastAsiaTheme="minorEastAsia"/>
        </w:rPr>
        <w:t>2020</w:t>
      </w:r>
      <w:r w:rsidRPr="00FF2EA3">
        <w:rPr>
          <w:rFonts w:eastAsiaTheme="minorEastAsia"/>
        </w:rPr>
        <w:t>/</w:t>
      </w:r>
      <w:r w:rsidRPr="00BD31CD">
        <w:rPr>
          <w:rFonts w:eastAsiaTheme="minorEastAsia"/>
        </w:rPr>
        <w:t>09</w:t>
      </w:r>
      <w:r w:rsidRPr="00FF2EA3">
        <w:rPr>
          <w:rFonts w:eastAsiaTheme="minorEastAsia"/>
        </w:rPr>
        <w:t>/</w:t>
      </w:r>
      <w:r w:rsidRPr="00BD31CD">
        <w:rPr>
          <w:rFonts w:eastAsiaTheme="minorEastAsia"/>
        </w:rPr>
        <w:t>1073152</w:t>
      </w:r>
      <w:r w:rsidRPr="00FF2EA3">
        <w:rPr>
          <w:rFonts w:eastAsiaTheme="minorEastAsia"/>
          <w:rtl/>
        </w:rPr>
        <w:t>.</w:t>
      </w:r>
    </w:p>
  </w:footnote>
  <w:footnote w:id="12">
    <w:p w14:paraId="0B1E294C" w14:textId="090B56F5" w:rsidR="00FF2EA3" w:rsidRPr="00FF2EA3" w:rsidRDefault="00FF2EA3" w:rsidP="00FF2EA3">
      <w:pPr>
        <w:pStyle w:val="FootnoteText1"/>
        <w:textDirection w:val="tbRlV"/>
        <w:rPr>
          <w:rFonts w:eastAsiaTheme="minorEastAsia"/>
          <w:lang w:val="ar-SA" w:eastAsia="zh-TW" w:bidi="en-GB"/>
        </w:rPr>
      </w:pPr>
      <w:r w:rsidRPr="00FF2EA3">
        <w:rPr>
          <w:rFonts w:eastAsiaTheme="minorEastAsia"/>
          <w:rtl/>
        </w:rPr>
        <w:t>(</w:t>
      </w:r>
      <w:r w:rsidRPr="00BD31CD">
        <w:rPr>
          <w:rStyle w:val="FootnoteReference"/>
          <w:rFonts w:eastAsiaTheme="minorEastAsia"/>
          <w:vertAlign w:val="baseline"/>
        </w:rPr>
        <w:footnoteRef/>
      </w:r>
      <w:r w:rsidRPr="00FF2EA3">
        <w:rPr>
          <w:rStyle w:val="FootnoteReference"/>
          <w:rFonts w:eastAsiaTheme="minorEastAsia"/>
          <w:vertAlign w:val="baseline"/>
          <w:rtl/>
        </w:rPr>
        <w:t>)</w:t>
      </w:r>
      <w:r w:rsidRPr="00FF2EA3">
        <w:rPr>
          <w:rFonts w:eastAsiaTheme="minorEastAsia"/>
          <w:rtl/>
        </w:rPr>
        <w:tab/>
        <w:t xml:space="preserve">اللجنة المعنية بالحقوق الاقتصادية والاجتماعية والثقافية، التعليق العام رقم </w:t>
      </w:r>
      <w:r w:rsidRPr="00BD31CD">
        <w:rPr>
          <w:rFonts w:eastAsiaTheme="minorEastAsia"/>
          <w:rtl/>
        </w:rPr>
        <w:t>17</w:t>
      </w:r>
      <w:r w:rsidRPr="00FF2EA3">
        <w:rPr>
          <w:rFonts w:eastAsiaTheme="minorEastAsia"/>
          <w:rtl/>
        </w:rPr>
        <w:t>(</w:t>
      </w:r>
      <w:r w:rsidRPr="00BD31CD">
        <w:rPr>
          <w:rFonts w:eastAsiaTheme="minorEastAsia"/>
          <w:rtl/>
        </w:rPr>
        <w:t>2005</w:t>
      </w:r>
      <w:r w:rsidRPr="00FF2EA3">
        <w:rPr>
          <w:rFonts w:eastAsiaTheme="minorEastAsia"/>
          <w:rtl/>
        </w:rPr>
        <w:t xml:space="preserve">) بشأن حق كل فرد في الإفادة من حماية المصالح المعنوية والمادية المترتبة على أي إنتاج علمي أو أدبي أو فني من صنعه، الفقرات </w:t>
      </w:r>
      <w:r w:rsidRPr="00BD31CD">
        <w:rPr>
          <w:rFonts w:eastAsiaTheme="minorEastAsia"/>
          <w:rtl/>
        </w:rPr>
        <w:t>1</w:t>
      </w:r>
      <w:r w:rsidRPr="00FF2EA3">
        <w:rPr>
          <w:rFonts w:eastAsiaTheme="minorEastAsia"/>
          <w:rtl/>
        </w:rPr>
        <w:t xml:space="preserve"> و</w:t>
      </w:r>
      <w:r w:rsidRPr="00BD31CD">
        <w:rPr>
          <w:rFonts w:eastAsiaTheme="minorEastAsia"/>
          <w:rtl/>
        </w:rPr>
        <w:t>2</w:t>
      </w:r>
      <w:r w:rsidRPr="00FF2EA3">
        <w:rPr>
          <w:rFonts w:eastAsiaTheme="minorEastAsia"/>
          <w:rtl/>
        </w:rPr>
        <w:t xml:space="preserve"> و</w:t>
      </w:r>
      <w:r w:rsidRPr="00BD31CD">
        <w:rPr>
          <w:rFonts w:eastAsiaTheme="minorEastAsia"/>
          <w:rtl/>
        </w:rPr>
        <w:t>35</w:t>
      </w:r>
      <w:r w:rsidRPr="00FF2EA3">
        <w:rPr>
          <w:rFonts w:eastAsiaTheme="minorEastAsia"/>
          <w:rtl/>
        </w:rPr>
        <w:t>.</w:t>
      </w:r>
    </w:p>
  </w:footnote>
  <w:footnote w:id="13">
    <w:p w14:paraId="59E795DF" w14:textId="728F9B3C" w:rsidR="00FF2EA3" w:rsidRPr="00FF2EA3" w:rsidRDefault="00FF2EA3" w:rsidP="00FF2EA3">
      <w:pPr>
        <w:pStyle w:val="FootnoteText1"/>
        <w:textDirection w:val="tbRlV"/>
        <w:rPr>
          <w:rFonts w:eastAsiaTheme="minorEastAsia"/>
          <w:lang w:val="ar-SA" w:eastAsia="zh-TW" w:bidi="en-GB"/>
        </w:rPr>
      </w:pPr>
      <w:r w:rsidRPr="00FF2EA3">
        <w:rPr>
          <w:rFonts w:eastAsiaTheme="minorEastAsia"/>
          <w:rtl/>
        </w:rPr>
        <w:t>(</w:t>
      </w:r>
      <w:r w:rsidRPr="00BD31CD">
        <w:rPr>
          <w:rStyle w:val="FootnoteReference"/>
          <w:rFonts w:eastAsiaTheme="minorEastAsia"/>
          <w:vertAlign w:val="baseline"/>
        </w:rPr>
        <w:footnoteRef/>
      </w:r>
      <w:r w:rsidRPr="00FF2EA3">
        <w:rPr>
          <w:rStyle w:val="FootnoteReference"/>
          <w:rFonts w:eastAsiaTheme="minorEastAsia"/>
          <w:vertAlign w:val="baseline"/>
          <w:rtl/>
        </w:rPr>
        <w:t>)</w:t>
      </w:r>
      <w:r w:rsidRPr="00FF2EA3">
        <w:rPr>
          <w:rFonts w:eastAsiaTheme="minorEastAsia"/>
          <w:rtl/>
        </w:rPr>
        <w:tab/>
        <w:t xml:space="preserve">اللجنة المعنية بالحقوق الاقتصادية والاجتماعية والثقافية، التعليق العام رقم </w:t>
      </w:r>
      <w:r w:rsidRPr="00BD31CD">
        <w:rPr>
          <w:rFonts w:eastAsiaTheme="minorEastAsia"/>
          <w:rtl/>
        </w:rPr>
        <w:t>25</w:t>
      </w:r>
      <w:r w:rsidRPr="00FF2EA3">
        <w:rPr>
          <w:rFonts w:eastAsiaTheme="minorEastAsia"/>
          <w:rtl/>
        </w:rPr>
        <w:t>(</w:t>
      </w:r>
      <w:r w:rsidRPr="00BD31CD">
        <w:rPr>
          <w:rFonts w:eastAsiaTheme="minorEastAsia"/>
          <w:rtl/>
        </w:rPr>
        <w:t>2020</w:t>
      </w:r>
      <w:r w:rsidRPr="00FF2EA3">
        <w:rPr>
          <w:rFonts w:eastAsiaTheme="minorEastAsia"/>
          <w:rtl/>
        </w:rPr>
        <w:t xml:space="preserve">) بشأن العلم والحقوق الاقتصادية والاجتماعية والثقافية، الفقرة </w:t>
      </w:r>
      <w:r w:rsidRPr="00BD31CD">
        <w:rPr>
          <w:rFonts w:eastAsiaTheme="minorEastAsia"/>
          <w:rtl/>
        </w:rPr>
        <w:t>69</w:t>
      </w:r>
      <w:r w:rsidRPr="00FF2EA3">
        <w:rPr>
          <w:rFonts w:eastAsiaTheme="minorEastAsia"/>
          <w:rtl/>
        </w:rPr>
        <w:t>.</w:t>
      </w:r>
    </w:p>
  </w:footnote>
  <w:footnote w:id="14">
    <w:p w14:paraId="366F36F5" w14:textId="510AE079" w:rsidR="00FF2EA3" w:rsidRPr="00FF2EA3" w:rsidRDefault="00FF2EA3" w:rsidP="00FF2EA3">
      <w:pPr>
        <w:pStyle w:val="FootnoteText1"/>
        <w:textDirection w:val="tbRlV"/>
        <w:rPr>
          <w:rFonts w:eastAsiaTheme="minorEastAsia"/>
          <w:lang w:val="ar-SA" w:eastAsia="zh-TW" w:bidi="en-GB"/>
        </w:rPr>
      </w:pPr>
      <w:r w:rsidRPr="00FF2EA3">
        <w:rPr>
          <w:rFonts w:eastAsiaTheme="minorEastAsia"/>
          <w:rtl/>
        </w:rPr>
        <w:t>(</w:t>
      </w:r>
      <w:r w:rsidRPr="00BD31CD">
        <w:rPr>
          <w:rStyle w:val="FootnoteReference"/>
          <w:rFonts w:eastAsiaTheme="minorEastAsia"/>
          <w:vertAlign w:val="baseline"/>
        </w:rPr>
        <w:footnoteRef/>
      </w:r>
      <w:r w:rsidRPr="00FF2EA3">
        <w:rPr>
          <w:rStyle w:val="FootnoteReference"/>
          <w:rFonts w:eastAsiaTheme="minorEastAsia"/>
          <w:vertAlign w:val="baseline"/>
          <w:rtl/>
        </w:rPr>
        <w:t>)</w:t>
      </w:r>
      <w:r w:rsidRPr="00FF2EA3">
        <w:rPr>
          <w:rFonts w:eastAsiaTheme="minorEastAsia"/>
          <w:rtl/>
        </w:rPr>
        <w:tab/>
        <w:t xml:space="preserve">اللجنة المعنية بالحقوق الاقتصادية والاجتماعية والثقافية، التعليق العام رقم </w:t>
      </w:r>
      <w:r w:rsidRPr="00BD31CD">
        <w:rPr>
          <w:rFonts w:eastAsiaTheme="minorEastAsia"/>
          <w:rtl/>
        </w:rPr>
        <w:t>24</w:t>
      </w:r>
      <w:r w:rsidRPr="00FF2EA3">
        <w:rPr>
          <w:rFonts w:eastAsiaTheme="minorEastAsia"/>
          <w:rtl/>
        </w:rPr>
        <w:t>(</w:t>
      </w:r>
      <w:r w:rsidRPr="00BD31CD">
        <w:rPr>
          <w:rFonts w:eastAsiaTheme="minorEastAsia"/>
          <w:rtl/>
        </w:rPr>
        <w:t>2017</w:t>
      </w:r>
      <w:r w:rsidRPr="00FF2EA3">
        <w:rPr>
          <w:rFonts w:eastAsiaTheme="minorEastAsia"/>
          <w:rtl/>
        </w:rPr>
        <w:t xml:space="preserve">)، الفقرة </w:t>
      </w:r>
      <w:r w:rsidRPr="00BD31CD">
        <w:rPr>
          <w:rFonts w:eastAsiaTheme="minorEastAsia"/>
          <w:rtl/>
        </w:rPr>
        <w:t>5</w:t>
      </w:r>
      <w:r w:rsidRPr="00FF2EA3">
        <w:rPr>
          <w:rFonts w:eastAsiaTheme="minorEastAsia"/>
          <w:rtl/>
        </w:rPr>
        <w:t xml:space="preserve">. انظر أيضاً مبادئ الأمم المتحدة التوجيهية بشأن الأعمال التجارية وحقوق الإنسان، المبدأ </w:t>
      </w:r>
      <w:r w:rsidRPr="00BD31CD">
        <w:rPr>
          <w:rFonts w:eastAsiaTheme="minorEastAsia"/>
          <w:rtl/>
        </w:rPr>
        <w:t>11</w:t>
      </w:r>
      <w:r w:rsidRPr="00FF2EA3">
        <w:rPr>
          <w:rFonts w:eastAsiaTheme="minorEastAsia"/>
          <w:rtl/>
        </w:rPr>
        <w:t>.</w:t>
      </w:r>
    </w:p>
  </w:footnote>
  <w:footnote w:id="15">
    <w:p w14:paraId="09AAB6FD" w14:textId="58D7846D" w:rsidR="00FF2EA3" w:rsidRPr="00FF2EA3" w:rsidRDefault="00FF2EA3" w:rsidP="00FF2EA3">
      <w:pPr>
        <w:pStyle w:val="FootnoteText1"/>
        <w:textDirection w:val="tbRlV"/>
        <w:rPr>
          <w:rFonts w:eastAsiaTheme="minorEastAsia"/>
          <w:lang w:val="ar-SA" w:eastAsia="zh-TW" w:bidi="en-GB"/>
        </w:rPr>
      </w:pPr>
      <w:r w:rsidRPr="00FF2EA3">
        <w:rPr>
          <w:rFonts w:eastAsiaTheme="minorEastAsia"/>
          <w:rtl/>
        </w:rPr>
        <w:t>(</w:t>
      </w:r>
      <w:r w:rsidRPr="00BD31CD">
        <w:rPr>
          <w:rStyle w:val="FootnoteReference"/>
          <w:rFonts w:eastAsiaTheme="minorEastAsia"/>
          <w:vertAlign w:val="baseline"/>
        </w:rPr>
        <w:footnoteRef/>
      </w:r>
      <w:r w:rsidRPr="00FF2EA3">
        <w:rPr>
          <w:rStyle w:val="FootnoteReference"/>
          <w:rFonts w:eastAsiaTheme="minorEastAsia"/>
          <w:vertAlign w:val="baseline"/>
          <w:rtl/>
        </w:rPr>
        <w:t>)</w:t>
      </w:r>
      <w:r w:rsidRPr="00FF2EA3">
        <w:rPr>
          <w:rFonts w:eastAsiaTheme="minorEastAsia"/>
          <w:rtl/>
        </w:rPr>
        <w:tab/>
        <w:t xml:space="preserve">اللجنة المعنية بالحقوق الاقتصادية والاجتماعية والثقافية، التعليق العام رقم </w:t>
      </w:r>
      <w:r w:rsidRPr="00BD31CD">
        <w:rPr>
          <w:rFonts w:eastAsiaTheme="minorEastAsia"/>
          <w:rtl/>
        </w:rPr>
        <w:t>14</w:t>
      </w:r>
      <w:r w:rsidRPr="00FF2EA3">
        <w:rPr>
          <w:rFonts w:eastAsiaTheme="minorEastAsia"/>
          <w:rtl/>
        </w:rPr>
        <w:t>(</w:t>
      </w:r>
      <w:r w:rsidRPr="00BD31CD">
        <w:rPr>
          <w:rFonts w:eastAsiaTheme="minorEastAsia"/>
          <w:rtl/>
        </w:rPr>
        <w:t>2000</w:t>
      </w:r>
      <w:r w:rsidRPr="00FF2EA3">
        <w:rPr>
          <w:rFonts w:eastAsiaTheme="minorEastAsia"/>
          <w:rtl/>
        </w:rPr>
        <w:t xml:space="preserve">) بشأن الحق في التمتع بأعلى مستوى من الصحة يمكن بلوغه، الفقرة </w:t>
      </w:r>
      <w:r w:rsidRPr="00BD31CD">
        <w:rPr>
          <w:rFonts w:eastAsiaTheme="minorEastAsia"/>
          <w:rtl/>
        </w:rPr>
        <w:t>42</w:t>
      </w:r>
      <w:r w:rsidRPr="00FF2EA3">
        <w:rPr>
          <w:rFonts w:eastAsiaTheme="minorEastAsia"/>
          <w:rtl/>
        </w:rPr>
        <w:t>.</w:t>
      </w:r>
    </w:p>
  </w:footnote>
  <w:footnote w:id="16">
    <w:p w14:paraId="65FAE629" w14:textId="23BB2D18" w:rsidR="00FF2EA3" w:rsidRPr="00FF2EA3" w:rsidRDefault="00FF2EA3" w:rsidP="00FF2EA3">
      <w:pPr>
        <w:pStyle w:val="FootnoteText1"/>
        <w:textDirection w:val="tbRlV"/>
        <w:rPr>
          <w:rFonts w:eastAsiaTheme="minorEastAsia"/>
          <w:lang w:eastAsia="zh-TW" w:bidi="en-GB"/>
        </w:rPr>
      </w:pPr>
      <w:r w:rsidRPr="00FF2EA3">
        <w:rPr>
          <w:rFonts w:eastAsiaTheme="minorEastAsia"/>
          <w:rtl/>
        </w:rPr>
        <w:t>(</w:t>
      </w:r>
      <w:r w:rsidRPr="00BD31CD">
        <w:rPr>
          <w:rStyle w:val="FootnoteReference"/>
          <w:rFonts w:eastAsiaTheme="minorEastAsia"/>
          <w:vertAlign w:val="baseline"/>
        </w:rPr>
        <w:footnoteRef/>
      </w:r>
      <w:r w:rsidRPr="00FF2EA3">
        <w:rPr>
          <w:rStyle w:val="FootnoteReference"/>
          <w:rFonts w:eastAsiaTheme="minorEastAsia"/>
          <w:vertAlign w:val="baseline"/>
          <w:rtl/>
        </w:rPr>
        <w:t>)</w:t>
      </w:r>
      <w:r w:rsidRPr="00FF2EA3">
        <w:rPr>
          <w:rFonts w:eastAsiaTheme="minorEastAsia"/>
          <w:rtl/>
        </w:rPr>
        <w:tab/>
        <w:t>انظر المبادئ التوجيهية المتعلقة بحقوق الإنسان والموجهة لشركات صناعة الأدوية بشأن إمكانية الحصول على الأدوية (</w:t>
      </w:r>
      <w:hyperlink r:id="rId2" w:history="1">
        <w:r w:rsidRPr="00FF2EA3">
          <w:rPr>
            <w:rFonts w:eastAsiaTheme="minorEastAsia"/>
          </w:rPr>
          <w:t>A/</w:t>
        </w:r>
        <w:r w:rsidRPr="00BD31CD">
          <w:rPr>
            <w:rFonts w:eastAsiaTheme="minorEastAsia"/>
          </w:rPr>
          <w:t>63</w:t>
        </w:r>
        <w:r w:rsidRPr="00FF2EA3">
          <w:rPr>
            <w:rFonts w:eastAsiaTheme="minorEastAsia"/>
          </w:rPr>
          <w:t>/</w:t>
        </w:r>
        <w:r w:rsidRPr="00BD31CD">
          <w:rPr>
            <w:rFonts w:eastAsiaTheme="minorEastAsia"/>
          </w:rPr>
          <w:t>263</w:t>
        </w:r>
      </w:hyperlink>
      <w:r w:rsidRPr="00FF2EA3">
        <w:rPr>
          <w:rFonts w:eastAsiaTheme="minorEastAsia"/>
          <w:rtl/>
        </w:rPr>
        <w:t>، المرفق).</w:t>
      </w:r>
    </w:p>
  </w:footnote>
  <w:footnote w:id="17">
    <w:p w14:paraId="1AE603B1" w14:textId="2F03C37B" w:rsidR="00FF2EA3" w:rsidRPr="00FF2EA3" w:rsidRDefault="00FF2EA3" w:rsidP="00FF2EA3">
      <w:pPr>
        <w:pStyle w:val="FootnoteText1"/>
        <w:textDirection w:val="tbRlV"/>
        <w:rPr>
          <w:rFonts w:eastAsiaTheme="minorEastAsia"/>
          <w:lang w:eastAsia="zh-TW" w:bidi="en-GB"/>
        </w:rPr>
      </w:pPr>
      <w:r w:rsidRPr="00FF2EA3">
        <w:rPr>
          <w:rFonts w:eastAsiaTheme="minorEastAsia"/>
          <w:rtl/>
        </w:rPr>
        <w:t>(</w:t>
      </w:r>
      <w:r w:rsidRPr="00BD31CD">
        <w:rPr>
          <w:rStyle w:val="FootnoteReference"/>
          <w:rFonts w:eastAsiaTheme="minorEastAsia"/>
          <w:vertAlign w:val="baseline"/>
        </w:rPr>
        <w:footnoteRef/>
      </w:r>
      <w:r w:rsidRPr="00FF2EA3">
        <w:rPr>
          <w:rStyle w:val="FootnoteReference"/>
          <w:rFonts w:eastAsiaTheme="minorEastAsia"/>
          <w:vertAlign w:val="baseline"/>
          <w:rtl/>
        </w:rPr>
        <w:t>)</w:t>
      </w:r>
      <w:r w:rsidRPr="00FF2EA3">
        <w:rPr>
          <w:rFonts w:eastAsiaTheme="minorEastAsia"/>
          <w:rtl/>
        </w:rPr>
        <w:tab/>
        <w:t xml:space="preserve">المرجع نفسه، المبادئ التوجيهية من </w:t>
      </w:r>
      <w:r w:rsidRPr="00BD31CD">
        <w:rPr>
          <w:rFonts w:eastAsiaTheme="minorEastAsia"/>
          <w:rtl/>
        </w:rPr>
        <w:t>26</w:t>
      </w:r>
      <w:r w:rsidRPr="00FF2EA3">
        <w:rPr>
          <w:rFonts w:eastAsiaTheme="minorEastAsia"/>
          <w:rtl/>
        </w:rPr>
        <w:t xml:space="preserve"> إلى </w:t>
      </w:r>
      <w:r w:rsidRPr="00BD31CD">
        <w:rPr>
          <w:rFonts w:eastAsiaTheme="minorEastAsia"/>
          <w:rtl/>
        </w:rPr>
        <w:t>28</w:t>
      </w:r>
      <w:r w:rsidRPr="00FF2EA3">
        <w:rPr>
          <w:rFonts w:eastAsiaTheme="minorEastAsia"/>
          <w:rtl/>
        </w:rPr>
        <w:t>.</w:t>
      </w:r>
    </w:p>
  </w:footnote>
  <w:footnote w:id="18">
    <w:p w14:paraId="1C88A0D3" w14:textId="45D1A39B" w:rsidR="00FF2EA3" w:rsidRPr="00FF2EA3" w:rsidRDefault="00FF2EA3" w:rsidP="00FF2EA3">
      <w:pPr>
        <w:pStyle w:val="FootnoteText1"/>
        <w:textDirection w:val="tbRlV"/>
        <w:rPr>
          <w:rFonts w:eastAsiaTheme="minorEastAsia"/>
          <w:lang w:val="ar-SA" w:eastAsia="zh-TW" w:bidi="en-GB"/>
        </w:rPr>
      </w:pPr>
      <w:r w:rsidRPr="00FF2EA3">
        <w:rPr>
          <w:rFonts w:eastAsiaTheme="minorEastAsia"/>
          <w:rtl/>
        </w:rPr>
        <w:t>(</w:t>
      </w:r>
      <w:r w:rsidRPr="00BD31CD">
        <w:rPr>
          <w:rStyle w:val="FootnoteReference"/>
          <w:rFonts w:eastAsiaTheme="minorEastAsia"/>
          <w:vertAlign w:val="baseline"/>
        </w:rPr>
        <w:footnoteRef/>
      </w:r>
      <w:r w:rsidRPr="00FF2EA3">
        <w:rPr>
          <w:rStyle w:val="FootnoteReference"/>
          <w:rFonts w:eastAsiaTheme="minorEastAsia"/>
          <w:vertAlign w:val="baseline"/>
          <w:rtl/>
        </w:rPr>
        <w:t>)</w:t>
      </w:r>
      <w:r w:rsidRPr="00FF2EA3">
        <w:rPr>
          <w:rFonts w:eastAsiaTheme="minorEastAsia"/>
          <w:rtl/>
        </w:rPr>
        <w:tab/>
        <w:t xml:space="preserve">اللجنة المعنية بالحقوق الاقتصادية والاجتماعية والثقافية، التعليق العام رقم </w:t>
      </w:r>
      <w:r w:rsidRPr="00BD31CD">
        <w:rPr>
          <w:rFonts w:eastAsiaTheme="minorEastAsia"/>
          <w:rtl/>
        </w:rPr>
        <w:t>14</w:t>
      </w:r>
      <w:r w:rsidRPr="00FF2EA3">
        <w:rPr>
          <w:rFonts w:eastAsiaTheme="minorEastAsia"/>
          <w:rtl/>
        </w:rPr>
        <w:t>(</w:t>
      </w:r>
      <w:r w:rsidRPr="00BD31CD">
        <w:rPr>
          <w:rFonts w:eastAsiaTheme="minorEastAsia"/>
          <w:rtl/>
        </w:rPr>
        <w:t>2000</w:t>
      </w:r>
      <w:r w:rsidRPr="00FF2EA3">
        <w:rPr>
          <w:rFonts w:eastAsiaTheme="minorEastAsia"/>
          <w:rtl/>
        </w:rPr>
        <w:t xml:space="preserve">)، الفقرة </w:t>
      </w:r>
      <w:r w:rsidRPr="00BD31CD">
        <w:rPr>
          <w:rFonts w:eastAsiaTheme="minorEastAsia"/>
          <w:rtl/>
        </w:rPr>
        <w:t>39</w:t>
      </w:r>
      <w:r w:rsidRPr="00FF2EA3">
        <w:rPr>
          <w:rFonts w:eastAsiaTheme="minorEastAsia"/>
          <w:rtl/>
        </w:rPr>
        <w:t>.</w:t>
      </w:r>
    </w:p>
  </w:footnote>
  <w:footnote w:id="19">
    <w:p w14:paraId="4A68FDE0" w14:textId="04E7F00F" w:rsidR="00FF2EA3" w:rsidRPr="00FF2EA3" w:rsidRDefault="00FF2EA3" w:rsidP="00FF2EA3">
      <w:pPr>
        <w:pStyle w:val="FootnoteText1"/>
        <w:textDirection w:val="tbRlV"/>
        <w:rPr>
          <w:rFonts w:eastAsiaTheme="minorEastAsia"/>
          <w:lang w:val="ar-SA" w:eastAsia="zh-TW" w:bidi="en-GB"/>
        </w:rPr>
      </w:pPr>
      <w:r w:rsidRPr="00FF2EA3">
        <w:rPr>
          <w:rFonts w:eastAsiaTheme="minorEastAsia"/>
          <w:rtl/>
        </w:rPr>
        <w:t>(</w:t>
      </w:r>
      <w:r w:rsidRPr="00BD31CD">
        <w:rPr>
          <w:rStyle w:val="FootnoteReference"/>
          <w:rFonts w:eastAsiaTheme="minorEastAsia"/>
          <w:vertAlign w:val="baseline"/>
        </w:rPr>
        <w:footnoteRef/>
      </w:r>
      <w:r w:rsidRPr="00FF2EA3">
        <w:rPr>
          <w:rStyle w:val="FootnoteReference"/>
          <w:rFonts w:eastAsiaTheme="minorEastAsia"/>
          <w:vertAlign w:val="baseline"/>
          <w:rtl/>
        </w:rPr>
        <w:t>)</w:t>
      </w:r>
      <w:r w:rsidRPr="00FF2EA3">
        <w:rPr>
          <w:rFonts w:eastAsiaTheme="minorEastAsia"/>
          <w:rtl/>
        </w:rPr>
        <w:tab/>
        <w:t xml:space="preserve">اللجنة المعنية بالحقوق الاقتصادية والاجتماعية والثقافية، التعليق العام رقم </w:t>
      </w:r>
      <w:r w:rsidRPr="00BD31CD">
        <w:rPr>
          <w:rFonts w:eastAsiaTheme="minorEastAsia"/>
          <w:rtl/>
        </w:rPr>
        <w:t>24</w:t>
      </w:r>
      <w:r w:rsidRPr="00FF2EA3">
        <w:rPr>
          <w:rFonts w:eastAsiaTheme="minorEastAsia"/>
          <w:rtl/>
        </w:rPr>
        <w:t>(</w:t>
      </w:r>
      <w:r w:rsidRPr="00BD31CD">
        <w:rPr>
          <w:rFonts w:eastAsiaTheme="minorEastAsia"/>
          <w:rtl/>
        </w:rPr>
        <w:t>2017</w:t>
      </w:r>
      <w:r w:rsidRPr="00FF2EA3">
        <w:rPr>
          <w:rFonts w:eastAsiaTheme="minorEastAsia"/>
          <w:rtl/>
        </w:rPr>
        <w:t xml:space="preserve">)، الفقرتان </w:t>
      </w:r>
      <w:r w:rsidRPr="00BD31CD">
        <w:rPr>
          <w:rFonts w:eastAsiaTheme="minorEastAsia"/>
          <w:rtl/>
        </w:rPr>
        <w:t>26</w:t>
      </w:r>
      <w:r w:rsidRPr="00FF2EA3">
        <w:rPr>
          <w:rFonts w:eastAsiaTheme="minorEastAsia"/>
          <w:rtl/>
        </w:rPr>
        <w:t xml:space="preserve"> و</w:t>
      </w:r>
      <w:r w:rsidRPr="00BD31CD">
        <w:rPr>
          <w:rFonts w:eastAsiaTheme="minorEastAsia"/>
          <w:rtl/>
        </w:rPr>
        <w:t>28</w:t>
      </w:r>
      <w:r w:rsidRPr="00FF2EA3">
        <w:rPr>
          <w:rFonts w:eastAsiaTheme="minorEastAsia"/>
          <w:rtl/>
        </w:rPr>
        <w:t>.</w:t>
      </w:r>
    </w:p>
  </w:footnote>
  <w:footnote w:id="20">
    <w:p w14:paraId="00059662" w14:textId="4F5F7E0D" w:rsidR="00FF2EA3" w:rsidRPr="00FF2EA3" w:rsidRDefault="00FF2EA3" w:rsidP="00FF2EA3">
      <w:pPr>
        <w:pStyle w:val="FootnoteText1"/>
        <w:textDirection w:val="tbRlV"/>
        <w:rPr>
          <w:rFonts w:eastAsiaTheme="minorEastAsia"/>
          <w:lang w:val="ar-SA" w:eastAsia="zh-TW" w:bidi="en-GB"/>
        </w:rPr>
      </w:pPr>
      <w:r w:rsidRPr="00FF2EA3">
        <w:rPr>
          <w:rFonts w:eastAsiaTheme="minorEastAsia"/>
          <w:rtl/>
        </w:rPr>
        <w:t>(</w:t>
      </w:r>
      <w:r w:rsidRPr="00BD31CD">
        <w:rPr>
          <w:rStyle w:val="FootnoteReference"/>
          <w:rFonts w:eastAsiaTheme="minorEastAsia"/>
          <w:vertAlign w:val="baseline"/>
        </w:rPr>
        <w:footnoteRef/>
      </w:r>
      <w:r w:rsidRPr="00FF2EA3">
        <w:rPr>
          <w:rStyle w:val="FootnoteReference"/>
          <w:rFonts w:eastAsiaTheme="minorEastAsia"/>
          <w:vertAlign w:val="baseline"/>
          <w:rtl/>
        </w:rPr>
        <w:t>)</w:t>
      </w:r>
      <w:r w:rsidRPr="00FF2EA3">
        <w:rPr>
          <w:rFonts w:eastAsiaTheme="minorEastAsia"/>
          <w:rtl/>
        </w:rPr>
        <w:tab/>
        <w:t xml:space="preserve">انظر البيان الذي أدلت به جنوب أفريقيا في مجلس منظمة التجارة العالمية المعني بالاتفاق المتعلق بالجوانب المتصلة بالتجارة من حقوق الملكية الفكرية، في </w:t>
      </w:r>
      <w:r w:rsidRPr="00BD31CD">
        <w:rPr>
          <w:rFonts w:eastAsiaTheme="minorEastAsia"/>
          <w:rtl/>
        </w:rPr>
        <w:t>30</w:t>
      </w:r>
      <w:r w:rsidRPr="00FF2EA3">
        <w:rPr>
          <w:rFonts w:eastAsiaTheme="minorEastAsia"/>
          <w:rtl/>
        </w:rPr>
        <w:t xml:space="preserve"> تموز/يوليه </w:t>
      </w:r>
      <w:r w:rsidRPr="00BD31CD">
        <w:rPr>
          <w:rFonts w:eastAsiaTheme="minorEastAsia"/>
          <w:rtl/>
        </w:rPr>
        <w:t>2020</w:t>
      </w:r>
      <w:r w:rsidRPr="00FF2EA3">
        <w:rPr>
          <w:rFonts w:eastAsiaTheme="minorEastAsia"/>
          <w:rtl/>
        </w:rPr>
        <w:t xml:space="preserve">. متاح في </w:t>
      </w:r>
      <w:r w:rsidRPr="00FF2EA3">
        <w:rPr>
          <w:rFonts w:eastAsiaTheme="minorEastAsia"/>
        </w:rPr>
        <w:t>www.keionline.org/</w:t>
      </w:r>
      <w:r w:rsidRPr="00BD31CD">
        <w:rPr>
          <w:rFonts w:eastAsiaTheme="minorEastAsia"/>
        </w:rPr>
        <w:t>33593</w:t>
      </w:r>
      <w:r w:rsidRPr="00FF2EA3">
        <w:rPr>
          <w:rFonts w:eastAsiaTheme="minorEastAsia"/>
          <w:rtl/>
        </w:rPr>
        <w:t>.</w:t>
      </w:r>
    </w:p>
  </w:footnote>
  <w:footnote w:id="21">
    <w:p w14:paraId="382C80F3" w14:textId="68B907D8" w:rsidR="00FF2EA3" w:rsidRPr="00FF2EA3" w:rsidRDefault="00FF2EA3" w:rsidP="00FF2EA3">
      <w:pPr>
        <w:pStyle w:val="FootnoteText1"/>
        <w:rPr>
          <w:rFonts w:eastAsiaTheme="minorEastAsia" w:hint="cs"/>
          <w:rtl/>
          <w:lang w:eastAsia="zh-TW"/>
        </w:rPr>
      </w:pPr>
      <w:r w:rsidRPr="00FF2EA3">
        <w:rPr>
          <w:rFonts w:eastAsiaTheme="minorEastAsia"/>
          <w:rtl/>
        </w:rPr>
        <w:t>(</w:t>
      </w:r>
      <w:r w:rsidRPr="00BD31CD">
        <w:rPr>
          <w:rStyle w:val="FootnoteReference"/>
          <w:rFonts w:eastAsiaTheme="minorEastAsia"/>
          <w:vertAlign w:val="baseline"/>
        </w:rPr>
        <w:footnoteRef/>
      </w:r>
      <w:r w:rsidRPr="00FF2EA3">
        <w:rPr>
          <w:rStyle w:val="FootnoteReference"/>
          <w:rFonts w:eastAsiaTheme="minorEastAsia"/>
          <w:vertAlign w:val="baseline"/>
          <w:rtl/>
        </w:rPr>
        <w:t>)</w:t>
      </w:r>
      <w:r w:rsidRPr="00FF2EA3">
        <w:rPr>
          <w:rFonts w:eastAsiaTheme="minorEastAsia"/>
          <w:rtl/>
        </w:rPr>
        <w:tab/>
        <w:t xml:space="preserve">انظر </w:t>
      </w:r>
      <w:r w:rsidRPr="00FF2EA3">
        <w:rPr>
          <w:rFonts w:eastAsiaTheme="minorEastAsia"/>
          <w:color w:val="1F497D"/>
        </w:rPr>
        <w:t>“</w:t>
      </w:r>
      <w:r w:rsidRPr="00FF2EA3">
        <w:rPr>
          <w:rFonts w:eastAsiaTheme="minorEastAsia"/>
        </w:rPr>
        <w:t>COVID-</w:t>
      </w:r>
      <w:r w:rsidRPr="00BD31CD">
        <w:rPr>
          <w:rFonts w:eastAsiaTheme="minorEastAsia"/>
        </w:rPr>
        <w:t>19</w:t>
      </w:r>
      <w:r w:rsidRPr="00FF2EA3">
        <w:rPr>
          <w:rFonts w:eastAsiaTheme="minorEastAsia"/>
        </w:rPr>
        <w:t>: UN experts urge WTO cooperation on vaccines to protect global public health”</w:t>
      </w:r>
      <w:r w:rsidRPr="00FF2EA3">
        <w:rPr>
          <w:rFonts w:eastAsiaTheme="minorEastAsia"/>
          <w:rtl/>
        </w:rPr>
        <w:t xml:space="preserve">، </w:t>
      </w:r>
      <w:r w:rsidRPr="00BD31CD">
        <w:rPr>
          <w:rFonts w:eastAsiaTheme="minorEastAsia"/>
          <w:rtl/>
        </w:rPr>
        <w:t>1</w:t>
      </w:r>
      <w:r w:rsidRPr="00FF2EA3">
        <w:rPr>
          <w:rFonts w:eastAsiaTheme="minorEastAsia"/>
          <w:rtl/>
        </w:rPr>
        <w:t xml:space="preserve"> آذار/مارس </w:t>
      </w:r>
      <w:r w:rsidRPr="00BD31CD">
        <w:rPr>
          <w:rFonts w:eastAsiaTheme="minorEastAsia"/>
          <w:rtl/>
        </w:rPr>
        <w:t>2021</w:t>
      </w:r>
      <w:r w:rsidRPr="00FF2EA3">
        <w:rPr>
          <w:rFonts w:eastAsiaTheme="minorEastAsia"/>
          <w:rtl/>
        </w:rPr>
        <w:t xml:space="preserve">. متاح في </w:t>
      </w:r>
      <w:hyperlink r:id="rId3" w:history="1">
        <w:r w:rsidRPr="00063DAC">
          <w:rPr>
            <w:rStyle w:val="Hyperlink"/>
            <w:rFonts w:eastAsiaTheme="minorEastAsia"/>
          </w:rPr>
          <w:t>www.ohchr.org/EN/NewsEvents/Pages/DisplayNews.aspx?NewsID</w:t>
        </w:r>
        <w:r w:rsidRPr="00063DAC">
          <w:rPr>
            <w:rStyle w:val="Hyperlink"/>
            <w:rFonts w:eastAsiaTheme="minorEastAsia"/>
            <w:rtl/>
          </w:rPr>
          <w:br/>
        </w:r>
        <w:r w:rsidRPr="00063DAC">
          <w:rPr>
            <w:rStyle w:val="Hyperlink"/>
            <w:rFonts w:eastAsiaTheme="minorEastAsia"/>
          </w:rPr>
          <w:t>=</w:t>
        </w:r>
        <w:r w:rsidRPr="00BD31CD">
          <w:rPr>
            <w:rStyle w:val="Hyperlink"/>
            <w:rFonts w:eastAsiaTheme="minorEastAsia"/>
          </w:rPr>
          <w:t>26817</w:t>
        </w:r>
        <w:r w:rsidRPr="00063DAC">
          <w:rPr>
            <w:rStyle w:val="Hyperlink"/>
            <w:rFonts w:eastAsiaTheme="minorEastAsia"/>
          </w:rPr>
          <w:t>&amp;LangID=E</w:t>
        </w:r>
      </w:hyperlink>
      <w:r w:rsidRPr="00FF2EA3">
        <w:rPr>
          <w:rFonts w:eastAsiaTheme="minorEastAsia"/>
          <w:rtl/>
        </w:rPr>
        <w:t xml:space="preserve">. وانظر أيضاً بيان خبراء الأمم المتحدة في مجال حقوق الإنسان، </w:t>
      </w:r>
      <w:r w:rsidRPr="00FF2EA3">
        <w:rPr>
          <w:rFonts w:eastAsiaTheme="minorEastAsia"/>
        </w:rPr>
        <w:t>“Universal access to vaccines is essential for prevention and containment of COVID-</w:t>
      </w:r>
      <w:r w:rsidRPr="00BD31CD">
        <w:rPr>
          <w:rFonts w:eastAsiaTheme="minorEastAsia"/>
        </w:rPr>
        <w:t>19</w:t>
      </w:r>
      <w:r w:rsidRPr="00FF2EA3">
        <w:rPr>
          <w:rFonts w:eastAsiaTheme="minorEastAsia"/>
        </w:rPr>
        <w:t xml:space="preserve"> around the world”</w:t>
      </w:r>
      <w:r w:rsidRPr="00FF2EA3">
        <w:rPr>
          <w:rFonts w:eastAsiaTheme="minorEastAsia"/>
          <w:rtl/>
        </w:rPr>
        <w:t xml:space="preserve">، </w:t>
      </w:r>
      <w:r w:rsidRPr="00BD31CD">
        <w:rPr>
          <w:rFonts w:eastAsiaTheme="minorEastAsia"/>
          <w:rtl/>
        </w:rPr>
        <w:t>9</w:t>
      </w:r>
      <w:r w:rsidRPr="00FF2EA3">
        <w:rPr>
          <w:rFonts w:eastAsiaTheme="minorEastAsia"/>
          <w:rtl/>
        </w:rPr>
        <w:t xml:space="preserve"> تشرين الثاني/</w:t>
      </w:r>
      <w:r w:rsidR="0032249E">
        <w:rPr>
          <w:rFonts w:eastAsiaTheme="minorEastAsia" w:hint="cs"/>
          <w:rtl/>
        </w:rPr>
        <w:t xml:space="preserve"> </w:t>
      </w:r>
      <w:r w:rsidRPr="00FF2EA3">
        <w:rPr>
          <w:rFonts w:eastAsiaTheme="minorEastAsia"/>
          <w:rtl/>
        </w:rPr>
        <w:t xml:space="preserve">نوفمبر </w:t>
      </w:r>
      <w:r w:rsidRPr="00BD31CD">
        <w:rPr>
          <w:rFonts w:eastAsiaTheme="minorEastAsia"/>
          <w:rtl/>
        </w:rPr>
        <w:t>2020</w:t>
      </w:r>
      <w:r w:rsidRPr="00FF2EA3">
        <w:rPr>
          <w:rFonts w:eastAsiaTheme="minorEastAsia"/>
          <w:rtl/>
        </w:rPr>
        <w:t xml:space="preserve">. متاح في </w:t>
      </w:r>
      <w:hyperlink r:id="rId4" w:history="1">
        <w:r w:rsidR="0032249E" w:rsidRPr="00063DAC">
          <w:rPr>
            <w:rStyle w:val="Hyperlink"/>
            <w:rFonts w:eastAsiaTheme="minorEastAsia"/>
          </w:rPr>
          <w:t>www.ohchr.org/EN/NewsEvents/Pages/DisplayNews.aspx?NewsID=</w:t>
        </w:r>
        <w:r w:rsidR="0032249E" w:rsidRPr="00063DAC">
          <w:rPr>
            <w:rStyle w:val="Hyperlink"/>
            <w:rFonts w:eastAsiaTheme="minorEastAsia"/>
            <w:rtl/>
          </w:rPr>
          <w:br/>
        </w:r>
        <w:r w:rsidR="0032249E" w:rsidRPr="00063DAC">
          <w:rPr>
            <w:rStyle w:val="Hyperlink"/>
            <w:rFonts w:eastAsiaTheme="minorEastAsia"/>
          </w:rPr>
          <w:t xml:space="preserve"> </w:t>
        </w:r>
        <w:r w:rsidR="0032249E" w:rsidRPr="00BD31CD">
          <w:rPr>
            <w:rStyle w:val="Hyperlink"/>
            <w:rFonts w:eastAsiaTheme="minorEastAsia"/>
          </w:rPr>
          <w:t>26484</w:t>
        </w:r>
        <w:r w:rsidR="0032249E" w:rsidRPr="00063DAC">
          <w:rPr>
            <w:rStyle w:val="Hyperlink"/>
            <w:rFonts w:eastAsiaTheme="minorEastAsia"/>
          </w:rPr>
          <w:t>&amp;LangID=E</w:t>
        </w:r>
      </w:hyperlink>
      <w:r w:rsidRPr="00FF2EA3">
        <w:rPr>
          <w:rFonts w:eastAsiaTheme="minorEastAsia"/>
          <w:rtl/>
        </w:rPr>
        <w:t>.</w:t>
      </w:r>
    </w:p>
  </w:footnote>
  <w:footnote w:id="22">
    <w:p w14:paraId="7DEE9734" w14:textId="0B0F249A" w:rsidR="00FF2EA3" w:rsidRPr="00FF2EA3" w:rsidRDefault="00FF2EA3" w:rsidP="00FF2EA3">
      <w:pPr>
        <w:pStyle w:val="FootnoteText1"/>
        <w:textDirection w:val="tbRlV"/>
        <w:rPr>
          <w:rFonts w:eastAsiaTheme="minorEastAsia"/>
          <w:lang w:val="ar-SA" w:eastAsia="zh-TW" w:bidi="en-GB"/>
        </w:rPr>
      </w:pPr>
      <w:r w:rsidRPr="00FF2EA3">
        <w:rPr>
          <w:rFonts w:eastAsiaTheme="minorEastAsia"/>
          <w:rtl/>
        </w:rPr>
        <w:t>(</w:t>
      </w:r>
      <w:r w:rsidRPr="00BD31CD">
        <w:rPr>
          <w:rStyle w:val="FootnoteReference"/>
          <w:rFonts w:eastAsiaTheme="minorEastAsia"/>
          <w:vertAlign w:val="baseline"/>
        </w:rPr>
        <w:footnoteRef/>
      </w:r>
      <w:r w:rsidRPr="00FF2EA3">
        <w:rPr>
          <w:rStyle w:val="FootnoteReference"/>
          <w:rFonts w:eastAsiaTheme="minorEastAsia"/>
          <w:vertAlign w:val="baseline"/>
          <w:rtl/>
        </w:rPr>
        <w:t>)</w:t>
      </w:r>
      <w:r w:rsidRPr="00FF2EA3">
        <w:rPr>
          <w:rFonts w:eastAsiaTheme="minorEastAsia"/>
          <w:rtl/>
        </w:rPr>
        <w:tab/>
        <w:t xml:space="preserve">انظر </w:t>
      </w:r>
      <w:proofErr w:type="spellStart"/>
      <w:r w:rsidRPr="00FF2EA3">
        <w:rPr>
          <w:rFonts w:eastAsiaTheme="minorEastAsia"/>
          <w:rtl/>
        </w:rPr>
        <w:t>تيدروس</w:t>
      </w:r>
      <w:proofErr w:type="spellEnd"/>
      <w:r w:rsidRPr="00FF2EA3">
        <w:rPr>
          <w:rFonts w:eastAsiaTheme="minorEastAsia"/>
          <w:rtl/>
        </w:rPr>
        <w:t xml:space="preserve"> </w:t>
      </w:r>
      <w:proofErr w:type="spellStart"/>
      <w:r w:rsidRPr="00FF2EA3">
        <w:rPr>
          <w:rFonts w:eastAsiaTheme="minorEastAsia"/>
          <w:rtl/>
        </w:rPr>
        <w:t>أدهانوم</w:t>
      </w:r>
      <w:proofErr w:type="spellEnd"/>
      <w:r w:rsidRPr="00FF2EA3">
        <w:rPr>
          <w:rFonts w:eastAsiaTheme="minorEastAsia"/>
          <w:rtl/>
        </w:rPr>
        <w:t xml:space="preserve"> </w:t>
      </w:r>
      <w:proofErr w:type="spellStart"/>
      <w:r w:rsidRPr="00FF2EA3">
        <w:rPr>
          <w:rFonts w:eastAsiaTheme="minorEastAsia"/>
          <w:rtl/>
        </w:rPr>
        <w:t>غيبرييسوس</w:t>
      </w:r>
      <w:proofErr w:type="spellEnd"/>
      <w:r w:rsidRPr="00FF2EA3">
        <w:rPr>
          <w:rFonts w:eastAsiaTheme="minorEastAsia"/>
          <w:rtl/>
        </w:rPr>
        <w:t xml:space="preserve">، </w:t>
      </w:r>
      <w:r w:rsidRPr="00FF2EA3">
        <w:rPr>
          <w:rFonts w:eastAsiaTheme="minorEastAsia"/>
        </w:rPr>
        <w:t xml:space="preserve">“A ‘me first’ approach to vaccination won’t defeat </w:t>
      </w:r>
      <w:proofErr w:type="spellStart"/>
      <w:r w:rsidRPr="00FF2EA3">
        <w:rPr>
          <w:rFonts w:eastAsiaTheme="minorEastAsia"/>
        </w:rPr>
        <w:t>Covid</w:t>
      </w:r>
      <w:proofErr w:type="spellEnd"/>
      <w:r w:rsidRPr="00FF2EA3">
        <w:rPr>
          <w:rFonts w:eastAsiaTheme="minorEastAsia"/>
        </w:rPr>
        <w:t>”</w:t>
      </w:r>
      <w:r w:rsidRPr="00FF2EA3">
        <w:rPr>
          <w:rFonts w:eastAsiaTheme="minorEastAsia"/>
          <w:rtl/>
        </w:rPr>
        <w:t xml:space="preserve">، </w:t>
      </w:r>
      <w:r w:rsidRPr="00BD31CD">
        <w:rPr>
          <w:rFonts w:eastAsiaTheme="minorEastAsia"/>
          <w:i/>
          <w:iCs/>
          <w:rtl/>
        </w:rPr>
        <w:t>صحيفة الغارديان</w:t>
      </w:r>
      <w:r w:rsidRPr="00FF2EA3">
        <w:rPr>
          <w:rFonts w:eastAsiaTheme="minorEastAsia"/>
          <w:rtl/>
        </w:rPr>
        <w:t xml:space="preserve">، </w:t>
      </w:r>
      <w:r w:rsidRPr="00BD31CD">
        <w:rPr>
          <w:rFonts w:eastAsiaTheme="minorEastAsia"/>
          <w:rtl/>
        </w:rPr>
        <w:t>5</w:t>
      </w:r>
      <w:r w:rsidRPr="00FF2EA3">
        <w:rPr>
          <w:rFonts w:eastAsiaTheme="minorEastAsia"/>
          <w:rtl/>
        </w:rPr>
        <w:t xml:space="preserve"> آذار/مارس </w:t>
      </w:r>
      <w:r w:rsidRPr="00BD31CD">
        <w:rPr>
          <w:rFonts w:eastAsiaTheme="minorEastAsia"/>
          <w:rtl/>
        </w:rPr>
        <w:t>2021</w:t>
      </w:r>
      <w:r w:rsidRPr="00FF2EA3">
        <w:rPr>
          <w:rFonts w:eastAsiaTheme="minorEastAsia"/>
          <w:rtl/>
        </w:rPr>
        <w:t>.</w:t>
      </w:r>
    </w:p>
  </w:footnote>
  <w:footnote w:id="23">
    <w:p w14:paraId="20BE8330" w14:textId="5BDC73C4" w:rsidR="00FF2EA3" w:rsidRPr="00904329" w:rsidRDefault="00FF2EA3" w:rsidP="00FF2EA3">
      <w:pPr>
        <w:pStyle w:val="FootnoteText1"/>
        <w:textDirection w:val="tbRlV"/>
        <w:rPr>
          <w:rFonts w:eastAsiaTheme="minorEastAsia"/>
          <w:lang w:eastAsia="zh-TW" w:bidi="en-GB"/>
        </w:rPr>
      </w:pPr>
      <w:r w:rsidRPr="00FF2EA3">
        <w:rPr>
          <w:rFonts w:eastAsiaTheme="minorEastAsia"/>
          <w:rtl/>
        </w:rPr>
        <w:t>(</w:t>
      </w:r>
      <w:r w:rsidRPr="00BD31CD">
        <w:rPr>
          <w:rStyle w:val="FootnoteReference"/>
          <w:rFonts w:eastAsiaTheme="minorEastAsia"/>
          <w:vertAlign w:val="baseline"/>
        </w:rPr>
        <w:footnoteRef/>
      </w:r>
      <w:r w:rsidRPr="00FF2EA3">
        <w:rPr>
          <w:rStyle w:val="FootnoteReference"/>
          <w:rFonts w:eastAsiaTheme="minorEastAsia"/>
          <w:vertAlign w:val="baseline"/>
          <w:rtl/>
        </w:rPr>
        <w:t>)</w:t>
      </w:r>
      <w:r w:rsidRPr="00FF2EA3">
        <w:rPr>
          <w:rFonts w:eastAsiaTheme="minorEastAsia"/>
          <w:rtl/>
        </w:rPr>
        <w:tab/>
        <w:t xml:space="preserve">ميثاق الأمم المتحدة، المادتان </w:t>
      </w:r>
      <w:r w:rsidRPr="00BD31CD">
        <w:rPr>
          <w:rFonts w:eastAsiaTheme="minorEastAsia"/>
          <w:rtl/>
        </w:rPr>
        <w:t>55</w:t>
      </w:r>
      <w:r w:rsidRPr="00FF2EA3">
        <w:rPr>
          <w:rFonts w:eastAsiaTheme="minorEastAsia"/>
          <w:rtl/>
        </w:rPr>
        <w:t xml:space="preserve"> و</w:t>
      </w:r>
      <w:r w:rsidRPr="00BD31CD">
        <w:rPr>
          <w:rFonts w:eastAsiaTheme="minorEastAsia"/>
          <w:rtl/>
        </w:rPr>
        <w:t>56</w:t>
      </w:r>
      <w:r w:rsidRPr="00FF2EA3">
        <w:rPr>
          <w:rFonts w:eastAsiaTheme="minorEastAsia"/>
          <w:rtl/>
        </w:rPr>
        <w:t>. انظر أيضاً اللجنة المعنية بالحقوق الاقتصادية والاجتماعية والثقافية، التعليق العام رقم</w:t>
      </w:r>
      <w:r>
        <w:rPr>
          <w:rFonts w:eastAsiaTheme="minorEastAsia" w:hint="cs"/>
          <w:rtl/>
        </w:rPr>
        <w:t> </w:t>
      </w:r>
      <w:r w:rsidRPr="00BD31CD">
        <w:rPr>
          <w:rFonts w:eastAsiaTheme="minorEastAsia"/>
          <w:rtl/>
        </w:rPr>
        <w:t>24</w:t>
      </w:r>
      <w:r w:rsidRPr="00FF2EA3">
        <w:rPr>
          <w:rFonts w:eastAsiaTheme="minorEastAsia"/>
          <w:rtl/>
        </w:rPr>
        <w:t>(</w:t>
      </w:r>
      <w:r w:rsidRPr="00BD31CD">
        <w:rPr>
          <w:rFonts w:eastAsiaTheme="minorEastAsia"/>
          <w:rtl/>
        </w:rPr>
        <w:t>2017</w:t>
      </w:r>
      <w:r w:rsidRPr="00FF2EA3">
        <w:rPr>
          <w:rFonts w:eastAsiaTheme="minorEastAsia"/>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0CE2BA" w14:textId="5F98A810" w:rsidR="00EA20BE" w:rsidRPr="00EA20BE" w:rsidRDefault="00EA20BE" w:rsidP="00EA20B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00CF5">
      <w:t>E/C.12/2021/1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FC7642" w14:textId="4DAB8650" w:rsidR="00EA20BE" w:rsidRPr="00EA20BE" w:rsidRDefault="00EA20BE" w:rsidP="00EA20B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00CF5">
      <w:t>E/C.12/2021/1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671"/>
    <w:rsid w:val="000076D5"/>
    <w:rsid w:val="000148E3"/>
    <w:rsid w:val="00043663"/>
    <w:rsid w:val="000505CF"/>
    <w:rsid w:val="000D63FC"/>
    <w:rsid w:val="000D701C"/>
    <w:rsid w:val="000E2A71"/>
    <w:rsid w:val="000E524A"/>
    <w:rsid w:val="00147B99"/>
    <w:rsid w:val="00160263"/>
    <w:rsid w:val="0017461F"/>
    <w:rsid w:val="00181F96"/>
    <w:rsid w:val="001A1371"/>
    <w:rsid w:val="001A58AC"/>
    <w:rsid w:val="001B346A"/>
    <w:rsid w:val="001C068C"/>
    <w:rsid w:val="001C4411"/>
    <w:rsid w:val="001D1FE9"/>
    <w:rsid w:val="001E1CAD"/>
    <w:rsid w:val="001E290D"/>
    <w:rsid w:val="002144FA"/>
    <w:rsid w:val="0023469A"/>
    <w:rsid w:val="00242AA9"/>
    <w:rsid w:val="00243C8A"/>
    <w:rsid w:val="00267A0E"/>
    <w:rsid w:val="002901D9"/>
    <w:rsid w:val="002976C2"/>
    <w:rsid w:val="00310E12"/>
    <w:rsid w:val="0032249E"/>
    <w:rsid w:val="00325CC1"/>
    <w:rsid w:val="003260FF"/>
    <w:rsid w:val="00343D95"/>
    <w:rsid w:val="00360ABA"/>
    <w:rsid w:val="00374341"/>
    <w:rsid w:val="003D1062"/>
    <w:rsid w:val="003E159A"/>
    <w:rsid w:val="003F4B0C"/>
    <w:rsid w:val="004205C7"/>
    <w:rsid w:val="00420D7B"/>
    <w:rsid w:val="00450B21"/>
    <w:rsid w:val="00453B63"/>
    <w:rsid w:val="00455780"/>
    <w:rsid w:val="00485999"/>
    <w:rsid w:val="004B0A1C"/>
    <w:rsid w:val="004C7897"/>
    <w:rsid w:val="004D298E"/>
    <w:rsid w:val="004E32F4"/>
    <w:rsid w:val="00501FD1"/>
    <w:rsid w:val="005174F0"/>
    <w:rsid w:val="00517BC9"/>
    <w:rsid w:val="00527E4C"/>
    <w:rsid w:val="0053172A"/>
    <w:rsid w:val="0054472E"/>
    <w:rsid w:val="0054762C"/>
    <w:rsid w:val="005662A9"/>
    <w:rsid w:val="005817D9"/>
    <w:rsid w:val="005827D4"/>
    <w:rsid w:val="0059622A"/>
    <w:rsid w:val="005A5A78"/>
    <w:rsid w:val="005A7535"/>
    <w:rsid w:val="005B37A1"/>
    <w:rsid w:val="005C5878"/>
    <w:rsid w:val="005C7CEA"/>
    <w:rsid w:val="005D3C0B"/>
    <w:rsid w:val="005D57FB"/>
    <w:rsid w:val="005E5217"/>
    <w:rsid w:val="005F0FA4"/>
    <w:rsid w:val="005F30EE"/>
    <w:rsid w:val="0060473A"/>
    <w:rsid w:val="00606EDF"/>
    <w:rsid w:val="00634937"/>
    <w:rsid w:val="00656392"/>
    <w:rsid w:val="00682790"/>
    <w:rsid w:val="0068781D"/>
    <w:rsid w:val="006959B0"/>
    <w:rsid w:val="006B3E27"/>
    <w:rsid w:val="006B6507"/>
    <w:rsid w:val="006C104C"/>
    <w:rsid w:val="006E1F50"/>
    <w:rsid w:val="006F5600"/>
    <w:rsid w:val="00733704"/>
    <w:rsid w:val="00740188"/>
    <w:rsid w:val="0078071A"/>
    <w:rsid w:val="007A70BB"/>
    <w:rsid w:val="007C1C49"/>
    <w:rsid w:val="00800CF5"/>
    <w:rsid w:val="00852A9A"/>
    <w:rsid w:val="00871544"/>
    <w:rsid w:val="008864E6"/>
    <w:rsid w:val="008930DB"/>
    <w:rsid w:val="00895D16"/>
    <w:rsid w:val="008F49E1"/>
    <w:rsid w:val="0090370F"/>
    <w:rsid w:val="00904329"/>
    <w:rsid w:val="009269D2"/>
    <w:rsid w:val="00942135"/>
    <w:rsid w:val="009521B0"/>
    <w:rsid w:val="009A7E9F"/>
    <w:rsid w:val="009E0EDE"/>
    <w:rsid w:val="009E5018"/>
    <w:rsid w:val="00A072C6"/>
    <w:rsid w:val="00A12B37"/>
    <w:rsid w:val="00A15998"/>
    <w:rsid w:val="00A50EC0"/>
    <w:rsid w:val="00A74331"/>
    <w:rsid w:val="00A862CC"/>
    <w:rsid w:val="00AB6758"/>
    <w:rsid w:val="00B13763"/>
    <w:rsid w:val="00B24420"/>
    <w:rsid w:val="00B477A4"/>
    <w:rsid w:val="00B54045"/>
    <w:rsid w:val="00BA1F0F"/>
    <w:rsid w:val="00BA641F"/>
    <w:rsid w:val="00BD31CD"/>
    <w:rsid w:val="00C022F5"/>
    <w:rsid w:val="00C438D7"/>
    <w:rsid w:val="00C53FE8"/>
    <w:rsid w:val="00C81B50"/>
    <w:rsid w:val="00CA655B"/>
    <w:rsid w:val="00CB3C3C"/>
    <w:rsid w:val="00CD1801"/>
    <w:rsid w:val="00CE29BB"/>
    <w:rsid w:val="00D10EF1"/>
    <w:rsid w:val="00D42810"/>
    <w:rsid w:val="00D605E6"/>
    <w:rsid w:val="00D914A7"/>
    <w:rsid w:val="00DD13C3"/>
    <w:rsid w:val="00DD596E"/>
    <w:rsid w:val="00DD621E"/>
    <w:rsid w:val="00DF0575"/>
    <w:rsid w:val="00E049EC"/>
    <w:rsid w:val="00E3601B"/>
    <w:rsid w:val="00E57B80"/>
    <w:rsid w:val="00E70E04"/>
    <w:rsid w:val="00E94671"/>
    <w:rsid w:val="00EA20BE"/>
    <w:rsid w:val="00EC05A7"/>
    <w:rsid w:val="00EC4B6B"/>
    <w:rsid w:val="00EC7D11"/>
    <w:rsid w:val="00ED7442"/>
    <w:rsid w:val="00EE0B18"/>
    <w:rsid w:val="00EE2AFF"/>
    <w:rsid w:val="00EF1EE5"/>
    <w:rsid w:val="00F6423C"/>
    <w:rsid w:val="00F763B4"/>
    <w:rsid w:val="00F900C3"/>
    <w:rsid w:val="00FA0CD3"/>
    <w:rsid w:val="00FA57AB"/>
    <w:rsid w:val="00FC75D1"/>
    <w:rsid w:val="00FD4BC9"/>
    <w:rsid w:val="00FF2AB2"/>
    <w:rsid w:val="00FF2EA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55105CA"/>
  <w15:docId w15:val="{F99644F3-C217-4B38-88A0-DF9F28670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4E6"/>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864E6"/>
    <w:pPr>
      <w:bidi w:val="0"/>
      <w:outlineLvl w:val="0"/>
    </w:pPr>
  </w:style>
  <w:style w:type="paragraph" w:styleId="Heading2">
    <w:name w:val="heading 2"/>
    <w:basedOn w:val="Normal"/>
    <w:next w:val="Normal"/>
    <w:link w:val="Heading2Char"/>
    <w:uiPriority w:val="9"/>
    <w:unhideWhenUsed/>
    <w:rsid w:val="008864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864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8864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864E6"/>
    <w:pPr>
      <w:keepNext/>
      <w:keepLines/>
      <w:spacing w:before="200"/>
      <w:outlineLvl w:val="4"/>
    </w:pPr>
    <w:rPr>
      <w:color w:val="243F60"/>
    </w:rPr>
  </w:style>
  <w:style w:type="paragraph" w:styleId="Heading6">
    <w:name w:val="heading 6"/>
    <w:basedOn w:val="Normal"/>
    <w:next w:val="Normal"/>
    <w:link w:val="Heading6Char"/>
    <w:uiPriority w:val="9"/>
    <w:unhideWhenUsed/>
    <w:rsid w:val="008864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8864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8864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864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8864E6"/>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8864E6"/>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qFormat/>
    <w:rsid w:val="008864E6"/>
    <w:rPr>
      <w:szCs w:val="18"/>
      <w:vertAlign w:val="superscript"/>
    </w:rPr>
  </w:style>
  <w:style w:type="paragraph" w:customStyle="1" w:styleId="HMGA">
    <w:name w:val="_ H __M_GA"/>
    <w:basedOn w:val="Normal"/>
    <w:next w:val="SingleTxtGA"/>
    <w:qFormat/>
    <w:rsid w:val="008864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864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864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864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864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864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864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864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864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864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864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864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864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864E6"/>
    <w:pPr>
      <w:numPr>
        <w:numId w:val="5"/>
      </w:numPr>
      <w:bidi w:val="0"/>
    </w:pPr>
    <w:rPr>
      <w:lang w:val="en-US"/>
    </w:rPr>
  </w:style>
  <w:style w:type="paragraph" w:customStyle="1" w:styleId="Roman1GA">
    <w:name w:val="_Roman 1_GA"/>
    <w:basedOn w:val="Bullet1GA"/>
    <w:qFormat/>
    <w:rsid w:val="008864E6"/>
    <w:pPr>
      <w:numPr>
        <w:numId w:val="6"/>
      </w:numPr>
      <w:tabs>
        <w:tab w:val="clear" w:pos="2310"/>
        <w:tab w:val="left" w:pos="2486"/>
      </w:tabs>
      <w:ind w:left="2486" w:hanging="378"/>
    </w:pPr>
  </w:style>
  <w:style w:type="paragraph" w:customStyle="1" w:styleId="Roman2GA">
    <w:name w:val="_Roman 2_GA"/>
    <w:basedOn w:val="Bullet2GA"/>
    <w:qFormat/>
    <w:rsid w:val="008864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864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864E6"/>
    <w:rPr>
      <w:rFonts w:ascii="Times New Roman" w:eastAsia="PMingLiU" w:hAnsi="Times New Roman" w:cs="Simplified Arabic"/>
      <w:sz w:val="18"/>
      <w:szCs w:val="20"/>
      <w:lang w:val="en-GB"/>
    </w:rPr>
  </w:style>
  <w:style w:type="character" w:customStyle="1" w:styleId="EndtnoteReference">
    <w:name w:val="Endtnote Reference"/>
    <w:aliases w:val="1_GA"/>
    <w:qFormat/>
    <w:rsid w:val="008864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864E6"/>
    <w:pPr>
      <w:suppressAutoHyphens/>
      <w:bidi w:val="0"/>
      <w:spacing w:line="240" w:lineRule="auto"/>
    </w:pPr>
    <w:rPr>
      <w:sz w:val="16"/>
      <w:lang w:val="en-GB"/>
    </w:rPr>
  </w:style>
  <w:style w:type="character" w:customStyle="1" w:styleId="FooterChar">
    <w:name w:val="Footer Char"/>
    <w:aliases w:val="3_GA Char,3_G Char"/>
    <w:link w:val="Footer"/>
    <w:rsid w:val="008864E6"/>
    <w:rPr>
      <w:rFonts w:ascii="Times New Roman" w:eastAsia="PMingLiU" w:hAnsi="Times New Roman" w:cs="Simplified Arabic"/>
      <w:sz w:val="16"/>
      <w:lang w:val="en-GB"/>
    </w:rPr>
  </w:style>
  <w:style w:type="paragraph" w:customStyle="1" w:styleId="FootnoteText1">
    <w:name w:val="Footnote Text1"/>
    <w:aliases w:val="5_GA"/>
    <w:basedOn w:val="Normal"/>
    <w:qFormat/>
    <w:rsid w:val="008864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864E6"/>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8864E6"/>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864E6"/>
    <w:rPr>
      <w:rFonts w:ascii="Times New Roman" w:eastAsia="PMingLiU" w:hAnsi="Times New Roman" w:cs="Simplified Arabic"/>
      <w:lang w:val="en-GB"/>
    </w:rPr>
  </w:style>
  <w:style w:type="character" w:styleId="PageNumber">
    <w:name w:val="page number"/>
    <w:aliases w:val="7_GA,7_G"/>
    <w:qFormat/>
    <w:rsid w:val="008864E6"/>
    <w:rPr>
      <w:rFonts w:ascii="Times New Roman Bold" w:hAnsi="Times New Roman Bold"/>
      <w:b/>
      <w:i w:val="0"/>
      <w:sz w:val="18"/>
      <w:szCs w:val="18"/>
    </w:rPr>
  </w:style>
  <w:style w:type="paragraph" w:customStyle="1" w:styleId="XXLargeGA">
    <w:name w:val="XXLarge_GA"/>
    <w:basedOn w:val="Normal"/>
    <w:next w:val="SingleTxtGA"/>
    <w:qFormat/>
    <w:rsid w:val="008864E6"/>
    <w:pPr>
      <w:suppressAutoHyphens/>
      <w:spacing w:line="820" w:lineRule="exact"/>
    </w:pPr>
    <w:rPr>
      <w:spacing w:val="-8"/>
      <w:w w:val="96"/>
      <w:sz w:val="57"/>
      <w:szCs w:val="86"/>
      <w:lang w:val="en-GB"/>
    </w:rPr>
  </w:style>
  <w:style w:type="character" w:customStyle="1" w:styleId="Heading2Char">
    <w:name w:val="Heading 2 Char"/>
    <w:link w:val="Heading2"/>
    <w:uiPriority w:val="9"/>
    <w:rsid w:val="008864E6"/>
    <w:rPr>
      <w:rFonts w:ascii="Times New Roman" w:eastAsia="PMingLiU" w:hAnsi="Times New Roman" w:cs="Simplified Arabic"/>
      <w:b/>
      <w:bCs/>
      <w:color w:val="4F81BD"/>
      <w:sz w:val="26"/>
      <w:szCs w:val="26"/>
    </w:rPr>
  </w:style>
  <w:style w:type="character" w:styleId="BookTitle">
    <w:name w:val="Book Title"/>
    <w:uiPriority w:val="33"/>
    <w:rsid w:val="008864E6"/>
    <w:rPr>
      <w:b/>
      <w:bCs/>
      <w:smallCaps/>
      <w:spacing w:val="5"/>
    </w:rPr>
  </w:style>
  <w:style w:type="character" w:customStyle="1" w:styleId="Heading3Char">
    <w:name w:val="Heading 3 Char"/>
    <w:link w:val="Heading3"/>
    <w:uiPriority w:val="9"/>
    <w:rsid w:val="008864E6"/>
    <w:rPr>
      <w:rFonts w:ascii="Times New Roman" w:eastAsia="PMingLiU" w:hAnsi="Times New Roman" w:cs="Simplified Arabic"/>
      <w:b/>
      <w:bCs/>
      <w:color w:val="4F81BD"/>
      <w:sz w:val="20"/>
    </w:rPr>
  </w:style>
  <w:style w:type="character" w:customStyle="1" w:styleId="Heading4Char">
    <w:name w:val="Heading 4 Char"/>
    <w:link w:val="Heading4"/>
    <w:uiPriority w:val="9"/>
    <w:rsid w:val="008864E6"/>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864E6"/>
    <w:rPr>
      <w:rFonts w:ascii="Times New Roman" w:eastAsia="PMingLiU" w:hAnsi="Times New Roman" w:cs="Simplified Arabic"/>
      <w:color w:val="243F60"/>
      <w:sz w:val="20"/>
    </w:rPr>
  </w:style>
  <w:style w:type="character" w:customStyle="1" w:styleId="Heading6Char">
    <w:name w:val="Heading 6 Char"/>
    <w:link w:val="Heading6"/>
    <w:uiPriority w:val="9"/>
    <w:rsid w:val="008864E6"/>
    <w:rPr>
      <w:rFonts w:ascii="Times New Roman" w:eastAsia="PMingLiU" w:hAnsi="Times New Roman" w:cs="Simplified Arabic"/>
      <w:i/>
      <w:iCs/>
      <w:color w:val="243F60"/>
      <w:sz w:val="20"/>
    </w:rPr>
  </w:style>
  <w:style w:type="character" w:customStyle="1" w:styleId="Heading7Char">
    <w:name w:val="Heading 7 Char"/>
    <w:link w:val="Heading7"/>
    <w:uiPriority w:val="9"/>
    <w:rsid w:val="008864E6"/>
    <w:rPr>
      <w:rFonts w:ascii="Times New Roman" w:eastAsia="PMingLiU" w:hAnsi="Times New Roman" w:cs="Simplified Arabic"/>
      <w:i/>
      <w:iCs/>
      <w:color w:val="404040"/>
      <w:sz w:val="20"/>
    </w:rPr>
  </w:style>
  <w:style w:type="character" w:customStyle="1" w:styleId="Heading8Char">
    <w:name w:val="Heading 8 Char"/>
    <w:link w:val="Heading8"/>
    <w:uiPriority w:val="9"/>
    <w:rsid w:val="008864E6"/>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864E6"/>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864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864E6"/>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864E6"/>
    <w:pPr>
      <w:numPr>
        <w:ilvl w:val="1"/>
      </w:numPr>
    </w:pPr>
    <w:rPr>
      <w:i/>
      <w:iCs/>
      <w:color w:val="4F81BD"/>
      <w:spacing w:val="15"/>
      <w:sz w:val="24"/>
      <w:szCs w:val="24"/>
    </w:rPr>
  </w:style>
  <w:style w:type="character" w:customStyle="1" w:styleId="SubtitleChar">
    <w:name w:val="Subtitle Char"/>
    <w:link w:val="Subtitle"/>
    <w:uiPriority w:val="11"/>
    <w:rsid w:val="008864E6"/>
    <w:rPr>
      <w:rFonts w:ascii="Times New Roman" w:eastAsia="PMingLiU" w:hAnsi="Times New Roman" w:cs="Simplified Arabic"/>
      <w:i/>
      <w:iCs/>
      <w:color w:val="4F81BD"/>
      <w:spacing w:val="15"/>
      <w:sz w:val="24"/>
      <w:szCs w:val="24"/>
    </w:rPr>
  </w:style>
  <w:style w:type="character" w:styleId="SubtleEmphasis">
    <w:name w:val="Subtle Emphasis"/>
    <w:uiPriority w:val="19"/>
    <w:rsid w:val="008864E6"/>
    <w:rPr>
      <w:i/>
      <w:iCs/>
      <w:color w:val="808080"/>
    </w:rPr>
  </w:style>
  <w:style w:type="table" w:styleId="ColorfulGrid-Accent6">
    <w:name w:val="Colorful Grid Accent 6"/>
    <w:basedOn w:val="TableNormal"/>
    <w:uiPriority w:val="73"/>
    <w:rsid w:val="008864E6"/>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8864E6"/>
    <w:rPr>
      <w:i/>
      <w:iCs/>
    </w:rPr>
  </w:style>
  <w:style w:type="character" w:styleId="IntenseEmphasis">
    <w:name w:val="Intense Emphasis"/>
    <w:uiPriority w:val="21"/>
    <w:rsid w:val="008864E6"/>
    <w:rPr>
      <w:b/>
      <w:bCs/>
      <w:i/>
      <w:iCs/>
      <w:color w:val="4F81BD"/>
    </w:rPr>
  </w:style>
  <w:style w:type="character" w:styleId="Strong">
    <w:name w:val="Strong"/>
    <w:uiPriority w:val="22"/>
    <w:rsid w:val="008864E6"/>
    <w:rPr>
      <w:b/>
      <w:bCs/>
    </w:rPr>
  </w:style>
  <w:style w:type="paragraph" w:styleId="Quote">
    <w:name w:val="Quote"/>
    <w:basedOn w:val="Normal"/>
    <w:next w:val="Normal"/>
    <w:link w:val="QuoteChar"/>
    <w:uiPriority w:val="29"/>
    <w:rsid w:val="008864E6"/>
    <w:rPr>
      <w:i/>
      <w:iCs/>
      <w:color w:val="000000"/>
    </w:rPr>
  </w:style>
  <w:style w:type="character" w:customStyle="1" w:styleId="QuoteChar">
    <w:name w:val="Quote Char"/>
    <w:link w:val="Quote"/>
    <w:uiPriority w:val="29"/>
    <w:rsid w:val="008864E6"/>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8864E6"/>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8864E6"/>
    <w:rPr>
      <w:rFonts w:ascii="Times New Roman" w:eastAsia="PMingLiU" w:hAnsi="Times New Roman" w:cs="Simplified Arabic"/>
      <w:b/>
      <w:bCs/>
      <w:i/>
      <w:iCs/>
      <w:color w:val="4F81BD"/>
      <w:sz w:val="20"/>
    </w:rPr>
  </w:style>
  <w:style w:type="character" w:styleId="SubtleReference">
    <w:name w:val="Subtle Reference"/>
    <w:uiPriority w:val="31"/>
    <w:rsid w:val="008864E6"/>
    <w:rPr>
      <w:smallCaps/>
      <w:color w:val="C0504D"/>
      <w:u w:val="single"/>
    </w:rPr>
  </w:style>
  <w:style w:type="character" w:styleId="IntenseReference">
    <w:name w:val="Intense Reference"/>
    <w:uiPriority w:val="32"/>
    <w:rsid w:val="008864E6"/>
    <w:rPr>
      <w:b/>
      <w:bCs/>
      <w:smallCaps/>
      <w:color w:val="C0504D"/>
      <w:spacing w:val="5"/>
      <w:u w:val="single"/>
    </w:rPr>
  </w:style>
  <w:style w:type="paragraph" w:styleId="ListParagraph">
    <w:name w:val="List Paragraph"/>
    <w:basedOn w:val="Normal"/>
    <w:uiPriority w:val="34"/>
    <w:rsid w:val="008864E6"/>
    <w:pPr>
      <w:ind w:left="720"/>
      <w:contextualSpacing/>
    </w:pPr>
  </w:style>
  <w:style w:type="table" w:styleId="MediumShading1-Accent4">
    <w:name w:val="Medium Shading 1 Accent 4"/>
    <w:basedOn w:val="TableNormal"/>
    <w:uiPriority w:val="63"/>
    <w:rsid w:val="008864E6"/>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8864E6"/>
    <w:rPr>
      <w:rFonts w:eastAsia="MS Mincho"/>
      <w:sz w:val="18"/>
      <w:vertAlign w:val="superscript"/>
    </w:rPr>
  </w:style>
  <w:style w:type="table" w:styleId="TableGrid">
    <w:name w:val="Table Grid"/>
    <w:basedOn w:val="TableNormal"/>
    <w:rsid w:val="008864E6"/>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864E6"/>
    <w:pPr>
      <w:spacing w:line="240" w:lineRule="auto"/>
    </w:pPr>
    <w:rPr>
      <w:sz w:val="16"/>
      <w:szCs w:val="16"/>
    </w:rPr>
  </w:style>
  <w:style w:type="character" w:customStyle="1" w:styleId="BalloonTextChar">
    <w:name w:val="Balloon Text Char"/>
    <w:link w:val="BalloonText"/>
    <w:uiPriority w:val="99"/>
    <w:semiHidden/>
    <w:rsid w:val="008864E6"/>
    <w:rPr>
      <w:rFonts w:ascii="Times New Roman" w:eastAsia="PMingLiU" w:hAnsi="Times New Roman" w:cs="Simplified Arabic"/>
      <w:sz w:val="16"/>
      <w:szCs w:val="16"/>
    </w:rPr>
  </w:style>
  <w:style w:type="character" w:styleId="Hyperlink">
    <w:name w:val="Hyperlink"/>
    <w:uiPriority w:val="99"/>
    <w:unhideWhenUsed/>
    <w:rsid w:val="008864E6"/>
    <w:rPr>
      <w:color w:val="0000FF"/>
      <w:u w:val="none"/>
    </w:rPr>
  </w:style>
  <w:style w:type="paragraph" w:styleId="TOC1">
    <w:name w:val="toc 1"/>
    <w:basedOn w:val="Normal"/>
    <w:link w:val="TOC1Char"/>
    <w:autoRedefine/>
    <w:uiPriority w:val="39"/>
    <w:unhideWhenUsed/>
    <w:rsid w:val="008864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864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864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864E6"/>
    <w:rPr>
      <w:rFonts w:eastAsia="DengXian"/>
      <w:color w:val="auto"/>
      <w:sz w:val="20"/>
      <w:szCs w:val="20"/>
      <w:u w:val="none"/>
      <w:lang w:eastAsia="zh-CN" w:bidi="ar-EG"/>
    </w:rPr>
  </w:style>
  <w:style w:type="paragraph" w:styleId="TOC4">
    <w:name w:val="toc 4"/>
    <w:basedOn w:val="Normal"/>
    <w:link w:val="TOC4Char"/>
    <w:autoRedefine/>
    <w:uiPriority w:val="39"/>
    <w:unhideWhenUsed/>
    <w:rsid w:val="008864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864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864E6"/>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8864E6"/>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8864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864E6"/>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8864E6"/>
    <w:rPr>
      <w:color w:val="605E5C"/>
      <w:shd w:val="clear" w:color="auto" w:fill="E1DFDD"/>
    </w:rPr>
  </w:style>
  <w:style w:type="character" w:customStyle="1" w:styleId="TOC1Char">
    <w:name w:val="TOC 1 Char"/>
    <w:basedOn w:val="DefaultParagraphFont"/>
    <w:link w:val="TOC1"/>
    <w:uiPriority w:val="39"/>
    <w:rsid w:val="008864E6"/>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864E6"/>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864E6"/>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864E6"/>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864E6"/>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864E6"/>
    <w:rPr>
      <w:rFonts w:ascii="Times New Roman" w:eastAsia="PMingLiU" w:hAnsi="Times New Roman" w:cs="Simplified Arabic"/>
      <w:sz w:val="20"/>
      <w:szCs w:val="20"/>
      <w:lang w:val="en-GB"/>
    </w:rPr>
  </w:style>
  <w:style w:type="paragraph" w:customStyle="1" w:styleId="SessionDate">
    <w:name w:val="Session_Date"/>
    <w:basedOn w:val="Normal"/>
    <w:qFormat/>
    <w:rsid w:val="008864E6"/>
    <w:pPr>
      <w:spacing w:before="240" w:after="240" w:line="460" w:lineRule="exact"/>
      <w:ind w:left="1247"/>
    </w:pPr>
    <w:rPr>
      <w:b/>
      <w:bCs/>
      <w:sz w:val="32"/>
      <w:szCs w:val="44"/>
    </w:rPr>
  </w:style>
  <w:style w:type="paragraph" w:customStyle="1" w:styleId="SessionNumber">
    <w:name w:val="Session_Number"/>
    <w:basedOn w:val="Normal"/>
    <w:qFormat/>
    <w:rsid w:val="008864E6"/>
    <w:pPr>
      <w:spacing w:line="480" w:lineRule="exact"/>
      <w:ind w:left="1247"/>
    </w:pPr>
    <w:rPr>
      <w:b/>
      <w:bCs/>
      <w:sz w:val="28"/>
      <w:szCs w:val="38"/>
    </w:rPr>
  </w:style>
  <w:style w:type="paragraph" w:customStyle="1" w:styleId="CityandYear">
    <w:name w:val="City and Year"/>
    <w:basedOn w:val="SingleTxtGA"/>
    <w:qFormat/>
    <w:rsid w:val="008864E6"/>
    <w:pPr>
      <w:spacing w:line="480" w:lineRule="exact"/>
    </w:pPr>
    <w:rPr>
      <w:b/>
      <w:bCs/>
      <w:sz w:val="30"/>
      <w:szCs w:val="38"/>
      <w:lang w:eastAsia="ar-SA"/>
    </w:rPr>
  </w:style>
  <w:style w:type="paragraph" w:customStyle="1" w:styleId="NormalA">
    <w:name w:val="Normal_A"/>
    <w:basedOn w:val="Normal"/>
    <w:qFormat/>
    <w:rsid w:val="008864E6"/>
  </w:style>
  <w:style w:type="paragraph" w:customStyle="1" w:styleId="SingleTxtG">
    <w:name w:val="_ Single Txt_G"/>
    <w:basedOn w:val="Normal"/>
    <w:link w:val="SingleTxtGChar"/>
    <w:qFormat/>
    <w:rsid w:val="008864E6"/>
    <w:pPr>
      <w:suppressAutoHyphens/>
      <w:bidi w:val="0"/>
      <w:spacing w:after="120"/>
      <w:ind w:left="1134" w:right="1134"/>
      <w:jc w:val="both"/>
    </w:pPr>
    <w:rPr>
      <w:szCs w:val="20"/>
      <w:lang w:val="en-GB"/>
    </w:rPr>
  </w:style>
  <w:style w:type="paragraph" w:customStyle="1" w:styleId="HChG">
    <w:name w:val="_ H _Ch_G"/>
    <w:basedOn w:val="Normal"/>
    <w:next w:val="Normal"/>
    <w:qFormat/>
    <w:rsid w:val="008864E6"/>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8864E6"/>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8864E6"/>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8864E6"/>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8864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864E6"/>
    <w:rPr>
      <w:sz w:val="44"/>
      <w:szCs w:val="44"/>
      <w:lang w:val="en-US" w:bidi="ar-DZ"/>
    </w:rPr>
  </w:style>
  <w:style w:type="paragraph" w:customStyle="1" w:styleId="FootnoteGA0">
    <w:name w:val="Footnote_GA"/>
    <w:basedOn w:val="Normal"/>
    <w:qFormat/>
    <w:rsid w:val="008864E6"/>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8864E6"/>
    <w:pPr>
      <w:keepNext/>
      <w:keepLines/>
      <w:spacing w:after="120" w:line="400" w:lineRule="exact"/>
      <w:outlineLvl w:val="0"/>
    </w:pPr>
    <w:rPr>
      <w:b/>
      <w:bCs/>
      <w:kern w:val="14"/>
      <w:sz w:val="24"/>
      <w:szCs w:val="32"/>
    </w:rPr>
  </w:style>
  <w:style w:type="paragraph" w:customStyle="1" w:styleId="HCh">
    <w:name w:val="_ H _Ch"/>
    <w:basedOn w:val="H1"/>
    <w:next w:val="SingleTxt"/>
    <w:qFormat/>
    <w:rsid w:val="008864E6"/>
    <w:pPr>
      <w:spacing w:line="440" w:lineRule="exact"/>
    </w:pPr>
    <w:rPr>
      <w:spacing w:val="-2"/>
      <w:sz w:val="28"/>
      <w:szCs w:val="36"/>
    </w:rPr>
  </w:style>
  <w:style w:type="character" w:styleId="CommentReference">
    <w:name w:val="annotation reference"/>
    <w:uiPriority w:val="99"/>
    <w:semiHidden/>
    <w:rsid w:val="008864E6"/>
    <w:rPr>
      <w:sz w:val="6"/>
      <w:szCs w:val="9"/>
    </w:rPr>
  </w:style>
  <w:style w:type="paragraph" w:customStyle="1" w:styleId="HM">
    <w:name w:val="_ H __M"/>
    <w:basedOn w:val="HCh"/>
    <w:next w:val="Normal"/>
    <w:qFormat/>
    <w:rsid w:val="008864E6"/>
    <w:pPr>
      <w:suppressAutoHyphens/>
      <w:spacing w:line="520" w:lineRule="exact"/>
    </w:pPr>
    <w:rPr>
      <w:spacing w:val="-3"/>
      <w:sz w:val="34"/>
      <w:szCs w:val="48"/>
    </w:rPr>
  </w:style>
  <w:style w:type="paragraph" w:customStyle="1" w:styleId="SingleTxt">
    <w:name w:val="__Single Txt"/>
    <w:basedOn w:val="Normal"/>
    <w:qFormat/>
    <w:rsid w:val="008864E6"/>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8864E6"/>
    <w:pPr>
      <w:suppressAutoHyphens/>
      <w:spacing w:line="360" w:lineRule="exact"/>
      <w:outlineLvl w:val="1"/>
    </w:pPr>
    <w:rPr>
      <w:spacing w:val="2"/>
      <w:sz w:val="20"/>
      <w:szCs w:val="28"/>
    </w:rPr>
  </w:style>
  <w:style w:type="paragraph" w:customStyle="1" w:styleId="H4">
    <w:name w:val="_ H_4"/>
    <w:basedOn w:val="Normal"/>
    <w:next w:val="Normal"/>
    <w:qFormat/>
    <w:rsid w:val="008864E6"/>
    <w:pPr>
      <w:keepNext/>
      <w:keepLines/>
      <w:spacing w:after="120" w:line="360" w:lineRule="exact"/>
      <w:outlineLvl w:val="3"/>
    </w:pPr>
    <w:rPr>
      <w:i/>
      <w:iCs/>
      <w:kern w:val="14"/>
      <w:szCs w:val="28"/>
    </w:rPr>
  </w:style>
  <w:style w:type="paragraph" w:customStyle="1" w:styleId="H56">
    <w:name w:val="_ H_5/6"/>
    <w:basedOn w:val="Normal"/>
    <w:next w:val="Normal"/>
    <w:qFormat/>
    <w:rsid w:val="008864E6"/>
    <w:pPr>
      <w:keepNext/>
      <w:keepLines/>
      <w:spacing w:after="120" w:line="360" w:lineRule="exact"/>
      <w:outlineLvl w:val="4"/>
    </w:pPr>
    <w:rPr>
      <w:kern w:val="14"/>
      <w:szCs w:val="28"/>
    </w:rPr>
  </w:style>
  <w:style w:type="paragraph" w:customStyle="1" w:styleId="DualTxt">
    <w:name w:val="__Dual Txt"/>
    <w:basedOn w:val="Normal"/>
    <w:qFormat/>
    <w:rsid w:val="008864E6"/>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8864E6"/>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8864E6"/>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8864E6"/>
    <w:pPr>
      <w:spacing w:after="120" w:line="440" w:lineRule="exact"/>
      <w:jc w:val="center"/>
    </w:pPr>
    <w:rPr>
      <w:b/>
      <w:bCs/>
      <w:sz w:val="25"/>
      <w:szCs w:val="38"/>
    </w:rPr>
  </w:style>
  <w:style w:type="paragraph" w:customStyle="1" w:styleId="JH1">
    <w:name w:val="J_H_1"/>
    <w:basedOn w:val="JCH"/>
    <w:qFormat/>
    <w:rsid w:val="008864E6"/>
    <w:pPr>
      <w:spacing w:line="420" w:lineRule="exact"/>
    </w:pPr>
    <w:rPr>
      <w:sz w:val="23"/>
      <w:szCs w:val="34"/>
    </w:rPr>
  </w:style>
  <w:style w:type="paragraph" w:customStyle="1" w:styleId="JH2">
    <w:name w:val="J_H_2"/>
    <w:basedOn w:val="JH1"/>
    <w:qFormat/>
    <w:rsid w:val="008864E6"/>
    <w:pPr>
      <w:spacing w:line="400" w:lineRule="exact"/>
    </w:pPr>
    <w:rPr>
      <w:sz w:val="20"/>
      <w:szCs w:val="30"/>
    </w:rPr>
  </w:style>
  <w:style w:type="paragraph" w:customStyle="1" w:styleId="JSmall">
    <w:name w:val="J_Small"/>
    <w:basedOn w:val="JSingleTxt"/>
    <w:next w:val="JSingleTxt"/>
    <w:qFormat/>
    <w:rsid w:val="008864E6"/>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8864E6"/>
    <w:pPr>
      <w:tabs>
        <w:tab w:val="right" w:leader="dot" w:pos="360"/>
      </w:tabs>
      <w:spacing w:line="310" w:lineRule="exact"/>
      <w:jc w:val="right"/>
    </w:pPr>
    <w:rPr>
      <w:spacing w:val="5"/>
      <w:w w:val="104"/>
      <w:kern w:val="14"/>
      <w:sz w:val="17"/>
      <w:szCs w:val="25"/>
    </w:rPr>
  </w:style>
  <w:style w:type="character" w:styleId="LineNumber">
    <w:name w:val="line number"/>
    <w:qFormat/>
    <w:rsid w:val="008864E6"/>
    <w:rPr>
      <w:sz w:val="14"/>
      <w:szCs w:val="16"/>
    </w:rPr>
  </w:style>
  <w:style w:type="paragraph" w:customStyle="1" w:styleId="SmallX">
    <w:name w:val="SmallX"/>
    <w:basedOn w:val="Small"/>
    <w:next w:val="Normal"/>
    <w:qFormat/>
    <w:rsid w:val="008864E6"/>
    <w:pPr>
      <w:spacing w:line="240" w:lineRule="exact"/>
    </w:pPr>
    <w:rPr>
      <w:spacing w:val="6"/>
      <w:w w:val="106"/>
      <w:sz w:val="14"/>
      <w:szCs w:val="21"/>
    </w:rPr>
  </w:style>
  <w:style w:type="paragraph" w:customStyle="1" w:styleId="XLarge">
    <w:name w:val="XLarge"/>
    <w:basedOn w:val="HM"/>
    <w:qFormat/>
    <w:rsid w:val="008864E6"/>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8864E6"/>
    <w:pPr>
      <w:spacing w:line="820" w:lineRule="exact"/>
    </w:pPr>
    <w:rPr>
      <w:spacing w:val="-8"/>
      <w:w w:val="96"/>
      <w:sz w:val="57"/>
      <w:szCs w:val="86"/>
    </w:rPr>
  </w:style>
  <w:style w:type="paragraph" w:customStyle="1" w:styleId="Distribution">
    <w:name w:val="Distribution"/>
    <w:basedOn w:val="Normal"/>
    <w:next w:val="Normal"/>
    <w:qFormat/>
    <w:rsid w:val="008864E6"/>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8864E6"/>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8864E6"/>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8864E6"/>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8864E6"/>
    <w:pPr>
      <w:tabs>
        <w:tab w:val="left" w:pos="662"/>
        <w:tab w:val="left" w:pos="1267"/>
        <w:tab w:val="left" w:pos="1987"/>
        <w:tab w:val="left" w:pos="2650"/>
      </w:tabs>
      <w:spacing w:after="0"/>
      <w:ind w:left="662" w:hanging="662"/>
    </w:pPr>
  </w:style>
  <w:style w:type="paragraph" w:customStyle="1" w:styleId="Committee">
    <w:name w:val="Committee"/>
    <w:basedOn w:val="H1"/>
    <w:qFormat/>
    <w:rsid w:val="008864E6"/>
    <w:pPr>
      <w:tabs>
        <w:tab w:val="left" w:pos="662"/>
        <w:tab w:val="left" w:pos="1267"/>
        <w:tab w:val="left" w:pos="1987"/>
        <w:tab w:val="left" w:pos="2650"/>
      </w:tabs>
      <w:ind w:right="1264"/>
    </w:pPr>
  </w:style>
  <w:style w:type="paragraph" w:customStyle="1" w:styleId="AgendaItemNormal">
    <w:name w:val="Agenda_Item_Normal"/>
    <w:next w:val="Normal"/>
    <w:qFormat/>
    <w:rsid w:val="008864E6"/>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8864E6"/>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8864E6"/>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8864E6"/>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8864E6"/>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8864E6"/>
    <w:rPr>
      <w:i w:val="0"/>
      <w:color w:val="0000FF"/>
      <w:u w:val="none"/>
    </w:rPr>
  </w:style>
  <w:style w:type="paragraph" w:customStyle="1" w:styleId="Bullet1">
    <w:name w:val="Bullet 1"/>
    <w:basedOn w:val="Normal"/>
    <w:qFormat/>
    <w:rsid w:val="008864E6"/>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8864E6"/>
    <w:pPr>
      <w:numPr>
        <w:numId w:val="14"/>
      </w:numPr>
      <w:spacing w:after="120" w:line="360" w:lineRule="exact"/>
      <w:ind w:right="1264"/>
    </w:pPr>
    <w:rPr>
      <w:kern w:val="14"/>
      <w:szCs w:val="28"/>
    </w:rPr>
  </w:style>
  <w:style w:type="paragraph" w:customStyle="1" w:styleId="Bullet3">
    <w:name w:val="Bullet 3"/>
    <w:basedOn w:val="SingleTxt"/>
    <w:qFormat/>
    <w:rsid w:val="008864E6"/>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8864E6"/>
    <w:pPr>
      <w:ind w:right="5760"/>
      <w:outlineLvl w:val="1"/>
    </w:pPr>
    <w:rPr>
      <w:spacing w:val="2"/>
      <w:sz w:val="20"/>
      <w:szCs w:val="28"/>
    </w:rPr>
  </w:style>
  <w:style w:type="paragraph" w:customStyle="1" w:styleId="STitleM">
    <w:name w:val="S_Title_M"/>
    <w:basedOn w:val="Normal"/>
    <w:next w:val="Normal"/>
    <w:qFormat/>
    <w:rsid w:val="008864E6"/>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8864E6"/>
    <w:pPr>
      <w:spacing w:line="600" w:lineRule="exact"/>
      <w:ind w:left="1267" w:right="1267"/>
    </w:pPr>
    <w:rPr>
      <w:w w:val="103"/>
      <w:sz w:val="60"/>
      <w:szCs w:val="60"/>
    </w:rPr>
  </w:style>
  <w:style w:type="paragraph" w:customStyle="1" w:styleId="STitleL">
    <w:name w:val="S_Title_L"/>
    <w:basedOn w:val="XLarge"/>
    <w:next w:val="Normal"/>
    <w:qFormat/>
    <w:rsid w:val="008864E6"/>
    <w:rPr>
      <w:spacing w:val="-8"/>
      <w:w w:val="96"/>
      <w:sz w:val="57"/>
    </w:rPr>
  </w:style>
  <w:style w:type="paragraph" w:styleId="CommentText">
    <w:name w:val="annotation text"/>
    <w:basedOn w:val="Normal"/>
    <w:link w:val="CommentTextChar"/>
    <w:uiPriority w:val="99"/>
    <w:semiHidden/>
    <w:unhideWhenUsed/>
    <w:rsid w:val="008864E6"/>
    <w:pPr>
      <w:spacing w:line="240" w:lineRule="auto"/>
    </w:pPr>
    <w:rPr>
      <w:kern w:val="14"/>
    </w:rPr>
  </w:style>
  <w:style w:type="character" w:customStyle="1" w:styleId="CommentTextChar">
    <w:name w:val="Comment Text Char"/>
    <w:basedOn w:val="DefaultParagraphFont"/>
    <w:link w:val="CommentText"/>
    <w:uiPriority w:val="99"/>
    <w:semiHidden/>
    <w:rsid w:val="008864E6"/>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8864E6"/>
    <w:rPr>
      <w:b/>
      <w:bCs/>
    </w:rPr>
  </w:style>
  <w:style w:type="character" w:customStyle="1" w:styleId="CommentSubjectChar">
    <w:name w:val="Comment Subject Char"/>
    <w:basedOn w:val="CommentTextChar"/>
    <w:link w:val="CommentSubject"/>
    <w:uiPriority w:val="99"/>
    <w:semiHidden/>
    <w:rsid w:val="008864E6"/>
    <w:rPr>
      <w:rFonts w:ascii="Times New Roman" w:eastAsia="PMingLiU" w:hAnsi="Times New Roman" w:cs="Simplified Arabic"/>
      <w:b/>
      <w:bCs/>
      <w:kern w:val="14"/>
      <w:sz w:val="20"/>
    </w:rPr>
  </w:style>
  <w:style w:type="paragraph" w:customStyle="1" w:styleId="Bullet1G">
    <w:name w:val="_Bullet 1_G"/>
    <w:basedOn w:val="Normal"/>
    <w:qFormat/>
    <w:rsid w:val="008864E6"/>
    <w:pPr>
      <w:numPr>
        <w:numId w:val="16"/>
      </w:numPr>
      <w:bidi w:val="0"/>
      <w:spacing w:after="120"/>
      <w:ind w:right="1134"/>
      <w:jc w:val="both"/>
    </w:pPr>
    <w:rPr>
      <w:sz w:val="22"/>
    </w:rPr>
  </w:style>
  <w:style w:type="character" w:customStyle="1" w:styleId="SingleTxtGChar">
    <w:name w:val="_ Single Txt_G Char"/>
    <w:link w:val="SingleTxtG"/>
    <w:rsid w:val="008864E6"/>
    <w:rPr>
      <w:rFonts w:ascii="Times New Roman" w:eastAsia="PMingLiU" w:hAnsi="Times New Roman" w:cs="Simplified Arabic"/>
      <w:sz w:val="20"/>
      <w:szCs w:val="20"/>
      <w:lang w:val="en-GB"/>
    </w:rPr>
  </w:style>
  <w:style w:type="paragraph" w:customStyle="1" w:styleId="Preparedby">
    <w:name w:val="Prepared by:"/>
    <w:basedOn w:val="H23GA"/>
    <w:qFormat/>
    <w:rsid w:val="008864E6"/>
    <w:rPr>
      <w:sz w:val="32"/>
      <w:szCs w:val="32"/>
    </w:rPr>
  </w:style>
  <w:style w:type="paragraph" w:customStyle="1" w:styleId="ParaNoG">
    <w:name w:val="_ParaNo._G"/>
    <w:basedOn w:val="SingleTxtG"/>
    <w:rsid w:val="008864E6"/>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8864E6"/>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8864E6"/>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8864E6"/>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8864E6"/>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8864E6"/>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8864E6"/>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8864E6"/>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8864E6"/>
    <w:pPr>
      <w:spacing w:after="0" w:line="240" w:lineRule="auto"/>
    </w:pPr>
    <w:rPr>
      <w:rFonts w:eastAsiaTheme="minorEastAsia"/>
      <w:sz w:val="24"/>
      <w:szCs w:val="24"/>
      <w:lang w:val="fr-FR" w:eastAsia="fr-FR"/>
    </w:rPr>
  </w:style>
  <w:style w:type="paragraph" w:customStyle="1" w:styleId="Default">
    <w:name w:val="Default"/>
    <w:semiHidden/>
    <w:rsid w:val="008864E6"/>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8864E6"/>
  </w:style>
  <w:style w:type="character" w:customStyle="1" w:styleId="preferred">
    <w:name w:val="preferred"/>
    <w:basedOn w:val="DefaultParagraphFont"/>
    <w:rsid w:val="008864E6"/>
  </w:style>
  <w:style w:type="character" w:customStyle="1" w:styleId="admitted">
    <w:name w:val="admitted"/>
    <w:basedOn w:val="DefaultParagraphFont"/>
    <w:rsid w:val="008864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ohchr.org/EN/NewsEvents/Pages/DisplayNews.aspx?NewsID=26817&amp;LangID=E" TargetMode="External"/><Relationship Id="rId2" Type="http://schemas.openxmlformats.org/officeDocument/2006/relationships/hyperlink" Target="https://undocs.org/A/63/263" TargetMode="External"/><Relationship Id="rId1" Type="http://schemas.openxmlformats.org/officeDocument/2006/relationships/hyperlink" Target="https://docs.wto.org/dol2fe/Pages/SS/directdoc.aspx?filename=q:/IP/C/W669.pdf&amp;Open=True" TargetMode="External"/><Relationship Id="rId4" Type="http://schemas.openxmlformats.org/officeDocument/2006/relationships/hyperlink" Target="http://www.ohchr.org/EN/NewsEvents/Pages/DisplayNews.aspx?NewsID=%2026484&amp;Lang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8A1976-BACF-48F4-BD13-7C98AE48B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2</TotalTime>
  <Pages>6</Pages>
  <Words>1503</Words>
  <Characters>11277</Characters>
  <Application>Microsoft Office Word</Application>
  <DocSecurity>0</DocSecurity>
  <Lines>1127</Lines>
  <Paragraphs>983</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E/C.12/2021/1</vt:lpstr>
      <vt:lpstr>    بيان بشأن تلقيح الجميع بأسعار معقولة ضد مرض فيروس كورونا (كوفيد-19)، والتعاون </vt:lpstr>
      <vt:lpstr>        بيان للجنة المعنية بالحقوق الاقتصادية والاجتماعية والثقافية*</vt:lpstr>
    </vt:vector>
  </TitlesOfParts>
  <Company>DCM</Company>
  <LinksUpToDate>false</LinksUpToDate>
  <CharactersWithSpaces>11797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E/C.12/2021/1</dc:title>
  <dc:subject>GE.2105434(A)</dc:subject>
  <dc:creator>Muntaha BUHNAM - MBO</dc:creator>
  <cp:keywords>GE.2109460(A)</cp:keywords>
  <dc:description>Distr.: General
23 April 2021
Arabic
Original: English</dc:description>
  <cp:lastModifiedBy>Muntaha BUHNAM</cp:lastModifiedBy>
  <cp:revision>3</cp:revision>
  <cp:lastPrinted>2021-05-06T14:08:00Z</cp:lastPrinted>
  <dcterms:created xsi:type="dcterms:W3CDTF">2021-05-06T14:07:00Z</dcterms:created>
  <dcterms:modified xsi:type="dcterms:W3CDTF">2021-05-06T14:09:00Z</dcterms:modified>
  <cp:category>Final</cp:category>
</cp:coreProperties>
</file>