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5327F" w:rsidRDefault="0095327F">
      <w:pPr>
        <w:spacing w:line="60" w:lineRule="exact"/>
        <w:rPr>
          <w:sz w:val="6"/>
        </w:rPr>
        <w:sectPr w:rsidR="0095327F">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95327F" w:rsidRDefault="0095327F">
      <w:pPr>
        <w:spacing w:line="60" w:lineRule="exact"/>
        <w:rPr>
          <w:sz w:val="6"/>
        </w:rPr>
      </w:pPr>
    </w:p>
    <w:p w:rsidR="0095327F" w:rsidRDefault="0095327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pPr>
      <w:r>
        <w:rPr>
          <w:rFonts w:hint="eastAsia"/>
        </w:rPr>
        <w:t>消除对妇女歧视委员会</w:t>
      </w:r>
    </w:p>
    <w:p w:rsidR="0095327F" w:rsidRDefault="0095327F">
      <w:pPr>
        <w:pStyle w:val="SingleTxt"/>
        <w:spacing w:after="0"/>
      </w:pPr>
    </w:p>
    <w:p w:rsidR="0095327F" w:rsidRDefault="0095327F">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440" w:lineRule="exact"/>
        <w:ind w:left="1264" w:right="1264" w:hanging="1264"/>
        <w:jc w:val="both"/>
        <w:rPr>
          <w:rFonts w:hint="eastAsia"/>
        </w:rPr>
      </w:pPr>
      <w:r>
        <w:tab/>
      </w:r>
      <w:r>
        <w:tab/>
      </w:r>
      <w:r>
        <w:rPr>
          <w:rFonts w:hint="eastAsia"/>
        </w:rPr>
        <w:t>审议缔约国根据《消除对妇女一切形式歧视公约》第18条</w:t>
      </w:r>
      <w:r>
        <w:br/>
      </w:r>
      <w:r>
        <w:rPr>
          <w:rFonts w:hint="eastAsia"/>
        </w:rPr>
        <w:t>提交的报告</w:t>
      </w:r>
    </w:p>
    <w:p w:rsidR="0095327F" w:rsidRDefault="0095327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95327F" w:rsidRDefault="0095327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95327F" w:rsidRDefault="0095327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tab/>
      </w:r>
      <w:r>
        <w:rPr>
          <w:rFonts w:hint="eastAsia"/>
        </w:rPr>
        <w:t>缔约国的第六次定期报告</w:t>
      </w:r>
    </w:p>
    <w:p w:rsidR="0095327F" w:rsidRDefault="0095327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95327F" w:rsidRDefault="0095327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95327F" w:rsidRDefault="0095327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罗马尼亚</w:t>
      </w:r>
      <w:r>
        <w:rPr>
          <w:vertAlign w:val="superscript"/>
        </w:rPr>
        <w:t>*</w:t>
      </w:r>
    </w:p>
    <w:p w:rsidR="0095327F" w:rsidRDefault="0095327F">
      <w:pPr>
        <w:pStyle w:val="SingleTxt"/>
      </w:pPr>
    </w:p>
    <w:p w:rsidR="0095327F" w:rsidRDefault="0095327F">
      <w:pPr>
        <w:framePr w:w="9792" w:h="432" w:hSpace="180" w:wrap="around" w:hAnchor="page" w:x="1210" w:yAlign="bottom"/>
        <w:spacing w:line="100" w:lineRule="exact"/>
        <w:rPr>
          <w:sz w:val="10"/>
        </w:rPr>
      </w:pPr>
    </w:p>
    <w:p w:rsidR="0095327F" w:rsidRDefault="0095327F">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anchorx="page"/>
          </v:line>
        </w:pict>
      </w:r>
    </w:p>
    <w:p w:rsidR="0095327F" w:rsidRDefault="0095327F">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8"/>
        </w:rPr>
        <w:tab/>
      </w:r>
      <w:r>
        <w:rPr>
          <w:vertAlign w:val="superscript"/>
        </w:rPr>
        <w:t>*</w:t>
      </w:r>
      <w:r>
        <w:rPr>
          <w:sz w:val="18"/>
        </w:rPr>
        <w:tab/>
      </w:r>
      <w:r>
        <w:rPr>
          <w:rFonts w:hint="eastAsia"/>
          <w:sz w:val="18"/>
        </w:rPr>
        <w:t>本报告公布时未经正式编辑。关于罗马尼亚政府提交的初次报告，见经委员会第12次会议审议的CEDAW/C/5/Add.45。关于罗马尼亚政府提交的第二次和第三次合并定期报告，见经委员会第12次会议审议的CEDAW/C/ROM/2-3。关于罗马尼亚政府提交的第四次和第五次合并定期报告，见经委员会第23次会议审议的CEDAW/C/ROM/4-5。</w:t>
      </w:r>
    </w:p>
    <w:p w:rsidR="0095327F" w:rsidRDefault="0095327F">
      <w:pPr>
        <w:pStyle w:val="SingleTxt"/>
      </w:pPr>
    </w:p>
    <w:p w:rsidR="0095327F" w:rsidRDefault="0095327F">
      <w:pPr>
        <w:pStyle w:val="SingleTxt"/>
      </w:pPr>
    </w:p>
    <w:p w:rsidR="0095327F" w:rsidRDefault="0095327F">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br w:type="page"/>
      </w:r>
    </w:p>
    <w:p w:rsidR="0095327F" w:rsidRDefault="0095327F">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spacing w:val="-4"/>
        </w:rPr>
        <w:t>罗马尼亚关于执行联合国《消除对妇女一切形式歧视公约》的</w:t>
      </w:r>
      <w:r>
        <w:rPr>
          <w:rFonts w:hint="eastAsia"/>
        </w:rPr>
        <w:t>第六次定期报告</w:t>
      </w:r>
    </w:p>
    <w:p w:rsidR="0095327F" w:rsidRDefault="0095327F">
      <w:pPr>
        <w:pStyle w:val="SingleTxt"/>
      </w:pPr>
    </w:p>
    <w:p w:rsidR="0095327F" w:rsidRDefault="0095327F">
      <w:pPr>
        <w:pStyle w:val="SingleTxt"/>
        <w:rPr>
          <w:rFonts w:ascii="SimHei" w:eastAsia="SimHei"/>
          <w:color w:val="FF0000"/>
        </w:rPr>
      </w:pPr>
      <w:r>
        <w:rPr>
          <w:rFonts w:ascii="SimHei" w:eastAsia="SimHei" w:hint="eastAsia"/>
          <w:color w:val="FF0000"/>
        </w:rPr>
        <w:t>1998-2002年</w:t>
      </w:r>
    </w:p>
    <w:p w:rsidR="0095327F" w:rsidRDefault="0095327F">
      <w:pPr>
        <w:pStyle w:val="SingleTxt"/>
      </w:pPr>
    </w:p>
    <w:p w:rsidR="0095327F" w:rsidRDefault="0095327F">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r>
        <w:br w:type="page"/>
      </w:r>
    </w:p>
    <w:p w:rsidR="0095327F" w:rsidRDefault="0095327F">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第一部分</w:t>
      </w:r>
    </w:p>
    <w:p w:rsidR="0095327F" w:rsidRDefault="0095327F">
      <w:pPr>
        <w:pStyle w:val="SingleTxt"/>
        <w:spacing w:after="0" w:line="120" w:lineRule="exact"/>
        <w:rPr>
          <w:rFonts w:hint="eastAsia"/>
          <w:sz w:val="10"/>
        </w:rPr>
      </w:pPr>
    </w:p>
    <w:p w:rsidR="0095327F" w:rsidRDefault="0095327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概述</w:t>
      </w: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1．</w:t>
      </w:r>
      <w:r>
        <w:rPr>
          <w:rFonts w:hint="eastAsia"/>
        </w:rPr>
        <w:tab/>
        <w:t>罗马尼亚于1982年1月7日批准联合国《消除对妇女一切形式歧视公约》。</w:t>
      </w:r>
    </w:p>
    <w:p w:rsidR="0095327F" w:rsidRDefault="0095327F">
      <w:pPr>
        <w:pStyle w:val="SingleTxt"/>
        <w:rPr>
          <w:rFonts w:hint="eastAsia"/>
        </w:rPr>
      </w:pPr>
      <w:r>
        <w:rPr>
          <w:rFonts w:hint="eastAsia"/>
        </w:rPr>
        <w:tab/>
        <w:t>罗马尼亚于2000年9月6日签署《消除对妇女一切形式歧视公约任择议定书》，并于2003年6月批准该项议定书。</w:t>
      </w:r>
    </w:p>
    <w:p w:rsidR="0095327F" w:rsidRDefault="0095327F">
      <w:pPr>
        <w:pStyle w:val="SingleTxt"/>
        <w:rPr>
          <w:rFonts w:hint="eastAsia"/>
        </w:rPr>
      </w:pPr>
      <w:r>
        <w:rPr>
          <w:rFonts w:hint="eastAsia"/>
        </w:rPr>
        <w:t>2．</w:t>
      </w:r>
      <w:r>
        <w:rPr>
          <w:rFonts w:hint="eastAsia"/>
        </w:rPr>
        <w:tab/>
        <w:t>1999年3月罗马尼亚根据《消除对妇女一切形式歧视公约》（以下简称“《公约》”）第18条规定以合并报告的形式提交了第四次和第五次定期报告。报告阐述了从1992年起到1998年在执行《公约》方面取得的进展。</w:t>
      </w:r>
    </w:p>
    <w:p w:rsidR="0095327F" w:rsidRDefault="0095327F">
      <w:pPr>
        <w:pStyle w:val="SingleTxt"/>
        <w:rPr>
          <w:rFonts w:hint="eastAsia"/>
        </w:rPr>
      </w:pPr>
      <w:r>
        <w:rPr>
          <w:rFonts w:hint="eastAsia"/>
        </w:rPr>
        <w:tab/>
        <w:t>本报告旨在介绍在1998年至2002年这一期间在执行《公约》条款方面的进展情况。</w:t>
      </w:r>
    </w:p>
    <w:p w:rsidR="0095327F" w:rsidRDefault="0095327F">
      <w:pPr>
        <w:pStyle w:val="SingleTxt"/>
        <w:rPr>
          <w:rFonts w:hint="eastAsia"/>
        </w:rPr>
      </w:pPr>
      <w:r>
        <w:rPr>
          <w:rFonts w:hint="eastAsia"/>
        </w:rPr>
        <w:tab/>
        <w:t>在编写本报告时，对联合国消除对女歧视委员会在罗马尼亚提交第四次和第五次合并定期报告时提出的意见给予了特别关注。</w:t>
      </w:r>
    </w:p>
    <w:p w:rsidR="0095327F" w:rsidRDefault="0095327F">
      <w:pPr>
        <w:pStyle w:val="SingleTxt"/>
        <w:rPr>
          <w:rFonts w:hint="eastAsia"/>
        </w:rPr>
      </w:pPr>
      <w:r>
        <w:rPr>
          <w:rFonts w:hint="eastAsia"/>
        </w:rPr>
        <w:t>3．</w:t>
      </w:r>
      <w:r>
        <w:rPr>
          <w:rFonts w:hint="eastAsia"/>
        </w:rPr>
        <w:tab/>
        <w:t>劳动、社会团结和家庭部（以前称劳动和社会保障部）于2000年公布了1995-2000年罗马尼亚妇女状况全国报告。该报告是根据联合国提高妇女地位司提交国家政府的联合国调查问卷编写的。这份报告供筹备联合国大会特别会议使用，特别会议的议题是：“2000年之后的妇女：二十一世纪两性平等、发展与和平”，报告想要强调罗马尼亚对执行《北京行动纲要》作出的承诺。</w:t>
      </w:r>
    </w:p>
    <w:p w:rsidR="0095327F" w:rsidRDefault="0095327F">
      <w:pPr>
        <w:pStyle w:val="SingleTxt"/>
        <w:rPr>
          <w:rFonts w:hint="eastAsia"/>
        </w:rPr>
      </w:pPr>
      <w:r>
        <w:rPr>
          <w:rFonts w:hint="eastAsia"/>
        </w:rPr>
        <w:t>4．</w:t>
      </w:r>
      <w:r>
        <w:rPr>
          <w:rFonts w:hint="eastAsia"/>
        </w:rPr>
        <w:tab/>
        <w:t>在北京举行的妇女问题世界会议标志着罗马尼亚将性别纳入主流发生了变化。继这次会议后，罗马尼亚政府决定在全国范围实施以前由各与会国通过的世界会议最终文件。此外，罗马尼亚决策机构更加认识到在这一领域采取行动时与有关国际文书保持一致的重要性。</w:t>
      </w:r>
    </w:p>
    <w:p w:rsidR="0095327F" w:rsidRDefault="0095327F">
      <w:pPr>
        <w:pStyle w:val="SingleTxt"/>
        <w:rPr>
          <w:rFonts w:hint="eastAsia"/>
        </w:rPr>
      </w:pPr>
      <w:r>
        <w:rPr>
          <w:rFonts w:hint="eastAsia"/>
        </w:rPr>
        <w:tab/>
        <w:t>从1998年起，政府当局的改革进程也对劳动、社会团结和家庭部产生了影响。设立了</w:t>
      </w:r>
      <w:r>
        <w:rPr>
          <w:rFonts w:ascii="SimHei" w:eastAsia="SimHei" w:hint="eastAsia"/>
          <w:color w:val="FF0000"/>
        </w:rPr>
        <w:t>一个劳动力市场和工资政策协调部门</w:t>
      </w:r>
      <w:r>
        <w:rPr>
          <w:rFonts w:hint="eastAsia"/>
        </w:rPr>
        <w:t>，包括1999年后设立的机会均等指导处和2003年后设立的</w:t>
      </w:r>
      <w:r>
        <w:rPr>
          <w:rFonts w:ascii="KaiTi_GB2312" w:eastAsia="KaiTi_GB2312" w:hint="eastAsia"/>
          <w:color w:val="0000FF"/>
        </w:rPr>
        <w:t>机会均等服务处</w:t>
      </w:r>
      <w:r>
        <w:rPr>
          <w:rFonts w:hint="eastAsia"/>
        </w:rPr>
        <w:t>。机会均等服务处的总体目标是将性别纳入罗马尼亚现行社会政策的主流。</w:t>
      </w:r>
    </w:p>
    <w:p w:rsidR="0095327F" w:rsidRDefault="0095327F">
      <w:pPr>
        <w:pStyle w:val="SingleTxt"/>
        <w:rPr>
          <w:rFonts w:hint="eastAsia"/>
        </w:rPr>
      </w:pPr>
      <w:r>
        <w:rPr>
          <w:rFonts w:hint="eastAsia"/>
        </w:rPr>
        <w:tab/>
        <w:t>服务处负有以下义务：</w:t>
      </w:r>
    </w:p>
    <w:p w:rsidR="0095327F" w:rsidRDefault="0095327F">
      <w:pPr>
        <w:pStyle w:val="SingleTxt"/>
        <w:rPr>
          <w:rFonts w:hint="eastAsia"/>
        </w:rPr>
      </w:pPr>
      <w:r>
        <w:rPr>
          <w:rFonts w:hint="eastAsia"/>
        </w:rPr>
        <w:tab/>
      </w:r>
      <w:r>
        <w:rPr>
          <w:rFonts w:hint="eastAsia"/>
        </w:rPr>
        <w:sym w:font="Symbol" w:char="F0B7"/>
      </w:r>
      <w:r>
        <w:rPr>
          <w:rFonts w:hint="eastAsia"/>
        </w:rPr>
        <w:tab/>
        <w:t>监督妇女自由进入劳动力市场方面的歧视，并改善妇女的工作条件；</w:t>
      </w:r>
    </w:p>
    <w:p w:rsidR="0095327F" w:rsidRDefault="0095327F">
      <w:pPr>
        <w:pStyle w:val="SingleTxt"/>
        <w:rPr>
          <w:rFonts w:hint="eastAsia"/>
        </w:rPr>
      </w:pPr>
      <w:r>
        <w:rPr>
          <w:rFonts w:hint="eastAsia"/>
        </w:rPr>
        <w:tab/>
      </w:r>
      <w:r>
        <w:rPr>
          <w:rFonts w:hint="eastAsia"/>
        </w:rPr>
        <w:sym w:font="Symbol" w:char="F0B7"/>
      </w:r>
      <w:r>
        <w:rPr>
          <w:rFonts w:hint="eastAsia"/>
        </w:rPr>
        <w:tab/>
        <w:t>提出改善有关法律框架的措施，并监督法律在这个部门的实施；</w:t>
      </w:r>
    </w:p>
    <w:p w:rsidR="0095327F" w:rsidRDefault="0095327F">
      <w:pPr>
        <w:pStyle w:val="SingleTxt"/>
        <w:ind w:left="2126" w:hanging="431"/>
        <w:rPr>
          <w:rFonts w:hint="eastAsia"/>
        </w:rPr>
      </w:pPr>
      <w:r>
        <w:rPr>
          <w:rFonts w:hint="eastAsia"/>
        </w:rPr>
        <w:sym w:font="Symbol" w:char="F0B7"/>
      </w:r>
      <w:r>
        <w:rPr>
          <w:rFonts w:hint="eastAsia"/>
        </w:rPr>
        <w:tab/>
        <w:t>与政府及非政府机构合作，编制关于妇女社会状况的报告和研究文件，并提出解决方案，消除已查明的消极方面。</w:t>
      </w:r>
    </w:p>
    <w:p w:rsidR="0095327F" w:rsidRDefault="0095327F">
      <w:pPr>
        <w:pStyle w:val="SingleTxt"/>
        <w:rPr>
          <w:rFonts w:hint="eastAsia"/>
        </w:rPr>
      </w:pPr>
      <w:r>
        <w:rPr>
          <w:rFonts w:hint="eastAsia"/>
        </w:rPr>
        <w:tab/>
        <w:t>中央组织机构的规模扩大，设立了两个新的中心和一个新机构，它们也是劳动、社会团结和家庭部的组成部分，并由负责家庭政策的国务秘书协调其工作：</w:t>
      </w:r>
    </w:p>
    <w:p w:rsidR="0095327F" w:rsidRDefault="0095327F">
      <w:pPr>
        <w:pStyle w:val="SingleTxt"/>
        <w:ind w:left="2126" w:hanging="431"/>
        <w:rPr>
          <w:rFonts w:hint="eastAsia"/>
        </w:rPr>
      </w:pPr>
      <w:r>
        <w:rPr>
          <w:rFonts w:hint="eastAsia"/>
        </w:rPr>
        <w:sym w:font="Symbol" w:char="F0B7"/>
      </w:r>
      <w:r>
        <w:rPr>
          <w:rFonts w:hint="eastAsia"/>
        </w:rPr>
        <w:tab/>
        <w:t>保护和援助家庭暴力受害者试验中心——这个中心的任务是为家庭暴力受害者提供援助和保护；并编制数据库，供DES的研究活动使用；</w:t>
      </w:r>
    </w:p>
    <w:p w:rsidR="0095327F" w:rsidRDefault="0095327F">
      <w:pPr>
        <w:pStyle w:val="SingleTxt"/>
        <w:ind w:left="2126" w:hanging="431"/>
        <w:rPr>
          <w:rFonts w:hint="eastAsia"/>
        </w:rPr>
      </w:pPr>
      <w:r>
        <w:rPr>
          <w:rFonts w:hint="eastAsia"/>
        </w:rPr>
        <w:sym w:font="Symbol" w:char="F0B7"/>
      </w:r>
      <w:r>
        <w:rPr>
          <w:rFonts w:hint="eastAsia"/>
        </w:rPr>
        <w:tab/>
        <w:t>家庭咨询和辅导中心——这个中心的任务是为处于危机中的夫妻提供援助；监督家庭发展方面的趋势；确定针对青年家庭和面临社会问题的家庭的必要支助手段；</w:t>
      </w:r>
    </w:p>
    <w:p w:rsidR="0095327F" w:rsidRDefault="0095327F">
      <w:pPr>
        <w:pStyle w:val="SingleTxt"/>
        <w:ind w:left="2126" w:hanging="431"/>
        <w:rPr>
          <w:rFonts w:hint="eastAsia"/>
        </w:rPr>
      </w:pPr>
      <w:r>
        <w:rPr>
          <w:rFonts w:hint="eastAsia"/>
        </w:rPr>
        <w:sym w:font="Symbol" w:char="F0B7"/>
      </w:r>
      <w:r>
        <w:rPr>
          <w:rFonts w:hint="eastAsia"/>
        </w:rPr>
        <w:tab/>
        <w:t>全国家庭保护机构——这个机构的职责是执行关于预防家庭暴力的新立法。</w:t>
      </w:r>
    </w:p>
    <w:p w:rsidR="0095327F" w:rsidRDefault="0095327F">
      <w:pPr>
        <w:pStyle w:val="SingleTxt"/>
        <w:rPr>
          <w:rFonts w:hint="eastAsia"/>
        </w:rPr>
      </w:pPr>
      <w:r>
        <w:rPr>
          <w:rFonts w:hint="eastAsia"/>
        </w:rPr>
        <w:t>5．</w:t>
      </w:r>
      <w:r>
        <w:rPr>
          <w:rFonts w:hint="eastAsia"/>
        </w:rPr>
        <w:tab/>
        <w:t>2002年3月18日人口与住房普查的初步结果以及对这些结果和1992年1月7日普查的最终数据的比较，为说明罗马尼亚在以下方面的现状提供了资料：人口的数量和结构、家庭数量、住房总量和人口的生活条件。应该指出，初步数据的准确度很高，因此，最终数据的具体细节和修正无关紧要。</w:t>
      </w:r>
    </w:p>
    <w:p w:rsidR="0095327F" w:rsidRDefault="0095327F">
      <w:pPr>
        <w:pStyle w:val="SingleTxt"/>
        <w:rPr>
          <w:rFonts w:hint="eastAsia"/>
        </w:rPr>
      </w:pPr>
      <w:r>
        <w:rPr>
          <w:rFonts w:hint="eastAsia"/>
        </w:rPr>
        <w:tab/>
        <w:t>根据初步普查结果，2002年3月18日，罗马尼亚的稳定(常住)人口是21 698 181人。人口数量在过去几十年间之所以减少（在可比条件下，与1992年相比，几乎减少了100万人，即4.2%），原因有两个，一是人口自然增长率呈负数（出生率和死亡率之间的差数），二是人口外迁的数量出现负差（持官方文件放弃原居住地后离开本国或长期居住在国外的人同移居罗马尼亚的人之间的差数）。</w:t>
      </w:r>
    </w:p>
    <w:p w:rsidR="0095327F" w:rsidRDefault="0095327F">
      <w:pPr>
        <w:pStyle w:val="SingleTxt"/>
        <w:rPr>
          <w:rFonts w:hint="eastAsia"/>
        </w:rPr>
      </w:pPr>
      <w:r>
        <w:rPr>
          <w:rFonts w:hint="eastAsia"/>
        </w:rPr>
        <w:tab/>
        <w:t>2002年，按</w:t>
      </w:r>
      <w:r>
        <w:rPr>
          <w:rFonts w:ascii="SimHei" w:eastAsia="SimHei" w:hint="eastAsia"/>
          <w:color w:val="FF0000"/>
        </w:rPr>
        <w:t>性别划分</w:t>
      </w:r>
      <w:r>
        <w:rPr>
          <w:rFonts w:hint="eastAsia"/>
        </w:rPr>
        <w:t>的人口结构同以前的普查一样，表现为女性人口的数量略多。</w:t>
      </w:r>
    </w:p>
    <w:p w:rsidR="0095327F" w:rsidRDefault="0095327F" w:rsidP="004F22A5">
      <w:pPr>
        <w:spacing w:after="140"/>
        <w:ind w:leftChars="600" w:left="31680" w:rightChars="600" w:right="31680"/>
        <w:rPr>
          <w:rFonts w:ascii="SimHei" w:eastAsia="SimHei"/>
          <w:color w:val="FF0000"/>
        </w:rPr>
      </w:pPr>
      <w:r>
        <w:rPr>
          <w:rFonts w:ascii="SimHei" w:eastAsia="SimHei" w:hint="eastAsia"/>
          <w:color w:val="FF0000"/>
        </w:rPr>
        <w:t>按性别划分的人口数量和结构——2002年和1992年的普查</w:t>
      </w:r>
    </w:p>
    <w:tbl>
      <w:tblPr>
        <w:tblW w:w="0" w:type="auto"/>
        <w:tblInd w:w="1368" w:type="dxa"/>
        <w:tblLayout w:type="fixed"/>
        <w:tblLook w:val="0000" w:firstRow="0" w:lastRow="0" w:firstColumn="0" w:lastColumn="0" w:noHBand="0" w:noVBand="0"/>
      </w:tblPr>
      <w:tblGrid>
        <w:gridCol w:w="1470"/>
        <w:gridCol w:w="1260"/>
        <w:gridCol w:w="840"/>
        <w:gridCol w:w="1365"/>
        <w:gridCol w:w="840"/>
        <w:gridCol w:w="1356"/>
      </w:tblGrid>
      <w:tr w:rsidR="0095327F">
        <w:tblPrEx>
          <w:tblCellMar>
            <w:top w:w="0" w:type="dxa"/>
            <w:bottom w:w="0" w:type="dxa"/>
          </w:tblCellMar>
        </w:tblPrEx>
        <w:trPr>
          <w:cantSplit/>
          <w:tblHeader/>
        </w:trPr>
        <w:tc>
          <w:tcPr>
            <w:tcW w:w="1470" w:type="dxa"/>
            <w:tcBorders>
              <w:top w:val="single" w:sz="2" w:space="0" w:color="auto"/>
            </w:tcBorders>
            <w:vAlign w:val="bottom"/>
          </w:tcPr>
          <w:p w:rsidR="0095327F" w:rsidRDefault="0095327F">
            <w:pPr>
              <w:spacing w:before="60" w:after="60" w:line="240" w:lineRule="exact"/>
              <w:ind w:right="40"/>
              <w:rPr>
                <w:rFonts w:ascii="KaiTi_GB2312" w:eastAsia="KaiTi_GB2312" w:hint="eastAsia"/>
                <w:color w:val="0000FF"/>
                <w:sz w:val="14"/>
              </w:rPr>
            </w:pPr>
          </w:p>
        </w:tc>
        <w:tc>
          <w:tcPr>
            <w:tcW w:w="2100" w:type="dxa"/>
            <w:gridSpan w:val="2"/>
            <w:tcBorders>
              <w:top w:val="single" w:sz="2" w:space="0" w:color="auto"/>
              <w:bottom w:val="single" w:sz="4" w:space="0" w:color="auto"/>
            </w:tcBorders>
            <w:vAlign w:val="bottom"/>
          </w:tcPr>
          <w:p w:rsidR="0095327F" w:rsidRDefault="0095327F">
            <w:pPr>
              <w:spacing w:before="60" w:after="60" w:line="240" w:lineRule="exact"/>
              <w:ind w:left="567" w:right="40"/>
              <w:jc w:val="center"/>
              <w:rPr>
                <w:rFonts w:ascii="KaiTi_GB2312" w:eastAsia="KaiTi_GB2312" w:hint="eastAsia"/>
                <w:color w:val="0000FF"/>
                <w:sz w:val="14"/>
              </w:rPr>
            </w:pPr>
            <w:r>
              <w:rPr>
                <w:rFonts w:ascii="KaiTi_GB2312" w:eastAsia="KaiTi_GB2312" w:hint="eastAsia"/>
                <w:color w:val="0000FF"/>
                <w:sz w:val="14"/>
              </w:rPr>
              <w:t>2002年</w:t>
            </w:r>
          </w:p>
        </w:tc>
        <w:tc>
          <w:tcPr>
            <w:tcW w:w="2205" w:type="dxa"/>
            <w:gridSpan w:val="2"/>
            <w:tcBorders>
              <w:top w:val="single" w:sz="2" w:space="0" w:color="auto"/>
              <w:bottom w:val="single" w:sz="4" w:space="0" w:color="auto"/>
            </w:tcBorders>
            <w:vAlign w:val="bottom"/>
          </w:tcPr>
          <w:p w:rsidR="0095327F" w:rsidRDefault="0095327F">
            <w:pPr>
              <w:spacing w:before="60" w:after="60" w:line="240" w:lineRule="exact"/>
              <w:ind w:left="567" w:right="40"/>
              <w:jc w:val="center"/>
              <w:rPr>
                <w:rFonts w:ascii="KaiTi_GB2312" w:eastAsia="KaiTi_GB2312" w:hint="eastAsia"/>
                <w:color w:val="0000FF"/>
                <w:sz w:val="14"/>
              </w:rPr>
            </w:pPr>
            <w:r>
              <w:rPr>
                <w:rFonts w:ascii="KaiTi_GB2312" w:eastAsia="KaiTi_GB2312" w:hint="eastAsia"/>
                <w:color w:val="0000FF"/>
                <w:sz w:val="14"/>
              </w:rPr>
              <w:t>1992年</w:t>
            </w:r>
          </w:p>
        </w:tc>
        <w:tc>
          <w:tcPr>
            <w:tcW w:w="1356" w:type="dxa"/>
            <w:vMerge w:val="restart"/>
            <w:tcBorders>
              <w:top w:val="single" w:sz="2" w:space="0" w:color="auto"/>
            </w:tcBorders>
            <w:vAlign w:val="bottom"/>
          </w:tcPr>
          <w:p w:rsidR="0095327F" w:rsidRDefault="0095327F">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2002年与1992年相比的百分比</w:t>
            </w:r>
          </w:p>
        </w:tc>
      </w:tr>
      <w:tr w:rsidR="0095327F">
        <w:tblPrEx>
          <w:tblCellMar>
            <w:top w:w="0" w:type="dxa"/>
            <w:bottom w:w="0" w:type="dxa"/>
          </w:tblCellMar>
        </w:tblPrEx>
        <w:trPr>
          <w:cantSplit/>
          <w:tblHeader/>
        </w:trPr>
        <w:tc>
          <w:tcPr>
            <w:tcW w:w="1470" w:type="dxa"/>
            <w:tcBorders>
              <w:bottom w:val="single" w:sz="12" w:space="0" w:color="auto"/>
            </w:tcBorders>
            <w:vAlign w:val="bottom"/>
          </w:tcPr>
          <w:p w:rsidR="0095327F" w:rsidRDefault="0095327F">
            <w:pPr>
              <w:spacing w:after="60" w:line="240" w:lineRule="exact"/>
              <w:ind w:right="40"/>
              <w:rPr>
                <w:rFonts w:ascii="KaiTi_GB2312" w:eastAsia="KaiTi_GB2312" w:hint="eastAsia"/>
                <w:color w:val="0000FF"/>
                <w:sz w:val="14"/>
              </w:rPr>
            </w:pPr>
          </w:p>
        </w:tc>
        <w:tc>
          <w:tcPr>
            <w:tcW w:w="1260" w:type="dxa"/>
            <w:tcBorders>
              <w:top w:val="single" w:sz="4" w:space="0" w:color="auto"/>
              <w:bottom w:val="single" w:sz="12" w:space="0" w:color="auto"/>
            </w:tcBorders>
            <w:vAlign w:val="bottom"/>
          </w:tcPr>
          <w:p w:rsidR="0095327F" w:rsidRDefault="0095327F">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数量</w:t>
            </w:r>
          </w:p>
        </w:tc>
        <w:tc>
          <w:tcPr>
            <w:tcW w:w="840" w:type="dxa"/>
            <w:tcBorders>
              <w:top w:val="single" w:sz="4" w:space="0" w:color="auto"/>
              <w:bottom w:val="single" w:sz="12" w:space="0" w:color="auto"/>
            </w:tcBorders>
            <w:vAlign w:val="bottom"/>
          </w:tcPr>
          <w:p w:rsidR="0095327F" w:rsidRDefault="0095327F">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百分比</w:t>
            </w:r>
          </w:p>
        </w:tc>
        <w:tc>
          <w:tcPr>
            <w:tcW w:w="1365" w:type="dxa"/>
            <w:tcBorders>
              <w:top w:val="single" w:sz="4" w:space="0" w:color="auto"/>
              <w:bottom w:val="single" w:sz="12" w:space="0" w:color="auto"/>
            </w:tcBorders>
            <w:vAlign w:val="bottom"/>
          </w:tcPr>
          <w:p w:rsidR="0095327F" w:rsidRDefault="0095327F">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数量</w:t>
            </w:r>
          </w:p>
        </w:tc>
        <w:tc>
          <w:tcPr>
            <w:tcW w:w="840" w:type="dxa"/>
            <w:tcBorders>
              <w:top w:val="single" w:sz="4" w:space="0" w:color="auto"/>
              <w:bottom w:val="single" w:sz="12" w:space="0" w:color="auto"/>
            </w:tcBorders>
            <w:vAlign w:val="bottom"/>
          </w:tcPr>
          <w:p w:rsidR="0095327F" w:rsidRDefault="0095327F">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百分比</w:t>
            </w:r>
          </w:p>
        </w:tc>
        <w:tc>
          <w:tcPr>
            <w:tcW w:w="1356" w:type="dxa"/>
            <w:vMerge/>
            <w:tcBorders>
              <w:bottom w:val="single" w:sz="12" w:space="0" w:color="auto"/>
            </w:tcBorders>
            <w:vAlign w:val="bottom"/>
          </w:tcPr>
          <w:p w:rsidR="0095327F" w:rsidRDefault="0095327F">
            <w:pPr>
              <w:spacing w:after="60" w:line="240" w:lineRule="exact"/>
              <w:ind w:right="40"/>
              <w:jc w:val="right"/>
              <w:rPr>
                <w:rFonts w:ascii="KaiTi_GB2312" w:eastAsia="KaiTi_GB2312" w:hint="eastAsia"/>
                <w:color w:val="0000FF"/>
                <w:sz w:val="14"/>
              </w:rPr>
            </w:pPr>
          </w:p>
        </w:tc>
      </w:tr>
      <w:tr w:rsidR="0095327F">
        <w:tblPrEx>
          <w:tblCellMar>
            <w:top w:w="0" w:type="dxa"/>
            <w:bottom w:w="0" w:type="dxa"/>
          </w:tblCellMar>
        </w:tblPrEx>
        <w:trPr>
          <w:trHeight w:hRule="exact" w:val="115"/>
          <w:tblHeader/>
        </w:trPr>
        <w:tc>
          <w:tcPr>
            <w:tcW w:w="1470" w:type="dxa"/>
            <w:tcBorders>
              <w:top w:val="single" w:sz="12" w:space="0" w:color="auto"/>
            </w:tcBorders>
            <w:vAlign w:val="bottom"/>
          </w:tcPr>
          <w:p w:rsidR="0095327F" w:rsidRDefault="0095327F">
            <w:pPr>
              <w:spacing w:after="60" w:line="280" w:lineRule="exact"/>
              <w:ind w:right="40"/>
              <w:rPr>
                <w:rFonts w:ascii="Times New Roman" w:hint="eastAsia"/>
                <w:sz w:val="17"/>
              </w:rPr>
            </w:pPr>
          </w:p>
        </w:tc>
        <w:tc>
          <w:tcPr>
            <w:tcW w:w="1260"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sz w:val="17"/>
              </w:rPr>
            </w:pPr>
          </w:p>
        </w:tc>
        <w:tc>
          <w:tcPr>
            <w:tcW w:w="840"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sz w:val="17"/>
              </w:rPr>
            </w:pPr>
          </w:p>
        </w:tc>
        <w:tc>
          <w:tcPr>
            <w:tcW w:w="1365"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sz w:val="17"/>
              </w:rPr>
            </w:pPr>
          </w:p>
        </w:tc>
        <w:tc>
          <w:tcPr>
            <w:tcW w:w="840"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sz w:val="17"/>
              </w:rPr>
            </w:pPr>
          </w:p>
        </w:tc>
        <w:tc>
          <w:tcPr>
            <w:tcW w:w="1356"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sz w:val="17"/>
              </w:rPr>
            </w:pPr>
          </w:p>
        </w:tc>
      </w:tr>
      <w:tr w:rsidR="0095327F">
        <w:tblPrEx>
          <w:tblCellMar>
            <w:top w:w="0" w:type="dxa"/>
            <w:bottom w:w="0" w:type="dxa"/>
          </w:tblCellMar>
        </w:tblPrEx>
        <w:tc>
          <w:tcPr>
            <w:tcW w:w="1470" w:type="dxa"/>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总人口</w:t>
            </w:r>
          </w:p>
        </w:tc>
        <w:tc>
          <w:tcPr>
            <w:tcW w:w="1260"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21</w:t>
            </w:r>
            <w:r>
              <w:rPr>
                <w:rFonts w:ascii="Times New Roman" w:hint="eastAsia"/>
                <w:sz w:val="17"/>
              </w:rPr>
              <w:t xml:space="preserve"> </w:t>
            </w:r>
            <w:r>
              <w:rPr>
                <w:rFonts w:ascii="Times New Roman"/>
                <w:sz w:val="17"/>
              </w:rPr>
              <w:t>698</w:t>
            </w:r>
            <w:r>
              <w:rPr>
                <w:rFonts w:ascii="Times New Roman" w:hint="eastAsia"/>
                <w:sz w:val="17"/>
              </w:rPr>
              <w:t xml:space="preserve"> </w:t>
            </w:r>
            <w:r>
              <w:rPr>
                <w:rFonts w:ascii="Times New Roman"/>
                <w:sz w:val="17"/>
              </w:rPr>
              <w:t>181</w:t>
            </w:r>
          </w:p>
        </w:tc>
        <w:tc>
          <w:tcPr>
            <w:tcW w:w="840"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100.0</w:t>
            </w:r>
          </w:p>
        </w:tc>
        <w:tc>
          <w:tcPr>
            <w:tcW w:w="1365"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22</w:t>
            </w:r>
            <w:r>
              <w:rPr>
                <w:rFonts w:ascii="Times New Roman" w:hint="eastAsia"/>
                <w:sz w:val="17"/>
              </w:rPr>
              <w:t xml:space="preserve"> </w:t>
            </w:r>
            <w:r>
              <w:rPr>
                <w:rFonts w:ascii="Times New Roman"/>
                <w:sz w:val="17"/>
              </w:rPr>
              <w:t>810</w:t>
            </w:r>
            <w:r>
              <w:rPr>
                <w:rFonts w:ascii="Times New Roman" w:hint="eastAsia"/>
                <w:sz w:val="17"/>
              </w:rPr>
              <w:t xml:space="preserve"> </w:t>
            </w:r>
            <w:r>
              <w:rPr>
                <w:rFonts w:ascii="Times New Roman"/>
                <w:sz w:val="17"/>
              </w:rPr>
              <w:t>035</w:t>
            </w:r>
          </w:p>
        </w:tc>
        <w:tc>
          <w:tcPr>
            <w:tcW w:w="840"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100.0</w:t>
            </w:r>
          </w:p>
        </w:tc>
        <w:tc>
          <w:tcPr>
            <w:tcW w:w="1356"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hint="eastAsia"/>
                <w:sz w:val="17"/>
              </w:rPr>
            </w:pPr>
            <w:r>
              <w:rPr>
                <w:rFonts w:ascii="Times New Roman"/>
                <w:sz w:val="17"/>
              </w:rPr>
              <w:t>95.8</w:t>
            </w:r>
            <w:r>
              <w:rPr>
                <w:rFonts w:ascii="Times New Roman"/>
                <w:sz w:val="17"/>
                <w:vertAlign w:val="superscript"/>
              </w:rPr>
              <w:t>*</w:t>
            </w:r>
          </w:p>
        </w:tc>
      </w:tr>
      <w:tr w:rsidR="0095327F">
        <w:tblPrEx>
          <w:tblCellMar>
            <w:top w:w="0" w:type="dxa"/>
            <w:bottom w:w="0" w:type="dxa"/>
          </w:tblCellMar>
        </w:tblPrEx>
        <w:tc>
          <w:tcPr>
            <w:tcW w:w="1470" w:type="dxa"/>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男性</w:t>
            </w:r>
          </w:p>
        </w:tc>
        <w:tc>
          <w:tcPr>
            <w:tcW w:w="1260"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10</w:t>
            </w:r>
            <w:r>
              <w:rPr>
                <w:rFonts w:ascii="Times New Roman" w:hint="eastAsia"/>
                <w:sz w:val="17"/>
              </w:rPr>
              <w:t xml:space="preserve"> </w:t>
            </w:r>
            <w:r>
              <w:rPr>
                <w:rFonts w:ascii="Times New Roman"/>
                <w:sz w:val="17"/>
              </w:rPr>
              <w:t>581</w:t>
            </w:r>
            <w:r>
              <w:rPr>
                <w:rFonts w:ascii="Times New Roman" w:hint="eastAsia"/>
                <w:sz w:val="17"/>
              </w:rPr>
              <w:t xml:space="preserve"> </w:t>
            </w:r>
            <w:r>
              <w:rPr>
                <w:rFonts w:ascii="Times New Roman"/>
                <w:sz w:val="17"/>
              </w:rPr>
              <w:t>350</w:t>
            </w:r>
          </w:p>
        </w:tc>
        <w:tc>
          <w:tcPr>
            <w:tcW w:w="840"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48.8</w:t>
            </w:r>
          </w:p>
        </w:tc>
        <w:tc>
          <w:tcPr>
            <w:tcW w:w="1365"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11</w:t>
            </w:r>
            <w:r>
              <w:rPr>
                <w:rFonts w:ascii="Times New Roman" w:hint="eastAsia"/>
                <w:sz w:val="17"/>
              </w:rPr>
              <w:t xml:space="preserve"> </w:t>
            </w:r>
            <w:r>
              <w:rPr>
                <w:rFonts w:ascii="Times New Roman"/>
                <w:sz w:val="17"/>
              </w:rPr>
              <w:t>213</w:t>
            </w:r>
            <w:r>
              <w:rPr>
                <w:rFonts w:ascii="Times New Roman" w:hint="eastAsia"/>
                <w:sz w:val="17"/>
              </w:rPr>
              <w:t xml:space="preserve"> </w:t>
            </w:r>
            <w:r>
              <w:rPr>
                <w:rFonts w:ascii="Times New Roman"/>
                <w:sz w:val="17"/>
              </w:rPr>
              <w:t>763</w:t>
            </w:r>
          </w:p>
        </w:tc>
        <w:tc>
          <w:tcPr>
            <w:tcW w:w="840"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49.2</w:t>
            </w:r>
          </w:p>
        </w:tc>
        <w:tc>
          <w:tcPr>
            <w:tcW w:w="1356"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94.4</w:t>
            </w:r>
          </w:p>
        </w:tc>
      </w:tr>
      <w:tr w:rsidR="0095327F">
        <w:tblPrEx>
          <w:tblCellMar>
            <w:top w:w="0" w:type="dxa"/>
            <w:bottom w:w="0" w:type="dxa"/>
          </w:tblCellMar>
        </w:tblPrEx>
        <w:tc>
          <w:tcPr>
            <w:tcW w:w="1470"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女性</w:t>
            </w:r>
          </w:p>
        </w:tc>
        <w:tc>
          <w:tcPr>
            <w:tcW w:w="1260"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11</w:t>
            </w:r>
            <w:r>
              <w:rPr>
                <w:rFonts w:ascii="Times New Roman" w:hint="eastAsia"/>
                <w:sz w:val="17"/>
              </w:rPr>
              <w:t xml:space="preserve"> </w:t>
            </w:r>
            <w:r>
              <w:rPr>
                <w:rFonts w:ascii="Times New Roman"/>
                <w:sz w:val="17"/>
              </w:rPr>
              <w:t>116</w:t>
            </w:r>
            <w:r>
              <w:rPr>
                <w:rFonts w:ascii="Times New Roman" w:hint="eastAsia"/>
                <w:sz w:val="17"/>
              </w:rPr>
              <w:t xml:space="preserve"> </w:t>
            </w:r>
            <w:r>
              <w:rPr>
                <w:rFonts w:ascii="Times New Roman"/>
                <w:sz w:val="17"/>
              </w:rPr>
              <w:t>831</w:t>
            </w:r>
          </w:p>
        </w:tc>
        <w:tc>
          <w:tcPr>
            <w:tcW w:w="840"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51.2</w:t>
            </w:r>
          </w:p>
        </w:tc>
        <w:tc>
          <w:tcPr>
            <w:tcW w:w="136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11</w:t>
            </w:r>
            <w:r>
              <w:rPr>
                <w:rFonts w:ascii="Times New Roman" w:hint="eastAsia"/>
                <w:sz w:val="17"/>
              </w:rPr>
              <w:t xml:space="preserve"> </w:t>
            </w:r>
            <w:r>
              <w:rPr>
                <w:rFonts w:ascii="Times New Roman"/>
                <w:sz w:val="17"/>
              </w:rPr>
              <w:t>596</w:t>
            </w:r>
            <w:r>
              <w:rPr>
                <w:rFonts w:ascii="Times New Roman" w:hint="eastAsia"/>
                <w:sz w:val="17"/>
              </w:rPr>
              <w:t xml:space="preserve"> </w:t>
            </w:r>
            <w:r>
              <w:rPr>
                <w:rFonts w:ascii="Times New Roman"/>
                <w:sz w:val="17"/>
              </w:rPr>
              <w:t>272</w:t>
            </w:r>
          </w:p>
        </w:tc>
        <w:tc>
          <w:tcPr>
            <w:tcW w:w="840"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50.8</w:t>
            </w:r>
          </w:p>
        </w:tc>
        <w:tc>
          <w:tcPr>
            <w:tcW w:w="1356"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95.9</w:t>
            </w:r>
          </w:p>
        </w:tc>
      </w:tr>
    </w:tbl>
    <w:p w:rsidR="0095327F" w:rsidRDefault="0095327F">
      <w:pPr>
        <w:pStyle w:val="SingleTxt"/>
        <w:rPr>
          <w:rFonts w:hint="eastAsia"/>
        </w:rPr>
      </w:pPr>
      <w:r>
        <w:rPr>
          <w:rFonts w:ascii="Times New Roman" w:hint="eastAsia"/>
          <w:sz w:val="18"/>
          <w:vertAlign w:val="superscript"/>
        </w:rPr>
        <w:t xml:space="preserve">* </w:t>
      </w:r>
      <w:r>
        <w:rPr>
          <w:rFonts w:ascii="Times New Roman" w:hint="eastAsia"/>
          <w:sz w:val="18"/>
        </w:rPr>
        <w:t>可比条件下的计算结果</w:t>
      </w:r>
    </w:p>
    <w:p w:rsidR="0095327F" w:rsidRDefault="0095327F">
      <w:pPr>
        <w:pStyle w:val="SingleTxt"/>
        <w:spacing w:after="0" w:line="120" w:lineRule="exact"/>
        <w:rPr>
          <w:rFonts w:hint="eastAsia"/>
          <w:sz w:val="10"/>
        </w:rPr>
      </w:pP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ab/>
        <w:t>女性人口占总人口的比例2002年为51.2%，与1992年的50.8%相比，略有增加。在过去10年间，男性人口减少632 000人（与1992年相比减少5.6%），超过了女性人口479 000人的减少数量（与1992年相比减少了4.1%）。</w:t>
      </w:r>
    </w:p>
    <w:p w:rsidR="0095327F" w:rsidRDefault="0095327F">
      <w:pPr>
        <w:pStyle w:val="SingleTxt"/>
        <w:rPr>
          <w:rFonts w:hint="eastAsia"/>
          <w:spacing w:val="-4"/>
        </w:rPr>
      </w:pPr>
      <w:r>
        <w:rPr>
          <w:rFonts w:hint="eastAsia"/>
        </w:rPr>
        <w:tab/>
      </w:r>
      <w:r>
        <w:rPr>
          <w:rFonts w:hint="eastAsia"/>
          <w:spacing w:val="-4"/>
        </w:rPr>
        <w:t>性别比是1 051人（女性和男性的比例是1 051:1 000，1992年是1 034:1 000）。</w:t>
      </w:r>
    </w:p>
    <w:p w:rsidR="0095327F" w:rsidRDefault="0095327F">
      <w:pPr>
        <w:pStyle w:val="SingleTxt"/>
        <w:rPr>
          <w:rFonts w:hint="eastAsia"/>
        </w:rPr>
      </w:pPr>
      <w:r>
        <w:rPr>
          <w:rFonts w:hint="eastAsia"/>
        </w:rPr>
        <w:tab/>
        <w:t>按地区划分，农村人口的比例提高（从45.7%提高至47.3%），同时，城市人口的比例下降（从54.3%下降至52.7%）。</w:t>
      </w:r>
    </w:p>
    <w:p w:rsidR="0095327F" w:rsidRDefault="0095327F">
      <w:pPr>
        <w:pStyle w:val="SingleTxt"/>
        <w:rPr>
          <w:rFonts w:hint="eastAsia"/>
        </w:rPr>
      </w:pPr>
      <w:r>
        <w:rPr>
          <w:rFonts w:hint="eastAsia"/>
        </w:rPr>
        <w:tab/>
        <w:t>在两次普查之间，地区间的差距缩小，原因是城市人口减少（7.7%），农村人口增加（1.5%）。</w:t>
      </w:r>
    </w:p>
    <w:p w:rsidR="0095327F" w:rsidRDefault="0095327F" w:rsidP="004F22A5">
      <w:pPr>
        <w:spacing w:after="120" w:line="360" w:lineRule="atLeast"/>
        <w:ind w:leftChars="600" w:left="31680" w:rightChars="600" w:right="31680"/>
        <w:rPr>
          <w:rFonts w:ascii="SimHei" w:eastAsia="SimHei"/>
          <w:color w:val="FF0000"/>
        </w:rPr>
      </w:pPr>
      <w:r>
        <w:rPr>
          <w:rFonts w:ascii="SimHei" w:eastAsia="SimHei" w:hint="eastAsia"/>
          <w:color w:val="FF0000"/>
        </w:rPr>
        <w:t>按地区划分的人口——2002年和1992年的普查</w:t>
      </w:r>
    </w:p>
    <w:tbl>
      <w:tblPr>
        <w:tblW w:w="0" w:type="auto"/>
        <w:tblInd w:w="1368" w:type="dxa"/>
        <w:tblLayout w:type="fixed"/>
        <w:tblLook w:val="0000" w:firstRow="0" w:lastRow="0" w:firstColumn="0" w:lastColumn="0" w:noHBand="0" w:noVBand="0"/>
      </w:tblPr>
      <w:tblGrid>
        <w:gridCol w:w="1470"/>
        <w:gridCol w:w="1260"/>
        <w:gridCol w:w="840"/>
        <w:gridCol w:w="1365"/>
        <w:gridCol w:w="840"/>
        <w:gridCol w:w="1356"/>
      </w:tblGrid>
      <w:tr w:rsidR="0095327F">
        <w:tblPrEx>
          <w:tblCellMar>
            <w:top w:w="0" w:type="dxa"/>
            <w:bottom w:w="0" w:type="dxa"/>
          </w:tblCellMar>
        </w:tblPrEx>
        <w:trPr>
          <w:cantSplit/>
          <w:tblHeader/>
        </w:trPr>
        <w:tc>
          <w:tcPr>
            <w:tcW w:w="1470" w:type="dxa"/>
            <w:tcBorders>
              <w:top w:val="single" w:sz="2" w:space="0" w:color="auto"/>
            </w:tcBorders>
            <w:vAlign w:val="bottom"/>
          </w:tcPr>
          <w:p w:rsidR="0095327F" w:rsidRDefault="0095327F">
            <w:pPr>
              <w:spacing w:before="60" w:after="60" w:line="240" w:lineRule="exact"/>
              <w:ind w:right="40"/>
              <w:rPr>
                <w:rFonts w:ascii="Times New Roman" w:eastAsia="KaiTi_GB2312" w:hint="eastAsia"/>
                <w:color w:val="0000FF"/>
                <w:sz w:val="14"/>
              </w:rPr>
            </w:pPr>
          </w:p>
        </w:tc>
        <w:tc>
          <w:tcPr>
            <w:tcW w:w="2100" w:type="dxa"/>
            <w:gridSpan w:val="2"/>
            <w:tcBorders>
              <w:top w:val="single" w:sz="2" w:space="0" w:color="auto"/>
              <w:bottom w:val="single" w:sz="4" w:space="0" w:color="auto"/>
            </w:tcBorders>
            <w:vAlign w:val="bottom"/>
          </w:tcPr>
          <w:p w:rsidR="0095327F" w:rsidRDefault="0095327F">
            <w:pPr>
              <w:spacing w:before="60" w:after="60" w:line="240" w:lineRule="exact"/>
              <w:ind w:left="567" w:right="40"/>
              <w:jc w:val="center"/>
              <w:rPr>
                <w:rFonts w:ascii="SimHei" w:eastAsia="KaiTi_GB2312" w:hint="eastAsia"/>
                <w:color w:val="0000FF"/>
                <w:sz w:val="14"/>
              </w:rPr>
            </w:pPr>
            <w:r>
              <w:rPr>
                <w:rFonts w:ascii="KaiTi_GB2312" w:eastAsia="KaiTi_GB2312" w:hint="eastAsia"/>
                <w:color w:val="0000FF"/>
                <w:sz w:val="14"/>
              </w:rPr>
              <w:t>2002年</w:t>
            </w:r>
          </w:p>
        </w:tc>
        <w:tc>
          <w:tcPr>
            <w:tcW w:w="2205" w:type="dxa"/>
            <w:gridSpan w:val="2"/>
            <w:tcBorders>
              <w:top w:val="single" w:sz="2" w:space="0" w:color="auto"/>
              <w:bottom w:val="single" w:sz="4" w:space="0" w:color="auto"/>
            </w:tcBorders>
            <w:vAlign w:val="bottom"/>
          </w:tcPr>
          <w:p w:rsidR="0095327F" w:rsidRDefault="0095327F">
            <w:pPr>
              <w:spacing w:before="60" w:after="60" w:line="240" w:lineRule="exact"/>
              <w:ind w:left="567" w:right="40"/>
              <w:jc w:val="center"/>
              <w:rPr>
                <w:rFonts w:ascii="SimHei" w:eastAsia="KaiTi_GB2312" w:hint="eastAsia"/>
                <w:color w:val="0000FF"/>
                <w:sz w:val="14"/>
              </w:rPr>
            </w:pPr>
            <w:r>
              <w:rPr>
                <w:rFonts w:ascii="KaiTi_GB2312" w:eastAsia="KaiTi_GB2312" w:hint="eastAsia"/>
                <w:color w:val="0000FF"/>
                <w:sz w:val="14"/>
              </w:rPr>
              <w:t>1992年</w:t>
            </w:r>
          </w:p>
        </w:tc>
        <w:tc>
          <w:tcPr>
            <w:tcW w:w="1356" w:type="dxa"/>
            <w:vMerge w:val="restart"/>
            <w:tcBorders>
              <w:top w:val="single" w:sz="2" w:space="0" w:color="auto"/>
            </w:tcBorders>
            <w:vAlign w:val="bottom"/>
          </w:tcPr>
          <w:p w:rsidR="0095327F" w:rsidRDefault="0095327F">
            <w:pPr>
              <w:spacing w:before="60" w:after="60" w:line="240" w:lineRule="exact"/>
              <w:ind w:right="40"/>
              <w:jc w:val="right"/>
              <w:rPr>
                <w:rFonts w:ascii="SimHei" w:eastAsia="KaiTi_GB2312" w:hint="eastAsia"/>
                <w:color w:val="0000FF"/>
                <w:sz w:val="14"/>
              </w:rPr>
            </w:pPr>
            <w:r>
              <w:rPr>
                <w:rFonts w:ascii="KaiTi_GB2312" w:eastAsia="KaiTi_GB2312" w:hint="eastAsia"/>
                <w:color w:val="0000FF"/>
                <w:sz w:val="14"/>
              </w:rPr>
              <w:t>2002年与1992年相比的百分比</w:t>
            </w:r>
          </w:p>
        </w:tc>
      </w:tr>
      <w:tr w:rsidR="0095327F">
        <w:tblPrEx>
          <w:tblCellMar>
            <w:top w:w="0" w:type="dxa"/>
            <w:bottom w:w="0" w:type="dxa"/>
          </w:tblCellMar>
        </w:tblPrEx>
        <w:trPr>
          <w:cantSplit/>
          <w:tblHeader/>
        </w:trPr>
        <w:tc>
          <w:tcPr>
            <w:tcW w:w="1470" w:type="dxa"/>
            <w:tcBorders>
              <w:bottom w:val="single" w:sz="12" w:space="0" w:color="auto"/>
            </w:tcBorders>
            <w:vAlign w:val="bottom"/>
          </w:tcPr>
          <w:p w:rsidR="0095327F" w:rsidRDefault="0095327F">
            <w:pPr>
              <w:spacing w:after="60" w:line="240" w:lineRule="exact"/>
              <w:ind w:right="40"/>
              <w:rPr>
                <w:rFonts w:ascii="Times New Roman" w:eastAsia="KaiTi_GB2312" w:hint="eastAsia"/>
                <w:color w:val="0000FF"/>
                <w:sz w:val="14"/>
              </w:rPr>
            </w:pPr>
          </w:p>
        </w:tc>
        <w:tc>
          <w:tcPr>
            <w:tcW w:w="1260" w:type="dxa"/>
            <w:tcBorders>
              <w:top w:val="single" w:sz="4" w:space="0" w:color="auto"/>
              <w:bottom w:val="single" w:sz="12" w:space="0" w:color="auto"/>
            </w:tcBorders>
            <w:vAlign w:val="bottom"/>
          </w:tcPr>
          <w:p w:rsidR="0095327F" w:rsidRDefault="0095327F">
            <w:pPr>
              <w:spacing w:after="60" w:line="240" w:lineRule="exact"/>
              <w:ind w:right="40"/>
              <w:jc w:val="right"/>
              <w:rPr>
                <w:rFonts w:ascii="SimHei" w:eastAsia="KaiTi_GB2312" w:hint="eastAsia"/>
                <w:color w:val="0000FF"/>
                <w:sz w:val="14"/>
              </w:rPr>
            </w:pPr>
            <w:r>
              <w:rPr>
                <w:rFonts w:ascii="KaiTi_GB2312" w:eastAsia="KaiTi_GB2312" w:hint="eastAsia"/>
                <w:color w:val="0000FF"/>
                <w:sz w:val="14"/>
              </w:rPr>
              <w:t>数量</w:t>
            </w:r>
          </w:p>
        </w:tc>
        <w:tc>
          <w:tcPr>
            <w:tcW w:w="840" w:type="dxa"/>
            <w:tcBorders>
              <w:top w:val="single" w:sz="4" w:space="0" w:color="auto"/>
              <w:bottom w:val="single" w:sz="12" w:space="0" w:color="auto"/>
            </w:tcBorders>
            <w:vAlign w:val="bottom"/>
          </w:tcPr>
          <w:p w:rsidR="0095327F" w:rsidRDefault="0095327F">
            <w:pPr>
              <w:spacing w:after="60" w:line="240" w:lineRule="exact"/>
              <w:ind w:right="40"/>
              <w:jc w:val="right"/>
              <w:rPr>
                <w:rFonts w:ascii="SimHei" w:eastAsia="KaiTi_GB2312" w:hint="eastAsia"/>
                <w:color w:val="0000FF"/>
                <w:sz w:val="14"/>
              </w:rPr>
            </w:pPr>
            <w:r>
              <w:rPr>
                <w:rFonts w:ascii="KaiTi_GB2312" w:eastAsia="KaiTi_GB2312" w:hint="eastAsia"/>
                <w:color w:val="0000FF"/>
                <w:sz w:val="14"/>
              </w:rPr>
              <w:t>百分比</w:t>
            </w:r>
          </w:p>
        </w:tc>
        <w:tc>
          <w:tcPr>
            <w:tcW w:w="1365" w:type="dxa"/>
            <w:tcBorders>
              <w:top w:val="single" w:sz="4" w:space="0" w:color="auto"/>
              <w:bottom w:val="single" w:sz="12" w:space="0" w:color="auto"/>
            </w:tcBorders>
            <w:vAlign w:val="bottom"/>
          </w:tcPr>
          <w:p w:rsidR="0095327F" w:rsidRDefault="0095327F">
            <w:pPr>
              <w:spacing w:after="60" w:line="240" w:lineRule="exact"/>
              <w:ind w:right="40"/>
              <w:jc w:val="right"/>
              <w:rPr>
                <w:rFonts w:ascii="SimHei" w:eastAsia="KaiTi_GB2312" w:hint="eastAsia"/>
                <w:color w:val="0000FF"/>
                <w:sz w:val="14"/>
              </w:rPr>
            </w:pPr>
            <w:r>
              <w:rPr>
                <w:rFonts w:ascii="KaiTi_GB2312" w:eastAsia="KaiTi_GB2312" w:hint="eastAsia"/>
                <w:color w:val="0000FF"/>
                <w:sz w:val="14"/>
              </w:rPr>
              <w:t>数量</w:t>
            </w:r>
          </w:p>
        </w:tc>
        <w:tc>
          <w:tcPr>
            <w:tcW w:w="840" w:type="dxa"/>
            <w:tcBorders>
              <w:top w:val="single" w:sz="4" w:space="0" w:color="auto"/>
              <w:bottom w:val="single" w:sz="12" w:space="0" w:color="auto"/>
            </w:tcBorders>
            <w:vAlign w:val="bottom"/>
          </w:tcPr>
          <w:p w:rsidR="0095327F" w:rsidRDefault="0095327F">
            <w:pPr>
              <w:spacing w:after="60" w:line="240" w:lineRule="exact"/>
              <w:ind w:right="40"/>
              <w:jc w:val="right"/>
              <w:rPr>
                <w:rFonts w:ascii="SimHei" w:eastAsia="KaiTi_GB2312" w:hint="eastAsia"/>
                <w:color w:val="0000FF"/>
                <w:sz w:val="14"/>
              </w:rPr>
            </w:pPr>
            <w:r>
              <w:rPr>
                <w:rFonts w:ascii="KaiTi_GB2312" w:eastAsia="KaiTi_GB2312" w:hint="eastAsia"/>
                <w:color w:val="0000FF"/>
                <w:sz w:val="14"/>
              </w:rPr>
              <w:t>百分比</w:t>
            </w:r>
          </w:p>
        </w:tc>
        <w:tc>
          <w:tcPr>
            <w:tcW w:w="1356" w:type="dxa"/>
            <w:vMerge/>
            <w:tcBorders>
              <w:bottom w:val="single" w:sz="12" w:space="0" w:color="auto"/>
            </w:tcBorders>
            <w:vAlign w:val="bottom"/>
          </w:tcPr>
          <w:p w:rsidR="0095327F" w:rsidRDefault="0095327F">
            <w:pPr>
              <w:spacing w:after="60" w:line="240" w:lineRule="exact"/>
              <w:ind w:right="40"/>
              <w:jc w:val="right"/>
              <w:rPr>
                <w:rFonts w:ascii="SimHei" w:eastAsia="KaiTi_GB2312" w:hint="eastAsia"/>
                <w:color w:val="0000FF"/>
                <w:sz w:val="14"/>
              </w:rPr>
            </w:pPr>
          </w:p>
        </w:tc>
      </w:tr>
      <w:tr w:rsidR="0095327F">
        <w:tblPrEx>
          <w:tblCellMar>
            <w:top w:w="0" w:type="dxa"/>
            <w:bottom w:w="0" w:type="dxa"/>
          </w:tblCellMar>
        </w:tblPrEx>
        <w:trPr>
          <w:trHeight w:hRule="exact" w:val="115"/>
          <w:tblHeader/>
        </w:trPr>
        <w:tc>
          <w:tcPr>
            <w:tcW w:w="1470" w:type="dxa"/>
            <w:tcBorders>
              <w:top w:val="single" w:sz="12" w:space="0" w:color="auto"/>
            </w:tcBorders>
            <w:vAlign w:val="bottom"/>
          </w:tcPr>
          <w:p w:rsidR="0095327F" w:rsidRDefault="0095327F">
            <w:pPr>
              <w:spacing w:after="60" w:line="280" w:lineRule="exact"/>
              <w:ind w:right="40"/>
              <w:rPr>
                <w:rFonts w:ascii="Times New Roman" w:hint="eastAsia"/>
                <w:sz w:val="17"/>
              </w:rPr>
            </w:pPr>
          </w:p>
        </w:tc>
        <w:tc>
          <w:tcPr>
            <w:tcW w:w="1260"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sz w:val="17"/>
              </w:rPr>
            </w:pPr>
          </w:p>
        </w:tc>
        <w:tc>
          <w:tcPr>
            <w:tcW w:w="840"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sz w:val="17"/>
              </w:rPr>
            </w:pPr>
          </w:p>
        </w:tc>
        <w:tc>
          <w:tcPr>
            <w:tcW w:w="1365"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sz w:val="17"/>
              </w:rPr>
            </w:pPr>
          </w:p>
        </w:tc>
        <w:tc>
          <w:tcPr>
            <w:tcW w:w="840"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sz w:val="17"/>
              </w:rPr>
            </w:pPr>
          </w:p>
        </w:tc>
        <w:tc>
          <w:tcPr>
            <w:tcW w:w="1356"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sz w:val="17"/>
              </w:rPr>
            </w:pPr>
          </w:p>
        </w:tc>
      </w:tr>
      <w:tr w:rsidR="0095327F">
        <w:tblPrEx>
          <w:tblCellMar>
            <w:top w:w="0" w:type="dxa"/>
            <w:bottom w:w="0" w:type="dxa"/>
          </w:tblCellMar>
        </w:tblPrEx>
        <w:tc>
          <w:tcPr>
            <w:tcW w:w="1470" w:type="dxa"/>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总人口</w:t>
            </w:r>
          </w:p>
        </w:tc>
        <w:tc>
          <w:tcPr>
            <w:tcW w:w="1260"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21</w:t>
            </w:r>
            <w:r>
              <w:rPr>
                <w:rFonts w:ascii="Times New Roman" w:hint="eastAsia"/>
                <w:sz w:val="17"/>
              </w:rPr>
              <w:t xml:space="preserve"> </w:t>
            </w:r>
            <w:r>
              <w:rPr>
                <w:rFonts w:ascii="Times New Roman"/>
                <w:sz w:val="17"/>
              </w:rPr>
              <w:t>698</w:t>
            </w:r>
            <w:r>
              <w:rPr>
                <w:rFonts w:ascii="Times New Roman" w:hint="eastAsia"/>
                <w:sz w:val="17"/>
              </w:rPr>
              <w:t xml:space="preserve"> </w:t>
            </w:r>
            <w:r>
              <w:rPr>
                <w:rFonts w:ascii="Times New Roman"/>
                <w:sz w:val="17"/>
              </w:rPr>
              <w:t>181</w:t>
            </w:r>
          </w:p>
        </w:tc>
        <w:tc>
          <w:tcPr>
            <w:tcW w:w="840"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100.0</w:t>
            </w:r>
          </w:p>
        </w:tc>
        <w:tc>
          <w:tcPr>
            <w:tcW w:w="1365"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22</w:t>
            </w:r>
            <w:r>
              <w:rPr>
                <w:rFonts w:ascii="Times New Roman" w:hint="eastAsia"/>
                <w:sz w:val="17"/>
              </w:rPr>
              <w:t xml:space="preserve"> </w:t>
            </w:r>
            <w:r>
              <w:rPr>
                <w:rFonts w:ascii="Times New Roman"/>
                <w:sz w:val="17"/>
              </w:rPr>
              <w:t>810</w:t>
            </w:r>
            <w:r>
              <w:rPr>
                <w:rFonts w:ascii="Times New Roman" w:hint="eastAsia"/>
                <w:sz w:val="17"/>
              </w:rPr>
              <w:t xml:space="preserve"> </w:t>
            </w:r>
            <w:r>
              <w:rPr>
                <w:rFonts w:ascii="Times New Roman"/>
                <w:sz w:val="17"/>
              </w:rPr>
              <w:t>035</w:t>
            </w:r>
          </w:p>
        </w:tc>
        <w:tc>
          <w:tcPr>
            <w:tcW w:w="840"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100.0</w:t>
            </w:r>
          </w:p>
        </w:tc>
        <w:tc>
          <w:tcPr>
            <w:tcW w:w="1356"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hint="eastAsia"/>
                <w:sz w:val="17"/>
              </w:rPr>
            </w:pPr>
            <w:r>
              <w:rPr>
                <w:rFonts w:ascii="Times New Roman"/>
                <w:sz w:val="17"/>
              </w:rPr>
              <w:t>95.8</w:t>
            </w:r>
            <w:r>
              <w:rPr>
                <w:rFonts w:ascii="Times New Roman"/>
                <w:sz w:val="17"/>
                <w:vertAlign w:val="superscript"/>
              </w:rPr>
              <w:t>*</w:t>
            </w:r>
          </w:p>
        </w:tc>
      </w:tr>
      <w:tr w:rsidR="0095327F">
        <w:tblPrEx>
          <w:tblCellMar>
            <w:top w:w="0" w:type="dxa"/>
            <w:bottom w:w="0" w:type="dxa"/>
          </w:tblCellMar>
        </w:tblPrEx>
        <w:tc>
          <w:tcPr>
            <w:tcW w:w="1470" w:type="dxa"/>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男性</w:t>
            </w:r>
          </w:p>
        </w:tc>
        <w:tc>
          <w:tcPr>
            <w:tcW w:w="1260"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11</w:t>
            </w:r>
            <w:r>
              <w:rPr>
                <w:rFonts w:ascii="Times New Roman" w:hint="eastAsia"/>
                <w:sz w:val="17"/>
              </w:rPr>
              <w:t xml:space="preserve"> </w:t>
            </w:r>
            <w:r>
              <w:rPr>
                <w:rFonts w:ascii="Times New Roman"/>
                <w:sz w:val="17"/>
              </w:rPr>
              <w:t>436</w:t>
            </w:r>
            <w:r>
              <w:rPr>
                <w:rFonts w:ascii="Times New Roman" w:hint="eastAsia"/>
                <w:sz w:val="17"/>
              </w:rPr>
              <w:t xml:space="preserve"> </w:t>
            </w:r>
            <w:r>
              <w:rPr>
                <w:rFonts w:ascii="Times New Roman"/>
                <w:sz w:val="17"/>
              </w:rPr>
              <w:t>736</w:t>
            </w:r>
          </w:p>
        </w:tc>
        <w:tc>
          <w:tcPr>
            <w:tcW w:w="840"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52.7</w:t>
            </w:r>
          </w:p>
        </w:tc>
        <w:tc>
          <w:tcPr>
            <w:tcW w:w="1365"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12</w:t>
            </w:r>
            <w:r>
              <w:rPr>
                <w:rFonts w:ascii="Times New Roman" w:hint="eastAsia"/>
                <w:sz w:val="17"/>
              </w:rPr>
              <w:t xml:space="preserve"> </w:t>
            </w:r>
            <w:r>
              <w:rPr>
                <w:rFonts w:ascii="Times New Roman"/>
                <w:sz w:val="17"/>
              </w:rPr>
              <w:t>391</w:t>
            </w:r>
            <w:r>
              <w:rPr>
                <w:rFonts w:ascii="Times New Roman" w:hint="eastAsia"/>
                <w:sz w:val="17"/>
              </w:rPr>
              <w:t xml:space="preserve"> </w:t>
            </w:r>
            <w:r>
              <w:rPr>
                <w:rFonts w:ascii="Times New Roman"/>
                <w:sz w:val="17"/>
              </w:rPr>
              <w:t>819</w:t>
            </w:r>
          </w:p>
        </w:tc>
        <w:tc>
          <w:tcPr>
            <w:tcW w:w="840"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54.3</w:t>
            </w:r>
          </w:p>
        </w:tc>
        <w:tc>
          <w:tcPr>
            <w:tcW w:w="1356" w:type="dxa"/>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92.3</w:t>
            </w:r>
          </w:p>
        </w:tc>
      </w:tr>
      <w:tr w:rsidR="0095327F">
        <w:tblPrEx>
          <w:tblCellMar>
            <w:top w:w="0" w:type="dxa"/>
            <w:bottom w:w="0" w:type="dxa"/>
          </w:tblCellMar>
        </w:tblPrEx>
        <w:tc>
          <w:tcPr>
            <w:tcW w:w="1470"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女性</w:t>
            </w:r>
          </w:p>
        </w:tc>
        <w:tc>
          <w:tcPr>
            <w:tcW w:w="1260"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10</w:t>
            </w:r>
            <w:r>
              <w:rPr>
                <w:rFonts w:ascii="Times New Roman" w:hint="eastAsia"/>
                <w:sz w:val="17"/>
              </w:rPr>
              <w:t xml:space="preserve"> </w:t>
            </w:r>
            <w:r>
              <w:rPr>
                <w:rFonts w:ascii="Times New Roman"/>
                <w:sz w:val="17"/>
              </w:rPr>
              <w:t>261</w:t>
            </w:r>
            <w:r>
              <w:rPr>
                <w:rFonts w:ascii="Times New Roman" w:hint="eastAsia"/>
                <w:sz w:val="17"/>
              </w:rPr>
              <w:t xml:space="preserve"> </w:t>
            </w:r>
            <w:r>
              <w:rPr>
                <w:rFonts w:ascii="Times New Roman"/>
                <w:sz w:val="17"/>
              </w:rPr>
              <w:t>445</w:t>
            </w:r>
          </w:p>
        </w:tc>
        <w:tc>
          <w:tcPr>
            <w:tcW w:w="840"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47.3</w:t>
            </w:r>
          </w:p>
        </w:tc>
        <w:tc>
          <w:tcPr>
            <w:tcW w:w="136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10</w:t>
            </w:r>
            <w:r>
              <w:rPr>
                <w:rFonts w:ascii="Times New Roman" w:hint="eastAsia"/>
                <w:sz w:val="17"/>
              </w:rPr>
              <w:t xml:space="preserve"> </w:t>
            </w:r>
            <w:r>
              <w:rPr>
                <w:rFonts w:ascii="Times New Roman"/>
                <w:sz w:val="17"/>
              </w:rPr>
              <w:t>418</w:t>
            </w:r>
            <w:r>
              <w:rPr>
                <w:rFonts w:ascii="Times New Roman" w:hint="eastAsia"/>
                <w:sz w:val="17"/>
              </w:rPr>
              <w:t xml:space="preserve"> </w:t>
            </w:r>
            <w:r>
              <w:rPr>
                <w:rFonts w:ascii="Times New Roman"/>
                <w:sz w:val="17"/>
              </w:rPr>
              <w:t>216</w:t>
            </w:r>
          </w:p>
        </w:tc>
        <w:tc>
          <w:tcPr>
            <w:tcW w:w="840"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45.7</w:t>
            </w:r>
          </w:p>
        </w:tc>
        <w:tc>
          <w:tcPr>
            <w:tcW w:w="1356"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rightChars="50" w:right="31680"/>
              <w:jc w:val="right"/>
              <w:rPr>
                <w:rFonts w:ascii="Times New Roman"/>
                <w:sz w:val="17"/>
              </w:rPr>
            </w:pPr>
            <w:r>
              <w:rPr>
                <w:rFonts w:ascii="Times New Roman"/>
                <w:sz w:val="17"/>
              </w:rPr>
              <w:t>98.5</w:t>
            </w:r>
          </w:p>
        </w:tc>
      </w:tr>
    </w:tbl>
    <w:p w:rsidR="0095327F" w:rsidRDefault="0095327F">
      <w:pPr>
        <w:pStyle w:val="SingleTxt"/>
        <w:rPr>
          <w:rFonts w:hint="eastAsia"/>
        </w:rPr>
      </w:pPr>
      <w:r>
        <w:rPr>
          <w:rFonts w:ascii="Times New Roman" w:hint="eastAsia"/>
          <w:sz w:val="18"/>
          <w:vertAlign w:val="superscript"/>
        </w:rPr>
        <w:t xml:space="preserve">* </w:t>
      </w:r>
      <w:r>
        <w:rPr>
          <w:rFonts w:ascii="Times New Roman" w:hint="eastAsia"/>
          <w:sz w:val="18"/>
        </w:rPr>
        <w:t>可比条件下的计算结果</w:t>
      </w:r>
    </w:p>
    <w:p w:rsidR="0095327F" w:rsidRDefault="0095327F">
      <w:pPr>
        <w:pStyle w:val="SingleTxt"/>
        <w:spacing w:after="0" w:line="120" w:lineRule="exact"/>
        <w:rPr>
          <w:rFonts w:hint="eastAsia"/>
          <w:sz w:val="10"/>
        </w:rPr>
      </w:pP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ab/>
        <w:t>城市地区女性的比例（52.0%）与以前的普查数字相比增加，与乡村呈现出</w:t>
      </w:r>
      <w:r>
        <w:rPr>
          <w:rFonts w:hint="eastAsia"/>
          <w:spacing w:val="-4"/>
        </w:rPr>
        <w:t>相同的趋势，因此，目前的女性和男性比例是1 081﹕1 000（1992年仅为1 049﹕</w:t>
      </w:r>
      <w:r>
        <w:rPr>
          <w:rFonts w:hint="eastAsia"/>
        </w:rPr>
        <w:t>1 000）。相反，农村女性的比例低于城市女性的比例（50.4%），与以前的普查数字相比没有发生变化，农村地区女性和男性的比例是1 017﹕1 000。</w:t>
      </w:r>
    </w:p>
    <w:p w:rsidR="0095327F" w:rsidRDefault="0095327F">
      <w:pPr>
        <w:pStyle w:val="SingleTxt"/>
        <w:rPr>
          <w:rFonts w:hint="eastAsia"/>
        </w:rPr>
      </w:pPr>
      <w:r>
        <w:rPr>
          <w:rFonts w:hint="eastAsia"/>
        </w:rPr>
        <w:tab/>
        <w:t>在人口自然增长率水平不同、国内移民的流动（有些流动是由于某些地区和县的经济状况发生变化而造成的——一些产业的倒闭等）以及移民国外的人数大幅增加（特别是到国外工作的人）这些因素的综合影响下，1992-2002年这一期间的人口地域分布发生了重大变化。</w:t>
      </w:r>
    </w:p>
    <w:p w:rsidR="0095327F" w:rsidRDefault="0095327F">
      <w:pPr>
        <w:pStyle w:val="SingleTxt"/>
        <w:rPr>
          <w:rFonts w:hint="eastAsia"/>
        </w:rPr>
      </w:pPr>
      <w:r>
        <w:rPr>
          <w:rFonts w:hint="eastAsia"/>
        </w:rPr>
        <w:tab/>
        <w:t>按统计地区和性别划分的人口分布情况突出表明，在2002年的普查中，男性人口占总人口的比例与乡村一级的平均水平约略相同。东北地区、东南地区（49.2%）、中部地区（49.1% ）、西南地区（49%）以及南部地区（48.9%）的比例高于平均水平；布加勒斯特（47.1%）和西部地区（48.3%）的比例低于平均水平。</w:t>
      </w:r>
    </w:p>
    <w:p w:rsidR="0095327F" w:rsidRDefault="0095327F">
      <w:pPr>
        <w:pStyle w:val="SingleTxt"/>
        <w:rPr>
          <w:rFonts w:hint="eastAsia"/>
        </w:rPr>
      </w:pPr>
      <w:r>
        <w:tab/>
      </w:r>
      <w:r>
        <w:rPr>
          <w:rFonts w:hint="eastAsia"/>
        </w:rPr>
        <w:t>在过去十年间，所有8个地区的男性人口占总人口的比例呈不断下降的趋势，但西部地区（从48.9%降至48.3%）和西北部地区(从 49.4%降至48.8%)的下降趋势更为明显。之所以出现这种情况，主要原因是城市地区男性人口的比例下降。</w:t>
      </w:r>
    </w:p>
    <w:p w:rsidR="0095327F" w:rsidRDefault="0095327F">
      <w:pPr>
        <w:pStyle w:val="SingleTxt"/>
      </w:pPr>
      <w:r>
        <w:tab/>
      </w:r>
      <w:r>
        <w:rPr>
          <w:rFonts w:hint="eastAsia"/>
        </w:rPr>
        <w:t>至于农村地区的男性人口，各统计区在过去十年间呈现的趋势不同。东北地区和西南地区的农村男性人口比例提高（分别从49.8%提高至50.0%以及从49.1%提高至49.3%），而以下地区农村男性人口的比例下降：布加勒斯特（从49.8%降至49.4%）、南部地区（从49.4%降至49.2%）、西北部地区（从49.7%降至49.5%）以及中部地区（从50.1%降至50.0%）。西部地区和东南部地区出现的情况与以前的普查记录相似，这些地区的农村男性人口比例与1992年相同。</w:t>
      </w:r>
    </w:p>
    <w:p w:rsidR="0095327F" w:rsidRDefault="0095327F" w:rsidP="004F22A5">
      <w:pPr>
        <w:spacing w:line="120" w:lineRule="exact"/>
        <w:ind w:leftChars="600" w:left="31680" w:rightChars="600" w:right="31680"/>
        <w:rPr>
          <w:rFonts w:ascii="SimHei" w:eastAsia="SimHei" w:hint="eastAsia"/>
          <w:color w:val="FF0000"/>
          <w:sz w:val="10"/>
        </w:rPr>
      </w:pPr>
    </w:p>
    <w:p w:rsidR="0095327F" w:rsidRDefault="0095327F" w:rsidP="004F22A5">
      <w:pPr>
        <w:spacing w:after="120" w:line="360" w:lineRule="atLeast"/>
        <w:ind w:leftChars="600" w:left="31680" w:rightChars="600" w:right="31680"/>
        <w:rPr>
          <w:rFonts w:ascii="SimHei" w:eastAsia="SimHei" w:hint="eastAsia"/>
          <w:color w:val="FF0000"/>
        </w:rPr>
      </w:pPr>
      <w:r>
        <w:rPr>
          <w:rFonts w:ascii="SimHei" w:eastAsia="SimHei" w:hint="eastAsia"/>
          <w:color w:val="FF0000"/>
        </w:rPr>
        <w:t>按性别和地区以及发展地区划分的人口结构，1992年和2002年的普查</w:t>
      </w:r>
    </w:p>
    <w:tbl>
      <w:tblPr>
        <w:tblW w:w="0" w:type="auto"/>
        <w:tblInd w:w="1368" w:type="dxa"/>
        <w:tblLayout w:type="fixed"/>
        <w:tblLook w:val="0000" w:firstRow="0" w:lastRow="0" w:firstColumn="0" w:lastColumn="0" w:noHBand="0" w:noVBand="0"/>
      </w:tblPr>
      <w:tblGrid>
        <w:gridCol w:w="1050"/>
        <w:gridCol w:w="525"/>
        <w:gridCol w:w="525"/>
        <w:gridCol w:w="525"/>
        <w:gridCol w:w="525"/>
        <w:gridCol w:w="525"/>
        <w:gridCol w:w="525"/>
        <w:gridCol w:w="525"/>
        <w:gridCol w:w="525"/>
        <w:gridCol w:w="525"/>
        <w:gridCol w:w="525"/>
        <w:gridCol w:w="525"/>
        <w:gridCol w:w="525"/>
      </w:tblGrid>
      <w:tr w:rsidR="0095327F">
        <w:tblPrEx>
          <w:tblCellMar>
            <w:top w:w="0" w:type="dxa"/>
            <w:bottom w:w="0" w:type="dxa"/>
          </w:tblCellMar>
        </w:tblPrEx>
        <w:trPr>
          <w:cantSplit/>
          <w:tblHeader/>
        </w:trPr>
        <w:tc>
          <w:tcPr>
            <w:tcW w:w="1050" w:type="dxa"/>
            <w:vMerge w:val="restart"/>
            <w:tcBorders>
              <w:top w:val="single" w:sz="2" w:space="0" w:color="auto"/>
            </w:tcBorders>
            <w:vAlign w:val="center"/>
          </w:tcPr>
          <w:p w:rsidR="0095327F" w:rsidRDefault="0095327F" w:rsidP="004F22A5">
            <w:pPr>
              <w:spacing w:before="60" w:after="60" w:line="240" w:lineRule="exact"/>
              <w:ind w:leftChars="-30" w:left="31680" w:rightChars="-30" w:right="31680"/>
              <w:jc w:val="center"/>
              <w:rPr>
                <w:rFonts w:ascii="SimHei" w:eastAsia="KaiTi_GB2312" w:hint="eastAsia"/>
                <w:color w:val="0000FF"/>
                <w:sz w:val="14"/>
              </w:rPr>
            </w:pPr>
            <w:r>
              <w:rPr>
                <w:rFonts w:ascii="SimHei" w:eastAsia="KaiTi_GB2312" w:hint="eastAsia"/>
                <w:color w:val="0000FF"/>
                <w:sz w:val="14"/>
              </w:rPr>
              <w:t>地区</w:t>
            </w:r>
          </w:p>
        </w:tc>
        <w:tc>
          <w:tcPr>
            <w:tcW w:w="3150" w:type="dxa"/>
            <w:gridSpan w:val="6"/>
            <w:tcBorders>
              <w:top w:val="single" w:sz="2" w:space="0" w:color="auto"/>
              <w:bottom w:val="single" w:sz="4" w:space="0" w:color="auto"/>
            </w:tcBorders>
            <w:vAlign w:val="bottom"/>
          </w:tcPr>
          <w:p w:rsidR="0095327F" w:rsidRDefault="0095327F" w:rsidP="004F22A5">
            <w:pPr>
              <w:spacing w:before="60" w:after="60" w:line="240" w:lineRule="exact"/>
              <w:ind w:leftChars="-30" w:left="31680" w:rightChars="-30" w:right="31680"/>
              <w:jc w:val="center"/>
              <w:rPr>
                <w:rFonts w:ascii="SimHei" w:eastAsia="KaiTi_GB2312" w:hint="eastAsia"/>
                <w:color w:val="0000FF"/>
                <w:sz w:val="14"/>
              </w:rPr>
            </w:pPr>
            <w:r>
              <w:rPr>
                <w:rFonts w:ascii="SimHei" w:eastAsia="SimHei" w:hint="eastAsia"/>
                <w:color w:val="0000FF"/>
                <w:sz w:val="14"/>
              </w:rPr>
              <w:t>1992年</w:t>
            </w:r>
          </w:p>
        </w:tc>
        <w:tc>
          <w:tcPr>
            <w:tcW w:w="3150" w:type="dxa"/>
            <w:gridSpan w:val="6"/>
            <w:tcBorders>
              <w:top w:val="single" w:sz="2" w:space="0" w:color="auto"/>
              <w:bottom w:val="single" w:sz="4" w:space="0" w:color="auto"/>
            </w:tcBorders>
            <w:vAlign w:val="bottom"/>
          </w:tcPr>
          <w:p w:rsidR="0095327F" w:rsidRDefault="0095327F" w:rsidP="004F22A5">
            <w:pPr>
              <w:spacing w:before="60" w:after="60" w:line="240" w:lineRule="exact"/>
              <w:ind w:leftChars="-30" w:left="31680" w:rightChars="-30" w:right="31680"/>
              <w:jc w:val="center"/>
              <w:rPr>
                <w:rFonts w:ascii="SimHei" w:eastAsia="KaiTi_GB2312" w:hint="eastAsia"/>
                <w:color w:val="0000FF"/>
                <w:sz w:val="14"/>
              </w:rPr>
            </w:pPr>
            <w:r>
              <w:rPr>
                <w:rFonts w:ascii="SimHei" w:eastAsia="SimHei" w:hint="eastAsia"/>
                <w:color w:val="0000FF"/>
                <w:sz w:val="14"/>
              </w:rPr>
              <w:t>2002年</w:t>
            </w:r>
          </w:p>
        </w:tc>
      </w:tr>
      <w:tr w:rsidR="0095327F">
        <w:tblPrEx>
          <w:tblCellMar>
            <w:top w:w="0" w:type="dxa"/>
            <w:bottom w:w="0" w:type="dxa"/>
          </w:tblCellMar>
        </w:tblPrEx>
        <w:trPr>
          <w:cantSplit/>
          <w:tblHeader/>
        </w:trPr>
        <w:tc>
          <w:tcPr>
            <w:tcW w:w="1050" w:type="dxa"/>
            <w:vMerge/>
            <w:vAlign w:val="bottom"/>
          </w:tcPr>
          <w:p w:rsidR="0095327F" w:rsidRDefault="0095327F" w:rsidP="004F22A5">
            <w:pPr>
              <w:spacing w:after="60" w:line="240" w:lineRule="exact"/>
              <w:ind w:leftChars="-30" w:left="31680" w:rightChars="-30" w:right="31680"/>
              <w:jc w:val="center"/>
              <w:rPr>
                <w:rFonts w:ascii="SimHei" w:eastAsia="KaiTi_GB2312" w:hint="eastAsia"/>
                <w:color w:val="0000FF"/>
                <w:sz w:val="14"/>
              </w:rPr>
            </w:pPr>
          </w:p>
        </w:tc>
        <w:tc>
          <w:tcPr>
            <w:tcW w:w="1050" w:type="dxa"/>
            <w:gridSpan w:val="2"/>
            <w:tcBorders>
              <w:top w:val="single" w:sz="4" w:space="0" w:color="auto"/>
              <w:bottom w:val="single" w:sz="4" w:space="0" w:color="auto"/>
            </w:tcBorders>
            <w:vAlign w:val="bottom"/>
          </w:tcPr>
          <w:p w:rsidR="0095327F" w:rsidRDefault="0095327F" w:rsidP="004F22A5">
            <w:pPr>
              <w:spacing w:after="60" w:line="240" w:lineRule="exact"/>
              <w:ind w:leftChars="-30" w:left="31680" w:rightChars="-30" w:right="31680"/>
              <w:jc w:val="center"/>
              <w:rPr>
                <w:rFonts w:ascii="SimHei" w:eastAsia="KaiTi_GB2312" w:hint="eastAsia"/>
                <w:color w:val="0000FF"/>
                <w:sz w:val="14"/>
              </w:rPr>
            </w:pPr>
            <w:r>
              <w:rPr>
                <w:rFonts w:ascii="SimHei" w:eastAsia="SimHei" w:hint="eastAsia"/>
                <w:color w:val="0000FF"/>
                <w:sz w:val="14"/>
              </w:rPr>
              <w:t>合计</w:t>
            </w:r>
          </w:p>
        </w:tc>
        <w:tc>
          <w:tcPr>
            <w:tcW w:w="1050" w:type="dxa"/>
            <w:gridSpan w:val="2"/>
            <w:tcBorders>
              <w:top w:val="single" w:sz="4" w:space="0" w:color="auto"/>
              <w:bottom w:val="single" w:sz="4" w:space="0" w:color="auto"/>
            </w:tcBorders>
            <w:vAlign w:val="bottom"/>
          </w:tcPr>
          <w:p w:rsidR="0095327F" w:rsidRDefault="0095327F" w:rsidP="004F22A5">
            <w:pPr>
              <w:spacing w:after="60" w:line="240" w:lineRule="exact"/>
              <w:ind w:leftChars="-30" w:left="31680" w:rightChars="-30" w:right="31680"/>
              <w:jc w:val="center"/>
              <w:rPr>
                <w:rFonts w:ascii="SimHei" w:eastAsia="KaiTi_GB2312" w:hint="eastAsia"/>
                <w:color w:val="0000FF"/>
                <w:sz w:val="14"/>
              </w:rPr>
            </w:pPr>
            <w:r>
              <w:rPr>
                <w:rFonts w:ascii="SimHei" w:eastAsia="SimHei" w:hint="eastAsia"/>
                <w:color w:val="0000FF"/>
                <w:sz w:val="14"/>
              </w:rPr>
              <w:t>城市</w:t>
            </w:r>
          </w:p>
        </w:tc>
        <w:tc>
          <w:tcPr>
            <w:tcW w:w="1050" w:type="dxa"/>
            <w:gridSpan w:val="2"/>
            <w:tcBorders>
              <w:top w:val="single" w:sz="4" w:space="0" w:color="auto"/>
              <w:bottom w:val="single" w:sz="4" w:space="0" w:color="auto"/>
            </w:tcBorders>
            <w:vAlign w:val="bottom"/>
          </w:tcPr>
          <w:p w:rsidR="0095327F" w:rsidRDefault="0095327F" w:rsidP="004F22A5">
            <w:pPr>
              <w:spacing w:after="60" w:line="240" w:lineRule="exact"/>
              <w:ind w:leftChars="-30" w:left="31680" w:rightChars="-30" w:right="31680"/>
              <w:jc w:val="center"/>
              <w:rPr>
                <w:rFonts w:ascii="SimHei" w:eastAsia="KaiTi_GB2312" w:hint="eastAsia"/>
                <w:color w:val="0000FF"/>
                <w:sz w:val="14"/>
              </w:rPr>
            </w:pPr>
            <w:r>
              <w:rPr>
                <w:rFonts w:ascii="SimHei" w:eastAsia="SimHei" w:hint="eastAsia"/>
                <w:color w:val="0000FF"/>
                <w:sz w:val="14"/>
              </w:rPr>
              <w:t>农村</w:t>
            </w:r>
          </w:p>
        </w:tc>
        <w:tc>
          <w:tcPr>
            <w:tcW w:w="1050" w:type="dxa"/>
            <w:gridSpan w:val="2"/>
            <w:tcBorders>
              <w:top w:val="single" w:sz="4" w:space="0" w:color="auto"/>
              <w:bottom w:val="single" w:sz="4" w:space="0" w:color="auto"/>
            </w:tcBorders>
            <w:vAlign w:val="bottom"/>
          </w:tcPr>
          <w:p w:rsidR="0095327F" w:rsidRDefault="0095327F" w:rsidP="004F22A5">
            <w:pPr>
              <w:spacing w:after="60" w:line="240" w:lineRule="exact"/>
              <w:ind w:leftChars="-30" w:left="31680" w:rightChars="-30" w:right="31680"/>
              <w:jc w:val="center"/>
              <w:rPr>
                <w:rFonts w:ascii="SimHei" w:eastAsia="KaiTi_GB2312" w:hint="eastAsia"/>
                <w:color w:val="0000FF"/>
                <w:sz w:val="14"/>
              </w:rPr>
            </w:pPr>
            <w:r>
              <w:rPr>
                <w:rFonts w:ascii="SimHei" w:eastAsia="SimHei" w:hint="eastAsia"/>
                <w:color w:val="0000FF"/>
                <w:sz w:val="14"/>
              </w:rPr>
              <w:t>合计</w:t>
            </w:r>
          </w:p>
        </w:tc>
        <w:tc>
          <w:tcPr>
            <w:tcW w:w="1050" w:type="dxa"/>
            <w:gridSpan w:val="2"/>
            <w:tcBorders>
              <w:top w:val="single" w:sz="4" w:space="0" w:color="auto"/>
              <w:bottom w:val="single" w:sz="4" w:space="0" w:color="auto"/>
            </w:tcBorders>
            <w:vAlign w:val="bottom"/>
          </w:tcPr>
          <w:p w:rsidR="0095327F" w:rsidRDefault="0095327F" w:rsidP="004F22A5">
            <w:pPr>
              <w:spacing w:after="60" w:line="240" w:lineRule="exact"/>
              <w:ind w:leftChars="-30" w:left="31680" w:rightChars="-30" w:right="31680"/>
              <w:jc w:val="center"/>
              <w:rPr>
                <w:rFonts w:ascii="SimHei" w:eastAsia="KaiTi_GB2312" w:hint="eastAsia"/>
                <w:color w:val="0000FF"/>
                <w:sz w:val="14"/>
              </w:rPr>
            </w:pPr>
            <w:r>
              <w:rPr>
                <w:rFonts w:ascii="SimHei" w:eastAsia="SimHei" w:hint="eastAsia"/>
                <w:color w:val="0000FF"/>
                <w:sz w:val="14"/>
              </w:rPr>
              <w:t>城市</w:t>
            </w:r>
          </w:p>
        </w:tc>
        <w:tc>
          <w:tcPr>
            <w:tcW w:w="1050" w:type="dxa"/>
            <w:gridSpan w:val="2"/>
            <w:tcBorders>
              <w:top w:val="single" w:sz="4" w:space="0" w:color="auto"/>
              <w:bottom w:val="single" w:sz="4" w:space="0" w:color="auto"/>
            </w:tcBorders>
            <w:vAlign w:val="bottom"/>
          </w:tcPr>
          <w:p w:rsidR="0095327F" w:rsidRDefault="0095327F" w:rsidP="004F22A5">
            <w:pPr>
              <w:spacing w:after="60" w:line="240" w:lineRule="exact"/>
              <w:ind w:leftChars="-30" w:left="31680" w:rightChars="-30" w:right="31680"/>
              <w:jc w:val="center"/>
              <w:rPr>
                <w:rFonts w:ascii="SimHei" w:eastAsia="KaiTi_GB2312" w:hint="eastAsia"/>
                <w:color w:val="0000FF"/>
                <w:sz w:val="14"/>
              </w:rPr>
            </w:pPr>
            <w:r>
              <w:rPr>
                <w:rFonts w:ascii="SimHei" w:eastAsia="SimHei" w:hint="eastAsia"/>
                <w:color w:val="0000FF"/>
                <w:sz w:val="14"/>
              </w:rPr>
              <w:t>农村</w:t>
            </w:r>
          </w:p>
        </w:tc>
      </w:tr>
      <w:tr w:rsidR="0095327F">
        <w:tblPrEx>
          <w:tblCellMar>
            <w:top w:w="0" w:type="dxa"/>
            <w:bottom w:w="0" w:type="dxa"/>
          </w:tblCellMar>
        </w:tblPrEx>
        <w:trPr>
          <w:cantSplit/>
          <w:tblHeader/>
        </w:trPr>
        <w:tc>
          <w:tcPr>
            <w:tcW w:w="1050" w:type="dxa"/>
            <w:vMerge/>
            <w:tcBorders>
              <w:bottom w:val="single" w:sz="12" w:space="0" w:color="auto"/>
            </w:tcBorders>
            <w:vAlign w:val="bottom"/>
          </w:tcPr>
          <w:p w:rsidR="0095327F" w:rsidRDefault="0095327F" w:rsidP="004F22A5">
            <w:pPr>
              <w:spacing w:after="60" w:line="240" w:lineRule="exact"/>
              <w:ind w:leftChars="-30" w:left="31680" w:rightChars="-30" w:right="31680"/>
              <w:jc w:val="center"/>
              <w:rPr>
                <w:rFonts w:ascii="SimHei" w:eastAsia="KaiTi_GB2312" w:hint="eastAsia"/>
                <w:color w:val="0000FF"/>
                <w:sz w:val="14"/>
              </w:rPr>
            </w:pPr>
          </w:p>
        </w:tc>
        <w:tc>
          <w:tcPr>
            <w:tcW w:w="525" w:type="dxa"/>
            <w:tcBorders>
              <w:top w:val="single" w:sz="4" w:space="0" w:color="auto"/>
              <w:bottom w:val="single" w:sz="12" w:space="0" w:color="auto"/>
            </w:tcBorders>
            <w:vAlign w:val="bottom"/>
          </w:tcPr>
          <w:p w:rsidR="0095327F" w:rsidRDefault="0095327F" w:rsidP="004F22A5">
            <w:pPr>
              <w:spacing w:after="60" w:line="240" w:lineRule="exact"/>
              <w:ind w:leftChars="-30" w:left="31680" w:rightChars="-30" w:right="31680"/>
              <w:jc w:val="right"/>
              <w:rPr>
                <w:rFonts w:ascii="SimHei" w:eastAsia="KaiTi_GB2312" w:hint="eastAsia"/>
                <w:color w:val="0000FF"/>
                <w:sz w:val="14"/>
              </w:rPr>
            </w:pPr>
            <w:r>
              <w:rPr>
                <w:rFonts w:ascii="SimHei" w:eastAsia="SimHei" w:hint="eastAsia"/>
                <w:color w:val="0000FF"/>
                <w:sz w:val="14"/>
              </w:rPr>
              <w:t>男性</w:t>
            </w:r>
          </w:p>
        </w:tc>
        <w:tc>
          <w:tcPr>
            <w:tcW w:w="525" w:type="dxa"/>
            <w:tcBorders>
              <w:top w:val="single" w:sz="4" w:space="0" w:color="auto"/>
              <w:bottom w:val="single" w:sz="12" w:space="0" w:color="auto"/>
            </w:tcBorders>
            <w:vAlign w:val="bottom"/>
          </w:tcPr>
          <w:p w:rsidR="0095327F" w:rsidRDefault="0095327F" w:rsidP="004F22A5">
            <w:pPr>
              <w:pStyle w:val="Header"/>
              <w:tabs>
                <w:tab w:val="clear" w:pos="4320"/>
                <w:tab w:val="clear" w:pos="8640"/>
              </w:tabs>
              <w:spacing w:after="60" w:line="240" w:lineRule="exact"/>
              <w:ind w:leftChars="-30" w:left="31680" w:rightChars="-30" w:right="31680"/>
              <w:jc w:val="right"/>
              <w:rPr>
                <w:rFonts w:ascii="SimHei" w:eastAsia="KaiTi_GB2312" w:hint="eastAsia"/>
                <w:noProof w:val="0"/>
                <w:color w:val="0000FF"/>
                <w:kern w:val="14"/>
                <w:sz w:val="14"/>
              </w:rPr>
            </w:pPr>
            <w:r>
              <w:rPr>
                <w:rFonts w:ascii="SimHei" w:eastAsia="SimHei" w:hint="eastAsia"/>
                <w:noProof w:val="0"/>
                <w:color w:val="0000FF"/>
                <w:kern w:val="14"/>
                <w:sz w:val="14"/>
              </w:rPr>
              <w:t>女性</w:t>
            </w:r>
          </w:p>
        </w:tc>
        <w:tc>
          <w:tcPr>
            <w:tcW w:w="525" w:type="dxa"/>
            <w:tcBorders>
              <w:top w:val="single" w:sz="4" w:space="0" w:color="auto"/>
              <w:bottom w:val="single" w:sz="12" w:space="0" w:color="auto"/>
            </w:tcBorders>
            <w:vAlign w:val="bottom"/>
          </w:tcPr>
          <w:p w:rsidR="0095327F" w:rsidRDefault="0095327F" w:rsidP="004F22A5">
            <w:pPr>
              <w:spacing w:after="60" w:line="240" w:lineRule="exact"/>
              <w:ind w:leftChars="-30" w:left="31680" w:rightChars="-30" w:right="31680"/>
              <w:jc w:val="right"/>
              <w:rPr>
                <w:rFonts w:ascii="SimHei" w:eastAsia="KaiTi_GB2312" w:hint="eastAsia"/>
                <w:color w:val="0000FF"/>
                <w:sz w:val="14"/>
              </w:rPr>
            </w:pPr>
            <w:r>
              <w:rPr>
                <w:rFonts w:ascii="SimHei" w:eastAsia="SimHei" w:hint="eastAsia"/>
                <w:color w:val="0000FF"/>
                <w:sz w:val="14"/>
              </w:rPr>
              <w:t>男性</w:t>
            </w:r>
          </w:p>
        </w:tc>
        <w:tc>
          <w:tcPr>
            <w:tcW w:w="525" w:type="dxa"/>
            <w:tcBorders>
              <w:top w:val="single" w:sz="4" w:space="0" w:color="auto"/>
              <w:bottom w:val="single" w:sz="12" w:space="0" w:color="auto"/>
            </w:tcBorders>
            <w:vAlign w:val="bottom"/>
          </w:tcPr>
          <w:p w:rsidR="0095327F" w:rsidRDefault="0095327F" w:rsidP="004F22A5">
            <w:pPr>
              <w:spacing w:after="60" w:line="240" w:lineRule="exact"/>
              <w:ind w:leftChars="-30" w:left="31680" w:rightChars="-30" w:right="31680"/>
              <w:jc w:val="right"/>
              <w:rPr>
                <w:rFonts w:ascii="SimHei" w:eastAsia="KaiTi_GB2312" w:hint="eastAsia"/>
                <w:color w:val="0000FF"/>
                <w:sz w:val="14"/>
              </w:rPr>
            </w:pPr>
            <w:r>
              <w:rPr>
                <w:rFonts w:ascii="SimHei" w:eastAsia="SimHei" w:hint="eastAsia"/>
                <w:color w:val="0000FF"/>
                <w:sz w:val="14"/>
              </w:rPr>
              <w:t>女性</w:t>
            </w:r>
          </w:p>
        </w:tc>
        <w:tc>
          <w:tcPr>
            <w:tcW w:w="525" w:type="dxa"/>
            <w:tcBorders>
              <w:top w:val="single" w:sz="4" w:space="0" w:color="auto"/>
              <w:bottom w:val="single" w:sz="12" w:space="0" w:color="auto"/>
            </w:tcBorders>
            <w:vAlign w:val="bottom"/>
          </w:tcPr>
          <w:p w:rsidR="0095327F" w:rsidRDefault="0095327F" w:rsidP="004F22A5">
            <w:pPr>
              <w:spacing w:after="60" w:line="240" w:lineRule="exact"/>
              <w:ind w:leftChars="-30" w:left="31680" w:rightChars="-30" w:right="31680"/>
              <w:jc w:val="right"/>
              <w:rPr>
                <w:rFonts w:ascii="SimHei" w:eastAsia="KaiTi_GB2312" w:hint="eastAsia"/>
                <w:color w:val="0000FF"/>
                <w:sz w:val="14"/>
              </w:rPr>
            </w:pPr>
            <w:r>
              <w:rPr>
                <w:rFonts w:ascii="SimHei" w:eastAsia="SimHei" w:hint="eastAsia"/>
                <w:color w:val="0000FF"/>
                <w:sz w:val="14"/>
              </w:rPr>
              <w:t>男性</w:t>
            </w:r>
          </w:p>
        </w:tc>
        <w:tc>
          <w:tcPr>
            <w:tcW w:w="525" w:type="dxa"/>
            <w:tcBorders>
              <w:top w:val="single" w:sz="4" w:space="0" w:color="auto"/>
              <w:bottom w:val="single" w:sz="12" w:space="0" w:color="auto"/>
            </w:tcBorders>
            <w:vAlign w:val="bottom"/>
          </w:tcPr>
          <w:p w:rsidR="0095327F" w:rsidRDefault="0095327F" w:rsidP="004F22A5">
            <w:pPr>
              <w:spacing w:after="60" w:line="240" w:lineRule="exact"/>
              <w:ind w:leftChars="-30" w:left="31680" w:rightChars="-30" w:right="31680"/>
              <w:jc w:val="right"/>
              <w:rPr>
                <w:rFonts w:ascii="SimHei" w:eastAsia="KaiTi_GB2312" w:hint="eastAsia"/>
                <w:color w:val="0000FF"/>
                <w:sz w:val="14"/>
              </w:rPr>
            </w:pPr>
            <w:r>
              <w:rPr>
                <w:rFonts w:ascii="SimHei" w:eastAsia="SimHei" w:hint="eastAsia"/>
                <w:color w:val="0000FF"/>
                <w:sz w:val="14"/>
              </w:rPr>
              <w:t>女性</w:t>
            </w:r>
          </w:p>
        </w:tc>
        <w:tc>
          <w:tcPr>
            <w:tcW w:w="525" w:type="dxa"/>
            <w:tcBorders>
              <w:top w:val="single" w:sz="4" w:space="0" w:color="auto"/>
              <w:bottom w:val="single" w:sz="12" w:space="0" w:color="auto"/>
            </w:tcBorders>
            <w:vAlign w:val="bottom"/>
          </w:tcPr>
          <w:p w:rsidR="0095327F" w:rsidRDefault="0095327F" w:rsidP="004F22A5">
            <w:pPr>
              <w:spacing w:after="60" w:line="240" w:lineRule="exact"/>
              <w:ind w:leftChars="-30" w:left="31680" w:rightChars="-30" w:right="31680"/>
              <w:jc w:val="right"/>
              <w:rPr>
                <w:rFonts w:ascii="SimHei" w:eastAsia="KaiTi_GB2312" w:hint="eastAsia"/>
                <w:color w:val="0000FF"/>
                <w:sz w:val="14"/>
              </w:rPr>
            </w:pPr>
            <w:r>
              <w:rPr>
                <w:rFonts w:ascii="SimHei" w:eastAsia="SimHei" w:hint="eastAsia"/>
                <w:color w:val="0000FF"/>
                <w:sz w:val="14"/>
              </w:rPr>
              <w:t>男性</w:t>
            </w:r>
          </w:p>
        </w:tc>
        <w:tc>
          <w:tcPr>
            <w:tcW w:w="525" w:type="dxa"/>
            <w:tcBorders>
              <w:top w:val="single" w:sz="4" w:space="0" w:color="auto"/>
              <w:bottom w:val="single" w:sz="12" w:space="0" w:color="auto"/>
            </w:tcBorders>
            <w:vAlign w:val="bottom"/>
          </w:tcPr>
          <w:p w:rsidR="0095327F" w:rsidRDefault="0095327F" w:rsidP="004F22A5">
            <w:pPr>
              <w:spacing w:after="60" w:line="240" w:lineRule="exact"/>
              <w:ind w:leftChars="-30" w:left="31680" w:rightChars="-30" w:right="31680"/>
              <w:jc w:val="right"/>
              <w:rPr>
                <w:rFonts w:ascii="SimHei" w:eastAsia="KaiTi_GB2312" w:hint="eastAsia"/>
                <w:color w:val="0000FF"/>
                <w:sz w:val="14"/>
              </w:rPr>
            </w:pPr>
            <w:r>
              <w:rPr>
                <w:rFonts w:ascii="SimHei" w:eastAsia="SimHei" w:hint="eastAsia"/>
                <w:color w:val="0000FF"/>
                <w:sz w:val="14"/>
              </w:rPr>
              <w:t>女性</w:t>
            </w:r>
          </w:p>
        </w:tc>
        <w:tc>
          <w:tcPr>
            <w:tcW w:w="525" w:type="dxa"/>
            <w:tcBorders>
              <w:top w:val="single" w:sz="4" w:space="0" w:color="auto"/>
              <w:bottom w:val="single" w:sz="12" w:space="0" w:color="auto"/>
            </w:tcBorders>
            <w:vAlign w:val="bottom"/>
          </w:tcPr>
          <w:p w:rsidR="0095327F" w:rsidRDefault="0095327F" w:rsidP="004F22A5">
            <w:pPr>
              <w:spacing w:after="60" w:line="240" w:lineRule="exact"/>
              <w:ind w:leftChars="-30" w:left="31680" w:rightChars="-30" w:right="31680"/>
              <w:jc w:val="right"/>
              <w:rPr>
                <w:rFonts w:ascii="SimHei" w:eastAsia="KaiTi_GB2312" w:hint="eastAsia"/>
                <w:color w:val="0000FF"/>
                <w:sz w:val="14"/>
              </w:rPr>
            </w:pPr>
            <w:r>
              <w:rPr>
                <w:rFonts w:ascii="SimHei" w:eastAsia="SimHei" w:hint="eastAsia"/>
                <w:color w:val="0000FF"/>
                <w:sz w:val="14"/>
              </w:rPr>
              <w:t>男性</w:t>
            </w:r>
          </w:p>
        </w:tc>
        <w:tc>
          <w:tcPr>
            <w:tcW w:w="525" w:type="dxa"/>
            <w:tcBorders>
              <w:top w:val="single" w:sz="4" w:space="0" w:color="auto"/>
              <w:bottom w:val="single" w:sz="12" w:space="0" w:color="auto"/>
            </w:tcBorders>
            <w:vAlign w:val="bottom"/>
          </w:tcPr>
          <w:p w:rsidR="0095327F" w:rsidRDefault="0095327F" w:rsidP="004F22A5">
            <w:pPr>
              <w:spacing w:after="60" w:line="240" w:lineRule="exact"/>
              <w:ind w:leftChars="-30" w:left="31680" w:rightChars="-30" w:right="31680"/>
              <w:jc w:val="right"/>
              <w:rPr>
                <w:rFonts w:ascii="SimHei" w:eastAsia="KaiTi_GB2312" w:hint="eastAsia"/>
                <w:color w:val="0000FF"/>
                <w:sz w:val="14"/>
              </w:rPr>
            </w:pPr>
            <w:r>
              <w:rPr>
                <w:rFonts w:ascii="SimHei" w:eastAsia="SimHei" w:hint="eastAsia"/>
                <w:color w:val="0000FF"/>
                <w:sz w:val="14"/>
              </w:rPr>
              <w:t>女性</w:t>
            </w:r>
          </w:p>
        </w:tc>
        <w:tc>
          <w:tcPr>
            <w:tcW w:w="525" w:type="dxa"/>
            <w:tcBorders>
              <w:top w:val="single" w:sz="4" w:space="0" w:color="auto"/>
              <w:bottom w:val="single" w:sz="12" w:space="0" w:color="auto"/>
            </w:tcBorders>
            <w:vAlign w:val="bottom"/>
          </w:tcPr>
          <w:p w:rsidR="0095327F" w:rsidRDefault="0095327F" w:rsidP="004F22A5">
            <w:pPr>
              <w:spacing w:after="60" w:line="240" w:lineRule="exact"/>
              <w:ind w:leftChars="-30" w:left="31680" w:rightChars="-30" w:right="31680"/>
              <w:jc w:val="right"/>
              <w:rPr>
                <w:rFonts w:ascii="SimHei" w:eastAsia="KaiTi_GB2312" w:hint="eastAsia"/>
                <w:color w:val="0000FF"/>
                <w:sz w:val="14"/>
              </w:rPr>
            </w:pPr>
            <w:r>
              <w:rPr>
                <w:rFonts w:ascii="SimHei" w:eastAsia="SimHei" w:hint="eastAsia"/>
                <w:color w:val="0000FF"/>
                <w:sz w:val="14"/>
              </w:rPr>
              <w:t>男性</w:t>
            </w:r>
          </w:p>
        </w:tc>
        <w:tc>
          <w:tcPr>
            <w:tcW w:w="525" w:type="dxa"/>
            <w:tcBorders>
              <w:top w:val="single" w:sz="4" w:space="0" w:color="auto"/>
              <w:bottom w:val="single" w:sz="12" w:space="0" w:color="auto"/>
            </w:tcBorders>
            <w:vAlign w:val="bottom"/>
          </w:tcPr>
          <w:p w:rsidR="0095327F" w:rsidRDefault="0095327F" w:rsidP="004F22A5">
            <w:pPr>
              <w:spacing w:after="60" w:line="240" w:lineRule="exact"/>
              <w:ind w:leftChars="-30" w:left="31680" w:rightChars="-30" w:right="31680"/>
              <w:jc w:val="right"/>
              <w:rPr>
                <w:rFonts w:ascii="SimHei" w:eastAsia="KaiTi_GB2312" w:hint="eastAsia"/>
                <w:color w:val="0000FF"/>
                <w:sz w:val="14"/>
              </w:rPr>
            </w:pPr>
            <w:r>
              <w:rPr>
                <w:rFonts w:ascii="SimHei" w:eastAsia="SimHei" w:hint="eastAsia"/>
                <w:color w:val="0000FF"/>
                <w:sz w:val="14"/>
              </w:rPr>
              <w:t>女性</w:t>
            </w:r>
          </w:p>
        </w:tc>
      </w:tr>
      <w:tr w:rsidR="0095327F">
        <w:tblPrEx>
          <w:tblCellMar>
            <w:top w:w="0" w:type="dxa"/>
            <w:bottom w:w="0" w:type="dxa"/>
          </w:tblCellMar>
        </w:tblPrEx>
        <w:trPr>
          <w:trHeight w:hRule="exact" w:val="115"/>
          <w:tblHeader/>
        </w:trPr>
        <w:tc>
          <w:tcPr>
            <w:tcW w:w="1050" w:type="dxa"/>
            <w:tcBorders>
              <w:top w:val="single" w:sz="12" w:space="0" w:color="auto"/>
            </w:tcBorders>
            <w:vAlign w:val="bottom"/>
          </w:tcPr>
          <w:p w:rsidR="0095327F" w:rsidRDefault="0095327F" w:rsidP="004F22A5">
            <w:pPr>
              <w:spacing w:after="60" w:line="280" w:lineRule="exact"/>
              <w:ind w:leftChars="-30" w:left="31680" w:rightChars="-30" w:right="31680"/>
              <w:rPr>
                <w:rFonts w:ascii="Times New Roman" w:hint="eastAsia"/>
                <w:sz w:val="17"/>
              </w:rPr>
            </w:pPr>
          </w:p>
        </w:tc>
        <w:tc>
          <w:tcPr>
            <w:tcW w:w="525" w:type="dxa"/>
            <w:tcBorders>
              <w:top w:val="single" w:sz="12" w:space="0" w:color="auto"/>
            </w:tcBorders>
            <w:vAlign w:val="bottom"/>
          </w:tcPr>
          <w:p w:rsidR="0095327F" w:rsidRDefault="0095327F" w:rsidP="004F22A5">
            <w:pPr>
              <w:spacing w:after="60" w:line="280" w:lineRule="exact"/>
              <w:ind w:leftChars="-30" w:left="31680" w:rightChars="-30" w:right="31680"/>
              <w:jc w:val="right"/>
              <w:rPr>
                <w:rFonts w:ascii="Times New Roman"/>
                <w:sz w:val="17"/>
              </w:rPr>
            </w:pPr>
          </w:p>
        </w:tc>
        <w:tc>
          <w:tcPr>
            <w:tcW w:w="525" w:type="dxa"/>
            <w:tcBorders>
              <w:top w:val="single" w:sz="12" w:space="0" w:color="auto"/>
            </w:tcBorders>
            <w:vAlign w:val="bottom"/>
          </w:tcPr>
          <w:p w:rsidR="0095327F" w:rsidRDefault="0095327F" w:rsidP="004F22A5">
            <w:pPr>
              <w:spacing w:after="60" w:line="280" w:lineRule="exact"/>
              <w:ind w:leftChars="-30" w:left="31680" w:rightChars="-30" w:right="31680"/>
              <w:jc w:val="right"/>
              <w:rPr>
                <w:rFonts w:ascii="Times New Roman"/>
                <w:sz w:val="17"/>
              </w:rPr>
            </w:pPr>
          </w:p>
        </w:tc>
        <w:tc>
          <w:tcPr>
            <w:tcW w:w="525" w:type="dxa"/>
            <w:tcBorders>
              <w:top w:val="single" w:sz="12" w:space="0" w:color="auto"/>
            </w:tcBorders>
            <w:vAlign w:val="bottom"/>
          </w:tcPr>
          <w:p w:rsidR="0095327F" w:rsidRDefault="0095327F" w:rsidP="004F22A5">
            <w:pPr>
              <w:spacing w:after="60" w:line="280" w:lineRule="exact"/>
              <w:ind w:leftChars="-30" w:left="31680" w:rightChars="-30" w:right="31680"/>
              <w:jc w:val="right"/>
              <w:rPr>
                <w:rFonts w:ascii="Times New Roman"/>
                <w:sz w:val="17"/>
              </w:rPr>
            </w:pPr>
          </w:p>
        </w:tc>
        <w:tc>
          <w:tcPr>
            <w:tcW w:w="525" w:type="dxa"/>
            <w:tcBorders>
              <w:top w:val="single" w:sz="12" w:space="0" w:color="auto"/>
            </w:tcBorders>
            <w:vAlign w:val="bottom"/>
          </w:tcPr>
          <w:p w:rsidR="0095327F" w:rsidRDefault="0095327F" w:rsidP="004F22A5">
            <w:pPr>
              <w:spacing w:after="60" w:line="280" w:lineRule="exact"/>
              <w:ind w:leftChars="-30" w:left="31680" w:rightChars="-30" w:right="31680"/>
              <w:jc w:val="right"/>
              <w:rPr>
                <w:rFonts w:ascii="Times New Roman"/>
                <w:sz w:val="17"/>
              </w:rPr>
            </w:pPr>
          </w:p>
        </w:tc>
        <w:tc>
          <w:tcPr>
            <w:tcW w:w="525" w:type="dxa"/>
            <w:tcBorders>
              <w:top w:val="single" w:sz="12" w:space="0" w:color="auto"/>
            </w:tcBorders>
            <w:vAlign w:val="bottom"/>
          </w:tcPr>
          <w:p w:rsidR="0095327F" w:rsidRDefault="0095327F" w:rsidP="004F22A5">
            <w:pPr>
              <w:spacing w:after="60" w:line="280" w:lineRule="exact"/>
              <w:ind w:leftChars="-30" w:left="31680" w:rightChars="-30" w:right="31680"/>
              <w:jc w:val="right"/>
              <w:rPr>
                <w:rFonts w:ascii="Times New Roman"/>
                <w:sz w:val="17"/>
              </w:rPr>
            </w:pPr>
          </w:p>
        </w:tc>
        <w:tc>
          <w:tcPr>
            <w:tcW w:w="525" w:type="dxa"/>
            <w:tcBorders>
              <w:top w:val="single" w:sz="12" w:space="0" w:color="auto"/>
            </w:tcBorders>
            <w:vAlign w:val="bottom"/>
          </w:tcPr>
          <w:p w:rsidR="0095327F" w:rsidRDefault="0095327F" w:rsidP="004F22A5">
            <w:pPr>
              <w:spacing w:after="60" w:line="280" w:lineRule="exact"/>
              <w:ind w:leftChars="-30" w:left="31680" w:rightChars="-30" w:right="31680"/>
              <w:jc w:val="right"/>
              <w:rPr>
                <w:rFonts w:ascii="Times New Roman"/>
                <w:sz w:val="17"/>
              </w:rPr>
            </w:pPr>
          </w:p>
        </w:tc>
        <w:tc>
          <w:tcPr>
            <w:tcW w:w="525" w:type="dxa"/>
            <w:tcBorders>
              <w:top w:val="single" w:sz="12" w:space="0" w:color="auto"/>
            </w:tcBorders>
            <w:vAlign w:val="bottom"/>
          </w:tcPr>
          <w:p w:rsidR="0095327F" w:rsidRDefault="0095327F" w:rsidP="004F22A5">
            <w:pPr>
              <w:spacing w:after="60" w:line="280" w:lineRule="exact"/>
              <w:ind w:leftChars="-30" w:left="31680" w:rightChars="-30" w:right="31680"/>
              <w:jc w:val="right"/>
              <w:rPr>
                <w:rFonts w:ascii="Times New Roman"/>
                <w:sz w:val="17"/>
              </w:rPr>
            </w:pPr>
          </w:p>
        </w:tc>
        <w:tc>
          <w:tcPr>
            <w:tcW w:w="525" w:type="dxa"/>
            <w:tcBorders>
              <w:top w:val="single" w:sz="12" w:space="0" w:color="auto"/>
            </w:tcBorders>
            <w:vAlign w:val="bottom"/>
          </w:tcPr>
          <w:p w:rsidR="0095327F" w:rsidRDefault="0095327F" w:rsidP="004F22A5">
            <w:pPr>
              <w:spacing w:after="60" w:line="280" w:lineRule="exact"/>
              <w:ind w:leftChars="-30" w:left="31680" w:rightChars="-30" w:right="31680"/>
              <w:jc w:val="right"/>
              <w:rPr>
                <w:rFonts w:ascii="Times New Roman"/>
                <w:sz w:val="17"/>
              </w:rPr>
            </w:pPr>
          </w:p>
        </w:tc>
        <w:tc>
          <w:tcPr>
            <w:tcW w:w="525" w:type="dxa"/>
            <w:tcBorders>
              <w:top w:val="single" w:sz="12" w:space="0" w:color="auto"/>
            </w:tcBorders>
            <w:vAlign w:val="bottom"/>
          </w:tcPr>
          <w:p w:rsidR="0095327F" w:rsidRDefault="0095327F" w:rsidP="004F22A5">
            <w:pPr>
              <w:spacing w:after="60" w:line="280" w:lineRule="exact"/>
              <w:ind w:leftChars="-30" w:left="31680" w:rightChars="-30" w:right="31680"/>
              <w:jc w:val="right"/>
              <w:rPr>
                <w:rFonts w:ascii="Times New Roman"/>
                <w:sz w:val="17"/>
              </w:rPr>
            </w:pPr>
          </w:p>
        </w:tc>
        <w:tc>
          <w:tcPr>
            <w:tcW w:w="525" w:type="dxa"/>
            <w:tcBorders>
              <w:top w:val="single" w:sz="12" w:space="0" w:color="auto"/>
            </w:tcBorders>
            <w:vAlign w:val="bottom"/>
          </w:tcPr>
          <w:p w:rsidR="0095327F" w:rsidRDefault="0095327F" w:rsidP="004F22A5">
            <w:pPr>
              <w:spacing w:after="60" w:line="280" w:lineRule="exact"/>
              <w:ind w:leftChars="-30" w:left="31680" w:rightChars="-30" w:right="31680"/>
              <w:jc w:val="right"/>
              <w:rPr>
                <w:rFonts w:ascii="Times New Roman"/>
                <w:sz w:val="17"/>
              </w:rPr>
            </w:pPr>
          </w:p>
        </w:tc>
        <w:tc>
          <w:tcPr>
            <w:tcW w:w="525" w:type="dxa"/>
            <w:tcBorders>
              <w:top w:val="single" w:sz="12" w:space="0" w:color="auto"/>
            </w:tcBorders>
            <w:vAlign w:val="bottom"/>
          </w:tcPr>
          <w:p w:rsidR="0095327F" w:rsidRDefault="0095327F" w:rsidP="004F22A5">
            <w:pPr>
              <w:spacing w:after="60" w:line="280" w:lineRule="exact"/>
              <w:ind w:leftChars="-30" w:left="31680" w:rightChars="-30" w:right="31680"/>
              <w:jc w:val="right"/>
              <w:rPr>
                <w:rFonts w:ascii="Times New Roman"/>
                <w:sz w:val="17"/>
              </w:rPr>
            </w:pPr>
          </w:p>
        </w:tc>
        <w:tc>
          <w:tcPr>
            <w:tcW w:w="525" w:type="dxa"/>
            <w:tcBorders>
              <w:top w:val="single" w:sz="12" w:space="0" w:color="auto"/>
            </w:tcBorders>
            <w:vAlign w:val="bottom"/>
          </w:tcPr>
          <w:p w:rsidR="0095327F" w:rsidRDefault="0095327F" w:rsidP="004F22A5">
            <w:pPr>
              <w:spacing w:after="60" w:line="280" w:lineRule="exact"/>
              <w:ind w:leftChars="-30" w:left="31680" w:rightChars="-30" w:right="31680"/>
              <w:jc w:val="right"/>
              <w:rPr>
                <w:rFonts w:ascii="Times New Roman"/>
                <w:sz w:val="17"/>
              </w:rPr>
            </w:pPr>
          </w:p>
        </w:tc>
      </w:tr>
      <w:tr w:rsidR="0095327F">
        <w:tblPrEx>
          <w:tblCellMar>
            <w:top w:w="0" w:type="dxa"/>
            <w:bottom w:w="0" w:type="dxa"/>
          </w:tblCellMar>
        </w:tblPrEx>
        <w:tc>
          <w:tcPr>
            <w:tcW w:w="1050"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rPr>
                <w:rFonts w:ascii="Times New Roman" w:hint="eastAsia"/>
                <w:sz w:val="17"/>
              </w:rPr>
            </w:pPr>
            <w:r>
              <w:rPr>
                <w:rFonts w:ascii="Times New Roman" w:hint="eastAsia"/>
                <w:sz w:val="17"/>
              </w:rPr>
              <w:t>罗马尼亚</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49.2</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hint="eastAsia"/>
                <w:sz w:val="17"/>
              </w:rPr>
            </w:pPr>
            <w:r>
              <w:rPr>
                <w:rFonts w:ascii="Times New Roman"/>
                <w:sz w:val="17"/>
              </w:rPr>
              <w:t>50.</w:t>
            </w:r>
            <w:r>
              <w:rPr>
                <w:rFonts w:ascii="Times New Roman" w:hint="eastAsia"/>
                <w:sz w:val="17"/>
              </w:rPr>
              <w:t>8</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48.8</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51.2</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49.6</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50.4</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48.8</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51.2</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48.0</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52.0</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49.6</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50.4</w:t>
            </w:r>
          </w:p>
        </w:tc>
      </w:tr>
      <w:tr w:rsidR="0095327F">
        <w:tblPrEx>
          <w:tblCellMar>
            <w:top w:w="0" w:type="dxa"/>
            <w:bottom w:w="0" w:type="dxa"/>
          </w:tblCellMar>
        </w:tblPrEx>
        <w:tc>
          <w:tcPr>
            <w:tcW w:w="1050"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rPr>
                <w:rFonts w:ascii="Times New Roman" w:hint="eastAsia"/>
                <w:sz w:val="17"/>
              </w:rPr>
            </w:pP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hint="eastAsia"/>
                <w:sz w:val="17"/>
              </w:rPr>
            </w:pP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hint="eastAsia"/>
                <w:sz w:val="17"/>
              </w:rPr>
            </w:pP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hint="eastAsia"/>
                <w:sz w:val="17"/>
              </w:rPr>
            </w:pP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hint="eastAsia"/>
                <w:sz w:val="17"/>
              </w:rPr>
            </w:pP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hint="eastAsia"/>
                <w:sz w:val="17"/>
              </w:rPr>
            </w:pP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hint="eastAsia"/>
                <w:sz w:val="17"/>
              </w:rPr>
            </w:pP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hint="eastAsia"/>
                <w:sz w:val="17"/>
              </w:rPr>
            </w:pP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hint="eastAsia"/>
                <w:sz w:val="17"/>
              </w:rPr>
            </w:pP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hint="eastAsia"/>
                <w:sz w:val="17"/>
              </w:rPr>
            </w:pP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hint="eastAsia"/>
                <w:sz w:val="17"/>
              </w:rPr>
            </w:pP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hint="eastAsia"/>
                <w:sz w:val="17"/>
              </w:rPr>
            </w:pPr>
          </w:p>
        </w:tc>
      </w:tr>
      <w:tr w:rsidR="0095327F">
        <w:tblPrEx>
          <w:tblCellMar>
            <w:top w:w="0" w:type="dxa"/>
            <w:bottom w:w="0" w:type="dxa"/>
          </w:tblCellMar>
        </w:tblPrEx>
        <w:tc>
          <w:tcPr>
            <w:tcW w:w="1050"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rPr>
                <w:rFonts w:ascii="Times New Roman" w:hint="eastAsia"/>
                <w:sz w:val="17"/>
              </w:rPr>
            </w:pPr>
            <w:r>
              <w:rPr>
                <w:rFonts w:ascii="Times New Roman" w:hint="eastAsia"/>
                <w:sz w:val="17"/>
              </w:rPr>
              <w:t>西北</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49.4</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50.6</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49.0</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51.0</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49.8</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50.2</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49.2</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50.8</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48.1</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50.0</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50.0</w:t>
            </w:r>
          </w:p>
        </w:tc>
      </w:tr>
      <w:tr w:rsidR="0095327F">
        <w:tblPrEx>
          <w:tblCellMar>
            <w:top w:w="0" w:type="dxa"/>
            <w:bottom w:w="0" w:type="dxa"/>
          </w:tblCellMar>
        </w:tblPrEx>
        <w:tc>
          <w:tcPr>
            <w:tcW w:w="1050"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rPr>
                <w:rFonts w:ascii="Times New Roman" w:hint="eastAsia"/>
                <w:sz w:val="17"/>
              </w:rPr>
            </w:pPr>
            <w:r>
              <w:rPr>
                <w:rFonts w:ascii="Times New Roman" w:hint="eastAsia"/>
                <w:sz w:val="17"/>
              </w:rPr>
              <w:t>东南</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49.7</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50.3</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49.5</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50.5</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50.1</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49.2</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50.8</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48.5</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51.5</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50.1</w:t>
            </w:r>
          </w:p>
        </w:tc>
      </w:tr>
      <w:tr w:rsidR="0095327F">
        <w:tblPrEx>
          <w:tblCellMar>
            <w:top w:w="0" w:type="dxa"/>
            <w:bottom w:w="0" w:type="dxa"/>
          </w:tblCellMar>
        </w:tblPrEx>
        <w:tc>
          <w:tcPr>
            <w:tcW w:w="1050"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rPr>
                <w:rFonts w:ascii="Times New Roman" w:hint="eastAsia"/>
                <w:sz w:val="17"/>
              </w:rPr>
            </w:pPr>
            <w:r>
              <w:rPr>
                <w:rFonts w:ascii="Times New Roman" w:hint="eastAsia"/>
                <w:sz w:val="17"/>
              </w:rPr>
              <w:t>南部</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49.2</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50.8</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51.1</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49.4</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50.6</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51.1</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48.4</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51.6</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49.2</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50.8</w:t>
            </w:r>
          </w:p>
        </w:tc>
      </w:tr>
      <w:tr w:rsidR="0095327F">
        <w:tblPrEx>
          <w:tblCellMar>
            <w:top w:w="0" w:type="dxa"/>
            <w:bottom w:w="0" w:type="dxa"/>
          </w:tblCellMar>
        </w:tblPrEx>
        <w:tc>
          <w:tcPr>
            <w:tcW w:w="1050"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rPr>
                <w:rFonts w:ascii="Times New Roman" w:hint="eastAsia"/>
                <w:sz w:val="17"/>
              </w:rPr>
            </w:pPr>
            <w:r>
              <w:rPr>
                <w:rFonts w:ascii="Times New Roman" w:hint="eastAsia"/>
                <w:sz w:val="17"/>
              </w:rPr>
              <w:t>西南</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49.2</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50.8</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49.4</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50.6</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49.1</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49.0</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51.0</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48.7</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51.3</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49.3</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50.7</w:t>
            </w:r>
          </w:p>
        </w:tc>
      </w:tr>
      <w:tr w:rsidR="0095327F">
        <w:tblPrEx>
          <w:tblCellMar>
            <w:top w:w="0" w:type="dxa"/>
            <w:bottom w:w="0" w:type="dxa"/>
          </w:tblCellMar>
        </w:tblPrEx>
        <w:tc>
          <w:tcPr>
            <w:tcW w:w="1050"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rPr>
                <w:rFonts w:ascii="Times New Roman" w:hint="eastAsia"/>
                <w:sz w:val="17"/>
              </w:rPr>
            </w:pPr>
            <w:r>
              <w:rPr>
                <w:rFonts w:ascii="Times New Roman" w:hint="eastAsia"/>
                <w:sz w:val="17"/>
              </w:rPr>
              <w:t>西部</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51.1</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51.1</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51.1</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48.3</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51.7</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48.0</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52.0</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51.1</w:t>
            </w:r>
          </w:p>
        </w:tc>
      </w:tr>
      <w:tr w:rsidR="0095327F">
        <w:tblPrEx>
          <w:tblCellMar>
            <w:top w:w="0" w:type="dxa"/>
            <w:bottom w:w="0" w:type="dxa"/>
          </w:tblCellMar>
        </w:tblPrEx>
        <w:tc>
          <w:tcPr>
            <w:tcW w:w="1050"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rPr>
                <w:rFonts w:ascii="Times New Roman" w:hint="eastAsia"/>
                <w:sz w:val="17"/>
              </w:rPr>
            </w:pPr>
            <w:r>
              <w:rPr>
                <w:rFonts w:ascii="Times New Roman" w:hint="eastAsia"/>
                <w:sz w:val="17"/>
              </w:rPr>
              <w:t>西北</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49.4</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50.6</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49.0</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51.0</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49.7</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50.3</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48.8</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51.2</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48.1</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49.5</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50.5</w:t>
            </w:r>
          </w:p>
        </w:tc>
      </w:tr>
      <w:tr w:rsidR="0095327F">
        <w:tblPrEx>
          <w:tblCellMar>
            <w:top w:w="0" w:type="dxa"/>
            <w:bottom w:w="0" w:type="dxa"/>
          </w:tblCellMar>
        </w:tblPrEx>
        <w:tc>
          <w:tcPr>
            <w:tcW w:w="1050"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rPr>
                <w:rFonts w:ascii="Times New Roman" w:hint="eastAsia"/>
                <w:sz w:val="17"/>
              </w:rPr>
            </w:pPr>
            <w:r>
              <w:rPr>
                <w:rFonts w:ascii="Times New Roman" w:hint="eastAsia"/>
                <w:sz w:val="17"/>
              </w:rPr>
              <w:t>中部</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49.5</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50.5</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49.1</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50.1</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49.1</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50.9</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48.4</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51.6</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50.0</w:t>
            </w:r>
          </w:p>
        </w:tc>
        <w:tc>
          <w:tcPr>
            <w:tcW w:w="525" w:type="dxa"/>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50.0</w:t>
            </w:r>
          </w:p>
        </w:tc>
      </w:tr>
      <w:tr w:rsidR="0095327F">
        <w:tblPrEx>
          <w:tblCellMar>
            <w:top w:w="0" w:type="dxa"/>
            <w:bottom w:w="0" w:type="dxa"/>
          </w:tblCellMar>
        </w:tblPrEx>
        <w:tc>
          <w:tcPr>
            <w:tcW w:w="1050"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rPr>
                <w:rFonts w:ascii="Times New Roman" w:hint="eastAsia"/>
                <w:sz w:val="17"/>
              </w:rPr>
            </w:pPr>
            <w:r>
              <w:rPr>
                <w:rFonts w:ascii="Times New Roman" w:hint="eastAsia"/>
                <w:sz w:val="17"/>
              </w:rPr>
              <w:t>布加勒斯特</w:t>
            </w:r>
          </w:p>
        </w:tc>
        <w:tc>
          <w:tcPr>
            <w:tcW w:w="52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47.6</w:t>
            </w:r>
          </w:p>
        </w:tc>
        <w:tc>
          <w:tcPr>
            <w:tcW w:w="52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52.4</w:t>
            </w:r>
          </w:p>
        </w:tc>
        <w:tc>
          <w:tcPr>
            <w:tcW w:w="52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47.3</w:t>
            </w:r>
          </w:p>
        </w:tc>
        <w:tc>
          <w:tcPr>
            <w:tcW w:w="52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52.7</w:t>
            </w:r>
          </w:p>
        </w:tc>
        <w:tc>
          <w:tcPr>
            <w:tcW w:w="52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49.8</w:t>
            </w:r>
          </w:p>
        </w:tc>
        <w:tc>
          <w:tcPr>
            <w:tcW w:w="52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50.2</w:t>
            </w:r>
          </w:p>
        </w:tc>
        <w:tc>
          <w:tcPr>
            <w:tcW w:w="52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47.1</w:t>
            </w:r>
          </w:p>
        </w:tc>
        <w:tc>
          <w:tcPr>
            <w:tcW w:w="52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52.9</w:t>
            </w:r>
          </w:p>
        </w:tc>
        <w:tc>
          <w:tcPr>
            <w:tcW w:w="52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46.8</w:t>
            </w:r>
          </w:p>
        </w:tc>
        <w:tc>
          <w:tcPr>
            <w:tcW w:w="52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53.2</w:t>
            </w:r>
          </w:p>
        </w:tc>
        <w:tc>
          <w:tcPr>
            <w:tcW w:w="52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49.4</w:t>
            </w:r>
          </w:p>
        </w:tc>
        <w:tc>
          <w:tcPr>
            <w:tcW w:w="52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leftChars="-30" w:left="31680" w:rightChars="-30" w:right="31680"/>
              <w:jc w:val="right"/>
              <w:rPr>
                <w:rFonts w:ascii="Times New Roman"/>
                <w:sz w:val="17"/>
              </w:rPr>
            </w:pPr>
            <w:r>
              <w:rPr>
                <w:rFonts w:ascii="Times New Roman"/>
                <w:sz w:val="17"/>
              </w:rPr>
              <w:t>50.6</w:t>
            </w:r>
          </w:p>
        </w:tc>
      </w:tr>
    </w:tbl>
    <w:p w:rsidR="0095327F" w:rsidRDefault="0095327F">
      <w:pPr>
        <w:pStyle w:val="SingleTxt"/>
        <w:spacing w:after="0" w:line="120" w:lineRule="exact"/>
        <w:rPr>
          <w:rFonts w:hint="eastAsia"/>
          <w:sz w:val="10"/>
        </w:rPr>
      </w:pP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6．</w:t>
      </w:r>
      <w:r>
        <w:tab/>
      </w:r>
      <w:r>
        <w:rPr>
          <w:rFonts w:hint="eastAsia"/>
        </w:rPr>
        <w:t>在2000年11月政权更迭后，在这方面制定了新的政策，为调整促进妇女权利的实际战略，使之更有活力创造了条件。政府决定加强团结和社会凝聚力，在（针对妇女、儿童、家庭的）不同社会政策之间建立更为有效和灵活的协调关系。因此，2001-2004年的政府方案为与家庭有关的政策确定了明确目标。</w:t>
      </w:r>
    </w:p>
    <w:p w:rsidR="0095327F" w:rsidRDefault="0095327F">
      <w:pPr>
        <w:pStyle w:val="SingleTxt"/>
        <w:rPr>
          <w:rFonts w:hint="eastAsia"/>
        </w:rPr>
      </w:pPr>
      <w:r>
        <w:rPr>
          <w:rFonts w:hint="eastAsia"/>
        </w:rPr>
        <w:tab/>
        <w:t>有关家庭的政策侧重的方向主要有三个：有年幼子女的家庭、婚姻和家庭关系以及兼顾工作和家庭。计划采取的措施包括：</w:t>
      </w:r>
    </w:p>
    <w:p w:rsidR="0095327F" w:rsidRDefault="0095327F">
      <w:pPr>
        <w:pStyle w:val="SingleTxt"/>
        <w:ind w:left="2126" w:hanging="431"/>
        <w:rPr>
          <w:rFonts w:hint="eastAsia"/>
        </w:rPr>
      </w:pPr>
      <w:r>
        <w:rPr>
          <w:rFonts w:hint="eastAsia"/>
        </w:rPr>
        <w:sym w:font="Symbol" w:char="F0B7"/>
      </w:r>
      <w:r>
        <w:rPr>
          <w:rFonts w:hint="eastAsia"/>
        </w:rPr>
        <w:tab/>
        <w:t>建立一个家庭支助事务处网络，旨在通过以下方面维系并加强作为社会基本实体的家庭：</w:t>
      </w:r>
    </w:p>
    <w:p w:rsidR="0095327F" w:rsidRDefault="0095327F">
      <w:pPr>
        <w:pStyle w:val="SingleTxt"/>
        <w:ind w:left="2557" w:hanging="431"/>
        <w:rPr>
          <w:rFonts w:hint="eastAsia"/>
        </w:rPr>
      </w:pPr>
      <w:r>
        <w:rPr>
          <w:rFonts w:hint="eastAsia"/>
        </w:rPr>
        <w:t>-</w:t>
      </w:r>
      <w:r>
        <w:rPr>
          <w:rFonts w:hint="eastAsia"/>
        </w:rPr>
        <w:tab/>
        <w:t>家庭援助，包括经济援助和服务，以支助家庭内部和家庭之间的关系，包括为单亲家庭提供经济支助；</w:t>
      </w:r>
    </w:p>
    <w:p w:rsidR="0095327F" w:rsidRDefault="0095327F">
      <w:pPr>
        <w:pStyle w:val="SingleTxt"/>
        <w:ind w:left="2557" w:hanging="431"/>
        <w:rPr>
          <w:rFonts w:hint="eastAsia"/>
        </w:rPr>
      </w:pPr>
      <w:r>
        <w:rPr>
          <w:rFonts w:hint="eastAsia"/>
        </w:rPr>
        <w:t>-</w:t>
      </w:r>
      <w:r>
        <w:rPr>
          <w:rFonts w:hint="eastAsia"/>
        </w:rPr>
        <w:tab/>
        <w:t>全国计划生育方案，旨在帮助改善对母亲和儿童的照料，包括咨询、教育和沟通活动以及医务人员职业培训，所有这些将加强特别是边远地区的生殖健康服务；</w:t>
      </w:r>
    </w:p>
    <w:p w:rsidR="0095327F" w:rsidRDefault="0095327F">
      <w:pPr>
        <w:pStyle w:val="SingleTxt"/>
        <w:ind w:left="2557" w:hanging="431"/>
        <w:rPr>
          <w:rFonts w:hint="eastAsia"/>
        </w:rPr>
      </w:pPr>
      <w:r>
        <w:rPr>
          <w:rFonts w:hint="eastAsia"/>
        </w:rPr>
        <w:t>-</w:t>
      </w:r>
      <w:r>
        <w:rPr>
          <w:rFonts w:hint="eastAsia"/>
        </w:rPr>
        <w:tab/>
        <w:t>为社区提供支助，培养他们解决本地问题的自身能力；</w:t>
      </w:r>
    </w:p>
    <w:p w:rsidR="0095327F" w:rsidRDefault="0095327F">
      <w:pPr>
        <w:pStyle w:val="SingleTxt"/>
        <w:ind w:left="2557" w:hanging="431"/>
        <w:rPr>
          <w:rFonts w:hint="eastAsia"/>
        </w:rPr>
      </w:pPr>
      <w:r>
        <w:rPr>
          <w:rFonts w:hint="eastAsia"/>
        </w:rPr>
        <w:t>-</w:t>
      </w:r>
      <w:r>
        <w:rPr>
          <w:rFonts w:hint="eastAsia"/>
        </w:rPr>
        <w:tab/>
        <w:t>为有困难的家庭提供咨询和辅导。</w:t>
      </w:r>
    </w:p>
    <w:p w:rsidR="0095327F" w:rsidRDefault="0095327F">
      <w:pPr>
        <w:pStyle w:val="SingleTxt"/>
        <w:ind w:left="2126" w:hanging="431"/>
        <w:rPr>
          <w:rFonts w:hint="eastAsia"/>
        </w:rPr>
      </w:pPr>
      <w:r>
        <w:rPr>
          <w:rFonts w:hint="eastAsia"/>
        </w:rPr>
        <w:sym w:font="Symbol" w:char="F0B7"/>
      </w:r>
      <w:r>
        <w:rPr>
          <w:rFonts w:hint="eastAsia"/>
        </w:rPr>
        <w:tab/>
        <w:t>开展各类活动，让父母懂得如何解决家庭产生的主要问题；</w:t>
      </w:r>
    </w:p>
    <w:p w:rsidR="0095327F" w:rsidRDefault="0095327F">
      <w:pPr>
        <w:pStyle w:val="SingleTxt"/>
        <w:ind w:left="2126" w:hanging="431"/>
        <w:rPr>
          <w:rFonts w:hint="eastAsia"/>
        </w:rPr>
      </w:pPr>
      <w:r>
        <w:rPr>
          <w:rFonts w:hint="eastAsia"/>
        </w:rPr>
        <w:sym w:font="Symbol" w:char="F0B7"/>
      </w:r>
      <w:r>
        <w:rPr>
          <w:rFonts w:hint="eastAsia"/>
        </w:rPr>
        <w:tab/>
        <w:t>确保家庭和社区服务机构之间的沟通，并促进社区成员之间的密切关系和相识；</w:t>
      </w:r>
    </w:p>
    <w:p w:rsidR="0095327F" w:rsidRDefault="0095327F">
      <w:pPr>
        <w:pStyle w:val="SingleTxt"/>
        <w:ind w:left="2126" w:hanging="431"/>
        <w:rPr>
          <w:rFonts w:hint="eastAsia"/>
        </w:rPr>
      </w:pPr>
      <w:r>
        <w:rPr>
          <w:rFonts w:hint="eastAsia"/>
        </w:rPr>
        <w:sym w:font="Symbol" w:char="F0B7"/>
      </w:r>
      <w:r>
        <w:rPr>
          <w:rFonts w:hint="eastAsia"/>
        </w:rPr>
        <w:tab/>
        <w:t>查明贫困家庭，尽快为它们提供必要的援助。</w:t>
      </w:r>
    </w:p>
    <w:p w:rsidR="0095327F" w:rsidRDefault="0095327F">
      <w:pPr>
        <w:pStyle w:val="SingleTxt"/>
        <w:rPr>
          <w:rFonts w:hint="eastAsia"/>
        </w:rPr>
      </w:pPr>
      <w:r>
        <w:rPr>
          <w:rFonts w:hint="eastAsia"/>
        </w:rPr>
        <w:tab/>
        <w:t>政府通过执行这项方案，开始采取措施建立一个切实有效的家庭保护体系，它采取的是综合方式，以便进一步改革整个社会保障领域。</w:t>
      </w:r>
    </w:p>
    <w:p w:rsidR="0095327F" w:rsidRDefault="0095327F">
      <w:pPr>
        <w:pStyle w:val="SingleTxt"/>
        <w:rPr>
          <w:rFonts w:hint="eastAsia"/>
        </w:rPr>
      </w:pPr>
      <w:r>
        <w:rPr>
          <w:rFonts w:hint="eastAsia"/>
        </w:rPr>
        <w:tab/>
        <w:t>为执行欧洲联盟指令的规定而制定的主要措施有：</w:t>
      </w:r>
    </w:p>
    <w:p w:rsidR="0095327F" w:rsidRDefault="0095327F">
      <w:pPr>
        <w:pStyle w:val="SingleTxt"/>
        <w:ind w:left="2126" w:hanging="431"/>
        <w:rPr>
          <w:rFonts w:hint="eastAsia"/>
        </w:rPr>
      </w:pPr>
      <w:r>
        <w:rPr>
          <w:rFonts w:hint="eastAsia"/>
        </w:rPr>
        <w:sym w:font="Symbol" w:char="F0B7"/>
      </w:r>
      <w:r>
        <w:rPr>
          <w:rFonts w:hint="eastAsia"/>
        </w:rPr>
        <w:tab/>
        <w:t>采取措施，让那些在适用劳动法的领域负有义务的雇员、雇主、工会和公务员了解与共同体成果相对应的国家立法规定并提高他们在这方面的敏感性；</w:t>
      </w:r>
    </w:p>
    <w:p w:rsidR="0095327F" w:rsidRDefault="0095327F">
      <w:pPr>
        <w:pStyle w:val="SingleTxt"/>
        <w:ind w:left="2126" w:hanging="431"/>
        <w:rPr>
          <w:rFonts w:hint="eastAsia"/>
        </w:rPr>
      </w:pPr>
      <w:r>
        <w:rPr>
          <w:rFonts w:hint="eastAsia"/>
        </w:rPr>
        <w:sym w:font="Symbol" w:char="F0B7"/>
      </w:r>
      <w:r>
        <w:rPr>
          <w:rFonts w:hint="eastAsia"/>
        </w:rPr>
        <w:tab/>
        <w:t>采取措施，通过并加速实施关于男女机会均等的全国行动计划；</w:t>
      </w:r>
    </w:p>
    <w:p w:rsidR="0095327F" w:rsidRDefault="0095327F">
      <w:pPr>
        <w:pStyle w:val="SingleTxt"/>
        <w:ind w:left="2126" w:hanging="431"/>
        <w:rPr>
          <w:rFonts w:hint="eastAsia"/>
        </w:rPr>
      </w:pPr>
      <w:r>
        <w:rPr>
          <w:rFonts w:hint="eastAsia"/>
        </w:rPr>
        <w:sym w:font="Symbol" w:char="F0B7"/>
      </w:r>
      <w:r>
        <w:rPr>
          <w:rFonts w:hint="eastAsia"/>
        </w:rPr>
        <w:tab/>
        <w:t>修订机会均等法案，并再次将该项法案提交议会；</w:t>
      </w:r>
    </w:p>
    <w:p w:rsidR="0095327F" w:rsidRDefault="0095327F">
      <w:pPr>
        <w:pStyle w:val="SingleTxt"/>
        <w:ind w:left="2126" w:hanging="431"/>
        <w:rPr>
          <w:rFonts w:hint="eastAsia"/>
        </w:rPr>
      </w:pPr>
      <w:r>
        <w:rPr>
          <w:rFonts w:hint="eastAsia"/>
        </w:rPr>
        <w:sym w:font="Symbol" w:char="F0B7"/>
      </w:r>
      <w:r>
        <w:rPr>
          <w:rFonts w:hint="eastAsia"/>
        </w:rPr>
        <w:tab/>
        <w:t>在就业、职业培训和晋升以及工作条件方面，实施男女同等待遇原则；</w:t>
      </w:r>
    </w:p>
    <w:p w:rsidR="0095327F" w:rsidRDefault="0095327F">
      <w:pPr>
        <w:pStyle w:val="SingleTxt"/>
        <w:ind w:left="2126" w:hanging="431"/>
        <w:rPr>
          <w:rFonts w:hint="eastAsia"/>
        </w:rPr>
      </w:pPr>
      <w:r>
        <w:rPr>
          <w:rFonts w:hint="eastAsia"/>
        </w:rPr>
        <w:sym w:font="Symbol" w:char="F0B7"/>
      </w:r>
      <w:r>
        <w:rPr>
          <w:rFonts w:hint="eastAsia"/>
        </w:rPr>
        <w:tab/>
        <w:t>设立全国机会均等机构，这是一个独立机构，旨在促进男女同等待遇，监督欧盟指令的实施；</w:t>
      </w:r>
    </w:p>
    <w:p w:rsidR="0095327F" w:rsidRDefault="0095327F">
      <w:pPr>
        <w:pStyle w:val="SingleTxt"/>
        <w:ind w:left="2126" w:hanging="431"/>
        <w:rPr>
          <w:rFonts w:hint="eastAsia"/>
        </w:rPr>
      </w:pPr>
      <w:r>
        <w:rPr>
          <w:rFonts w:hint="eastAsia"/>
        </w:rPr>
        <w:sym w:font="Symbol" w:char="F0B7"/>
      </w:r>
      <w:r>
        <w:rPr>
          <w:rFonts w:hint="eastAsia"/>
        </w:rPr>
        <w:tab/>
        <w:t>制定保护孕产妇女的法案；</w:t>
      </w:r>
    </w:p>
    <w:p w:rsidR="0095327F" w:rsidRDefault="0095327F">
      <w:pPr>
        <w:pStyle w:val="SingleTxt"/>
        <w:ind w:left="2126" w:hanging="431"/>
        <w:rPr>
          <w:rFonts w:hint="eastAsia"/>
        </w:rPr>
      </w:pPr>
      <w:r>
        <w:rPr>
          <w:rFonts w:hint="eastAsia"/>
        </w:rPr>
        <w:sym w:font="Symbol" w:char="F0B7"/>
      </w:r>
      <w:r>
        <w:rPr>
          <w:rFonts w:hint="eastAsia"/>
        </w:rPr>
        <w:tab/>
        <w:t>确保社会权利的维护符合修订的《欧洲社会宪章》的规定。</w:t>
      </w:r>
    </w:p>
    <w:p w:rsidR="0095327F" w:rsidRDefault="0095327F">
      <w:pPr>
        <w:pStyle w:val="SingleTxt"/>
        <w:rPr>
          <w:rFonts w:hint="eastAsia"/>
        </w:rPr>
      </w:pPr>
      <w:r>
        <w:rPr>
          <w:rFonts w:hint="eastAsia"/>
        </w:rPr>
        <w:tab/>
        <w:t>这些措施的主要部分已经落实，详情如下：</w:t>
      </w:r>
    </w:p>
    <w:p w:rsidR="0095327F" w:rsidRDefault="0095327F">
      <w:pPr>
        <w:pStyle w:val="SingleTxt"/>
        <w:ind w:left="2126" w:hanging="431"/>
        <w:rPr>
          <w:rFonts w:hint="eastAsia"/>
        </w:rPr>
      </w:pPr>
      <w:r>
        <w:rPr>
          <w:rFonts w:hint="eastAsia"/>
        </w:rPr>
        <w:sym w:font="Symbol" w:char="F0B7"/>
      </w:r>
      <w:r>
        <w:rPr>
          <w:rFonts w:hint="eastAsia"/>
        </w:rPr>
        <w:tab/>
        <w:t>机会均等法案于2002年通过，成为关于男女机会均等的第202号法律；</w:t>
      </w:r>
    </w:p>
    <w:p w:rsidR="0095327F" w:rsidRDefault="0095327F">
      <w:pPr>
        <w:pStyle w:val="SingleTxt"/>
        <w:ind w:left="2126" w:hanging="431"/>
        <w:rPr>
          <w:rFonts w:hint="eastAsia"/>
        </w:rPr>
      </w:pPr>
      <w:r>
        <w:rPr>
          <w:rFonts w:hint="eastAsia"/>
        </w:rPr>
        <w:sym w:font="Symbol" w:char="F0B7"/>
      </w:r>
      <w:r>
        <w:rPr>
          <w:rFonts w:hint="eastAsia"/>
        </w:rPr>
        <w:tab/>
        <w:t>为了让那些在适用劳动法的领域负有义务的雇员、雇主、工会和公务员了解与共同体成果相对应的国家立法的规定并提高他们在这方面的敏感性，各部均在这方面颁布了部长令，这些部长令已经执行；</w:t>
      </w:r>
    </w:p>
    <w:p w:rsidR="0095327F" w:rsidRDefault="0095327F">
      <w:pPr>
        <w:pStyle w:val="SingleTxt"/>
        <w:ind w:left="2126" w:hanging="431"/>
        <w:rPr>
          <w:rFonts w:hint="eastAsia"/>
        </w:rPr>
      </w:pPr>
      <w:r>
        <w:rPr>
          <w:rFonts w:hint="eastAsia"/>
        </w:rPr>
        <w:sym w:font="Symbol" w:char="F0B7"/>
      </w:r>
      <w:r>
        <w:rPr>
          <w:rFonts w:hint="eastAsia"/>
        </w:rPr>
        <w:tab/>
        <w:t>男女在就业、职业培训和晋升以及工作条件方面的同等待遇原则是2003年通过的新的《劳动法》的根本基础；</w:t>
      </w:r>
    </w:p>
    <w:p w:rsidR="0095327F" w:rsidRDefault="0095327F">
      <w:pPr>
        <w:pStyle w:val="SingleTxt"/>
        <w:ind w:left="2126" w:hanging="431"/>
        <w:rPr>
          <w:rFonts w:hint="eastAsia"/>
        </w:rPr>
      </w:pPr>
      <w:r>
        <w:rPr>
          <w:rFonts w:hint="eastAsia"/>
        </w:rPr>
        <w:sym w:font="Symbol" w:char="F0B7"/>
      </w:r>
      <w:r>
        <w:rPr>
          <w:rFonts w:hint="eastAsia"/>
        </w:rPr>
        <w:tab/>
        <w:t>政府将于2003年通过关于保护孕产妇女的法案；</w:t>
      </w:r>
    </w:p>
    <w:p w:rsidR="0095327F" w:rsidRDefault="0095327F">
      <w:pPr>
        <w:pStyle w:val="SingleTxt"/>
        <w:ind w:left="2126" w:hanging="431"/>
        <w:rPr>
          <w:rFonts w:hint="eastAsia"/>
        </w:rPr>
      </w:pPr>
      <w:r>
        <w:rPr>
          <w:rFonts w:hint="eastAsia"/>
        </w:rPr>
        <w:sym w:font="Symbol" w:char="F0B7"/>
      </w:r>
      <w:r>
        <w:rPr>
          <w:rFonts w:hint="eastAsia"/>
        </w:rPr>
        <w:tab/>
        <w:t>全国机会均等机构的设立是欧洲联盟在PHARE 2002方案的框架内资助的一个姐妹项目的主题，这个机构计划从2005年开始运作。</w:t>
      </w:r>
    </w:p>
    <w:p w:rsidR="0095327F" w:rsidRDefault="0095327F">
      <w:pPr>
        <w:pStyle w:val="SingleTxt"/>
        <w:rPr>
          <w:rFonts w:hint="eastAsia"/>
        </w:rPr>
      </w:pPr>
      <w:r>
        <w:rPr>
          <w:rFonts w:hint="eastAsia"/>
        </w:rPr>
        <w:tab/>
        <w:t>在这方面，建立一个组织家庭和社会援助体系的单一框架、资金筹措渠道以及服务类型从中期来看是社会保障领域内改革的主要目标。</w:t>
      </w:r>
    </w:p>
    <w:p w:rsidR="0095327F" w:rsidRDefault="0095327F">
      <w:pPr>
        <w:pStyle w:val="SingleTxt"/>
        <w:rPr>
          <w:rFonts w:hint="eastAsia"/>
        </w:rPr>
      </w:pPr>
      <w:r>
        <w:rPr>
          <w:rFonts w:hint="eastAsia"/>
        </w:rPr>
        <w:tab/>
        <w:t>在罗马尼亚，男女同等待遇原则的完整性并不以其他开支为条件，但实施现行规范法需要的开支除外，这些开支对预算的影响由政府进行评估和批准；但发展机构能力需要预算和预算外开支。</w:t>
      </w:r>
    </w:p>
    <w:p w:rsidR="0095327F" w:rsidRDefault="0095327F">
      <w:pPr>
        <w:pStyle w:val="SingleTxt"/>
        <w:rPr>
          <w:rFonts w:hint="eastAsia"/>
        </w:rPr>
      </w:pPr>
      <w:r>
        <w:rPr>
          <w:rFonts w:hint="eastAsia"/>
        </w:rPr>
        <w:t>7．</w:t>
      </w:r>
      <w:r>
        <w:rPr>
          <w:rFonts w:hint="eastAsia"/>
        </w:rPr>
        <w:tab/>
        <w:t>根据1997年3月13日《关于人民辩护人机制的组织和职能的第35号法律》，罗马尼亚设立了监察员办公室。在新组建的监察员办公室（1998年开始运作）内成立了一个儿童、妇女和家庭保护部，其宗旨是维护受益人的权利。</w:t>
      </w:r>
    </w:p>
    <w:p w:rsidR="0095327F" w:rsidRDefault="0095327F">
      <w:pPr>
        <w:pStyle w:val="SingleTxt"/>
        <w:rPr>
          <w:rFonts w:hint="eastAsia"/>
        </w:rPr>
      </w:pPr>
      <w:r>
        <w:rPr>
          <w:rFonts w:hint="eastAsia"/>
        </w:rPr>
        <w:t>8．</w:t>
      </w:r>
      <w:r>
        <w:rPr>
          <w:rFonts w:hint="eastAsia"/>
        </w:rPr>
        <w:tab/>
        <w:t>过去若干年，为了使国家立法符合有关妇女权利（接受教育的权利、劳动领域内男女机会均等、男女在参与决策过程方面的机会均等以及家庭暴力等）的所有领域的欧洲标准和规范，做出了种种努力。</w:t>
      </w:r>
    </w:p>
    <w:p w:rsidR="0095327F" w:rsidRDefault="0095327F">
      <w:pPr>
        <w:pStyle w:val="SingleTxt"/>
      </w:pPr>
    </w:p>
    <w:p w:rsidR="0095327F" w:rsidRDefault="0095327F">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r>
        <w:br w:type="page"/>
      </w:r>
    </w:p>
    <w:p w:rsidR="0095327F" w:rsidRDefault="0095327F">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第二部分</w:t>
      </w:r>
    </w:p>
    <w:p w:rsidR="0095327F" w:rsidRDefault="0095327F">
      <w:pPr>
        <w:pStyle w:val="SingleTxt"/>
        <w:spacing w:after="0" w:line="120" w:lineRule="exact"/>
        <w:rPr>
          <w:rFonts w:hint="eastAsia"/>
          <w:sz w:val="10"/>
        </w:rPr>
      </w:pPr>
    </w:p>
    <w:p w:rsidR="0095327F" w:rsidRDefault="0095327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95327F" w:rsidRDefault="0095327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第2条</w:t>
      </w: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ab/>
        <w:t>罗马尼亚的法律框架保障男女平等，以前的报告已经阐述过这一点。不过，似有必要作几点补充说明。</w:t>
      </w:r>
    </w:p>
    <w:p w:rsidR="0095327F" w:rsidRDefault="0095327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w:t>
      </w:r>
      <w:r>
        <w:rPr>
          <w:rFonts w:hint="eastAsia"/>
        </w:rPr>
        <w:tab/>
        <w:t>宪法规定</w:t>
      </w: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ab/>
        <w:t>罗马尼亚根据《宪法》这一基本法有效实施了男女机会均等原则，《宪法》第1条规定：“罗马尼亚是所有公民共同的、不可分割的祖国，而不论其种族、民族、民族血统、语言、宗教、性别、政治观点或派别、财富或社会出身如何。”（第4条）。罗马尼亚公民在法律和政府当局面前人人平等，不享有特权或受到歧视（第16条）。另外还规定了选举与被选举的非歧视权利（第34条和35条）以及接受教育的权利（第32条）。</w:t>
      </w:r>
    </w:p>
    <w:p w:rsidR="0095327F" w:rsidRDefault="0095327F">
      <w:pPr>
        <w:pStyle w:val="SingleTxt"/>
        <w:rPr>
          <w:rFonts w:hint="eastAsia"/>
        </w:rPr>
      </w:pPr>
      <w:r>
        <w:rPr>
          <w:rFonts w:hint="eastAsia"/>
        </w:rPr>
        <w:tab/>
        <w:t>《宪法》第11条第2款规定，根据法律，议会批准的条约是国内法律的组成部分。不过，在当事人要求国际公约确认的权利方面，提起的司法诉讼很少，在提出这类权利要求时，通常是援引《欧洲人权公约》，鉴于斯特拉斯堡欧洲人权法院的裁决，新闻媒体近来特别重视该公约。</w:t>
      </w:r>
    </w:p>
    <w:p w:rsidR="0095327F" w:rsidRDefault="0095327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2.</w:t>
      </w:r>
      <w:r>
        <w:rPr>
          <w:rFonts w:hint="eastAsia"/>
        </w:rPr>
        <w:tab/>
        <w:t>《刑法典》的规定</w:t>
      </w: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ab/>
        <w:t>《刑法典》第247条（1997年4月16日第65号《官方监督》转载）对通过限制某些权利滥用公职（“政府官员以国籍、种族、性别或宗教为由限制使用或行使一些权利的，应处以监禁刑罚”）作出了规定。</w:t>
      </w:r>
    </w:p>
    <w:p w:rsidR="0095327F" w:rsidRDefault="0095327F">
      <w:pPr>
        <w:pStyle w:val="SingleTxt"/>
        <w:rPr>
          <w:rFonts w:hint="eastAsia"/>
        </w:rPr>
      </w:pPr>
      <w:r>
        <w:rPr>
          <w:rFonts w:hint="eastAsia"/>
        </w:rPr>
        <w:tab/>
        <w:t>罗马尼亚议会从2000年11月13日通过了修订《刑法典》部分规定的第197号法律。罗马尼亚立法关于惩治家庭暴力行为的明文规定得到批准，这还是第一次。</w:t>
      </w:r>
    </w:p>
    <w:p w:rsidR="0095327F" w:rsidRDefault="0095327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3.</w:t>
      </w:r>
      <w:r>
        <w:rPr>
          <w:rFonts w:hint="eastAsia"/>
        </w:rPr>
        <w:tab/>
        <w:t>特别法律</w:t>
      </w: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ab/>
        <w:t>2000年，罗马尼亚政府通过了关于预防和惩处一切形式歧视的第137/2000号法令，罗马尼亚议会则在对其修正后通过第48/2002号法律批准了该法令。罗马尼亚通过这部立法后，成为东欧和中欧地区通过这类具有普通适用性的禁止歧视条例的第一个国家。</w:t>
      </w:r>
    </w:p>
    <w:p w:rsidR="0095327F" w:rsidRDefault="0095327F">
      <w:pPr>
        <w:pStyle w:val="SingleTxt"/>
        <w:rPr>
          <w:rFonts w:hint="eastAsia"/>
        </w:rPr>
      </w:pPr>
      <w:r>
        <w:rPr>
          <w:rFonts w:hint="eastAsia"/>
        </w:rPr>
        <w:tab/>
        <w:t>上述规定旨在惩处使某个类别/少数族裔（性、社会等方面的）的个人或某个群体处于不利境地的一切形式歧视。</w:t>
      </w:r>
    </w:p>
    <w:p w:rsidR="0095327F" w:rsidRDefault="0095327F">
      <w:pPr>
        <w:pStyle w:val="SingleTxt"/>
        <w:rPr>
          <w:rFonts w:hint="eastAsia"/>
        </w:rPr>
      </w:pPr>
      <w:r>
        <w:rPr>
          <w:rFonts w:hint="eastAsia"/>
        </w:rPr>
        <w:tab/>
        <w:t>法律条文明确规定的目标群体指因信仰、年龄、性别或性倾向而受到冷遇的民族、性、种族、少数种族及社会类别——第137/2000号紧急法令第10条。</w:t>
      </w:r>
    </w:p>
    <w:p w:rsidR="0095327F" w:rsidRDefault="0095327F">
      <w:pPr>
        <w:pStyle w:val="SingleTxt"/>
        <w:spacing w:line="340" w:lineRule="exact"/>
        <w:rPr>
          <w:rFonts w:hint="eastAsia"/>
        </w:rPr>
      </w:pPr>
      <w:r>
        <w:rPr>
          <w:rFonts w:hint="eastAsia"/>
        </w:rPr>
        <w:tab/>
        <w:t>公民平等、无特权和无歧视原则在行使下述权利方面特别得到保障：出庭待遇的权利；个人安全的权利以及国家保护个人不遭受任何个人、团体或机构暴力或虐待的权利；政治权利（选举权、参加公共生活和担任公职的权利）；公民权利（自由流动及自由选择居所的权利，离开祖国与返回祖国的权利，获得和放弃罗马尼亚公民资格的权利，结婚和选择伴侣的权利，财产权，遗产继承权，思想、意识和宗教信仰自由的权利，集会和结社的权利，请愿权利）；经济、社会和文化权利（劳动权利、自由选择职业的权利、取得平等和满意的工作条件的权利、同工同酬权利、获得平等而满意的报酬的权利、组建工会及参加工会的权利、居住权利、保健权利、医疗权利、社会安全和社会服务权利、接受教育和职业培训的权利、在同等条件下参与文化和体育活动的权利）以及使用一切公用场所和服务的权利。</w:t>
      </w:r>
    </w:p>
    <w:p w:rsidR="0095327F" w:rsidRDefault="0095327F">
      <w:pPr>
        <w:pStyle w:val="SingleTxt"/>
        <w:spacing w:line="340" w:lineRule="exact"/>
        <w:rPr>
          <w:rFonts w:hint="eastAsia"/>
        </w:rPr>
      </w:pPr>
      <w:r>
        <w:rPr>
          <w:rFonts w:hint="eastAsia"/>
        </w:rPr>
        <w:tab/>
        <w:t>关于预防和惩处一切形式歧视的第137/2000号紧急法令规定，认为自身遭到歧视的人或处理人权保护的非政府组织，在歧视发生在其活动领域并对社区或群体造成损害的情况下，应具有积极的诉讼能力。</w:t>
      </w:r>
    </w:p>
    <w:p w:rsidR="0095327F" w:rsidRDefault="0095327F">
      <w:pPr>
        <w:pStyle w:val="SingleTxt"/>
        <w:spacing w:line="340" w:lineRule="exact"/>
        <w:rPr>
          <w:rFonts w:hint="eastAsia"/>
        </w:rPr>
      </w:pPr>
      <w:r>
        <w:rPr>
          <w:rFonts w:hint="eastAsia"/>
        </w:rPr>
        <w:tab/>
        <w:t>第137/2000号紧急法令第20条第3款规定，本法令规定的对轻罪的处罚和判决，应由全国打击歧视委员会的成员进行。关于轻罪的确定和惩处的第32/1968号法律及其修正案应相应执行。</w:t>
      </w:r>
    </w:p>
    <w:p w:rsidR="0095327F" w:rsidRDefault="0095327F">
      <w:pPr>
        <w:pStyle w:val="SingleTxt"/>
        <w:spacing w:line="340" w:lineRule="exact"/>
        <w:rPr>
          <w:rFonts w:hint="eastAsia"/>
        </w:rPr>
      </w:pPr>
      <w:r>
        <w:rPr>
          <w:rFonts w:hint="eastAsia"/>
        </w:rPr>
        <w:tab/>
        <w:t>全国打击歧视委员会根据政府2001年11月27日的第1194号决定组建（附件2）。这个政府机构（见附件3的说明）于2002年8月开始工作。此后，该委员会代表公民接到了100多件申诉。在委员会知悉的歧视类别中，我们提及：就业年龄，工作场所中男女之间的差别待遇，包括担任领导职务的机会、对罗姆人的歧视以及对残疾人的歧视。</w:t>
      </w:r>
    </w:p>
    <w:p w:rsidR="0095327F" w:rsidRDefault="0095327F">
      <w:pPr>
        <w:pStyle w:val="SingleTxt"/>
        <w:spacing w:line="340" w:lineRule="exact"/>
        <w:rPr>
          <w:rFonts w:hint="eastAsia"/>
        </w:rPr>
      </w:pPr>
      <w:r>
        <w:rPr>
          <w:rFonts w:hint="eastAsia"/>
        </w:rPr>
        <w:tab/>
        <w:t>这个新机构除对一切形式歧视进行行政处罚以外，还与民间社会一道开展大规模活动，以便在这个领域预防歧视并宣传它的管辖权。</w:t>
      </w:r>
    </w:p>
    <w:p w:rsidR="0095327F" w:rsidRDefault="0095327F">
      <w:pPr>
        <w:pStyle w:val="SingleTxt"/>
        <w:spacing w:line="340" w:lineRule="exact"/>
        <w:rPr>
          <w:rFonts w:hint="eastAsia"/>
        </w:rPr>
      </w:pPr>
      <w:r>
        <w:rPr>
          <w:rFonts w:hint="eastAsia"/>
        </w:rPr>
        <w:tab/>
        <w:t>全国打击歧视委员会从2002年8月1日起开始工作。截至2002年底，该委员会已收到120件申诉，其中：</w:t>
      </w:r>
    </w:p>
    <w:p w:rsidR="0095327F" w:rsidRDefault="0095327F">
      <w:pPr>
        <w:pStyle w:val="SingleTxt"/>
        <w:spacing w:line="340" w:lineRule="exact"/>
        <w:rPr>
          <w:rFonts w:hint="eastAsia"/>
        </w:rPr>
      </w:pPr>
      <w:r>
        <w:rPr>
          <w:rFonts w:hint="eastAsia"/>
        </w:rPr>
        <w:tab/>
        <w:t>-</w:t>
      </w:r>
      <w:r>
        <w:rPr>
          <w:rFonts w:hint="eastAsia"/>
        </w:rPr>
        <w:tab/>
        <w:t>个人提出的申诉有106件（男子66件，妇女40件）；</w:t>
      </w:r>
    </w:p>
    <w:p w:rsidR="0095327F" w:rsidRDefault="0095327F">
      <w:pPr>
        <w:pStyle w:val="SingleTxt"/>
        <w:spacing w:after="0" w:line="240" w:lineRule="auto"/>
        <w:jc w:val="center"/>
        <w:rPr>
          <w:rFonts w:hint="eastAsia"/>
        </w:rPr>
      </w:pPr>
      <w:r>
        <w:br w:type="page"/>
      </w:r>
      <w:r>
        <w:object w:dxaOrig="6765" w:dyaOrig="3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8.25pt;height:198.75pt" o:ole="">
            <v:imagedata r:id="rId14" o:title=""/>
          </v:shape>
          <o:OLEObject Type="Embed" ProgID="Excel.Chart.8" ShapeID="_x0000_i1025" DrawAspect="Content" ObjectID="_1395458257" r:id="rId15">
            <o:FieldCodes>\s</o:FieldCodes>
          </o:OLEObject>
        </w:object>
      </w:r>
    </w:p>
    <w:p w:rsidR="0095327F" w:rsidRDefault="0095327F">
      <w:pPr>
        <w:pStyle w:val="SingleTxt"/>
        <w:rPr>
          <w:rFonts w:hint="eastAsia"/>
        </w:rPr>
      </w:pPr>
      <w:r>
        <w:rPr>
          <w:rFonts w:hint="eastAsia"/>
        </w:rPr>
        <w:tab/>
        <w:t>-</w:t>
      </w:r>
      <w:r>
        <w:rPr>
          <w:rFonts w:hint="eastAsia"/>
        </w:rPr>
        <w:tab/>
        <w:t>法人（公司或非政府机构）提出的申诉有14件。</w:t>
      </w:r>
    </w:p>
    <w:p w:rsidR="0095327F" w:rsidRDefault="0095327F">
      <w:pPr>
        <w:pStyle w:val="SingleTxt"/>
        <w:rPr>
          <w:rFonts w:hint="eastAsia"/>
        </w:rPr>
      </w:pPr>
      <w:r>
        <w:rPr>
          <w:rFonts w:hint="eastAsia"/>
        </w:rPr>
        <w:tab/>
        <w:t>分析表明，根据申诉的对象，30件申诉与种族问题有关，1件与宗教问题有关，1件与个人信仰有关，8件涉及以年龄为由的潜在歧视、6件涉及财产权利、4件与社会职业问题有关、16件与对罗马尼亚司法制度提出的申诉有关，12件涉及法律制度、12件与多种歧视有关，13件与个人与机构间的纠纷有关，5件涉及的问题不大明确。</w:t>
      </w:r>
    </w:p>
    <w:p w:rsidR="0095327F" w:rsidRDefault="0095327F">
      <w:pPr>
        <w:pStyle w:val="SingleTxt"/>
        <w:rPr>
          <w:rFonts w:hint="eastAsia"/>
        </w:rPr>
      </w:pPr>
      <w:r>
        <w:rPr>
          <w:rFonts w:hint="eastAsia"/>
        </w:rPr>
        <w:tab/>
        <w:t>在120件申诉中，委员会裁定仅有41件属于全国打击歧视委员会的业务范畴，78件属于其它机构的管辖范围，有一宗案件需要补充数据。</w:t>
      </w:r>
    </w:p>
    <w:p w:rsidR="0095327F" w:rsidRDefault="0095327F">
      <w:pPr>
        <w:pStyle w:val="SingleTxt"/>
        <w:rPr>
          <w:rFonts w:hint="eastAsia"/>
        </w:rPr>
      </w:pPr>
      <w:r>
        <w:rPr>
          <w:rFonts w:hint="eastAsia"/>
        </w:rPr>
        <w:tab/>
        <w:t>关于基于性倾向的歧视，罗马尼亚议会证实，</w:t>
      </w:r>
      <w:r>
        <w:rPr>
          <w:rFonts w:ascii="KaiTi_GB2312" w:eastAsia="KaiTi_GB2312" w:hint="eastAsia"/>
          <w:color w:val="0000FF"/>
        </w:rPr>
        <w:t>2002年1月16日通过了批准修订《刑法典》与性生活有关的部分规定的第89/2001号紧急法令的第61号法律，</w:t>
      </w:r>
      <w:r>
        <w:rPr>
          <w:rFonts w:hint="eastAsia"/>
        </w:rPr>
        <w:t>因此在报告所述期间，同性恋不再受到歧视。这项新立法保证性犯罪无论性倾向如何，目前均由相同的立法管理。</w:t>
      </w:r>
    </w:p>
    <w:p w:rsidR="0095327F" w:rsidRDefault="0095327F">
      <w:pPr>
        <w:pStyle w:val="SingleTxt"/>
        <w:rPr>
          <w:rFonts w:ascii="SimHei" w:eastAsia="SimHei" w:hint="eastAsia"/>
          <w:color w:val="FF0000"/>
          <w:sz w:val="24"/>
        </w:rPr>
      </w:pPr>
      <w:r>
        <w:rPr>
          <w:rFonts w:ascii="SimHei" w:eastAsia="SimHei" w:hint="eastAsia"/>
          <w:color w:val="FF0000"/>
          <w:sz w:val="24"/>
        </w:rPr>
        <w:t>第3条</w:t>
      </w:r>
    </w:p>
    <w:p w:rsidR="0095327F" w:rsidRDefault="0095327F">
      <w:pPr>
        <w:pStyle w:val="SingleTxt"/>
        <w:rPr>
          <w:rFonts w:hint="eastAsia"/>
        </w:rPr>
      </w:pPr>
      <w:r>
        <w:rPr>
          <w:rFonts w:hint="eastAsia"/>
        </w:rPr>
        <w:tab/>
        <w:t>政府第1273/2000号决定批准了全国男女机会均等行动计划。这项计划的任务是采取特定措施支持如下原则，即男女平等地参与确定和执行对实现罗马尼亚真正民主最为有效的解决方案。全国行动计划打算在2004年组建全国机会均等机构。全国行动计划已确定的干预领域有：立法框架、社会权利、经济、参与决策过程以及社会认识。关于立法框架，考虑到以下方面：在男女机会均等问题上，加速立法接近国际条例的进程；扩大法律框架，监督两性平等立法执行结构的发展。</w:t>
      </w:r>
    </w:p>
    <w:p w:rsidR="0095327F" w:rsidRDefault="0095327F">
      <w:pPr>
        <w:pStyle w:val="SingleTxt"/>
        <w:rPr>
          <w:rFonts w:hint="eastAsia"/>
        </w:rPr>
      </w:pPr>
      <w:r>
        <w:rPr>
          <w:rFonts w:hint="eastAsia"/>
        </w:rPr>
        <w:tab/>
        <w:t>劳动、社会团结和家庭部通过其机会均等服务处，是在促进男女机会均等和消除基于性别标准的一切形式歧视领域制定战略和政策的政府机制。</w:t>
      </w:r>
    </w:p>
    <w:p w:rsidR="0095327F" w:rsidRDefault="0095327F">
      <w:pPr>
        <w:pStyle w:val="SingleTxt"/>
        <w:rPr>
          <w:rFonts w:hint="eastAsia"/>
        </w:rPr>
      </w:pPr>
      <w:r>
        <w:rPr>
          <w:rFonts w:hint="eastAsia"/>
        </w:rPr>
        <w:tab/>
        <w:t>关于男女机会均等和同等待遇的第202号法律于2002年5月获得通过。这项法律的宗旨是消除基于性别的直接和间接歧视，并在就业、教育、保健、文化、信息和高级管理职位领域禁止这种歧视。该法还确定了解决纠纷的机制，并规定性骚扰为犯罪行为，此外，《刑法典》也根据本法进行了修订，目的是制定具体的性骚扰犯罪规定。促进男女机会均等和消除基于性别标准的直接和间接歧视的措施适用于劳动、教育、保健、文化和信息、参与决策以及其他领域，并由特别法律管理。此外，第202/2002号法律规定，妇女应享有不受歧视地自由选择和从事其职业的权利，并拥有同工同酬以及参加培训方案和取得其他福利的权利。雇主应在一切类型的工作关系内保证雇员之间以及男女之间的机会和待遇平等，包括制定规定，禁止在单位的组织和工作条例以及内部秩序条例方面实施歧视。本法第6条规定，产业关系内的男女机会均等指不受歧视地享有如下权利：</w:t>
      </w:r>
    </w:p>
    <w:p w:rsidR="0095327F" w:rsidRDefault="0095327F">
      <w:pPr>
        <w:pStyle w:val="SingleTxt"/>
        <w:ind w:left="2126" w:hanging="431"/>
        <w:rPr>
          <w:rFonts w:hint="eastAsia"/>
        </w:rPr>
      </w:pPr>
      <w:r>
        <w:rPr>
          <w:rFonts w:hint="eastAsia"/>
        </w:rPr>
        <w:sym w:font="Symbol" w:char="F0B7"/>
      </w:r>
      <w:r>
        <w:rPr>
          <w:rFonts w:hint="eastAsia"/>
        </w:rPr>
        <w:tab/>
        <w:t>自由选择和从事某个职业或活动；</w:t>
      </w:r>
    </w:p>
    <w:p w:rsidR="0095327F" w:rsidRDefault="0095327F">
      <w:pPr>
        <w:pStyle w:val="SingleTxt"/>
        <w:ind w:left="2126" w:hanging="431"/>
        <w:rPr>
          <w:rFonts w:hint="eastAsia"/>
        </w:rPr>
      </w:pPr>
      <w:r>
        <w:rPr>
          <w:rFonts w:hint="eastAsia"/>
        </w:rPr>
        <w:sym w:font="Symbol" w:char="F0B7"/>
      </w:r>
      <w:r>
        <w:rPr>
          <w:rFonts w:hint="eastAsia"/>
        </w:rPr>
        <w:tab/>
        <w:t>在所有空缺职位和一切职业级别就业；</w:t>
      </w:r>
    </w:p>
    <w:p w:rsidR="0095327F" w:rsidRDefault="0095327F">
      <w:pPr>
        <w:pStyle w:val="SingleTxt"/>
        <w:ind w:left="2126" w:hanging="431"/>
        <w:rPr>
          <w:rFonts w:hint="eastAsia"/>
        </w:rPr>
      </w:pPr>
      <w:r>
        <w:rPr>
          <w:rFonts w:hint="eastAsia"/>
        </w:rPr>
        <w:sym w:font="Symbol" w:char="F0B7"/>
      </w:r>
      <w:r>
        <w:rPr>
          <w:rFonts w:hint="eastAsia"/>
        </w:rPr>
        <w:tab/>
        <w:t>同工同酬；</w:t>
      </w:r>
    </w:p>
    <w:p w:rsidR="0095327F" w:rsidRDefault="0095327F">
      <w:pPr>
        <w:pStyle w:val="SingleTxt"/>
        <w:ind w:left="2126" w:hanging="431"/>
        <w:rPr>
          <w:rFonts w:hint="eastAsia"/>
        </w:rPr>
      </w:pPr>
      <w:r>
        <w:rPr>
          <w:rFonts w:hint="eastAsia"/>
        </w:rPr>
        <w:sym w:font="Symbol" w:char="F0B7"/>
      </w:r>
      <w:r>
        <w:rPr>
          <w:rFonts w:hint="eastAsia"/>
        </w:rPr>
        <w:tab/>
        <w:t>职业信息和咨询、参加工作、培训、职业晋升、专业化和转岗方案；</w:t>
      </w:r>
    </w:p>
    <w:p w:rsidR="0095327F" w:rsidRDefault="0095327F">
      <w:pPr>
        <w:pStyle w:val="SingleTxt"/>
        <w:ind w:left="2126" w:hanging="431"/>
        <w:rPr>
          <w:rFonts w:hint="eastAsia"/>
        </w:rPr>
      </w:pPr>
      <w:r>
        <w:rPr>
          <w:rFonts w:hint="eastAsia"/>
        </w:rPr>
        <w:sym w:font="Symbol" w:char="F0B7"/>
      </w:r>
      <w:r>
        <w:rPr>
          <w:rFonts w:hint="eastAsia"/>
        </w:rPr>
        <w:tab/>
        <w:t>在一切等级级别和职业级别的晋升；</w:t>
      </w:r>
    </w:p>
    <w:p w:rsidR="0095327F" w:rsidRDefault="0095327F">
      <w:pPr>
        <w:pStyle w:val="SingleTxt"/>
        <w:ind w:left="2126" w:hanging="431"/>
        <w:rPr>
          <w:rFonts w:hint="eastAsia"/>
        </w:rPr>
      </w:pPr>
      <w:r>
        <w:rPr>
          <w:rFonts w:hint="eastAsia"/>
        </w:rPr>
        <w:sym w:font="Symbol" w:char="F0B7"/>
      </w:r>
      <w:r>
        <w:rPr>
          <w:rFonts w:hint="eastAsia"/>
        </w:rPr>
        <w:tab/>
        <w:t>根据现行法律规定，取得符合保健和工作安全条例的工作条件；</w:t>
      </w:r>
    </w:p>
    <w:p w:rsidR="0095327F" w:rsidRDefault="0095327F">
      <w:pPr>
        <w:pStyle w:val="SingleTxt"/>
        <w:ind w:left="2126" w:hanging="431"/>
        <w:rPr>
          <w:rFonts w:hint="eastAsia"/>
        </w:rPr>
      </w:pPr>
      <w:r>
        <w:rPr>
          <w:rFonts w:hint="eastAsia"/>
        </w:rPr>
        <w:sym w:font="Symbol" w:char="F0B7"/>
      </w:r>
      <w:r>
        <w:rPr>
          <w:rFonts w:hint="eastAsia"/>
        </w:rPr>
        <w:tab/>
        <w:t>福利、除薪资以外的其他收入以及保护措施和社会保险。</w:t>
      </w:r>
    </w:p>
    <w:p w:rsidR="0095327F" w:rsidRDefault="0095327F">
      <w:pPr>
        <w:pStyle w:val="SingleTxt"/>
        <w:rPr>
          <w:rFonts w:hint="eastAsia"/>
        </w:rPr>
      </w:pPr>
      <w:r>
        <w:rPr>
          <w:rFonts w:hint="eastAsia"/>
        </w:rPr>
        <w:tab/>
        <w:t>这是罗马尼亚推行两性平等理念，同时旨在惩处一切直接或间接歧视行为的第一部特别法律。性骚扰、激励措施或积极歧视等术语在本法中也有解释。</w:t>
      </w:r>
    </w:p>
    <w:p w:rsidR="0095327F" w:rsidRDefault="0095327F">
      <w:pPr>
        <w:pStyle w:val="SingleTxt"/>
        <w:rPr>
          <w:rFonts w:hint="eastAsia"/>
        </w:rPr>
      </w:pPr>
      <w:r>
        <w:rPr>
          <w:rFonts w:hint="eastAsia"/>
        </w:rPr>
        <w:tab/>
        <w:t>本法的目的是在劳动、教育、保健、文化和信息领域以及参与决策过程方面促进两性平等。</w:t>
      </w:r>
    </w:p>
    <w:p w:rsidR="0095327F" w:rsidRDefault="0095327F">
      <w:pPr>
        <w:pStyle w:val="SingleTxt"/>
        <w:rPr>
          <w:rFonts w:hint="eastAsia"/>
        </w:rPr>
      </w:pPr>
      <w:r>
        <w:rPr>
          <w:rFonts w:hint="eastAsia"/>
        </w:rPr>
        <w:tab/>
        <w:t>就在政治上对妇女的肯定而言，值得一提的是，罗马尼亚当局与欧洲委员会一道于2000－2001年这一期间制定了一个关于罗马尼亚两性平等的项目：促进罗马尼亚政治和行政决策机构的男女任职人数均衡。</w:t>
      </w:r>
    </w:p>
    <w:p w:rsidR="0095327F" w:rsidRDefault="0095327F">
      <w:pPr>
        <w:pStyle w:val="SingleTxt"/>
        <w:rPr>
          <w:rFonts w:hint="eastAsia"/>
        </w:rPr>
      </w:pPr>
      <w:r>
        <w:rPr>
          <w:rFonts w:hint="eastAsia"/>
        </w:rPr>
        <w:tab/>
        <w:t>本项目的目标是：</w:t>
      </w:r>
    </w:p>
    <w:p w:rsidR="0095327F" w:rsidRDefault="0095327F">
      <w:pPr>
        <w:pStyle w:val="SingleTxt"/>
        <w:rPr>
          <w:rFonts w:hint="eastAsia"/>
        </w:rPr>
      </w:pPr>
      <w:r>
        <w:rPr>
          <w:rFonts w:hint="eastAsia"/>
        </w:rPr>
        <w:tab/>
        <w:t>-</w:t>
      </w:r>
      <w:r>
        <w:rPr>
          <w:rFonts w:hint="eastAsia"/>
        </w:rPr>
        <w:tab/>
        <w:t>鼓励更多妇女在政治生活领域发挥积极作用；</w:t>
      </w:r>
    </w:p>
    <w:p w:rsidR="0095327F" w:rsidRDefault="0095327F">
      <w:pPr>
        <w:pStyle w:val="SingleTxt"/>
        <w:rPr>
          <w:rFonts w:hint="eastAsia"/>
        </w:rPr>
      </w:pPr>
      <w:r>
        <w:rPr>
          <w:rFonts w:hint="eastAsia"/>
        </w:rPr>
        <w:tab/>
        <w:t>-</w:t>
      </w:r>
      <w:r>
        <w:rPr>
          <w:rFonts w:hint="eastAsia"/>
        </w:rPr>
        <w:tab/>
        <w:t>帮助改善女候选人在本地和全国选举中的竞选能力；</w:t>
      </w:r>
    </w:p>
    <w:p w:rsidR="0095327F" w:rsidRDefault="0095327F">
      <w:pPr>
        <w:pStyle w:val="SingleTxt"/>
        <w:ind w:left="2126" w:hanging="431"/>
        <w:rPr>
          <w:rFonts w:hint="eastAsia"/>
        </w:rPr>
      </w:pPr>
      <w:r>
        <w:rPr>
          <w:rFonts w:hint="eastAsia"/>
        </w:rPr>
        <w:t>-</w:t>
      </w:r>
      <w:r>
        <w:rPr>
          <w:rFonts w:hint="eastAsia"/>
        </w:rPr>
        <w:tab/>
        <w:t>帮助提高舆论和政治领导人认识到，在所有级别和领域制定并执行政策和措施时应考虑到两性问题。</w:t>
      </w:r>
    </w:p>
    <w:p w:rsidR="0095327F" w:rsidRDefault="0095327F">
      <w:pPr>
        <w:pStyle w:val="SingleTxt"/>
        <w:rPr>
          <w:rFonts w:hint="eastAsia"/>
        </w:rPr>
      </w:pPr>
      <w:r>
        <w:rPr>
          <w:rFonts w:hint="eastAsia"/>
        </w:rPr>
        <w:tab/>
        <w:t>目标群体：政府官员、议会议员、地方当局、非政府组织、专家、在本地区开展人权和两性平等工作的网络、稳定条约两性特别工作组的成员。</w:t>
      </w:r>
    </w:p>
    <w:p w:rsidR="0095327F" w:rsidRDefault="0095327F">
      <w:pPr>
        <w:pStyle w:val="SingleTxt"/>
        <w:rPr>
          <w:rFonts w:hint="eastAsia"/>
        </w:rPr>
      </w:pPr>
      <w:r>
        <w:rPr>
          <w:rFonts w:hint="eastAsia"/>
        </w:rPr>
        <w:tab/>
        <w:t>在纳入欧洲委员会资助的项目的活动中：</w:t>
      </w:r>
    </w:p>
    <w:p w:rsidR="0095327F" w:rsidRDefault="0095327F">
      <w:pPr>
        <w:pStyle w:val="SingleTxt"/>
        <w:ind w:left="2126" w:hanging="431"/>
        <w:rPr>
          <w:rFonts w:hint="eastAsia"/>
        </w:rPr>
      </w:pPr>
      <w:r>
        <w:rPr>
          <w:rFonts w:hint="eastAsia"/>
        </w:rPr>
        <w:t>-</w:t>
      </w:r>
      <w:r>
        <w:rPr>
          <w:rFonts w:hint="eastAsia"/>
        </w:rPr>
        <w:tab/>
        <w:t>2000年10月26-27日在布加勒斯特举办了讲习班，题为“</w:t>
      </w:r>
      <w:r>
        <w:rPr>
          <w:rFonts w:ascii="SimHei" w:eastAsia="SimHei" w:hint="eastAsia"/>
          <w:color w:val="FF0000"/>
        </w:rPr>
        <w:t>关于妇女对良好治理的作用的政治活动</w:t>
      </w:r>
      <w:r>
        <w:rPr>
          <w:rFonts w:hint="eastAsia"/>
        </w:rPr>
        <w:t>”（关于平等问题的培训和提高认识会议）；</w:t>
      </w:r>
    </w:p>
    <w:p w:rsidR="0095327F" w:rsidRDefault="0095327F">
      <w:pPr>
        <w:pStyle w:val="SingleTxt"/>
        <w:ind w:left="2126" w:hanging="431"/>
        <w:rPr>
          <w:rFonts w:hint="eastAsia"/>
        </w:rPr>
      </w:pPr>
      <w:r>
        <w:rPr>
          <w:rFonts w:hint="eastAsia"/>
        </w:rPr>
        <w:t>-</w:t>
      </w:r>
      <w:r>
        <w:rPr>
          <w:rFonts w:hint="eastAsia"/>
        </w:rPr>
        <w:tab/>
        <w:t>2001年1月25-26日举办了研讨会，题为“</w:t>
      </w:r>
      <w:r>
        <w:rPr>
          <w:rFonts w:ascii="SimHei" w:eastAsia="SimHei" w:hint="eastAsia"/>
          <w:color w:val="FF0000"/>
        </w:rPr>
        <w:t>促进妇女参与决策的措施和行动</w:t>
      </w:r>
      <w:r>
        <w:rPr>
          <w:rFonts w:hint="eastAsia"/>
        </w:rPr>
        <w:t>”（积极行动和将性别纳入主流）。</w:t>
      </w:r>
    </w:p>
    <w:p w:rsidR="0095327F" w:rsidRDefault="0095327F">
      <w:pPr>
        <w:pStyle w:val="SingleTxt"/>
        <w:rPr>
          <w:rFonts w:hint="eastAsia"/>
        </w:rPr>
      </w:pPr>
      <w:r>
        <w:rPr>
          <w:rFonts w:hint="eastAsia"/>
        </w:rPr>
        <w:tab/>
        <w:t>讲习班是本项目就罗马尼亚两性平等问题举行的首批活动，讲习班的重点内容是在罗马尼亚发展全国两性机构。本项目的主要目标是利用欧洲委员会的专门技术在两性问题上执行将性别纳入主流的办法。</w:t>
      </w:r>
    </w:p>
    <w:p w:rsidR="0095327F" w:rsidRDefault="0095327F">
      <w:pPr>
        <w:pStyle w:val="SingleTxt"/>
        <w:rPr>
          <w:rFonts w:hint="eastAsia"/>
        </w:rPr>
      </w:pPr>
      <w:r>
        <w:rPr>
          <w:rFonts w:hint="eastAsia"/>
        </w:rPr>
        <w:tab/>
        <w:t>联合国常驻机构支持并鼓励关于两性歧视和促进两性平等的政府倡议。因此，联合国开发计划署通过其“变革的伙伴”方案，为中央和地方政府的专门当局提供了培训、专业化和咨询机会；另外还在全国和地方一级举办了讲习班，讲习班的内容是罗马尼亚的妇女状况和男子在实现机会均等方面的积极作用。提高农村地区妇女经济能力的方案是另一个优先领域，实行按性别分列的统计也是一个优先领域，它对查明提高妇女能力的总体过程存在哪些不足之处十分重要。</w:t>
      </w:r>
    </w:p>
    <w:p w:rsidR="0095327F" w:rsidRDefault="0095327F">
      <w:pPr>
        <w:pStyle w:val="SingleTxt"/>
        <w:rPr>
          <w:rFonts w:hint="eastAsia"/>
        </w:rPr>
      </w:pPr>
      <w:r>
        <w:rPr>
          <w:rFonts w:hint="eastAsia"/>
        </w:rPr>
        <w:tab/>
        <w:t>劳动部的专门政府机构与联合国人口基金和联合国儿童基金会协作制定了</w:t>
      </w:r>
      <w:r>
        <w:rPr>
          <w:rFonts w:hint="eastAsia"/>
          <w:spacing w:val="2"/>
        </w:rPr>
        <w:t>侧重妇女保健、消除对妇女儿童暴力以及出版相关大众宣传材料的伙伴关系方案</w:t>
      </w:r>
      <w:r>
        <w:rPr>
          <w:rFonts w:hint="eastAsia"/>
        </w:rPr>
        <w:t>——劳动与社会保障部和联合国人口基金制定并出版了《孕产权利实用指南》（50 000册）。</w:t>
      </w:r>
    </w:p>
    <w:p w:rsidR="0095327F" w:rsidRDefault="0095327F">
      <w:pPr>
        <w:pStyle w:val="SingleTxt"/>
        <w:rPr>
          <w:rFonts w:ascii="KaiTi_GB2312" w:eastAsia="KaiTi_GB2312" w:hint="eastAsia"/>
          <w:color w:val="0000FF"/>
        </w:rPr>
      </w:pPr>
      <w:r>
        <w:rPr>
          <w:rFonts w:ascii="KaiTi_GB2312" w:eastAsia="KaiTi_GB2312" w:hint="eastAsia"/>
          <w:color w:val="0000FF"/>
        </w:rPr>
        <w:t>男女在参与决策过程方面的机会均等</w:t>
      </w:r>
    </w:p>
    <w:p w:rsidR="0095327F" w:rsidRDefault="0095327F">
      <w:pPr>
        <w:pStyle w:val="SingleTxt"/>
        <w:rPr>
          <w:rFonts w:hint="eastAsia"/>
        </w:rPr>
      </w:pPr>
      <w:r>
        <w:rPr>
          <w:rFonts w:hint="eastAsia"/>
        </w:rPr>
        <w:tab/>
        <w:t>根据自身地位开展活动的中央和地方政府当局、经济与社会单位以及政党和其它非盈利单位，促进和支持男子和妇女均衡地参与领导和决策过程。</w:t>
      </w:r>
    </w:p>
    <w:p w:rsidR="0095327F" w:rsidRDefault="0095327F">
      <w:pPr>
        <w:pStyle w:val="SingleTxt"/>
        <w:rPr>
          <w:rFonts w:hint="eastAsia"/>
        </w:rPr>
      </w:pPr>
      <w:r>
        <w:rPr>
          <w:rFonts w:hint="eastAsia"/>
        </w:rPr>
        <w:tab/>
        <w:t>为了加速实现男女机会均等，中央和地方政府当局将采取激励措施，让男女依照能力标准在社会伙伴的决策当局公平、均等地任职。</w:t>
      </w:r>
    </w:p>
    <w:p w:rsidR="0095327F" w:rsidRDefault="0095327F">
      <w:pPr>
        <w:pStyle w:val="SingleTxt"/>
        <w:rPr>
          <w:rFonts w:ascii="SimHei" w:eastAsia="SimHei" w:hint="eastAsia"/>
          <w:color w:val="FF0000"/>
          <w:sz w:val="24"/>
        </w:rPr>
      </w:pPr>
      <w:r>
        <w:rPr>
          <w:rFonts w:ascii="SimHei" w:eastAsia="SimHei" w:hint="eastAsia"/>
          <w:color w:val="FF0000"/>
          <w:sz w:val="24"/>
        </w:rPr>
        <w:t>第4条</w:t>
      </w:r>
    </w:p>
    <w:p w:rsidR="0095327F" w:rsidRDefault="0095327F">
      <w:pPr>
        <w:pStyle w:val="SingleTxt"/>
        <w:rPr>
          <w:rFonts w:hint="eastAsia"/>
        </w:rPr>
      </w:pPr>
      <w:r>
        <w:rPr>
          <w:rFonts w:hint="eastAsia"/>
        </w:rPr>
        <w:tab/>
        <w:t>妇女是全国就业机构工作的目标群体。该机构为了争取妇女的支持，实施了就业和职业培训特别方案。在针对这个目标群体的积极措施中，还包括从2002</w:t>
      </w:r>
      <w:r>
        <w:rPr>
          <w:rFonts w:hint="eastAsia"/>
          <w:spacing w:val="-4"/>
        </w:rPr>
        <w:t>年起为提高妇女就业水平在全国一级为妇女举办的专场招聘会。妇女失业率从</w:t>
      </w:r>
      <w:r>
        <w:rPr>
          <w:rFonts w:hint="eastAsia"/>
        </w:rPr>
        <w:t>2001年初的10.2%降至2001年底的8.1%。2001年全国就业机构的方案旨在让24 080名妇女就业，但结果超过了预料，妇女的就业人数达到了94 304人。</w:t>
      </w:r>
    </w:p>
    <w:p w:rsidR="0095327F" w:rsidRDefault="0095327F">
      <w:pPr>
        <w:pStyle w:val="SingleTxt"/>
        <w:rPr>
          <w:rFonts w:ascii="KaiTi_GB2312" w:eastAsia="KaiTi_GB2312" w:hint="eastAsia"/>
          <w:color w:val="0000FF"/>
        </w:rPr>
      </w:pPr>
      <w:r>
        <w:rPr>
          <w:rFonts w:ascii="KaiTi_GB2312" w:eastAsia="KaiTi_GB2312"/>
          <w:color w:val="0000FF"/>
        </w:rPr>
        <w:br w:type="page"/>
      </w:r>
      <w:r>
        <w:rPr>
          <w:rFonts w:ascii="KaiTi_GB2312" w:eastAsia="KaiTi_GB2312" w:hint="eastAsia"/>
          <w:color w:val="0000FF"/>
        </w:rPr>
        <w:t>2002年全国就业计划</w:t>
      </w:r>
    </w:p>
    <w:p w:rsidR="0095327F" w:rsidRDefault="0095327F">
      <w:pPr>
        <w:pStyle w:val="SingleTxt"/>
        <w:rPr>
          <w:rFonts w:hint="eastAsia"/>
        </w:rPr>
      </w:pPr>
      <w:r>
        <w:rPr>
          <w:rFonts w:hint="eastAsia"/>
        </w:rPr>
        <w:tab/>
        <w:t>在制定2002年全国就业计划的同时，全国就业机构密切落实2002年就业战略的目标：</w:t>
      </w:r>
    </w:p>
    <w:p w:rsidR="0095327F" w:rsidRDefault="0095327F">
      <w:pPr>
        <w:pStyle w:val="SingleTxt"/>
        <w:rPr>
          <w:rFonts w:hint="eastAsia"/>
        </w:rPr>
      </w:pPr>
      <w:r>
        <w:rPr>
          <w:rFonts w:hint="eastAsia"/>
        </w:rPr>
        <w:tab/>
        <w:t>-</w:t>
      </w:r>
      <w:r>
        <w:rPr>
          <w:rFonts w:hint="eastAsia"/>
        </w:rPr>
        <w:tab/>
        <w:t>增加就业，减少失业；</w:t>
      </w:r>
    </w:p>
    <w:p w:rsidR="0095327F" w:rsidRDefault="0095327F">
      <w:pPr>
        <w:pStyle w:val="SingleTxt"/>
        <w:rPr>
          <w:rFonts w:hint="eastAsia"/>
        </w:rPr>
      </w:pPr>
      <w:r>
        <w:rPr>
          <w:rFonts w:hint="eastAsia"/>
        </w:rPr>
        <w:tab/>
        <w:t>-</w:t>
      </w:r>
      <w:r>
        <w:rPr>
          <w:rFonts w:hint="eastAsia"/>
        </w:rPr>
        <w:tab/>
        <w:t>增加消除失业的积极措施的数量；</w:t>
      </w:r>
    </w:p>
    <w:p w:rsidR="0095327F" w:rsidRDefault="0095327F">
      <w:pPr>
        <w:pStyle w:val="SingleTxt"/>
        <w:rPr>
          <w:rFonts w:hint="eastAsia"/>
        </w:rPr>
      </w:pPr>
      <w:r>
        <w:rPr>
          <w:rFonts w:hint="eastAsia"/>
        </w:rPr>
        <w:tab/>
        <w:t>-</w:t>
      </w:r>
      <w:r>
        <w:rPr>
          <w:rFonts w:hint="eastAsia"/>
        </w:rPr>
        <w:tab/>
        <w:t>有效利用失业保险预算。</w:t>
      </w:r>
    </w:p>
    <w:p w:rsidR="0095327F" w:rsidRDefault="0095327F">
      <w:pPr>
        <w:pStyle w:val="SingleTxt"/>
        <w:rPr>
          <w:rFonts w:hint="eastAsia"/>
        </w:rPr>
      </w:pPr>
      <w:r>
        <w:rPr>
          <w:rFonts w:hint="eastAsia"/>
        </w:rPr>
        <w:tab/>
        <w:t>实施这项方案旨在创造250 000个工作岗位，具体情况如下：</w:t>
      </w:r>
    </w:p>
    <w:p w:rsidR="0095327F" w:rsidRDefault="0095327F">
      <w:pPr>
        <w:pStyle w:val="SingleTxt"/>
        <w:rPr>
          <w:rFonts w:hint="eastAsia"/>
        </w:rPr>
      </w:pPr>
      <w:r>
        <w:rPr>
          <w:rFonts w:hint="eastAsia"/>
        </w:rPr>
        <w:tab/>
        <w:t>-</w:t>
      </w:r>
      <w:r>
        <w:rPr>
          <w:rFonts w:hint="eastAsia"/>
        </w:rPr>
        <w:tab/>
        <w:t>通过中介服务提供49 000个岗位</w:t>
      </w:r>
    </w:p>
    <w:p w:rsidR="0095327F" w:rsidRDefault="0095327F">
      <w:pPr>
        <w:pStyle w:val="SingleTxt"/>
        <w:rPr>
          <w:rFonts w:hint="eastAsia"/>
        </w:rPr>
      </w:pPr>
      <w:r>
        <w:rPr>
          <w:rFonts w:hint="eastAsia"/>
        </w:rPr>
        <w:tab/>
        <w:t>-</w:t>
      </w:r>
      <w:r>
        <w:rPr>
          <w:rFonts w:hint="eastAsia"/>
        </w:rPr>
        <w:tab/>
        <w:t>通过消除失业的积极措施提供201 000个岗位</w:t>
      </w:r>
    </w:p>
    <w:p w:rsidR="0095327F" w:rsidRDefault="0095327F">
      <w:pPr>
        <w:pStyle w:val="SingleTxt"/>
        <w:rPr>
          <w:rFonts w:hint="eastAsia"/>
        </w:rPr>
      </w:pPr>
      <w:r>
        <w:rPr>
          <w:rFonts w:hint="eastAsia"/>
        </w:rPr>
        <w:tab/>
      </w:r>
      <w:r>
        <w:rPr>
          <w:rFonts w:hint="eastAsia"/>
          <w:spacing w:val="-2"/>
        </w:rPr>
        <w:t>这项方案还计划为在劳动力市场处于不利地位的172 959人提供工作：-53 410</w:t>
      </w:r>
      <w:r>
        <w:rPr>
          <w:rFonts w:hint="eastAsia"/>
        </w:rPr>
        <w:t>名妇女；-53 638名青年人；-61 205名失业人员；-725名残疾人；-1 020名被教养过的18岁毕业生；-611名刑满释放人员；-2 350名罗姆少数族裔人；-77 041名其他类别的人。</w:t>
      </w:r>
    </w:p>
    <w:p w:rsidR="0095327F" w:rsidRDefault="0095327F">
      <w:pPr>
        <w:pStyle w:val="SingleTxt"/>
        <w:spacing w:after="0" w:line="240" w:lineRule="auto"/>
        <w:jc w:val="center"/>
        <w:rPr>
          <w:rFonts w:hint="eastAsia"/>
        </w:rPr>
      </w:pPr>
      <w:r>
        <w:object w:dxaOrig="7140" w:dyaOrig="4290">
          <v:shape id="_x0000_i1026" type="#_x0000_t75" style="width:357pt;height:214.5pt" o:ole="">
            <v:imagedata r:id="rId16" o:title=""/>
          </v:shape>
          <o:OLEObject Type="Embed" ProgID="Excel.Chart.8" ShapeID="_x0000_i1026" DrawAspect="Content" ObjectID="_1395458258" r:id="rId17">
            <o:FieldCodes>\s</o:FieldCodes>
          </o:OLEObject>
        </w:object>
      </w:r>
    </w:p>
    <w:p w:rsidR="0095327F" w:rsidRDefault="0095327F">
      <w:pPr>
        <w:pStyle w:val="SingleTxt"/>
        <w:spacing w:after="0" w:line="240" w:lineRule="auto"/>
        <w:rPr>
          <w:rFonts w:hint="eastAsia"/>
        </w:rPr>
      </w:pPr>
    </w:p>
    <w:p w:rsidR="0095327F" w:rsidRDefault="0095327F">
      <w:pPr>
        <w:pStyle w:val="SingleTxt"/>
        <w:rPr>
          <w:rFonts w:hint="eastAsia"/>
        </w:rPr>
      </w:pPr>
      <w:r>
        <w:rPr>
          <w:rFonts w:hint="eastAsia"/>
        </w:rPr>
        <w:tab/>
        <w:t>在工会联合会内设立了妇女组织。一段时间以来，这些组织发展成为机会均等部门，其活动主要侧重于促进男女在工作中和产业关系领域内的平等权利。</w:t>
      </w:r>
    </w:p>
    <w:p w:rsidR="0095327F" w:rsidRDefault="0095327F">
      <w:pPr>
        <w:pStyle w:val="SingleTxt"/>
        <w:rPr>
          <w:rFonts w:hint="eastAsia"/>
        </w:rPr>
      </w:pPr>
      <w:r>
        <w:rPr>
          <w:rFonts w:hint="eastAsia"/>
        </w:rPr>
        <w:tab/>
        <w:t>罗马尼亚在工作中的安全与健康领域的立法规定，执行措施促进改善怀孕、分娩和哺乳期的女雇员以及被认为易遭到某些危险的群体在工作中的安全与健康是一项目标。条件有害、艰苦或危险的工作场所，不能使用这些妇女。劳动保护的一般规范规定，怀孕及哺乳妇女就业的，应在体检后，为她们提供与其生理状况相适应的工作场所。让这些妇女进入工作场所时，应考虑她们的体能和生理状况，避免让她们受到惊吓，不要让她们接触化学物品和电离物品，并应避免让她们搬运重物及长时间保持站立姿势。</w:t>
      </w:r>
    </w:p>
    <w:p w:rsidR="0095327F" w:rsidRDefault="0095327F">
      <w:pPr>
        <w:pStyle w:val="SingleTxt"/>
        <w:rPr>
          <w:rFonts w:ascii="SimHei" w:eastAsia="SimHei" w:hint="eastAsia"/>
          <w:color w:val="FF0000"/>
          <w:sz w:val="24"/>
        </w:rPr>
      </w:pPr>
      <w:r>
        <w:rPr>
          <w:rFonts w:ascii="SimHei" w:eastAsia="SimHei" w:hint="eastAsia"/>
          <w:color w:val="FF0000"/>
          <w:sz w:val="24"/>
        </w:rPr>
        <w:t>第5条</w:t>
      </w:r>
    </w:p>
    <w:p w:rsidR="0095327F" w:rsidRDefault="0095327F">
      <w:pPr>
        <w:pStyle w:val="SingleTxt"/>
        <w:rPr>
          <w:rFonts w:hint="eastAsia"/>
        </w:rPr>
      </w:pPr>
      <w:r>
        <w:rPr>
          <w:rFonts w:hint="eastAsia"/>
        </w:rPr>
        <w:tab/>
        <w:t>参加保险的妇女有权休126个日历日的孕产假，在此期间，她们应享受孕产津贴（第19/2000号法律第118条）。</w:t>
      </w:r>
    </w:p>
    <w:p w:rsidR="0095327F" w:rsidRDefault="0095327F">
      <w:pPr>
        <w:pStyle w:val="SingleTxt"/>
        <w:rPr>
          <w:rFonts w:hint="eastAsia"/>
        </w:rPr>
      </w:pPr>
      <w:r>
        <w:rPr>
          <w:rFonts w:hint="eastAsia"/>
        </w:rPr>
        <w:tab/>
        <w:t>参加保险的个人、母亲和父亲有权选择休假或领受津贴，以便将子女抚养到两岁，子女残疾的，可抚养到三岁（第19/2000号法律第121条）。</w:t>
      </w:r>
    </w:p>
    <w:p w:rsidR="0095327F" w:rsidRDefault="0095327F">
      <w:pPr>
        <w:pStyle w:val="SingleTxt"/>
        <w:rPr>
          <w:rFonts w:hint="eastAsia"/>
        </w:rPr>
      </w:pPr>
      <w:r>
        <w:rPr>
          <w:rFonts w:hint="eastAsia"/>
        </w:rPr>
        <w:tab/>
        <w:t>父母亲的一方可通过提出申请从子女抚养或照料生病子女的津贴中受益，条件是申请人符合有关法律确定的保险期的条件。被保险人依照法律收养子女以及被指定为合法监护人或者受托抚养和教育子女或在家庭中安置子女的，可从相同的权利中受益（第19/2000号法律第122条）。</w:t>
      </w:r>
    </w:p>
    <w:p w:rsidR="0095327F" w:rsidRDefault="0095327F">
      <w:pPr>
        <w:pStyle w:val="SingleTxt"/>
        <w:rPr>
          <w:rFonts w:hint="eastAsia"/>
        </w:rPr>
      </w:pPr>
      <w:r>
        <w:rPr>
          <w:rFonts w:hint="eastAsia"/>
        </w:rPr>
        <w:tab/>
        <w:t>第1点，（e）项：在养老金及其他社会保险公共体系内，情况许可的话，根据是否符合关于年龄和年资以及病残程度的某些条件，给予年老养老金、预期养老金、部分预期养老金、病残养老金和遗属养老金。</w:t>
      </w:r>
    </w:p>
    <w:p w:rsidR="0095327F" w:rsidRDefault="0095327F">
      <w:pPr>
        <w:pStyle w:val="SingleTxt"/>
        <w:rPr>
          <w:rFonts w:hint="eastAsia"/>
        </w:rPr>
      </w:pPr>
      <w:r>
        <w:rPr>
          <w:rFonts w:hint="eastAsia"/>
        </w:rPr>
        <w:tab/>
        <w:t>第2点，（b）项：在公共体系内，未缴纳保险费的期限——包括一切社会保险权利，甚至孕产假在内——可计入缴纳期内，并且可以累积，目的是取得年老、病残或遗属养老金（第19/2000号法律第38条）。</w:t>
      </w:r>
    </w:p>
    <w:p w:rsidR="0095327F" w:rsidRDefault="0095327F">
      <w:pPr>
        <w:pStyle w:val="SingleTxt"/>
        <w:rPr>
          <w:rFonts w:hint="eastAsia"/>
        </w:rPr>
      </w:pPr>
      <w:r>
        <w:rPr>
          <w:rFonts w:hint="eastAsia"/>
        </w:rPr>
        <w:tab/>
        <w:t>根据第5章第24条a）项，全国就业机构属政府当局之一，有权落实并管制有关男女平等机会和待遇的法律规定的执行。该机构在就业和培训服务提供领域以及失业人员社会保障领域执行维护男女平等机会和待遇的措施。</w:t>
      </w:r>
    </w:p>
    <w:p w:rsidR="0095327F" w:rsidRDefault="0095327F">
      <w:pPr>
        <w:pStyle w:val="SingleTxt"/>
        <w:rPr>
          <w:rFonts w:hint="eastAsia"/>
        </w:rPr>
      </w:pPr>
      <w:r>
        <w:rPr>
          <w:rFonts w:hint="eastAsia"/>
        </w:rPr>
        <w:tab/>
        <w:t>失业时的社会保障权利根据关于失业保险和就业支助制度的第76/2002号法律得到了保障，其中第4条规定消除基于政治、种族、国籍、种族血统、语言、宗教、社会类别、观点、性别和年龄标准的一切形式歧视。</w:t>
      </w:r>
    </w:p>
    <w:p w:rsidR="0095327F" w:rsidRDefault="0095327F">
      <w:pPr>
        <w:pStyle w:val="SingleTxt"/>
        <w:rPr>
          <w:rFonts w:ascii="SimHei" w:eastAsia="SimHei" w:hint="eastAsia"/>
          <w:color w:val="FF0000"/>
          <w:sz w:val="24"/>
        </w:rPr>
      </w:pPr>
      <w:r>
        <w:rPr>
          <w:rFonts w:ascii="SimHei" w:eastAsia="SimHei" w:hint="eastAsia"/>
          <w:color w:val="FF0000"/>
          <w:sz w:val="24"/>
        </w:rPr>
        <w:t>第6条</w:t>
      </w:r>
    </w:p>
    <w:p w:rsidR="0095327F" w:rsidRDefault="0095327F">
      <w:pPr>
        <w:pStyle w:val="SingleTxt"/>
        <w:rPr>
          <w:rFonts w:ascii="KaiTi_GB2312" w:eastAsia="KaiTi_GB2312" w:hint="eastAsia"/>
          <w:b/>
          <w:bCs/>
          <w:color w:val="0000FF"/>
        </w:rPr>
      </w:pPr>
      <w:r>
        <w:rPr>
          <w:rFonts w:ascii="KaiTi_GB2312" w:eastAsia="KaiTi_GB2312" w:hint="eastAsia"/>
          <w:b/>
          <w:bCs/>
          <w:color w:val="0000FF"/>
        </w:rPr>
        <w:t>人口贩卖的受害者</w:t>
      </w:r>
    </w:p>
    <w:p w:rsidR="0095327F" w:rsidRDefault="0095327F">
      <w:pPr>
        <w:pStyle w:val="SingleTxt"/>
        <w:ind w:left="1695" w:hanging="431"/>
        <w:rPr>
          <w:rFonts w:hint="eastAsia"/>
        </w:rPr>
      </w:pPr>
      <w:r>
        <w:rPr>
          <w:rFonts w:hint="eastAsia"/>
        </w:rPr>
        <w:sym w:font="Symbol" w:char="F0B7"/>
      </w:r>
      <w:r>
        <w:rPr>
          <w:rFonts w:hint="eastAsia"/>
        </w:rPr>
        <w:tab/>
        <w:t>罗马尼亚是国际上贩卖妇女和少女的来源国和过境国。仅涉及已查明的受害者的统计数字表明，20%的受害者年龄在13－15岁之间；33%在18－20岁之间；23%为21－23岁；12%为24－26岁；4%为27－29岁；4%年龄在30岁及30岁以上。妇女年龄在18到26岁之间以及少女年龄在13岁到15岁之间的，无论其种族如何，被贩卖的危险均较大。绝大多数受害者来自罗马尼亚、乌克兰、摩尔达维亚共和国以及俄罗斯联邦。她们被贩卖到波斯尼亚-黑塞哥维那（29%），前南斯拉夫的马其顿共和国（26%）、阿尔巴尼亚（17%）、科索沃－前南斯拉夫共和国（14%）、意大利（6%）、柬埔寨（2%）以及其他国家（6%）。人贩子的主要目标是年龄在13岁至26岁的女性人口。</w:t>
      </w:r>
    </w:p>
    <w:p w:rsidR="0095327F" w:rsidRDefault="0095327F">
      <w:pPr>
        <w:pStyle w:val="SingleTxt"/>
        <w:rPr>
          <w:rFonts w:ascii="KaiTi_GB2312" w:eastAsia="KaiTi_GB2312" w:hint="eastAsia"/>
          <w:b/>
          <w:bCs/>
          <w:color w:val="0000FF"/>
        </w:rPr>
      </w:pPr>
      <w:r>
        <w:rPr>
          <w:rFonts w:ascii="KaiTi_GB2312" w:eastAsia="KaiTi_GB2312" w:hint="eastAsia"/>
          <w:b/>
          <w:bCs/>
          <w:color w:val="0000FF"/>
        </w:rPr>
        <w:t>贩卖妇女者</w:t>
      </w:r>
    </w:p>
    <w:p w:rsidR="0095327F" w:rsidRDefault="0095327F">
      <w:pPr>
        <w:pStyle w:val="SingleTxt"/>
        <w:ind w:left="1695" w:hanging="431"/>
        <w:rPr>
          <w:rFonts w:hint="eastAsia"/>
        </w:rPr>
      </w:pPr>
      <w:r>
        <w:rPr>
          <w:rFonts w:hint="eastAsia"/>
        </w:rPr>
        <w:sym w:font="Symbol" w:char="F0B7"/>
      </w:r>
      <w:r>
        <w:rPr>
          <w:rFonts w:hint="eastAsia"/>
        </w:rPr>
        <w:tab/>
        <w:t>人个或由个人、无业男子组成的小团伙（有时与以前当过妓女的拉皮条女性合伙）。他们中的大多数人以前参与过其他犯罪活动，如盗窃、走私、拉皮条、非法越境等。在大多数情况下，他们通过公开广告宣传，承诺为受害者提供到西方国家赚大钱的工作机会（跳舞、家政服务以及餐馆侍应），或者通过朋友的朋友以相同的承诺直接向她们作出这些承诺。现已发现，就业、旅行、旅游机构或婚介机构一直是贩卖人口的人贩子或犯罪团伙的前沿阵地。</w:t>
      </w:r>
    </w:p>
    <w:p w:rsidR="0095327F" w:rsidRDefault="0095327F">
      <w:pPr>
        <w:pStyle w:val="SingleTxt"/>
        <w:rPr>
          <w:rFonts w:ascii="KaiTi_GB2312" w:eastAsia="KaiTi_GB2312" w:hint="eastAsia"/>
          <w:b/>
          <w:bCs/>
          <w:color w:val="0000FF"/>
        </w:rPr>
      </w:pPr>
      <w:r>
        <w:rPr>
          <w:rFonts w:ascii="KaiTi_GB2312" w:eastAsia="KaiTi_GB2312" w:hint="eastAsia"/>
          <w:b/>
          <w:bCs/>
          <w:color w:val="0000FF"/>
        </w:rPr>
        <w:t>国内立法</w:t>
      </w:r>
    </w:p>
    <w:p w:rsidR="0095327F" w:rsidRDefault="0095327F">
      <w:pPr>
        <w:pStyle w:val="SingleTxt"/>
        <w:rPr>
          <w:rFonts w:hint="eastAsia"/>
        </w:rPr>
      </w:pPr>
      <w:r>
        <w:rPr>
          <w:rFonts w:hint="eastAsia"/>
        </w:rPr>
        <w:tab/>
        <w:t>罗马尼亚同其他中欧和东欧国家一样，目前也面临着贩卖人口问题提出的挑战。</w:t>
      </w:r>
    </w:p>
    <w:p w:rsidR="0095327F" w:rsidRDefault="0095327F">
      <w:pPr>
        <w:pStyle w:val="SingleTxt"/>
        <w:rPr>
          <w:rFonts w:hint="eastAsia"/>
        </w:rPr>
      </w:pPr>
      <w:r>
        <w:rPr>
          <w:rFonts w:hint="eastAsia"/>
        </w:rPr>
        <w:tab/>
        <w:t>罗马尼亚当局同国际社会一样对整个欧洲的非法移民和贩卖人口表示关切，并同意打击贩卖人口行为不仅是国家责任，而且是地区责任。</w:t>
      </w:r>
    </w:p>
    <w:p w:rsidR="0095327F" w:rsidRDefault="0095327F">
      <w:pPr>
        <w:pStyle w:val="SingleTxt"/>
        <w:rPr>
          <w:rFonts w:hint="eastAsia"/>
        </w:rPr>
      </w:pPr>
      <w:r>
        <w:rPr>
          <w:rFonts w:hint="eastAsia"/>
        </w:rPr>
        <w:tab/>
        <w:t>罗马尼亚当局为解决这个问题，于2001年通过了下述法律文书：</w:t>
      </w:r>
    </w:p>
    <w:p w:rsidR="0095327F" w:rsidRDefault="0095327F">
      <w:pPr>
        <w:pStyle w:val="SingleTxt"/>
        <w:ind w:left="2126" w:hanging="431"/>
        <w:rPr>
          <w:rFonts w:hint="eastAsia"/>
        </w:rPr>
      </w:pPr>
      <w:r>
        <w:rPr>
          <w:rFonts w:hint="eastAsia"/>
        </w:rPr>
        <w:t>-</w:t>
      </w:r>
      <w:r>
        <w:rPr>
          <w:rFonts w:hint="eastAsia"/>
        </w:rPr>
        <w:tab/>
        <w:t>关于预防和打击贩卖人口行为的第678号法律（附件4）；</w:t>
      </w:r>
    </w:p>
    <w:p w:rsidR="0095327F" w:rsidRDefault="0095327F">
      <w:pPr>
        <w:pStyle w:val="SingleTxt"/>
        <w:ind w:left="2126" w:hanging="431"/>
        <w:rPr>
          <w:rFonts w:hint="eastAsia"/>
        </w:rPr>
      </w:pPr>
      <w:r>
        <w:rPr>
          <w:rFonts w:hint="eastAsia"/>
        </w:rPr>
        <w:t>-</w:t>
      </w:r>
      <w:r>
        <w:rPr>
          <w:rFonts w:hint="eastAsia"/>
        </w:rPr>
        <w:tab/>
        <w:t>全国打击贩卖人口行动计划，根据第1216/2002号政府决定执行（附件5）；</w:t>
      </w:r>
    </w:p>
    <w:p w:rsidR="0095327F" w:rsidRDefault="0095327F">
      <w:pPr>
        <w:pStyle w:val="SingleTxt"/>
        <w:ind w:left="2126" w:hanging="431"/>
        <w:rPr>
          <w:rFonts w:hint="eastAsia"/>
        </w:rPr>
      </w:pPr>
      <w:r>
        <w:rPr>
          <w:rFonts w:hint="eastAsia"/>
        </w:rPr>
        <w:t>-</w:t>
      </w:r>
      <w:r>
        <w:rPr>
          <w:rFonts w:hint="eastAsia"/>
        </w:rPr>
        <w:tab/>
        <w:t>关于惩处罗马尼亚公民或居住在罗马尼亚的无国籍人员在罗马尼亚境外所犯罪行的第112/2001号政府法令。</w:t>
      </w:r>
    </w:p>
    <w:p w:rsidR="0095327F" w:rsidRDefault="0095327F">
      <w:pPr>
        <w:pStyle w:val="SingleTxt"/>
        <w:rPr>
          <w:rFonts w:hint="eastAsia"/>
        </w:rPr>
      </w:pPr>
      <w:r>
        <w:rPr>
          <w:rFonts w:hint="eastAsia"/>
        </w:rPr>
        <w:tab/>
        <w:t>在关于预防和打击贩卖人口行为的第678/2001号法律公布以前，与贩卖人口有关的行为根据罗马尼亚《刑法典》属犯罪行为（第329条——拉皮条，第189条——非法剥夺自由，等等）。</w:t>
      </w:r>
    </w:p>
    <w:p w:rsidR="0095327F" w:rsidRDefault="0095327F">
      <w:pPr>
        <w:pStyle w:val="SingleTxt"/>
        <w:rPr>
          <w:rFonts w:hint="eastAsia"/>
        </w:rPr>
      </w:pPr>
      <w:r>
        <w:rPr>
          <w:rFonts w:hint="eastAsia"/>
        </w:rPr>
        <w:tab/>
        <w:t>从2001年12月起，罗马尼亚根据第678/2001号法律惩处与贩卖人口有关的行为，具体如下：</w:t>
      </w:r>
    </w:p>
    <w:p w:rsidR="0095327F" w:rsidRDefault="0095327F">
      <w:pPr>
        <w:pStyle w:val="SingleTxt"/>
        <w:rPr>
          <w:rFonts w:ascii="KaiTi_GB2312" w:eastAsia="KaiTi_GB2312" w:hint="eastAsia"/>
          <w:b/>
          <w:bCs/>
          <w:color w:val="0000FF"/>
        </w:rPr>
      </w:pPr>
      <w:r>
        <w:rPr>
          <w:rFonts w:ascii="KaiTi_GB2312" w:eastAsia="KaiTi_GB2312" w:hint="eastAsia"/>
          <w:b/>
          <w:bCs/>
          <w:color w:val="0000FF"/>
        </w:rPr>
        <w:t>第12条</w:t>
      </w:r>
    </w:p>
    <w:p w:rsidR="0095327F" w:rsidRDefault="0095327F">
      <w:pPr>
        <w:pStyle w:val="SingleTxt"/>
        <w:rPr>
          <w:rFonts w:hint="eastAsia"/>
        </w:rPr>
      </w:pPr>
      <w:r>
        <w:rPr>
          <w:rFonts w:hint="eastAsia"/>
        </w:rPr>
        <w:tab/>
        <w:t>(1)</w:t>
      </w:r>
      <w:r>
        <w:rPr>
          <w:rFonts w:hint="eastAsia"/>
        </w:rPr>
        <w:tab/>
        <w:t>任何人，凡征聘、运输、转移、藏匿或收留他人且为此而采取以下手段者：威胁或暴力及其他胁迫形式；通过绑架、欺诈或诈骗；滥用职权；利用他人不具备自卫或表达本人意愿的能力；或者为了利用他人而给予或收受钱财或其他好处以便征得能控制他人者的同意，皆犯有违反本法的犯罪行为，应处以3年至12年的监禁并处剥夺若干权利。</w:t>
      </w:r>
    </w:p>
    <w:p w:rsidR="0095327F" w:rsidRDefault="0095327F">
      <w:pPr>
        <w:pStyle w:val="SingleTxt"/>
        <w:rPr>
          <w:rFonts w:hint="eastAsia"/>
        </w:rPr>
      </w:pPr>
      <w:r>
        <w:rPr>
          <w:rFonts w:hint="eastAsia"/>
        </w:rPr>
        <w:tab/>
        <w:t>(2)</w:t>
      </w:r>
      <w:r>
        <w:rPr>
          <w:rFonts w:hint="eastAsia"/>
        </w:rPr>
        <w:tab/>
        <w:t>任何人，凡在下述情况下参与贩卖人口的：</w:t>
      </w:r>
    </w:p>
    <w:p w:rsidR="0095327F" w:rsidRDefault="0095327F">
      <w:pPr>
        <w:pStyle w:val="SingleTxt"/>
        <w:ind w:left="1695"/>
        <w:rPr>
          <w:rFonts w:hint="eastAsia"/>
        </w:rPr>
      </w:pPr>
      <w:r>
        <w:rPr>
          <w:rFonts w:hint="eastAsia"/>
        </w:rPr>
        <w:tab/>
        <w:t>a）同时贩卖两名或两名以上的人；</w:t>
      </w:r>
    </w:p>
    <w:p w:rsidR="0095327F" w:rsidRDefault="0095327F">
      <w:pPr>
        <w:pStyle w:val="SingleTxt"/>
        <w:ind w:left="1695"/>
        <w:rPr>
          <w:rFonts w:hint="eastAsia"/>
        </w:rPr>
      </w:pPr>
      <w:r>
        <w:rPr>
          <w:rFonts w:hint="eastAsia"/>
        </w:rPr>
        <w:tab/>
        <w:t>b）致使受害人身体受到严重伤害或健康出现严重问题，应处以5年至15年的监禁并处剥夺若干权利。</w:t>
      </w:r>
    </w:p>
    <w:p w:rsidR="0095327F" w:rsidRDefault="0095327F">
      <w:pPr>
        <w:pStyle w:val="SingleTxt"/>
        <w:rPr>
          <w:rFonts w:hint="eastAsia"/>
        </w:rPr>
      </w:pPr>
      <w:r>
        <w:rPr>
          <w:rFonts w:hint="eastAsia"/>
        </w:rPr>
        <w:tab/>
        <w:t>(3)</w:t>
      </w:r>
      <w:r>
        <w:rPr>
          <w:rFonts w:hint="eastAsia"/>
        </w:rPr>
        <w:tab/>
        <w:t>违反本条款的罪犯若致使受害人死亡或自杀的，应处以15年至25年的监禁并处剥夺若干权利。</w:t>
      </w:r>
    </w:p>
    <w:p w:rsidR="0095327F" w:rsidRDefault="0095327F">
      <w:pPr>
        <w:pStyle w:val="SingleTxt"/>
        <w:rPr>
          <w:rFonts w:ascii="KaiTi_GB2312" w:eastAsia="KaiTi_GB2312" w:hint="eastAsia"/>
          <w:b/>
          <w:bCs/>
          <w:color w:val="0000FF"/>
        </w:rPr>
      </w:pPr>
      <w:r>
        <w:rPr>
          <w:rFonts w:ascii="KaiTi_GB2312" w:eastAsia="KaiTi_GB2312" w:hint="eastAsia"/>
          <w:b/>
          <w:bCs/>
          <w:color w:val="0000FF"/>
        </w:rPr>
        <w:t>第13条</w:t>
      </w:r>
    </w:p>
    <w:p w:rsidR="0095327F" w:rsidRDefault="0095327F">
      <w:pPr>
        <w:pStyle w:val="SingleTxt"/>
        <w:rPr>
          <w:rFonts w:hint="eastAsia"/>
        </w:rPr>
      </w:pPr>
      <w:r>
        <w:rPr>
          <w:rFonts w:hint="eastAsia"/>
        </w:rPr>
        <w:tab/>
        <w:t>(1)</w:t>
      </w:r>
      <w:r>
        <w:rPr>
          <w:rFonts w:hint="eastAsia"/>
        </w:rPr>
        <w:tab/>
        <w:t>任何人，凡征聘、运输、转移、藏匿或收留15岁至18岁的人，且以利用该人为目的的，犯有贩卖未成年人的罪行，应处以3年至12年的监禁并处剥夺若干权利。</w:t>
      </w:r>
    </w:p>
    <w:p w:rsidR="0095327F" w:rsidRDefault="0095327F">
      <w:pPr>
        <w:pStyle w:val="SingleTxt"/>
        <w:rPr>
          <w:rFonts w:hint="eastAsia"/>
        </w:rPr>
      </w:pPr>
      <w:r>
        <w:rPr>
          <w:rFonts w:hint="eastAsia"/>
        </w:rPr>
        <w:tab/>
        <w:t>(2)</w:t>
      </w:r>
      <w:r>
        <w:rPr>
          <w:rFonts w:hint="eastAsia"/>
        </w:rPr>
        <w:tab/>
        <w:t>如果第（1）款的违法犯罪对象是不满15岁的人，应处以5年至15年的监禁并处剥夺若干权利。</w:t>
      </w:r>
    </w:p>
    <w:p w:rsidR="0095327F" w:rsidRDefault="0095327F">
      <w:pPr>
        <w:pStyle w:val="SingleTxt"/>
        <w:rPr>
          <w:rFonts w:hint="eastAsia"/>
        </w:rPr>
      </w:pPr>
      <w:r>
        <w:rPr>
          <w:rFonts w:hint="eastAsia"/>
        </w:rPr>
        <w:tab/>
        <w:t>(3)</w:t>
      </w:r>
      <w:r>
        <w:rPr>
          <w:rFonts w:hint="eastAsia"/>
        </w:rPr>
        <w:tab/>
        <w:t>如果第（1）款和第（2）款的违法犯罪使用如下手段：威胁或暴力及其他胁迫形式；绑架；欺诈或诈骗；滥用职权；利用该人不具备自卫或表达本人意愿的能力；或者给予或收受钱财或其他好处，且目的是征得控制他人的人的同意，罪犯在第（1）款的情况下应处以5年至15年的监禁并处剥夺若干权利；在第（2）款的情况下应处以7年至18年的监禁并处若干权利。</w:t>
      </w:r>
    </w:p>
    <w:p w:rsidR="0095327F" w:rsidRDefault="0095327F">
      <w:pPr>
        <w:pStyle w:val="SingleTxt"/>
        <w:rPr>
          <w:rFonts w:hint="eastAsia"/>
        </w:rPr>
      </w:pPr>
      <w:r>
        <w:rPr>
          <w:rFonts w:hint="eastAsia"/>
        </w:rPr>
        <w:tab/>
        <w:t>(4)</w:t>
      </w:r>
      <w:r>
        <w:rPr>
          <w:rFonts w:hint="eastAsia"/>
        </w:rPr>
        <w:tab/>
        <w:t>第（1）、第（2）及第（3）款的犯罪行为若在第12条第（2）款的情况下发生，属第（1）款的，应处以5年至15年的监禁和剥夺若干权利；属第（2）款的，应处以5年至17年的监禁和剥夺若干权利；属主题1第（3）款的，应处以5年至18年的监禁和剥夺若干权利；属主题2第（3）款的，应处以7年至20年的监禁和剥夺若干权利；</w:t>
      </w:r>
    </w:p>
    <w:p w:rsidR="0095327F" w:rsidRDefault="0095327F">
      <w:pPr>
        <w:pStyle w:val="SingleTxt"/>
        <w:rPr>
          <w:rFonts w:hint="eastAsia"/>
        </w:rPr>
      </w:pPr>
      <w:r>
        <w:rPr>
          <w:rFonts w:hint="eastAsia"/>
        </w:rPr>
        <w:tab/>
        <w:t>(5)</w:t>
      </w:r>
      <w:r>
        <w:rPr>
          <w:rFonts w:hint="eastAsia"/>
        </w:rPr>
        <w:tab/>
        <w:t>本条规定的违法行为若致使受害人死亡或自杀，罪犯应处以15年至25年的监禁并处剥夺若干权利，或处以终身监禁。</w:t>
      </w:r>
    </w:p>
    <w:p w:rsidR="0095327F" w:rsidRDefault="0095327F">
      <w:pPr>
        <w:pStyle w:val="SingleTxt"/>
        <w:rPr>
          <w:rFonts w:hint="eastAsia"/>
        </w:rPr>
      </w:pPr>
      <w:r>
        <w:rPr>
          <w:rFonts w:hint="eastAsia"/>
        </w:rPr>
        <w:tab/>
        <w:t>本法规定了为预防以简单但严重的形式贩卖妇女所采取的措施，将贩运妇女以及与贩运有关的活动列为犯罪行为并规定了相应处罚，为受害者制定了保护和援助制度，并制定了打击贩卖人口的国际合作框架。根据第678/2001号法律，人口贩卖的受害者应得到人身保护以及心理和社会专业援助。受害者有权参与身心及社会康复方案（将与地方非政府组织合作执行这类方案）。人口贩卖的未成年人和女性受害者将根据年龄和特定需要从特别保护和援助中受益。内务部保证在接到请求后在罗马尼亚境内为人口贩卖的受害者提供人身保护。</w:t>
      </w:r>
    </w:p>
    <w:p w:rsidR="0095327F" w:rsidRDefault="0095327F">
      <w:pPr>
        <w:pStyle w:val="SingleTxt"/>
        <w:rPr>
          <w:rFonts w:hint="eastAsia"/>
        </w:rPr>
      </w:pPr>
      <w:r>
        <w:rPr>
          <w:rFonts w:hint="eastAsia"/>
        </w:rPr>
        <w:tab/>
        <w:t>罗马尼亚为外国公民和人口贩卖的受害者提供便利，帮助他们重返祖国，并且不会无端拖延，同时保证为他们提供最安全的交通运输，直至将他们运送到罗马尼亚边境，但双边协议另有规定的除外。为了保证人口贩卖的受害者和外国公民的人身安全，可根据关于罗马尼亚外国人身份的第13/2001号法律在特别安排的中心接待他们；根据批准关于在罗马尼亚境内的难民身份和制度的第201/2000号政府法令的第323/2001号法律，可在特别安排的中心接待在罗马尼亚寻求保护的人。</w:t>
      </w:r>
    </w:p>
    <w:p w:rsidR="0095327F" w:rsidRDefault="0095327F">
      <w:pPr>
        <w:pStyle w:val="SingleTxt"/>
        <w:rPr>
          <w:rFonts w:hint="eastAsia"/>
        </w:rPr>
      </w:pPr>
      <w:r>
        <w:rPr>
          <w:rFonts w:hint="eastAsia"/>
        </w:rPr>
        <w:tab/>
        <w:t>关于预防和打击贩卖人口的第678号法律对人口贩卖的受害者规定了以下程序：</w:t>
      </w:r>
    </w:p>
    <w:p w:rsidR="0095327F" w:rsidRDefault="0095327F">
      <w:pPr>
        <w:pStyle w:val="SingleTxt"/>
        <w:rPr>
          <w:rFonts w:ascii="KaiTi_GB2312" w:eastAsia="KaiTi_GB2312" w:hint="eastAsia"/>
          <w:color w:val="0000FF"/>
        </w:rPr>
      </w:pPr>
      <w:r>
        <w:rPr>
          <w:rFonts w:ascii="KaiTi_GB2312" w:eastAsia="KaiTi_GB2312" w:hint="eastAsia"/>
          <w:color w:val="0000FF"/>
        </w:rPr>
        <w:t>第26条</w:t>
      </w:r>
    </w:p>
    <w:p w:rsidR="0095327F" w:rsidRDefault="0095327F">
      <w:pPr>
        <w:pStyle w:val="SingleTxt"/>
        <w:rPr>
          <w:rFonts w:hint="eastAsia"/>
        </w:rPr>
      </w:pPr>
      <w:r>
        <w:rPr>
          <w:rFonts w:hint="eastAsia"/>
        </w:rPr>
        <w:tab/>
        <w:t>(1)</w:t>
      </w:r>
      <w:r>
        <w:rPr>
          <w:rFonts w:hint="eastAsia"/>
        </w:rPr>
        <w:tab/>
        <w:t>本法规定的犯罪受害人以及这些犯罪的其他受害人，应得到特别的人身、法律及社会保护和援助。</w:t>
      </w:r>
    </w:p>
    <w:p w:rsidR="0095327F" w:rsidRDefault="0095327F">
      <w:pPr>
        <w:pStyle w:val="SingleTxt"/>
        <w:rPr>
          <w:rFonts w:hint="eastAsia"/>
        </w:rPr>
      </w:pPr>
      <w:r>
        <w:rPr>
          <w:rFonts w:hint="eastAsia"/>
        </w:rPr>
        <w:tab/>
        <w:t>(2)</w:t>
      </w:r>
      <w:r>
        <w:rPr>
          <w:rFonts w:hint="eastAsia"/>
        </w:rPr>
        <w:tab/>
        <w:t>人口贩卖的受害者的个人隐私和身份应受本法保护。</w:t>
      </w:r>
    </w:p>
    <w:p w:rsidR="0095327F" w:rsidRDefault="0095327F">
      <w:pPr>
        <w:pStyle w:val="SingleTxt"/>
        <w:rPr>
          <w:rFonts w:hint="eastAsia"/>
        </w:rPr>
      </w:pPr>
      <w:r>
        <w:rPr>
          <w:rFonts w:hint="eastAsia"/>
        </w:rPr>
        <w:tab/>
        <w:t>(3)</w:t>
      </w:r>
      <w:r>
        <w:rPr>
          <w:rFonts w:hint="eastAsia"/>
        </w:rPr>
        <w:tab/>
        <w:t>本法规定的犯罪受害人享有身心及社会康复的权利。</w:t>
      </w:r>
    </w:p>
    <w:p w:rsidR="0095327F" w:rsidRDefault="0095327F">
      <w:pPr>
        <w:pStyle w:val="SingleTxt"/>
        <w:rPr>
          <w:rFonts w:hint="eastAsia"/>
        </w:rPr>
      </w:pPr>
      <w:r>
        <w:rPr>
          <w:rFonts w:hint="eastAsia"/>
        </w:rPr>
        <w:tab/>
        <w:t>(4)</w:t>
      </w:r>
      <w:r>
        <w:rPr>
          <w:rFonts w:hint="eastAsia"/>
        </w:rPr>
        <w:tab/>
        <w:t>本法规定的未成年人犯罪受害人应得到与其年龄相符的特别保护和援助。</w:t>
      </w:r>
    </w:p>
    <w:p w:rsidR="0095327F" w:rsidRDefault="0095327F">
      <w:pPr>
        <w:pStyle w:val="SingleTxt"/>
        <w:rPr>
          <w:rFonts w:hint="eastAsia"/>
        </w:rPr>
      </w:pPr>
      <w:r>
        <w:rPr>
          <w:rFonts w:hint="eastAsia"/>
        </w:rPr>
        <w:tab/>
        <w:t>(5)</w:t>
      </w:r>
      <w:r>
        <w:rPr>
          <w:rFonts w:hint="eastAsia"/>
        </w:rPr>
        <w:tab/>
        <w:t>本法规定的女性犯罪受害人，以及成为此类犯罪受害人的风险较大的女性，应得到特别社会保护和援助。</w:t>
      </w:r>
    </w:p>
    <w:p w:rsidR="0095327F" w:rsidRDefault="0095327F">
      <w:pPr>
        <w:pStyle w:val="SingleTxt"/>
        <w:rPr>
          <w:rFonts w:ascii="KaiTi_GB2312" w:eastAsia="KaiTi_GB2312" w:hint="eastAsia"/>
          <w:color w:val="0000FF"/>
        </w:rPr>
      </w:pPr>
      <w:r>
        <w:rPr>
          <w:rFonts w:ascii="KaiTi_GB2312" w:eastAsia="KaiTi_GB2312" w:hint="eastAsia"/>
          <w:color w:val="0000FF"/>
        </w:rPr>
        <w:t>第27条</w:t>
      </w:r>
    </w:p>
    <w:p w:rsidR="0095327F" w:rsidRDefault="0095327F">
      <w:pPr>
        <w:pStyle w:val="SingleTxt"/>
        <w:rPr>
          <w:rFonts w:hint="eastAsia"/>
        </w:rPr>
      </w:pPr>
      <w:r>
        <w:rPr>
          <w:rFonts w:hint="eastAsia"/>
        </w:rPr>
        <w:tab/>
        <w:t>内务部在接到请求后，应在刑事诉讼期间在罗马尼亚境内为人口贩卖的受害者提供人身保护。</w:t>
      </w:r>
    </w:p>
    <w:p w:rsidR="0095327F" w:rsidRDefault="0095327F">
      <w:pPr>
        <w:pStyle w:val="SingleTxt"/>
        <w:rPr>
          <w:rFonts w:ascii="KaiTi_GB2312" w:eastAsia="KaiTi_GB2312" w:hint="eastAsia"/>
          <w:color w:val="0000FF"/>
        </w:rPr>
      </w:pPr>
      <w:r>
        <w:rPr>
          <w:rFonts w:ascii="KaiTi_GB2312" w:eastAsia="KaiTi_GB2312" w:hint="eastAsia"/>
          <w:color w:val="0000FF"/>
        </w:rPr>
        <w:t>第28条</w:t>
      </w:r>
    </w:p>
    <w:p w:rsidR="0095327F" w:rsidRDefault="0095327F">
      <w:pPr>
        <w:pStyle w:val="SingleTxt"/>
        <w:rPr>
          <w:rFonts w:hint="eastAsia"/>
        </w:rPr>
      </w:pPr>
      <w:r>
        <w:rPr>
          <w:rFonts w:hint="eastAsia"/>
        </w:rPr>
        <w:tab/>
        <w:t>作为人口贩卖的受害者且居留其他国家境内的罗马尼亚公民若提出请求，将由罗马尼亚驻这些国家的外交使团和领事局为他们提供援助。</w:t>
      </w:r>
    </w:p>
    <w:p w:rsidR="0095327F" w:rsidRDefault="0095327F">
      <w:pPr>
        <w:pStyle w:val="SingleTxt"/>
        <w:rPr>
          <w:rFonts w:ascii="KaiTi_GB2312" w:eastAsia="KaiTi_GB2312" w:hint="eastAsia"/>
          <w:color w:val="0000FF"/>
        </w:rPr>
      </w:pPr>
      <w:r>
        <w:rPr>
          <w:rFonts w:ascii="KaiTi_GB2312" w:eastAsia="KaiTi_GB2312" w:hint="eastAsia"/>
          <w:color w:val="0000FF"/>
        </w:rPr>
        <w:t>第29条</w:t>
      </w:r>
    </w:p>
    <w:p w:rsidR="0095327F" w:rsidRDefault="0095327F">
      <w:pPr>
        <w:pStyle w:val="SingleTxt"/>
        <w:rPr>
          <w:rFonts w:hint="eastAsia"/>
        </w:rPr>
      </w:pPr>
      <w:r>
        <w:rPr>
          <w:rFonts w:hint="eastAsia"/>
        </w:rPr>
        <w:tab/>
        <w:t>若有必要并且是为了回国之目的，外交部应通过罗马尼亚外交使团和领事局在合理期限内为因人口贩卖受害的罗马尼亚公民签发身份证明文件，并且不得无端拖延。</w:t>
      </w:r>
    </w:p>
    <w:p w:rsidR="0095327F" w:rsidRDefault="0095327F">
      <w:pPr>
        <w:pStyle w:val="SingleTxt"/>
        <w:rPr>
          <w:rFonts w:ascii="KaiTi_GB2312" w:eastAsia="KaiTi_GB2312" w:hint="eastAsia"/>
          <w:color w:val="0000FF"/>
        </w:rPr>
      </w:pPr>
      <w:r>
        <w:rPr>
          <w:rFonts w:ascii="KaiTi_GB2312" w:eastAsia="KaiTi_GB2312" w:hint="eastAsia"/>
          <w:color w:val="0000FF"/>
        </w:rPr>
        <w:t>第32条</w:t>
      </w:r>
    </w:p>
    <w:p w:rsidR="0095327F" w:rsidRDefault="0095327F">
      <w:pPr>
        <w:pStyle w:val="SingleTxt"/>
        <w:rPr>
          <w:rFonts w:hint="eastAsia"/>
        </w:rPr>
      </w:pPr>
      <w:r>
        <w:rPr>
          <w:rFonts w:hint="eastAsia"/>
        </w:rPr>
        <w:tab/>
        <w:t>(1)</w:t>
      </w:r>
      <w:r>
        <w:rPr>
          <w:rFonts w:hint="eastAsia"/>
        </w:rPr>
        <w:tab/>
        <w:t>人口贩卖受害者提出要求后，可在援助和保护人口贩卖受害者中心（以下简称“中心”）得到临时膳宿安排，这些“中心”由阿拉德、博托沙尼、加拉茨、久尔久、雅西、伊尔福夫、梅赫丁茨、萨图马雷、蒂米什等县的县委员会当局经营。</w:t>
      </w:r>
    </w:p>
    <w:p w:rsidR="0095327F" w:rsidRDefault="0095327F">
      <w:pPr>
        <w:pStyle w:val="SingleTxt"/>
        <w:rPr>
          <w:rFonts w:hint="eastAsia"/>
        </w:rPr>
      </w:pPr>
      <w:r>
        <w:rPr>
          <w:rFonts w:hint="eastAsia"/>
        </w:rPr>
        <w:tab/>
        <w:t>(2)</w:t>
      </w:r>
      <w:r>
        <w:rPr>
          <w:rFonts w:hint="eastAsia"/>
        </w:rPr>
        <w:tab/>
        <w:t>受害者在这类“中心”居留的期限应根据县常驻代表团的决定确定，并且不得超过10天。</w:t>
      </w:r>
    </w:p>
    <w:p w:rsidR="0095327F" w:rsidRDefault="0095327F">
      <w:pPr>
        <w:pStyle w:val="SingleTxt"/>
        <w:rPr>
          <w:rFonts w:hint="eastAsia"/>
        </w:rPr>
      </w:pPr>
      <w:r>
        <w:rPr>
          <w:rFonts w:hint="eastAsia"/>
        </w:rPr>
        <w:tab/>
        <w:t>(3)</w:t>
      </w:r>
      <w:r>
        <w:rPr>
          <w:rFonts w:hint="eastAsia"/>
        </w:rPr>
        <w:tab/>
        <w:t>执法机构若提出要求，受害者在这类“中心”的居留期限可以延长至三个月，或者视情况延长至刑事审判期间。</w:t>
      </w:r>
    </w:p>
    <w:p w:rsidR="0095327F" w:rsidRDefault="0095327F">
      <w:pPr>
        <w:pStyle w:val="SingleTxt"/>
        <w:rPr>
          <w:rFonts w:hint="eastAsia"/>
        </w:rPr>
      </w:pPr>
      <w:r>
        <w:rPr>
          <w:rFonts w:hint="eastAsia"/>
        </w:rPr>
        <w:tab/>
        <w:t>(4)</w:t>
      </w:r>
      <w:r>
        <w:rPr>
          <w:rFonts w:hint="eastAsia"/>
        </w:rPr>
        <w:tab/>
        <w:t>“中心”的设计和装备标准是提供文明的膳宿以及个人卫生、食品、心理和医疗援助。</w:t>
      </w:r>
    </w:p>
    <w:p w:rsidR="0095327F" w:rsidRDefault="0095327F">
      <w:pPr>
        <w:pStyle w:val="SingleTxt"/>
        <w:rPr>
          <w:rFonts w:ascii="KaiTi_GB2312" w:eastAsia="KaiTi_GB2312" w:hint="eastAsia"/>
          <w:color w:val="0000FF"/>
        </w:rPr>
      </w:pPr>
      <w:r>
        <w:rPr>
          <w:rFonts w:ascii="KaiTi_GB2312" w:eastAsia="KaiTi_GB2312" w:hint="eastAsia"/>
          <w:color w:val="0000FF"/>
        </w:rPr>
        <w:t>第33条</w:t>
      </w:r>
    </w:p>
    <w:p w:rsidR="0095327F" w:rsidRDefault="0095327F">
      <w:pPr>
        <w:pStyle w:val="SingleTxt"/>
        <w:rPr>
          <w:rFonts w:hint="eastAsia"/>
        </w:rPr>
      </w:pPr>
      <w:r>
        <w:rPr>
          <w:rFonts w:hint="eastAsia"/>
        </w:rPr>
        <w:tab/>
        <w:t>暂时得到庇护的人口贩卖受害者应由“中心”所在地地方委员会的社会工作者提供咨询和辅导，教会他们如何利用为遭到社会排斥的人提供的法律援助。</w:t>
      </w:r>
    </w:p>
    <w:p w:rsidR="0095327F" w:rsidRDefault="0095327F">
      <w:pPr>
        <w:pStyle w:val="SingleTxt"/>
        <w:rPr>
          <w:rFonts w:ascii="KaiTi_GB2312" w:eastAsia="KaiTi_GB2312" w:hint="eastAsia"/>
          <w:color w:val="0000FF"/>
        </w:rPr>
      </w:pPr>
      <w:r>
        <w:rPr>
          <w:rFonts w:ascii="KaiTi_GB2312" w:eastAsia="KaiTi_GB2312" w:hint="eastAsia"/>
          <w:color w:val="0000FF"/>
        </w:rPr>
        <w:t>第34条</w:t>
      </w:r>
    </w:p>
    <w:p w:rsidR="0095327F" w:rsidRDefault="0095327F">
      <w:pPr>
        <w:pStyle w:val="SingleTxt"/>
        <w:rPr>
          <w:rFonts w:hint="eastAsia"/>
        </w:rPr>
      </w:pPr>
      <w:r>
        <w:rPr>
          <w:rFonts w:hint="eastAsia"/>
        </w:rPr>
        <w:tab/>
        <w:t>(1)</w:t>
      </w:r>
      <w:r>
        <w:rPr>
          <w:rFonts w:hint="eastAsia"/>
        </w:rPr>
        <w:tab/>
        <w:t>“中心”的内部条例及其组织结构应由公共管理部长批准，并由内务部长签署。</w:t>
      </w:r>
    </w:p>
    <w:p w:rsidR="0095327F" w:rsidRDefault="0095327F">
      <w:pPr>
        <w:pStyle w:val="SingleTxt"/>
        <w:rPr>
          <w:rFonts w:hint="eastAsia"/>
        </w:rPr>
      </w:pPr>
      <w:r>
        <w:rPr>
          <w:rFonts w:hint="eastAsia"/>
        </w:rPr>
        <w:tab/>
        <w:t>(2)</w:t>
      </w:r>
      <w:r>
        <w:rPr>
          <w:rFonts w:hint="eastAsia"/>
        </w:rPr>
        <w:tab/>
        <w:t>“中心”工作人员的薪酬应依法参照国有机构雇员的薪酬标准。</w:t>
      </w:r>
    </w:p>
    <w:p w:rsidR="0095327F" w:rsidRDefault="0095327F">
      <w:pPr>
        <w:pStyle w:val="SingleTxt"/>
        <w:rPr>
          <w:rFonts w:hint="eastAsia"/>
        </w:rPr>
      </w:pPr>
      <w:r>
        <w:rPr>
          <w:rFonts w:hint="eastAsia"/>
        </w:rPr>
        <w:tab/>
        <w:t>(3)</w:t>
      </w:r>
      <w:r>
        <w:rPr>
          <w:rFonts w:hint="eastAsia"/>
        </w:rPr>
        <w:tab/>
        <w:t>“中心”的现行开支和基本开支应从县委员会的基金中列支，这方面的规定见第33条第（1）款。</w:t>
      </w:r>
    </w:p>
    <w:p w:rsidR="0095327F" w:rsidRDefault="0095327F">
      <w:pPr>
        <w:pStyle w:val="SingleTxt"/>
        <w:rPr>
          <w:rFonts w:ascii="KaiTi_GB2312" w:eastAsia="KaiTi_GB2312" w:hint="eastAsia"/>
          <w:color w:val="0000FF"/>
        </w:rPr>
      </w:pPr>
      <w:r>
        <w:rPr>
          <w:rFonts w:ascii="KaiTi_GB2312" w:eastAsia="KaiTi_GB2312" w:hint="eastAsia"/>
          <w:color w:val="0000FF"/>
        </w:rPr>
        <w:t>第35条</w:t>
      </w:r>
    </w:p>
    <w:p w:rsidR="0095327F" w:rsidRDefault="0095327F">
      <w:pPr>
        <w:pStyle w:val="SingleTxt"/>
        <w:rPr>
          <w:rFonts w:hint="eastAsia"/>
        </w:rPr>
      </w:pPr>
      <w:r>
        <w:rPr>
          <w:rFonts w:hint="eastAsia"/>
        </w:rPr>
        <w:tab/>
        <w:t>(1)</w:t>
      </w:r>
      <w:r>
        <w:rPr>
          <w:rFonts w:hint="eastAsia"/>
        </w:rPr>
        <w:tab/>
        <w:t>在开办并运营“中心”的县，如有可能，县就业机构应针对得到庇护的受害者的就业和培训提供特别短期方案。</w:t>
      </w:r>
    </w:p>
    <w:p w:rsidR="0095327F" w:rsidRDefault="0095327F">
      <w:pPr>
        <w:pStyle w:val="SingleTxt"/>
        <w:rPr>
          <w:rFonts w:hint="eastAsia"/>
        </w:rPr>
      </w:pPr>
      <w:r>
        <w:rPr>
          <w:rFonts w:hint="eastAsia"/>
        </w:rPr>
        <w:tab/>
        <w:t>(2)</w:t>
      </w:r>
      <w:r>
        <w:rPr>
          <w:rFonts w:hint="eastAsia"/>
        </w:rPr>
        <w:tab/>
        <w:t>在第1款提到的机构还有任务为人口贩卖的受害者提供优先辅导和劳动仲裁服务，目的是帮助受害者找到工作。</w:t>
      </w:r>
    </w:p>
    <w:p w:rsidR="0095327F" w:rsidRDefault="0095327F">
      <w:pPr>
        <w:pStyle w:val="SingleTxt"/>
        <w:rPr>
          <w:rFonts w:ascii="KaiTi_GB2312" w:eastAsia="KaiTi_GB2312" w:hint="eastAsia"/>
          <w:color w:val="0000FF"/>
        </w:rPr>
      </w:pPr>
      <w:r>
        <w:rPr>
          <w:rFonts w:ascii="KaiTi_GB2312" w:eastAsia="KaiTi_GB2312" w:hint="eastAsia"/>
          <w:color w:val="0000FF"/>
        </w:rPr>
        <w:t>第36条</w:t>
      </w:r>
    </w:p>
    <w:p w:rsidR="0095327F" w:rsidRDefault="0095327F">
      <w:pPr>
        <w:pStyle w:val="SingleTxt"/>
        <w:rPr>
          <w:rFonts w:hint="eastAsia"/>
        </w:rPr>
      </w:pPr>
      <w:r>
        <w:rPr>
          <w:rFonts w:hint="eastAsia"/>
        </w:rPr>
        <w:tab/>
        <w:t>作为人口贩卖的受害者，罗马尼亚公民可优先取得居住地所在城镇地方委员会提供的社会住房。</w:t>
      </w:r>
    </w:p>
    <w:p w:rsidR="0095327F" w:rsidRDefault="0095327F">
      <w:pPr>
        <w:pStyle w:val="SingleTxt"/>
        <w:rPr>
          <w:rFonts w:ascii="KaiTi_GB2312" w:eastAsia="KaiTi_GB2312" w:hint="eastAsia"/>
          <w:color w:val="0000FF"/>
        </w:rPr>
      </w:pPr>
      <w:r>
        <w:rPr>
          <w:rFonts w:ascii="KaiTi_GB2312" w:eastAsia="KaiTi_GB2312" w:hint="eastAsia"/>
          <w:color w:val="0000FF"/>
        </w:rPr>
        <w:t>第37条</w:t>
      </w:r>
    </w:p>
    <w:p w:rsidR="0095327F" w:rsidRDefault="0095327F">
      <w:pPr>
        <w:pStyle w:val="SingleTxt"/>
        <w:rPr>
          <w:rFonts w:hint="eastAsia"/>
        </w:rPr>
      </w:pPr>
      <w:r>
        <w:rPr>
          <w:rFonts w:hint="eastAsia"/>
        </w:rPr>
        <w:tab/>
        <w:t>罗马尼亚帮助因人口贩卖而受害的外籍公民重新返回其祖国，并且不会无故拖延，同时为他们提供十分安全的交通运输，将他们运送到罗马尼亚边境，但双边协议另有规定的除外。</w:t>
      </w:r>
    </w:p>
    <w:p w:rsidR="0095327F" w:rsidRDefault="0095327F">
      <w:pPr>
        <w:pStyle w:val="SingleTxt"/>
        <w:rPr>
          <w:rFonts w:ascii="KaiTi_GB2312" w:eastAsia="KaiTi_GB2312" w:hint="eastAsia"/>
          <w:color w:val="0000FF"/>
        </w:rPr>
      </w:pPr>
      <w:r>
        <w:rPr>
          <w:rFonts w:ascii="KaiTi_GB2312" w:eastAsia="KaiTi_GB2312" w:hint="eastAsia"/>
          <w:color w:val="0000FF"/>
        </w:rPr>
        <w:t>第38条</w:t>
      </w:r>
    </w:p>
    <w:p w:rsidR="0095327F" w:rsidRDefault="0095327F">
      <w:pPr>
        <w:pStyle w:val="SingleTxt"/>
        <w:rPr>
          <w:rFonts w:hint="eastAsia"/>
        </w:rPr>
      </w:pPr>
      <w:r>
        <w:rPr>
          <w:rFonts w:hint="eastAsia"/>
        </w:rPr>
        <w:tab/>
        <w:t>(1)</w:t>
      </w:r>
      <w:r>
        <w:rPr>
          <w:rFonts w:hint="eastAsia"/>
        </w:rPr>
        <w:tab/>
        <w:t>为了保障因人口贩卖而受害的外国公民的人身安全，可根据关于罗马尼亚外国人制度的第123/2001号法律在特别“中心”为他们提供庇护；在罗马尼亚寻求保护的人，可根据批准关于在罗马尼亚境内的难民身份和制度的第102/2001号政府法令的第323/2001号法律在特别设立的“中心”为他们提供庇护。</w:t>
      </w:r>
    </w:p>
    <w:p w:rsidR="0095327F" w:rsidRDefault="0095327F">
      <w:pPr>
        <w:pStyle w:val="SingleTxt"/>
        <w:rPr>
          <w:rFonts w:hint="eastAsia"/>
        </w:rPr>
      </w:pPr>
      <w:r>
        <w:rPr>
          <w:rFonts w:hint="eastAsia"/>
        </w:rPr>
        <w:tab/>
        <w:t>(2)</w:t>
      </w:r>
      <w:r>
        <w:rPr>
          <w:rFonts w:hint="eastAsia"/>
        </w:rPr>
        <w:tab/>
        <w:t>在这些庇护所，应以人口贩卖的受害者能够听懂的语言告诉他们所实行的法律和行政程序。</w:t>
      </w:r>
    </w:p>
    <w:p w:rsidR="0095327F" w:rsidRDefault="0095327F">
      <w:pPr>
        <w:pStyle w:val="SingleTxt"/>
        <w:rPr>
          <w:rFonts w:hint="eastAsia"/>
        </w:rPr>
      </w:pPr>
      <w:r>
        <w:rPr>
          <w:rFonts w:hint="eastAsia"/>
        </w:rPr>
        <w:tab/>
        <w:t>(3)</w:t>
      </w:r>
      <w:r>
        <w:rPr>
          <w:rFonts w:hint="eastAsia"/>
        </w:rPr>
        <w:tab/>
        <w:t>根据第1款，得到庇护的人有权以他们能够听懂的语言获得精神和心理辅导以及医疗和社会援助。</w:t>
      </w:r>
    </w:p>
    <w:p w:rsidR="0095327F" w:rsidRDefault="0095327F">
      <w:pPr>
        <w:pStyle w:val="SingleTxt"/>
        <w:rPr>
          <w:rFonts w:ascii="KaiTi_GB2312" w:eastAsia="KaiTi_GB2312" w:hint="eastAsia"/>
          <w:color w:val="0000FF"/>
        </w:rPr>
      </w:pPr>
      <w:r>
        <w:rPr>
          <w:rFonts w:ascii="KaiTi_GB2312" w:eastAsia="KaiTi_GB2312" w:hint="eastAsia"/>
          <w:color w:val="0000FF"/>
        </w:rPr>
        <w:t>第39条</w:t>
      </w:r>
    </w:p>
    <w:p w:rsidR="0095327F" w:rsidRDefault="0095327F">
      <w:pPr>
        <w:pStyle w:val="SingleTxt"/>
        <w:rPr>
          <w:rFonts w:hint="eastAsia"/>
        </w:rPr>
      </w:pPr>
      <w:r>
        <w:rPr>
          <w:rFonts w:hint="eastAsia"/>
        </w:rPr>
        <w:tab/>
        <w:t>(1)</w:t>
      </w:r>
      <w:r>
        <w:rPr>
          <w:rFonts w:hint="eastAsia"/>
        </w:rPr>
        <w:tab/>
        <w:t>因人口贩卖而受害的外国公民若没有身份证明文件，或者该等文件遗失、被盗或毁损，他们在取得新护照或临时身份证明文件时，应视情况得到外交部领事关系司或公共管理部有关机构的帮助。</w:t>
      </w:r>
    </w:p>
    <w:p w:rsidR="0095327F" w:rsidRDefault="0095327F">
      <w:pPr>
        <w:pStyle w:val="SingleTxt"/>
        <w:rPr>
          <w:rFonts w:hint="eastAsia"/>
        </w:rPr>
      </w:pPr>
      <w:r>
        <w:rPr>
          <w:rFonts w:hint="eastAsia"/>
        </w:rPr>
        <w:tab/>
        <w:t>罗马尼亚组建了一个全国打击人口贩卖协调机构，负责通过举行定期会议，协调监督全国计划规定的任务的部长间委员会的工作。</w:t>
      </w:r>
    </w:p>
    <w:p w:rsidR="0095327F" w:rsidRDefault="0095327F">
      <w:pPr>
        <w:pStyle w:val="SingleTxt"/>
        <w:rPr>
          <w:rFonts w:ascii="KaiTi_GB2312" w:eastAsia="KaiTi_GB2312" w:hint="eastAsia"/>
          <w:b/>
          <w:bCs/>
          <w:color w:val="0000FF"/>
        </w:rPr>
      </w:pPr>
      <w:r>
        <w:rPr>
          <w:rFonts w:ascii="KaiTi_GB2312" w:eastAsia="KaiTi_GB2312" w:hint="eastAsia"/>
          <w:b/>
          <w:bCs/>
          <w:color w:val="0000FF"/>
        </w:rPr>
        <w:t>国际公约</w:t>
      </w:r>
    </w:p>
    <w:p w:rsidR="0095327F" w:rsidRDefault="0095327F">
      <w:pPr>
        <w:pStyle w:val="SingleTxt"/>
        <w:rPr>
          <w:rFonts w:hint="eastAsia"/>
        </w:rPr>
      </w:pPr>
      <w:r>
        <w:rPr>
          <w:rFonts w:hint="eastAsia"/>
        </w:rPr>
        <w:tab/>
        <w:t>罗马尼亚在提供并促进必要的国内立法的同时，签署并批准了旨在保护人权和打击人口贩卖行为的主要国际法律文书，如：</w:t>
      </w:r>
    </w:p>
    <w:p w:rsidR="0095327F" w:rsidRDefault="0095327F">
      <w:pPr>
        <w:pStyle w:val="SingleTxt"/>
        <w:ind w:left="2126" w:hanging="431"/>
        <w:rPr>
          <w:rFonts w:hint="eastAsia"/>
        </w:rPr>
      </w:pPr>
      <w:r>
        <w:rPr>
          <w:rFonts w:hint="eastAsia"/>
        </w:rPr>
        <w:t>-</w:t>
      </w:r>
      <w:r>
        <w:rPr>
          <w:rFonts w:hint="eastAsia"/>
        </w:rPr>
        <w:tab/>
        <w:t>《联合国打击跨国有组织犯罪公约》及其《防止、禁止和惩治贩运人口特别是妇女和儿童行为的补充议定书》（第565/2002号法律）</w:t>
      </w:r>
    </w:p>
    <w:p w:rsidR="0095327F" w:rsidRDefault="0095327F">
      <w:pPr>
        <w:pStyle w:val="SingleTxt"/>
        <w:ind w:left="2126" w:hanging="431"/>
        <w:rPr>
          <w:rFonts w:hint="eastAsia"/>
        </w:rPr>
      </w:pPr>
      <w:r>
        <w:rPr>
          <w:rFonts w:hint="eastAsia"/>
        </w:rPr>
        <w:t>-</w:t>
      </w:r>
      <w:r>
        <w:rPr>
          <w:rFonts w:hint="eastAsia"/>
        </w:rPr>
        <w:tab/>
        <w:t>联合国《儿童权利公约》关于买卖儿童、儿童卖淫和儿童色情制品的任择议定书（2001年9月第470号法律批准）。</w:t>
      </w:r>
    </w:p>
    <w:p w:rsidR="0095327F" w:rsidRDefault="0095327F">
      <w:pPr>
        <w:pStyle w:val="SingleTxt"/>
        <w:rPr>
          <w:rFonts w:ascii="KaiTi_GB2312" w:eastAsia="KaiTi_GB2312" w:hint="eastAsia"/>
          <w:b/>
          <w:bCs/>
          <w:color w:val="0000FF"/>
        </w:rPr>
      </w:pPr>
      <w:r>
        <w:rPr>
          <w:rFonts w:ascii="KaiTi_GB2312" w:eastAsia="KaiTi_GB2312" w:hint="eastAsia"/>
          <w:b/>
          <w:bCs/>
          <w:color w:val="0000FF"/>
        </w:rPr>
        <w:t>国际合作</w:t>
      </w:r>
    </w:p>
    <w:p w:rsidR="0095327F" w:rsidRDefault="0095327F">
      <w:pPr>
        <w:pStyle w:val="SingleTxt"/>
        <w:ind w:left="1695" w:hanging="431"/>
        <w:rPr>
          <w:rFonts w:hint="eastAsia"/>
        </w:rPr>
      </w:pPr>
      <w:r>
        <w:rPr>
          <w:rFonts w:hint="eastAsia"/>
        </w:rPr>
        <w:sym w:font="Symbol" w:char="F0B7"/>
      </w:r>
      <w:r>
        <w:rPr>
          <w:rFonts w:hint="eastAsia"/>
        </w:rPr>
        <w:tab/>
        <w:t>打击跨境犯罪的东南欧合作倡议中心设在布加勒斯特，现已在这个中心内设立了一个国际特别工作组，负责处理贩运人口问题。这个工作组的成员由来自东南欧合作倡议成员国的专业官员组成，这些成员国是：阿尔巴尼亚、波斯尼亚-黑塞哥维那、希腊、摩尔达维亚共和国、斯洛文尼亚、匈牙利、保加利亚、克罗地亚、前南斯拉夫的马其顿共和国、土耳其和罗马尼亚（德国、意大利、乌克兰、法国和奥地利是观察国）。特别工作组由罗马尼亚协调，分为三个工作小组：一个小组负责南部边境（伙伴国是保加利亚、土耳其和希腊）、一个负责东部边境（伙伴国是摩尔达维亚和乌克兰），一个负责西部边境（伙伴国是匈牙利、南斯拉夫联邦共和国以及前南斯拉夫的马其顿共和国）。</w:t>
      </w:r>
    </w:p>
    <w:p w:rsidR="0095327F" w:rsidRDefault="0095327F">
      <w:pPr>
        <w:pStyle w:val="SingleTxt"/>
        <w:ind w:left="1695" w:hanging="431"/>
        <w:rPr>
          <w:rFonts w:hint="eastAsia"/>
        </w:rPr>
      </w:pPr>
      <w:r>
        <w:rPr>
          <w:rFonts w:hint="eastAsia"/>
        </w:rPr>
        <w:sym w:font="Symbol" w:char="F0B7"/>
      </w:r>
      <w:r>
        <w:rPr>
          <w:rFonts w:hint="eastAsia"/>
        </w:rPr>
        <w:tab/>
        <w:t>罗马尼亚专门机构还与派驻布加勒斯特的联络官（来自德国、法国、英国、比利时、意大利、西班牙、奥地利、日本、美国和乌克兰）开展长期合作。有关贩运人口的报告、统计数字和资料主要通过打击跨境犯罪的东南欧合作倡议中心提供的联络渠道在国家和国际一级机构间散发。以此为目标，最近成立了一个协调中心，目的是为交流信息提供便利。同时，在打击非法移民和贩运人口领域加强与奥地利共和国合作的行动计划已获得通过，与英国共同成立的一个联合工作小组也已开始工作。</w:t>
      </w:r>
    </w:p>
    <w:p w:rsidR="0095327F" w:rsidRDefault="0095327F">
      <w:pPr>
        <w:pStyle w:val="SingleTxt"/>
        <w:ind w:left="1695" w:hanging="431"/>
        <w:rPr>
          <w:rFonts w:hint="eastAsia"/>
        </w:rPr>
      </w:pPr>
      <w:r>
        <w:rPr>
          <w:rFonts w:hint="eastAsia"/>
        </w:rPr>
        <w:sym w:font="Symbol" w:char="F0B7"/>
      </w:r>
      <w:r>
        <w:rPr>
          <w:rFonts w:hint="eastAsia"/>
        </w:rPr>
        <w:tab/>
        <w:t>为了了解贩运人口现象并采取一致方式打击这种现象，2002年启动了打击贩运人口的“幻影行动”，东南欧合作倡议的11个成员国（阿尔巴尼亚、波斯尼亚和黑塞哥维那、保加利亚、克罗地亚、匈牙利、马其顿、土耳其、希腊、摩尔达维亚共和国、斯洛文尼亚和罗马尼亚）参与了这个行动，乌克兰和南斯拉夫加入了行动。考虑的目标旨在由主管当局对区域内的移民和贩运人口情况、制定行动战略、交流信息和实现这种交流的方式进行评估。这项行动最终取得的积极成果证明，在打击贩运人口和非法移民方面扩大国家间的合作既有效率又有必要。</w:t>
      </w:r>
    </w:p>
    <w:p w:rsidR="0095327F" w:rsidRDefault="0095327F">
      <w:pPr>
        <w:pStyle w:val="SingleTxt"/>
        <w:ind w:left="1695" w:hanging="431"/>
        <w:rPr>
          <w:rFonts w:hint="eastAsia"/>
        </w:rPr>
      </w:pPr>
      <w:r>
        <w:rPr>
          <w:rFonts w:hint="eastAsia"/>
        </w:rPr>
        <w:sym w:font="Symbol" w:char="F0B7"/>
      </w:r>
      <w:r>
        <w:rPr>
          <w:rFonts w:hint="eastAsia"/>
        </w:rPr>
        <w:tab/>
        <w:t>内务专员和联络官机构已经设立。目前已在布鲁塞尔派驻了一名内务专员，数名联络官已被派往德国、奥地利和捷克斯洛伐克共和国。</w:t>
      </w:r>
    </w:p>
    <w:p w:rsidR="0095327F" w:rsidRDefault="0095327F">
      <w:pPr>
        <w:pStyle w:val="SingleTxt"/>
        <w:ind w:left="1695" w:hanging="431"/>
        <w:rPr>
          <w:rFonts w:hint="eastAsia"/>
        </w:rPr>
      </w:pPr>
      <w:r>
        <w:rPr>
          <w:rFonts w:hint="eastAsia"/>
        </w:rPr>
        <w:sym w:font="Symbol" w:char="F0B7"/>
      </w:r>
      <w:r>
        <w:rPr>
          <w:rFonts w:hint="eastAsia"/>
        </w:rPr>
        <w:tab/>
        <w:t>2001年5月21日在布加勒斯特举行的打击贩运人口和非法移民区域会议由欧洲安全与合作组织当时的轮值主席罗马尼亚与东南欧合作倡议中心共同承办，这次会议为在区域一级采取更加系统的方式解决这些问题提供了重要机会。</w:t>
      </w:r>
    </w:p>
    <w:p w:rsidR="0095327F" w:rsidRDefault="0095327F">
      <w:pPr>
        <w:pStyle w:val="SingleTxt"/>
        <w:ind w:left="1695" w:hanging="431"/>
        <w:rPr>
          <w:rFonts w:hint="eastAsia"/>
        </w:rPr>
      </w:pPr>
      <w:r>
        <w:rPr>
          <w:rFonts w:hint="eastAsia"/>
        </w:rPr>
        <w:sym w:font="Symbol" w:char="F0B7"/>
      </w:r>
      <w:r>
        <w:rPr>
          <w:rFonts w:hint="eastAsia"/>
        </w:rPr>
        <w:tab/>
        <w:t>劳动、社会团结和家庭部在欧洲委员会的支持下，于2001年10月24－26日在布加勒斯特举办了一个关于罗马尼亚和摩尔多瓦共和国开展双边合作的地区研讨会，研讨会的目的是制定关于预防和打击人口贩运的立法，研讨会的对象主要是执法机构和参与这些特别活动的非政府组织的代表。研讨会由罗马尼亚外交部主办，并得到了该部的大力支持。</w:t>
      </w:r>
    </w:p>
    <w:p w:rsidR="0095327F" w:rsidRDefault="0095327F">
      <w:pPr>
        <w:pStyle w:val="SingleTxt"/>
        <w:rPr>
          <w:rFonts w:ascii="KaiTi_GB2312" w:eastAsia="KaiTi_GB2312" w:hint="eastAsia"/>
          <w:b/>
          <w:bCs/>
          <w:color w:val="0000FF"/>
        </w:rPr>
      </w:pPr>
      <w:r>
        <w:rPr>
          <w:rFonts w:ascii="KaiTi_GB2312" w:eastAsia="KaiTi_GB2312" w:hint="eastAsia"/>
          <w:b/>
          <w:bCs/>
          <w:color w:val="0000FF"/>
        </w:rPr>
        <w:t>预防</w:t>
      </w:r>
    </w:p>
    <w:p w:rsidR="0095327F" w:rsidRDefault="0095327F">
      <w:pPr>
        <w:pStyle w:val="SingleTxt"/>
        <w:ind w:left="1695" w:hanging="431"/>
        <w:rPr>
          <w:rFonts w:hint="eastAsia"/>
        </w:rPr>
      </w:pPr>
      <w:r>
        <w:rPr>
          <w:rFonts w:hint="eastAsia"/>
        </w:rPr>
        <w:sym w:font="Symbol" w:char="F0B7"/>
      </w:r>
      <w:r>
        <w:rPr>
          <w:rFonts w:hint="eastAsia"/>
        </w:rPr>
        <w:tab/>
        <w:t>罗马尼亚教育和研究部与国际移徙组织驻布加勒斯特办事处签署了一份合作议定书，旨在提供有利于贩运人口易受害人群的教育方案。同时，在全国各地区举办了一系列研讨会，很多教授接受了培训。随后，利用录像带和禁止贩运人口手册在各学校举办了大约20个关于贩运人口问题的咨询活动。</w:t>
      </w:r>
    </w:p>
    <w:p w:rsidR="0095327F" w:rsidRDefault="0095327F">
      <w:pPr>
        <w:pStyle w:val="SingleTxt"/>
        <w:ind w:left="1695" w:hanging="431"/>
        <w:rPr>
          <w:rFonts w:hint="eastAsia"/>
        </w:rPr>
      </w:pPr>
      <w:r>
        <w:rPr>
          <w:rFonts w:hint="eastAsia"/>
        </w:rPr>
        <w:sym w:font="Symbol" w:char="F0B7"/>
      </w:r>
      <w:r>
        <w:rPr>
          <w:rFonts w:hint="eastAsia"/>
        </w:rPr>
        <w:tab/>
        <w:t>罗马尼亚内务部与国际移徙组织驻布加勒斯特办事处和美国国际开发署开展合作，发起了一场贩运人口问题公共认识活动，所有有能力开展咨询活动的罗马尼亚有关机构都参加了活动。这次活动包括：</w:t>
      </w:r>
    </w:p>
    <w:p w:rsidR="0095327F" w:rsidRDefault="0095327F">
      <w:pPr>
        <w:pStyle w:val="SingleTxt"/>
        <w:ind w:left="1695"/>
        <w:rPr>
          <w:rFonts w:hint="eastAsia"/>
        </w:rPr>
      </w:pPr>
      <w:r>
        <w:rPr>
          <w:rFonts w:hint="eastAsia"/>
        </w:rPr>
        <w:t>-</w:t>
      </w:r>
      <w:r>
        <w:rPr>
          <w:rFonts w:hint="eastAsia"/>
        </w:rPr>
        <w:tab/>
        <w:t>在覆盖全国的电视台进行广告宣传；</w:t>
      </w:r>
    </w:p>
    <w:p w:rsidR="0095327F" w:rsidRDefault="0095327F">
      <w:pPr>
        <w:pStyle w:val="SingleTxt"/>
        <w:ind w:left="1695"/>
        <w:rPr>
          <w:rFonts w:hint="eastAsia"/>
        </w:rPr>
      </w:pPr>
      <w:r>
        <w:rPr>
          <w:rFonts w:hint="eastAsia"/>
        </w:rPr>
        <w:t>-</w:t>
      </w:r>
      <w:r>
        <w:rPr>
          <w:rFonts w:hint="eastAsia"/>
        </w:rPr>
        <w:tab/>
        <w:t>散发资料（海报、传单和小册子）；</w:t>
      </w:r>
    </w:p>
    <w:p w:rsidR="0095327F" w:rsidRDefault="0095327F">
      <w:pPr>
        <w:pStyle w:val="SingleTxt"/>
        <w:ind w:left="1695"/>
        <w:rPr>
          <w:rFonts w:hint="eastAsia"/>
        </w:rPr>
      </w:pPr>
      <w:r>
        <w:rPr>
          <w:rFonts w:hint="eastAsia"/>
        </w:rPr>
        <w:t>-</w:t>
      </w:r>
      <w:r>
        <w:rPr>
          <w:rFonts w:hint="eastAsia"/>
        </w:rPr>
        <w:tab/>
        <w:t>举办针对警察、教师和社会救济人员的研讨会；</w:t>
      </w:r>
    </w:p>
    <w:p w:rsidR="0095327F" w:rsidRDefault="0095327F">
      <w:pPr>
        <w:pStyle w:val="SingleTxt"/>
        <w:ind w:left="1695"/>
        <w:rPr>
          <w:rFonts w:hint="eastAsia"/>
        </w:rPr>
      </w:pPr>
      <w:r>
        <w:rPr>
          <w:rFonts w:hint="eastAsia"/>
        </w:rPr>
        <w:t>-</w:t>
      </w:r>
      <w:r>
        <w:rPr>
          <w:rFonts w:hint="eastAsia"/>
        </w:rPr>
        <w:tab/>
        <w:t>散发包含人口贩运女性受害者证词的录像带；</w:t>
      </w:r>
    </w:p>
    <w:p w:rsidR="0095327F" w:rsidRDefault="0095327F">
      <w:pPr>
        <w:pStyle w:val="SingleTxt"/>
        <w:ind w:left="1695"/>
        <w:rPr>
          <w:rFonts w:hint="eastAsia"/>
        </w:rPr>
      </w:pPr>
      <w:r>
        <w:rPr>
          <w:rFonts w:hint="eastAsia"/>
        </w:rPr>
        <w:t>-</w:t>
      </w:r>
      <w:r>
        <w:rPr>
          <w:rFonts w:hint="eastAsia"/>
        </w:rPr>
        <w:tab/>
        <w:t>就国外工作机会为人们提供咨询的活动；</w:t>
      </w:r>
    </w:p>
    <w:p w:rsidR="0095327F" w:rsidRDefault="0095327F">
      <w:pPr>
        <w:pStyle w:val="SingleTxt"/>
        <w:ind w:left="1695"/>
        <w:rPr>
          <w:rFonts w:hint="eastAsia"/>
        </w:rPr>
      </w:pPr>
      <w:r>
        <w:rPr>
          <w:rFonts w:hint="eastAsia"/>
        </w:rPr>
        <w:t>-</w:t>
      </w:r>
      <w:r>
        <w:rPr>
          <w:rFonts w:hint="eastAsia"/>
        </w:rPr>
        <w:tab/>
        <w:t>在学校和大学开展关于人口贩运和非法移民的公共认识活动。</w:t>
      </w:r>
    </w:p>
    <w:p w:rsidR="0095327F" w:rsidRDefault="0095327F">
      <w:pPr>
        <w:pStyle w:val="SingleTxt"/>
        <w:ind w:left="1695" w:hanging="431"/>
        <w:rPr>
          <w:rFonts w:hint="eastAsia"/>
        </w:rPr>
      </w:pPr>
      <w:r>
        <w:rPr>
          <w:rFonts w:hint="eastAsia"/>
        </w:rPr>
        <w:sym w:font="Symbol" w:char="F0B7"/>
      </w:r>
      <w:r>
        <w:rPr>
          <w:rFonts w:hint="eastAsia"/>
        </w:rPr>
        <w:tab/>
        <w:t>劳动、社会团结和家庭部以及全国就业机构通过各自在中央及地区一级的专门机构，制定并执行让被贩运风险较高的人员，特别是来自边远地区的妇女和社会处境不利的人员进入劳动力市场的特别措施。</w:t>
      </w:r>
    </w:p>
    <w:p w:rsidR="0095327F" w:rsidRDefault="0095327F">
      <w:pPr>
        <w:pStyle w:val="SingleTxt"/>
        <w:rPr>
          <w:rFonts w:ascii="KaiTi_GB2312" w:eastAsia="KaiTi_GB2312" w:hint="eastAsia"/>
          <w:b/>
          <w:bCs/>
          <w:color w:val="0000FF"/>
        </w:rPr>
      </w:pPr>
      <w:r>
        <w:rPr>
          <w:rFonts w:ascii="KaiTi_GB2312" w:eastAsia="KaiTi_GB2312" w:hint="eastAsia"/>
          <w:b/>
          <w:bCs/>
          <w:color w:val="0000FF"/>
        </w:rPr>
        <w:t>执法</w:t>
      </w:r>
    </w:p>
    <w:p w:rsidR="0095327F" w:rsidRDefault="0095327F">
      <w:pPr>
        <w:pStyle w:val="SingleTxt"/>
        <w:ind w:left="1695" w:hanging="431"/>
        <w:rPr>
          <w:rFonts w:hint="eastAsia"/>
        </w:rPr>
      </w:pPr>
      <w:r>
        <w:rPr>
          <w:rFonts w:hint="eastAsia"/>
        </w:rPr>
        <w:sym w:font="Symbol" w:char="F0B7"/>
      </w:r>
      <w:r>
        <w:rPr>
          <w:rFonts w:hint="eastAsia"/>
        </w:rPr>
        <w:tab/>
        <w:t>2001年，警方对贩运人口案件中的391人（158人涉嫌拉皮条，217人涉嫌卖淫，16人涉嫌犯有其他罪行）进行了调查。调查结果表明，调查对象有336人犯罪，其中，161人的罪行是拉皮条（108人在国外犯罪），126人卖淫（95人在国外卖淫）以及49人犯有其他罪行。在意大利破获并捣毁了一个卖淫网络。</w:t>
      </w:r>
    </w:p>
    <w:p w:rsidR="0095327F" w:rsidRDefault="0095327F">
      <w:pPr>
        <w:pStyle w:val="SingleTxt"/>
        <w:ind w:left="1695" w:hanging="431"/>
        <w:rPr>
          <w:rFonts w:hint="eastAsia"/>
        </w:rPr>
      </w:pPr>
      <w:r>
        <w:rPr>
          <w:rFonts w:hint="eastAsia"/>
        </w:rPr>
        <w:sym w:font="Symbol" w:char="F0B7"/>
      </w:r>
      <w:r>
        <w:rPr>
          <w:rFonts w:hint="eastAsia"/>
        </w:rPr>
        <w:tab/>
        <w:t>2001年，128人因拉皮条被定罪（1人处以罚款，127人判刑），148人因卖淫被定罪（7人处以罚款，141人判刑）。这些徒刑目前正在执行当中。</w:t>
      </w:r>
    </w:p>
    <w:p w:rsidR="0095327F" w:rsidRDefault="0095327F">
      <w:pPr>
        <w:pStyle w:val="SingleTxt"/>
        <w:ind w:left="1695" w:hanging="431"/>
        <w:rPr>
          <w:rFonts w:hint="eastAsia"/>
        </w:rPr>
      </w:pPr>
      <w:r>
        <w:rPr>
          <w:rFonts w:hint="eastAsia"/>
        </w:rPr>
        <w:sym w:font="Symbol" w:char="F0B7"/>
      </w:r>
      <w:r>
        <w:rPr>
          <w:rFonts w:hint="eastAsia"/>
        </w:rPr>
        <w:tab/>
        <w:t>在行动一级，行动的侧重点是一些企业、旅行社以及艺术/模特经纪公司的“地下”人口贩运活动。368个国际货运代理机构受到监控，发现有115个从事犯罪活动。此外，通过对报纸上招聘临时保育员、模特及演员的广告进行监控，查获了430人从事贩运人口活动，并捣毁了在摩尔达维亚或塞浦路斯活动的几个贩运网络。</w:t>
      </w:r>
    </w:p>
    <w:p w:rsidR="0095327F" w:rsidRDefault="0095327F">
      <w:pPr>
        <w:pStyle w:val="SingleTxt"/>
        <w:rPr>
          <w:rFonts w:hint="eastAsia"/>
        </w:rPr>
      </w:pPr>
      <w:r>
        <w:rPr>
          <w:rFonts w:hint="eastAsia"/>
        </w:rPr>
        <w:tab/>
        <w:t>鉴于贩运人口的原因之一是西欧或巴尔干地区的目的地地区的卖淫服务需求增长，地方当局应采取更加果断的行动，减少“服务”，惩治那些利用被贩运妇女牟利的人。另外，有必要加强来源国、过境国和目的地国当局之间的信息交流；只有这样做，各国当局在将罪犯交付审判时才有可能向法庭提供证据。因此，罗马尼亚提议，参与交流的所有国家应商定一套由受害人回答的标准问题。表格填好后将提供给受害人来源国当局。表格中的数据可编入数据库，用以提高警方活动的效率，拟定战略分析文件，以及预测贩运人口现象的发展动态。罗马尼亚已经通过东南欧合作倡议设在布加勒斯特的中心将问题提案传送给有关国家。</w:t>
      </w:r>
    </w:p>
    <w:p w:rsidR="0095327F" w:rsidRDefault="0095327F">
      <w:pPr>
        <w:pStyle w:val="SingleTxt"/>
        <w:rPr>
          <w:rFonts w:ascii="KaiTi_GB2312" w:eastAsia="KaiTi_GB2312" w:hint="eastAsia"/>
          <w:b/>
          <w:bCs/>
          <w:color w:val="0000FF"/>
        </w:rPr>
      </w:pPr>
      <w:r>
        <w:rPr>
          <w:rFonts w:ascii="KaiTi_GB2312" w:eastAsia="KaiTi_GB2312" w:hint="eastAsia"/>
          <w:b/>
          <w:bCs/>
          <w:color w:val="0000FF"/>
        </w:rPr>
        <w:t>援助和保护在国外和回国后的受害人</w:t>
      </w:r>
    </w:p>
    <w:p w:rsidR="0095327F" w:rsidRDefault="0095327F">
      <w:pPr>
        <w:pStyle w:val="SingleTxt"/>
        <w:ind w:left="1695" w:hanging="431"/>
        <w:rPr>
          <w:rFonts w:hint="eastAsia"/>
        </w:rPr>
      </w:pPr>
      <w:r>
        <w:rPr>
          <w:rFonts w:hint="eastAsia"/>
        </w:rPr>
        <w:sym w:font="Symbol" w:char="F0B7"/>
      </w:r>
      <w:r>
        <w:rPr>
          <w:rFonts w:hint="eastAsia"/>
        </w:rPr>
        <w:tab/>
        <w:t>驻贩运受害人目的地国的大使馆和领事馆接到了有关指示（方法），告诉它们如何执行第678/2001号法律的规定，其中特别提到：</w:t>
      </w:r>
    </w:p>
    <w:p w:rsidR="0095327F" w:rsidRDefault="0095327F">
      <w:pPr>
        <w:pStyle w:val="SingleTxt"/>
        <w:ind w:left="2126" w:hanging="431"/>
        <w:rPr>
          <w:rFonts w:hint="eastAsia"/>
        </w:rPr>
      </w:pPr>
      <w:r>
        <w:rPr>
          <w:rFonts w:hint="eastAsia"/>
        </w:rPr>
        <w:t>-</w:t>
      </w:r>
      <w:r>
        <w:rPr>
          <w:rFonts w:hint="eastAsia"/>
        </w:rPr>
        <w:tab/>
        <w:t>展示关于被贩运者权利的信息材料；</w:t>
      </w:r>
    </w:p>
    <w:p w:rsidR="0095327F" w:rsidRDefault="0095327F">
      <w:pPr>
        <w:pStyle w:val="SingleTxt"/>
        <w:ind w:left="2126" w:hanging="431"/>
        <w:rPr>
          <w:rFonts w:hint="eastAsia"/>
        </w:rPr>
      </w:pPr>
      <w:r>
        <w:rPr>
          <w:rFonts w:hint="eastAsia"/>
        </w:rPr>
        <w:t>-</w:t>
      </w:r>
      <w:r>
        <w:rPr>
          <w:rFonts w:hint="eastAsia"/>
        </w:rPr>
        <w:tab/>
        <w:t>通过适当手段向罗马尼亚国民介绍东道国的国内立法，并为受害者提供必要的援助和保护；</w:t>
      </w:r>
    </w:p>
    <w:p w:rsidR="0095327F" w:rsidRDefault="0095327F">
      <w:pPr>
        <w:pStyle w:val="SingleTxt"/>
        <w:ind w:left="1695"/>
        <w:rPr>
          <w:rFonts w:hint="eastAsia"/>
        </w:rPr>
      </w:pPr>
      <w:r>
        <w:rPr>
          <w:rFonts w:hint="eastAsia"/>
        </w:rPr>
        <w:t>-</w:t>
      </w:r>
      <w:r>
        <w:rPr>
          <w:rFonts w:hint="eastAsia"/>
        </w:rPr>
        <w:tab/>
        <w:t>将被贩运的受害者送回国；</w:t>
      </w:r>
    </w:p>
    <w:p w:rsidR="0095327F" w:rsidRDefault="0095327F">
      <w:pPr>
        <w:pStyle w:val="SingleTxt"/>
        <w:ind w:left="1695" w:hanging="431"/>
        <w:rPr>
          <w:rFonts w:hint="eastAsia"/>
        </w:rPr>
      </w:pPr>
      <w:r>
        <w:rPr>
          <w:rFonts w:hint="eastAsia"/>
        </w:rPr>
        <w:sym w:font="Symbol" w:char="F0B7"/>
      </w:r>
      <w:r>
        <w:rPr>
          <w:rFonts w:hint="eastAsia"/>
        </w:rPr>
        <w:tab/>
        <w:t>各驻外使馆和领事馆目前正在与非政府组织和其他国际组织进行密切合作，一道打击贩运人口行为，目的是为被贩运的罗马尼亚受害者提供援助。</w:t>
      </w:r>
    </w:p>
    <w:p w:rsidR="0095327F" w:rsidRDefault="0095327F">
      <w:pPr>
        <w:pStyle w:val="SingleTxt"/>
        <w:rPr>
          <w:rFonts w:hint="eastAsia"/>
        </w:rPr>
      </w:pPr>
      <w:r>
        <w:rPr>
          <w:rFonts w:hint="eastAsia"/>
        </w:rPr>
        <w:t xml:space="preserve">　　罗马尼亚驻萨拉热窝大使馆与萨拉热窝的国际移徙组织以及驻波斯尼亚-黑塞哥维那的国际警察特别工作组密切合作，分别于2000年和2001年协助将60名及58名受害者送回国内。罗马尼亚驻斯科普里大使馆2001年协助送回了86名受害者，自2002年初以来，协助送回了22名受害者。在这方面，大使馆正在与国际移徙组织斯科普里办事处以及国际移徙组织驻科索沃（前南斯拉夫共和国）办事机构开展密切合作。</w:t>
      </w:r>
    </w:p>
    <w:p w:rsidR="0095327F" w:rsidRDefault="0095327F">
      <w:pPr>
        <w:pStyle w:val="SingleTxt"/>
        <w:ind w:left="1695" w:hanging="431"/>
        <w:rPr>
          <w:rFonts w:hint="eastAsia"/>
        </w:rPr>
      </w:pPr>
      <w:r>
        <w:rPr>
          <w:rFonts w:hint="eastAsia"/>
        </w:rPr>
        <w:sym w:font="Symbol" w:char="F0B7"/>
      </w:r>
      <w:r>
        <w:rPr>
          <w:rFonts w:hint="eastAsia"/>
        </w:rPr>
        <w:tab/>
        <w:t>根据第678/2001号法律的规定，还将为回国的受害者提供援助和保护，其中包括：</w:t>
      </w:r>
    </w:p>
    <w:p w:rsidR="0095327F" w:rsidRDefault="0095327F">
      <w:pPr>
        <w:pStyle w:val="SingleTxt"/>
        <w:ind w:left="2126" w:hanging="431"/>
        <w:rPr>
          <w:rFonts w:hint="eastAsia"/>
        </w:rPr>
      </w:pPr>
      <w:r>
        <w:rPr>
          <w:rFonts w:hint="eastAsia"/>
        </w:rPr>
        <w:t>-</w:t>
      </w:r>
      <w:r>
        <w:rPr>
          <w:rFonts w:hint="eastAsia"/>
        </w:rPr>
        <w:tab/>
        <w:t>特别的身心保护和社会保护（包括为未成年人和妇女提供的保护）——目前正在为贩运人口受害者开设一条电话热线，筹措资金的渠道尚未确定。</w:t>
      </w:r>
    </w:p>
    <w:p w:rsidR="0095327F" w:rsidRDefault="0095327F">
      <w:pPr>
        <w:pStyle w:val="SingleTxt"/>
        <w:ind w:left="2126" w:hanging="431"/>
        <w:rPr>
          <w:rFonts w:hint="eastAsia"/>
        </w:rPr>
      </w:pPr>
      <w:r>
        <w:rPr>
          <w:rFonts w:hint="eastAsia"/>
        </w:rPr>
        <w:t>-</w:t>
      </w:r>
      <w:r>
        <w:rPr>
          <w:rFonts w:hint="eastAsia"/>
        </w:rPr>
        <w:tab/>
        <w:t>在自动处理和自由散发个人资料方面，根据保护个人的第677/2001号法律的条款保护个人私生活和身份；</w:t>
      </w:r>
    </w:p>
    <w:p w:rsidR="0095327F" w:rsidRDefault="0095327F">
      <w:pPr>
        <w:pStyle w:val="SingleTxt"/>
        <w:ind w:left="2126" w:hanging="431"/>
        <w:rPr>
          <w:rFonts w:hint="eastAsia"/>
        </w:rPr>
      </w:pPr>
      <w:r>
        <w:rPr>
          <w:rFonts w:hint="eastAsia"/>
        </w:rPr>
        <w:t>-</w:t>
      </w:r>
      <w:r>
        <w:rPr>
          <w:rFonts w:hint="eastAsia"/>
        </w:rPr>
        <w:tab/>
        <w:t>身心及社会康复方案；</w:t>
      </w:r>
    </w:p>
    <w:p w:rsidR="0095327F" w:rsidRDefault="0095327F">
      <w:pPr>
        <w:pStyle w:val="SingleTxt"/>
        <w:ind w:left="2126" w:hanging="431"/>
        <w:rPr>
          <w:rFonts w:hint="eastAsia"/>
        </w:rPr>
      </w:pPr>
      <w:r>
        <w:rPr>
          <w:rFonts w:hint="eastAsia"/>
        </w:rPr>
        <w:t>-</w:t>
      </w:r>
      <w:r>
        <w:rPr>
          <w:rFonts w:hint="eastAsia"/>
        </w:rPr>
        <w:tab/>
        <w:t>在审判期间保护受害者的人身安全；</w:t>
      </w:r>
    </w:p>
    <w:p w:rsidR="0095327F" w:rsidRDefault="0095327F">
      <w:pPr>
        <w:pStyle w:val="SingleTxt"/>
        <w:ind w:left="2126" w:hanging="431"/>
        <w:rPr>
          <w:rFonts w:hint="eastAsia"/>
        </w:rPr>
      </w:pPr>
      <w:r>
        <w:rPr>
          <w:rFonts w:hint="eastAsia"/>
        </w:rPr>
        <w:t>-</w:t>
      </w:r>
      <w:r>
        <w:rPr>
          <w:rFonts w:hint="eastAsia"/>
        </w:rPr>
        <w:tab/>
        <w:t>为被贩运的外国公民返回祖国提供便利，并且不得无端拖延，同时将他们安全地运送到罗马尼亚边境。可在特别安排的中心为被贩运的外国公民提供膳宿；申请由罗马尼亚提供特殊保护形式的人，可能根据第323/2001号法律被安置在特别安排的其他中心，并根据第102/2000号政府法令等候难民身份。</w:t>
      </w:r>
    </w:p>
    <w:p w:rsidR="0095327F" w:rsidRDefault="0095327F">
      <w:pPr>
        <w:pStyle w:val="SingleTxt"/>
        <w:ind w:left="2126" w:hanging="431"/>
        <w:rPr>
          <w:rFonts w:hint="eastAsia"/>
        </w:rPr>
      </w:pPr>
      <w:r>
        <w:rPr>
          <w:rFonts w:hint="eastAsia"/>
        </w:rPr>
        <w:t>-</w:t>
      </w:r>
      <w:r>
        <w:rPr>
          <w:rFonts w:hint="eastAsia"/>
        </w:rPr>
        <w:tab/>
        <w:t>保护受害人的权利系指被贩运的人员犯有卖淫罪的，将不予以追究，无论她/他在被贩运前是否向当局招供过这方面的情况，也不管该人在罪犯被抓获并受到起诉后是否为逮捕罪犯提供过便利。被贩运者还有权接受当然的司法援助，目的是在法律规定的刑事诉讼期间，在所有诉讼阶段维护他/她的权利，并有权向伤害他们的人贩子索取赔偿。受害者无论国籍如何，均有权以他们能够听懂的语言知悉适用他们的行政和法律程序，他们与罗马尼亚所有公民一样，可在同等条件下免费取得国家保健医疗。</w:t>
      </w:r>
    </w:p>
    <w:p w:rsidR="0095327F" w:rsidRDefault="0095327F">
      <w:pPr>
        <w:pStyle w:val="SingleTxt"/>
        <w:ind w:left="2126" w:hanging="431"/>
        <w:rPr>
          <w:rFonts w:hint="eastAsia"/>
        </w:rPr>
      </w:pPr>
      <w:r>
        <w:rPr>
          <w:rFonts w:hint="eastAsia"/>
        </w:rPr>
        <w:t>-</w:t>
      </w:r>
      <w:r>
        <w:rPr>
          <w:rFonts w:hint="eastAsia"/>
        </w:rPr>
        <w:tab/>
        <w:t>被贩运的受害者提出要求后，可在援助和保护被贩运受害者的“中心”得到临时膳宿安排。法律规定在9个县的地方委员会的管辖区开办9个“中心”，但由于预算资金有限，“中心”的实际开办时间延期。不过，现已与地方非政府组织合作开办了两个庇护所，它们已在布加勒斯特和皮特什蒂（阿尔杰什县）投入运营，同时，处理贩运人口受害者事务的其他非政府组织正在租借的住房和公寓中提供类似的援助。在“在罗马尼亚援助贩运人口的受害者及预防贩运人口行为”项目（由美国提供资金支持）的框架内，内务部和国际移徙组织布加勒斯特办事处签署了一项协议，内容是建立一个接待和临时招待中心，为被遣返的女性受害者提供医疗援助和辅导。</w:t>
      </w:r>
    </w:p>
    <w:p w:rsidR="0095327F" w:rsidRDefault="0095327F">
      <w:pPr>
        <w:pStyle w:val="SingleTxt"/>
        <w:ind w:left="2126" w:hanging="431"/>
        <w:rPr>
          <w:rFonts w:hint="eastAsia"/>
        </w:rPr>
      </w:pPr>
      <w:r>
        <w:rPr>
          <w:rFonts w:hint="eastAsia"/>
        </w:rPr>
        <w:t>-</w:t>
      </w:r>
      <w:r>
        <w:rPr>
          <w:rFonts w:hint="eastAsia"/>
        </w:rPr>
        <w:tab/>
        <w:t>为了让被贩运风险较高或者已被贩运的人进入工作领域，劳动、社会团结和家庭部制定并实施特别措施。全国就业机构实施介绍劳动力市场、雇员权利以及培训方案的宣传方案。将采取特别措施，激励经济行为主体雇用已接受过职业培训但被贩运风险较高的人以及被贩运的受害者。目前正在落实这些措施。</w:t>
      </w:r>
    </w:p>
    <w:p w:rsidR="0095327F" w:rsidRDefault="0095327F">
      <w:pPr>
        <w:pStyle w:val="SingleTxt"/>
        <w:rPr>
          <w:rFonts w:ascii="KaiTi_GB2312" w:eastAsia="KaiTi_GB2312" w:hint="eastAsia"/>
          <w:b/>
          <w:bCs/>
          <w:color w:val="0000FF"/>
        </w:rPr>
      </w:pPr>
      <w:r>
        <w:rPr>
          <w:rFonts w:ascii="KaiTi_GB2312" w:eastAsia="KaiTi_GB2312" w:hint="eastAsia"/>
          <w:b/>
          <w:bCs/>
          <w:color w:val="0000FF"/>
        </w:rPr>
        <w:t>职业培训</w:t>
      </w:r>
    </w:p>
    <w:p w:rsidR="0095327F" w:rsidRDefault="0095327F">
      <w:pPr>
        <w:pStyle w:val="SingleTxt"/>
        <w:rPr>
          <w:rFonts w:hint="eastAsia"/>
        </w:rPr>
      </w:pPr>
      <w:r>
        <w:rPr>
          <w:rFonts w:hint="eastAsia"/>
        </w:rPr>
        <w:tab/>
        <w:t>内务部本着尊重和促进人权与基本自由的精神对雇员进行的职业培训已成为一个优先事项和该机构长期特别关切的活动。</w:t>
      </w:r>
    </w:p>
    <w:p w:rsidR="0095327F" w:rsidRDefault="0095327F">
      <w:pPr>
        <w:pStyle w:val="SingleTxt"/>
        <w:rPr>
          <w:rFonts w:hint="eastAsia"/>
        </w:rPr>
      </w:pPr>
      <w:r>
        <w:rPr>
          <w:rFonts w:hint="eastAsia"/>
        </w:rPr>
        <w:tab/>
        <w:t>因此，未来的警官将在Alexandru Ioan Cuza警察学院以及士官培训学校接受人权领域的培训，学习“对人权的法律保护”和“国际人道主义”科目。这些课程将为学员介绍有关人权和人道主义法、与警务工作有关的国际国内文件的所有问题，以及为监督其实施设立的国际机构和为保障维护这些权利而规定的程序。</w:t>
      </w:r>
    </w:p>
    <w:p w:rsidR="0095327F" w:rsidRDefault="0095327F">
      <w:pPr>
        <w:pStyle w:val="SingleTxt"/>
        <w:rPr>
          <w:rFonts w:hint="eastAsia"/>
        </w:rPr>
      </w:pPr>
      <w:r>
        <w:rPr>
          <w:rFonts w:hint="eastAsia"/>
        </w:rPr>
        <w:tab/>
        <w:t>人权与人道主义法委员会在内务部一级开展工作，它是一个咨询机构，在特定问题上接受内务部的管理。这个委员会还有义务通过县与县之间的课程，在人权问题上提高内务部雇员的业务。这些课程是长期课程，并且在地区中心开设，因而使很多警员、边防警官以及处理护照、外国人及移民问题的官员有机会参加。</w:t>
      </w:r>
    </w:p>
    <w:p w:rsidR="0095327F" w:rsidRDefault="0095327F">
      <w:pPr>
        <w:pStyle w:val="SingleTxt"/>
        <w:rPr>
          <w:rFonts w:hint="eastAsia"/>
        </w:rPr>
      </w:pPr>
      <w:r>
        <w:rPr>
          <w:rFonts w:hint="eastAsia"/>
        </w:rPr>
        <w:tab/>
        <w:t>内务部是一个专事公共服务的机构，由民间社会通过其民主机构——议会、政府、公共事务部、法院——以及大众媒介和公民监管。内务部还证明，在实施国际标准以及与维护人权领域内的国内国际组织建立密切的伙伴关系方面，它自己是一个负责任的伙伴。</w:t>
      </w:r>
    </w:p>
    <w:p w:rsidR="0095327F" w:rsidRDefault="0095327F">
      <w:pPr>
        <w:pStyle w:val="SingleTxt"/>
        <w:rPr>
          <w:rFonts w:hint="eastAsia"/>
        </w:rPr>
      </w:pPr>
      <w:r>
        <w:rPr>
          <w:rFonts w:hint="eastAsia"/>
        </w:rPr>
        <w:tab/>
        <w:t>打击有组织犯罪与贩毒总局于2001年3月改组后，成立了一个全国性的禁止贩运人口特别工作组，其成员由打击有组织犯罪机构的40名警官组成。2002年，这些人参加了若干专门研讨会，研讨会的地点分别在加拉茨（负责罗马尼亚东部地区的地区中心）、克拉约瓦（南部地区）以及蒂米什瓦拉（西部地区）、布加勒斯特和曼加利亚。参加研讨会还有：边防警察部队以及情报和国内保护总局的警官、检察官、东南欧合作倡议中心的联络官、联邦调查局特工以及地方行政管理机构的代表。</w:t>
      </w:r>
    </w:p>
    <w:p w:rsidR="0095327F" w:rsidRDefault="0095327F">
      <w:pPr>
        <w:pStyle w:val="SingleTxt"/>
        <w:rPr>
          <w:rFonts w:ascii="SimHei" w:eastAsia="SimHei" w:hint="eastAsia"/>
          <w:color w:val="FF0000"/>
        </w:rPr>
      </w:pPr>
      <w:r>
        <w:rPr>
          <w:rFonts w:ascii="SimHei" w:eastAsia="SimHei" w:hint="eastAsia"/>
          <w:color w:val="FF0000"/>
        </w:rPr>
        <w:t>罗马尼亚警方在保护妇女不被贩运方面开展的活动</w:t>
      </w:r>
    </w:p>
    <w:p w:rsidR="0095327F" w:rsidRDefault="0095327F">
      <w:pPr>
        <w:pStyle w:val="SingleTxt"/>
        <w:rPr>
          <w:rFonts w:hint="eastAsia"/>
        </w:rPr>
      </w:pPr>
      <w:r>
        <w:rPr>
          <w:rFonts w:hint="eastAsia"/>
        </w:rPr>
        <w:tab/>
        <w:t>为查明贩运人口的根本原因而进行的比较分析和研究找出了两类原因：</w:t>
      </w:r>
    </w:p>
    <w:p w:rsidR="0095327F" w:rsidRDefault="0095327F">
      <w:pPr>
        <w:pStyle w:val="SingleTxt"/>
        <w:ind w:left="2126" w:hanging="431"/>
        <w:rPr>
          <w:rFonts w:hint="eastAsia"/>
        </w:rPr>
      </w:pPr>
      <w:r>
        <w:rPr>
          <w:rFonts w:hint="eastAsia"/>
        </w:rPr>
        <w:sym w:font="Symbol" w:char="F0B7"/>
      </w:r>
      <w:r>
        <w:rPr>
          <w:rFonts w:hint="eastAsia"/>
        </w:rPr>
        <w:tab/>
      </w:r>
      <w:r>
        <w:rPr>
          <w:rFonts w:ascii="SimHei" w:eastAsia="SimHei" w:hint="eastAsia"/>
          <w:color w:val="FF0000"/>
        </w:rPr>
        <w:t>内部原因</w:t>
      </w:r>
      <w:r>
        <w:rPr>
          <w:rFonts w:hint="eastAsia"/>
        </w:rPr>
        <w:t>（贫穷、工作岗位不够、社会不平等以及发横财的欲望）；</w:t>
      </w:r>
    </w:p>
    <w:p w:rsidR="0095327F" w:rsidRDefault="0095327F">
      <w:pPr>
        <w:pStyle w:val="SingleTxt"/>
        <w:ind w:left="2126" w:hanging="431"/>
        <w:rPr>
          <w:rFonts w:hint="eastAsia"/>
        </w:rPr>
      </w:pPr>
      <w:r>
        <w:rPr>
          <w:rFonts w:hint="eastAsia"/>
        </w:rPr>
        <w:sym w:font="Symbol" w:char="F0B7"/>
      </w:r>
      <w:r>
        <w:rPr>
          <w:rFonts w:hint="eastAsia"/>
        </w:rPr>
        <w:tab/>
      </w:r>
      <w:r>
        <w:rPr>
          <w:rFonts w:ascii="SimHei" w:eastAsia="SimHei" w:hint="eastAsia"/>
          <w:color w:val="FF0000"/>
        </w:rPr>
        <w:t>外部原因</w:t>
      </w:r>
      <w:r>
        <w:rPr>
          <w:rFonts w:hint="eastAsia"/>
        </w:rPr>
        <w:t>（富国的“需求量”大，目的地国为减少贩运需求实施的限制不明确）。</w:t>
      </w:r>
    </w:p>
    <w:p w:rsidR="0095327F" w:rsidRDefault="0095327F">
      <w:pPr>
        <w:pStyle w:val="SingleTxt"/>
        <w:rPr>
          <w:rFonts w:hint="eastAsia"/>
        </w:rPr>
      </w:pPr>
      <w:r>
        <w:rPr>
          <w:rFonts w:hint="eastAsia"/>
        </w:rPr>
        <w:tab/>
        <w:t>由于非法移民和贩运人口有明显区别，公认的事实是，转运是有组织犯罪团伙牟利的主要渠道，人们在全球化背景下工作和移动的自由会付出一些代价，而承担这些代价的主体以妇女中的易受害群体为甚。在这种情况下，据说贩运妇女尽管情况不同，但原因均相同，受到重视的共同特点是：</w:t>
      </w:r>
    </w:p>
    <w:p w:rsidR="0095327F" w:rsidRDefault="0095327F">
      <w:pPr>
        <w:pStyle w:val="SingleTxt"/>
        <w:ind w:left="1695"/>
        <w:rPr>
          <w:rFonts w:hint="eastAsia"/>
        </w:rPr>
      </w:pPr>
      <w:r>
        <w:rPr>
          <w:rFonts w:hint="eastAsia"/>
        </w:rPr>
        <w:t>a．</w:t>
      </w:r>
      <w:r>
        <w:rPr>
          <w:rFonts w:hint="eastAsia"/>
        </w:rPr>
        <w:tab/>
        <w:t>妇女在社会中作为易受害、贫穷和边缘化群体的状况；</w:t>
      </w:r>
    </w:p>
    <w:p w:rsidR="0095327F" w:rsidRDefault="0095327F">
      <w:pPr>
        <w:pStyle w:val="SingleTxt"/>
        <w:ind w:left="1695"/>
        <w:rPr>
          <w:rFonts w:hint="eastAsia"/>
        </w:rPr>
      </w:pPr>
      <w:r>
        <w:rPr>
          <w:rFonts w:hint="eastAsia"/>
        </w:rPr>
        <w:t>b．</w:t>
      </w:r>
      <w:r>
        <w:rPr>
          <w:rFonts w:hint="eastAsia"/>
        </w:rPr>
        <w:tab/>
        <w:t>贩运活动特别针对这些群体；</w:t>
      </w:r>
    </w:p>
    <w:p w:rsidR="0095327F" w:rsidRDefault="0095327F">
      <w:pPr>
        <w:pStyle w:val="SingleTxt"/>
        <w:ind w:left="1695"/>
        <w:rPr>
          <w:rFonts w:hint="eastAsia"/>
        </w:rPr>
      </w:pPr>
      <w:r>
        <w:rPr>
          <w:rFonts w:hint="eastAsia"/>
        </w:rPr>
        <w:t>c．</w:t>
      </w:r>
      <w:r>
        <w:rPr>
          <w:rFonts w:hint="eastAsia"/>
        </w:rPr>
        <w:tab/>
        <w:t>利润在大家共赢的情况下非常具有诱惑力；</w:t>
      </w:r>
    </w:p>
    <w:p w:rsidR="0095327F" w:rsidRDefault="0095327F">
      <w:pPr>
        <w:pStyle w:val="SingleTxt"/>
        <w:ind w:left="1695"/>
        <w:rPr>
          <w:rFonts w:hint="eastAsia"/>
        </w:rPr>
      </w:pPr>
      <w:r>
        <w:rPr>
          <w:rFonts w:hint="eastAsia"/>
        </w:rPr>
        <w:t>d．</w:t>
      </w:r>
      <w:r>
        <w:rPr>
          <w:rFonts w:hint="eastAsia"/>
        </w:rPr>
        <w:tab/>
        <w:t>惩处人贩子的措施不严厉。</w:t>
      </w:r>
    </w:p>
    <w:p w:rsidR="0095327F" w:rsidRDefault="0095327F">
      <w:pPr>
        <w:pStyle w:val="SingleTxt"/>
        <w:rPr>
          <w:rFonts w:ascii="KaiTi_GB2312" w:eastAsia="KaiTi_GB2312" w:hint="eastAsia"/>
          <w:b/>
          <w:bCs/>
          <w:color w:val="0000FF"/>
        </w:rPr>
      </w:pPr>
      <w:r>
        <w:rPr>
          <w:rFonts w:ascii="KaiTi_GB2312" w:eastAsia="KaiTi_GB2312" w:hint="eastAsia"/>
          <w:b/>
          <w:bCs/>
          <w:color w:val="0000FF"/>
        </w:rPr>
        <w:t>统计数据</w:t>
      </w:r>
    </w:p>
    <w:p w:rsidR="0095327F" w:rsidRDefault="0095327F">
      <w:pPr>
        <w:pStyle w:val="SingleTxt"/>
        <w:rPr>
          <w:rFonts w:hint="eastAsia"/>
        </w:rPr>
      </w:pPr>
      <w:r>
        <w:rPr>
          <w:rFonts w:hint="eastAsia"/>
        </w:rPr>
        <w:tab/>
        <w:t>在捣毁贩运人口网络的具体活动方面，2001年有510人被绳之以法，其中有280人被处以防范性拘留。此外，1 891人因犯有违反国家边境制度的罪行被绳之以法，224人被控犯有拉皮条罪行。</w:t>
      </w:r>
    </w:p>
    <w:p w:rsidR="0095327F" w:rsidRDefault="0095327F">
      <w:pPr>
        <w:pStyle w:val="SingleTxt"/>
        <w:rPr>
          <w:rFonts w:hint="eastAsia"/>
        </w:rPr>
      </w:pPr>
      <w:r>
        <w:rPr>
          <w:rFonts w:hint="eastAsia"/>
        </w:rPr>
        <w:tab/>
        <w:t>2002年，在对625人进行调查以查明他们是否参与有组织贩运人口及人体器官时，采取的行动很有成效，查出68人卖淫（48人在国外卖淫），189人（76人在国外）拉皮条。</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5"/>
        <w:gridCol w:w="1365"/>
      </w:tblGrid>
      <w:tr w:rsidR="0095327F">
        <w:tblPrEx>
          <w:tblCellMar>
            <w:top w:w="0" w:type="dxa"/>
            <w:bottom w:w="0" w:type="dxa"/>
          </w:tblCellMar>
        </w:tblPrEx>
        <w:tc>
          <w:tcPr>
            <w:tcW w:w="5985" w:type="dxa"/>
            <w:shd w:val="clear" w:color="auto" w:fill="D9D9D9"/>
          </w:tcPr>
          <w:p w:rsidR="0095327F" w:rsidRDefault="0095327F">
            <w:pPr>
              <w:spacing w:before="60" w:after="60" w:line="280" w:lineRule="exact"/>
              <w:rPr>
                <w:rFonts w:ascii="Times New Roman" w:hint="eastAsia"/>
              </w:rPr>
            </w:pPr>
            <w:r>
              <w:rPr>
                <w:rFonts w:ascii="Times New Roman" w:hint="eastAsia"/>
              </w:rPr>
              <w:t>有组织贩运人口及人体器官</w:t>
            </w:r>
            <w:r>
              <w:rPr>
                <w:rFonts w:ascii="Times New Roman" w:hint="eastAsia"/>
              </w:rPr>
              <w:t>-</w:t>
            </w:r>
            <w:r>
              <w:rPr>
                <w:rFonts w:ascii="Times New Roman" w:hint="eastAsia"/>
              </w:rPr>
              <w:t>总人数</w:t>
            </w:r>
          </w:p>
        </w:tc>
        <w:tc>
          <w:tcPr>
            <w:tcW w:w="1365" w:type="dxa"/>
            <w:shd w:val="clear" w:color="auto" w:fill="D9D9D9"/>
          </w:tcPr>
          <w:p w:rsidR="0095327F" w:rsidRDefault="0095327F">
            <w:pPr>
              <w:spacing w:before="60" w:after="60" w:line="280" w:lineRule="exact"/>
              <w:jc w:val="center"/>
              <w:rPr>
                <w:rFonts w:ascii="Times New Roman" w:hint="eastAsia"/>
              </w:rPr>
            </w:pPr>
            <w:r>
              <w:rPr>
                <w:rFonts w:ascii="Times New Roman" w:hint="eastAsia"/>
              </w:rPr>
              <w:t>685</w:t>
            </w:r>
          </w:p>
        </w:tc>
      </w:tr>
      <w:tr w:rsidR="0095327F">
        <w:tblPrEx>
          <w:tblCellMar>
            <w:top w:w="0" w:type="dxa"/>
            <w:bottom w:w="0" w:type="dxa"/>
          </w:tblCellMar>
        </w:tblPrEx>
        <w:tc>
          <w:tcPr>
            <w:tcW w:w="5985" w:type="dxa"/>
          </w:tcPr>
          <w:p w:rsidR="0095327F" w:rsidRDefault="0095327F" w:rsidP="004F22A5">
            <w:pPr>
              <w:spacing w:before="60" w:after="60" w:line="280" w:lineRule="exact"/>
              <w:ind w:firstLineChars="200" w:firstLine="31680"/>
              <w:rPr>
                <w:rFonts w:ascii="Times New Roman" w:eastAsia="KaiTi_GB2312" w:hint="eastAsia"/>
                <w:b/>
                <w:bCs/>
              </w:rPr>
            </w:pPr>
            <w:r>
              <w:rPr>
                <w:rFonts w:ascii="Times New Roman" w:eastAsia="KaiTi_GB2312" w:hint="eastAsia"/>
                <w:b/>
                <w:bCs/>
              </w:rPr>
              <w:t>接受调查的人－合计</w:t>
            </w:r>
          </w:p>
        </w:tc>
        <w:tc>
          <w:tcPr>
            <w:tcW w:w="1365" w:type="dxa"/>
          </w:tcPr>
          <w:p w:rsidR="0095327F" w:rsidRDefault="0095327F">
            <w:pPr>
              <w:spacing w:before="60" w:after="60" w:line="280" w:lineRule="exact"/>
              <w:jc w:val="center"/>
              <w:rPr>
                <w:rFonts w:ascii="Times New Roman" w:hint="eastAsia"/>
              </w:rPr>
            </w:pPr>
            <w:r>
              <w:rPr>
                <w:rFonts w:ascii="Times New Roman" w:hint="eastAsia"/>
              </w:rPr>
              <w:t>625</w:t>
            </w:r>
          </w:p>
        </w:tc>
      </w:tr>
      <w:tr w:rsidR="0095327F">
        <w:tblPrEx>
          <w:tblCellMar>
            <w:top w:w="0" w:type="dxa"/>
            <w:bottom w:w="0" w:type="dxa"/>
          </w:tblCellMar>
        </w:tblPrEx>
        <w:tc>
          <w:tcPr>
            <w:tcW w:w="5985" w:type="dxa"/>
            <w:shd w:val="clear" w:color="auto" w:fill="D9D9D9"/>
          </w:tcPr>
          <w:p w:rsidR="0095327F" w:rsidRDefault="0095327F" w:rsidP="004F22A5">
            <w:pPr>
              <w:spacing w:before="60" w:after="60" w:line="280" w:lineRule="exact"/>
              <w:ind w:leftChars="400" w:left="31680" w:hangingChars="200" w:firstLine="31680"/>
              <w:rPr>
                <w:rFonts w:ascii="Times New Roman" w:hint="eastAsia"/>
              </w:rPr>
            </w:pPr>
            <w:r>
              <w:rPr>
                <w:rFonts w:ascii="Times New Roman" w:hint="eastAsia"/>
              </w:rPr>
              <w:t>1</w:t>
            </w:r>
            <w:r>
              <w:rPr>
                <w:rFonts w:ascii="Times New Roman" w:hint="eastAsia"/>
              </w:rPr>
              <w:t>．</w:t>
            </w:r>
            <w:r>
              <w:rPr>
                <w:rFonts w:ascii="Times New Roman"/>
              </w:rPr>
              <w:tab/>
            </w:r>
            <w:r>
              <w:rPr>
                <w:rFonts w:ascii="Times New Roman" w:hint="eastAsia"/>
              </w:rPr>
              <w:t>卖淫－合计</w:t>
            </w:r>
          </w:p>
        </w:tc>
        <w:tc>
          <w:tcPr>
            <w:tcW w:w="1365" w:type="dxa"/>
            <w:shd w:val="clear" w:color="auto" w:fill="D9D9D9"/>
          </w:tcPr>
          <w:p w:rsidR="0095327F" w:rsidRDefault="0095327F">
            <w:pPr>
              <w:spacing w:before="60" w:after="60" w:line="280" w:lineRule="exact"/>
              <w:jc w:val="center"/>
              <w:rPr>
                <w:rFonts w:ascii="Times New Roman" w:hint="eastAsia"/>
              </w:rPr>
            </w:pPr>
            <w:r>
              <w:rPr>
                <w:rFonts w:ascii="Times New Roman" w:hint="eastAsia"/>
              </w:rPr>
              <w:t>68</w:t>
            </w:r>
          </w:p>
        </w:tc>
      </w:tr>
      <w:tr w:rsidR="0095327F">
        <w:tblPrEx>
          <w:tblCellMar>
            <w:top w:w="0" w:type="dxa"/>
            <w:bottom w:w="0" w:type="dxa"/>
          </w:tblCellMar>
        </w:tblPrEx>
        <w:tc>
          <w:tcPr>
            <w:tcW w:w="5985" w:type="dxa"/>
          </w:tcPr>
          <w:p w:rsidR="0095327F" w:rsidRDefault="0095327F" w:rsidP="004F22A5">
            <w:pPr>
              <w:spacing w:before="60" w:after="60" w:line="280" w:lineRule="exact"/>
              <w:ind w:firstLineChars="600" w:firstLine="31680"/>
              <w:rPr>
                <w:rFonts w:ascii="KaiTi_GB2312" w:eastAsia="KaiTi_GB2312" w:hint="eastAsia"/>
              </w:rPr>
            </w:pPr>
            <w:r>
              <w:rPr>
                <w:rFonts w:ascii="KaiTi_GB2312" w:eastAsia="KaiTi_GB2312" w:hint="eastAsia"/>
              </w:rPr>
              <w:sym w:font="Symbol" w:char="F02D"/>
            </w:r>
            <w:r>
              <w:rPr>
                <w:rFonts w:ascii="KaiTi_GB2312" w:eastAsia="KaiTi_GB2312" w:hint="eastAsia"/>
              </w:rPr>
              <w:t xml:space="preserve">  被告</w:t>
            </w:r>
          </w:p>
        </w:tc>
        <w:tc>
          <w:tcPr>
            <w:tcW w:w="1365" w:type="dxa"/>
          </w:tcPr>
          <w:p w:rsidR="0095327F" w:rsidRDefault="0095327F">
            <w:pPr>
              <w:spacing w:before="60" w:after="60" w:line="280" w:lineRule="exact"/>
              <w:jc w:val="center"/>
              <w:rPr>
                <w:rFonts w:ascii="Times New Roman" w:hint="eastAsia"/>
              </w:rPr>
            </w:pPr>
            <w:r>
              <w:rPr>
                <w:rFonts w:ascii="Times New Roman" w:hint="eastAsia"/>
              </w:rPr>
              <w:t>68</w:t>
            </w:r>
          </w:p>
        </w:tc>
      </w:tr>
      <w:tr w:rsidR="0095327F">
        <w:tblPrEx>
          <w:tblCellMar>
            <w:top w:w="0" w:type="dxa"/>
            <w:bottom w:w="0" w:type="dxa"/>
          </w:tblCellMar>
        </w:tblPrEx>
        <w:tc>
          <w:tcPr>
            <w:tcW w:w="5985" w:type="dxa"/>
            <w:shd w:val="clear" w:color="auto" w:fill="D9D9D9"/>
          </w:tcPr>
          <w:p w:rsidR="0095327F" w:rsidRDefault="0095327F" w:rsidP="004F22A5">
            <w:pPr>
              <w:spacing w:before="60" w:after="60" w:line="280" w:lineRule="exact"/>
              <w:ind w:firstLineChars="600" w:firstLine="31680"/>
              <w:rPr>
                <w:rFonts w:ascii="KaiTi_GB2312" w:eastAsia="KaiTi_GB2312" w:hint="eastAsia"/>
              </w:rPr>
            </w:pPr>
            <w:r>
              <w:rPr>
                <w:rFonts w:ascii="KaiTi_GB2312" w:eastAsia="KaiTi_GB2312" w:hint="eastAsia"/>
              </w:rPr>
              <w:sym w:font="Symbol" w:char="F02D"/>
            </w:r>
            <w:r>
              <w:rPr>
                <w:rFonts w:ascii="KaiTi_GB2312" w:eastAsia="KaiTi_GB2312" w:hint="eastAsia"/>
              </w:rPr>
              <w:t xml:space="preserve">  国外</w:t>
            </w:r>
          </w:p>
        </w:tc>
        <w:tc>
          <w:tcPr>
            <w:tcW w:w="1365" w:type="dxa"/>
            <w:shd w:val="clear" w:color="auto" w:fill="D9D9D9"/>
          </w:tcPr>
          <w:p w:rsidR="0095327F" w:rsidRDefault="0095327F">
            <w:pPr>
              <w:spacing w:before="60" w:after="60" w:line="280" w:lineRule="exact"/>
              <w:jc w:val="center"/>
              <w:rPr>
                <w:rFonts w:ascii="Times New Roman" w:hint="eastAsia"/>
              </w:rPr>
            </w:pPr>
            <w:r>
              <w:rPr>
                <w:rFonts w:ascii="Times New Roman" w:hint="eastAsia"/>
              </w:rPr>
              <w:t>48</w:t>
            </w:r>
          </w:p>
        </w:tc>
      </w:tr>
      <w:tr w:rsidR="0095327F">
        <w:tblPrEx>
          <w:tblCellMar>
            <w:top w:w="0" w:type="dxa"/>
            <w:bottom w:w="0" w:type="dxa"/>
          </w:tblCellMar>
        </w:tblPrEx>
        <w:tc>
          <w:tcPr>
            <w:tcW w:w="5985" w:type="dxa"/>
          </w:tcPr>
          <w:p w:rsidR="0095327F" w:rsidRDefault="0095327F" w:rsidP="004F22A5">
            <w:pPr>
              <w:spacing w:before="60" w:after="60" w:line="280" w:lineRule="exact"/>
              <w:ind w:leftChars="400" w:left="31680" w:hangingChars="200" w:firstLine="31680"/>
              <w:rPr>
                <w:rFonts w:ascii="Times New Roman" w:hint="eastAsia"/>
              </w:rPr>
            </w:pPr>
            <w:r>
              <w:rPr>
                <w:rFonts w:ascii="Times New Roman" w:hint="eastAsia"/>
              </w:rPr>
              <w:t>2</w:t>
            </w:r>
            <w:r>
              <w:rPr>
                <w:rFonts w:ascii="Times New Roman" w:hint="eastAsia"/>
              </w:rPr>
              <w:t>．</w:t>
            </w:r>
            <w:r>
              <w:rPr>
                <w:rFonts w:ascii="Times New Roman"/>
              </w:rPr>
              <w:tab/>
            </w:r>
            <w:r>
              <w:rPr>
                <w:rFonts w:ascii="Times New Roman" w:hint="eastAsia"/>
              </w:rPr>
              <w:t>拉皮条</w:t>
            </w:r>
          </w:p>
        </w:tc>
        <w:tc>
          <w:tcPr>
            <w:tcW w:w="1365" w:type="dxa"/>
          </w:tcPr>
          <w:p w:rsidR="0095327F" w:rsidRDefault="0095327F">
            <w:pPr>
              <w:spacing w:before="60" w:after="60" w:line="280" w:lineRule="exact"/>
              <w:jc w:val="center"/>
              <w:rPr>
                <w:rFonts w:ascii="Times New Roman" w:hint="eastAsia"/>
              </w:rPr>
            </w:pPr>
            <w:r>
              <w:rPr>
                <w:rFonts w:ascii="Times New Roman" w:hint="eastAsia"/>
              </w:rPr>
              <w:t>196</w:t>
            </w:r>
          </w:p>
        </w:tc>
      </w:tr>
      <w:tr w:rsidR="0095327F">
        <w:tblPrEx>
          <w:tblCellMar>
            <w:top w:w="0" w:type="dxa"/>
            <w:bottom w:w="0" w:type="dxa"/>
          </w:tblCellMar>
        </w:tblPrEx>
        <w:tc>
          <w:tcPr>
            <w:tcW w:w="5985" w:type="dxa"/>
            <w:shd w:val="clear" w:color="auto" w:fill="D9D9D9"/>
          </w:tcPr>
          <w:p w:rsidR="0095327F" w:rsidRDefault="0095327F" w:rsidP="004F22A5">
            <w:pPr>
              <w:spacing w:before="60" w:after="60" w:line="280" w:lineRule="exact"/>
              <w:ind w:firstLineChars="600" w:firstLine="31680"/>
              <w:rPr>
                <w:rFonts w:ascii="KaiTi_GB2312" w:eastAsia="KaiTi_GB2312" w:hint="eastAsia"/>
              </w:rPr>
            </w:pPr>
            <w:r>
              <w:rPr>
                <w:rFonts w:ascii="KaiTi_GB2312" w:eastAsia="KaiTi_GB2312" w:hint="eastAsia"/>
              </w:rPr>
              <w:sym w:font="Symbol" w:char="F02D"/>
            </w:r>
            <w:r>
              <w:rPr>
                <w:rFonts w:ascii="KaiTi_GB2312" w:eastAsia="KaiTi_GB2312" w:hint="eastAsia"/>
              </w:rPr>
              <w:t xml:space="preserve">  被告</w:t>
            </w:r>
          </w:p>
        </w:tc>
        <w:tc>
          <w:tcPr>
            <w:tcW w:w="1365" w:type="dxa"/>
            <w:shd w:val="clear" w:color="auto" w:fill="D9D9D9"/>
          </w:tcPr>
          <w:p w:rsidR="0095327F" w:rsidRDefault="0095327F">
            <w:pPr>
              <w:spacing w:before="60" w:after="60" w:line="280" w:lineRule="exact"/>
              <w:jc w:val="center"/>
              <w:rPr>
                <w:rFonts w:ascii="Times New Roman" w:hint="eastAsia"/>
              </w:rPr>
            </w:pPr>
            <w:r>
              <w:rPr>
                <w:rFonts w:ascii="Times New Roman" w:hint="eastAsia"/>
              </w:rPr>
              <w:t>189</w:t>
            </w:r>
          </w:p>
        </w:tc>
      </w:tr>
      <w:tr w:rsidR="0095327F">
        <w:tblPrEx>
          <w:tblCellMar>
            <w:top w:w="0" w:type="dxa"/>
            <w:bottom w:w="0" w:type="dxa"/>
          </w:tblCellMar>
        </w:tblPrEx>
        <w:tc>
          <w:tcPr>
            <w:tcW w:w="5985" w:type="dxa"/>
          </w:tcPr>
          <w:p w:rsidR="0095327F" w:rsidRDefault="0095327F" w:rsidP="004F22A5">
            <w:pPr>
              <w:spacing w:before="60" w:after="60" w:line="280" w:lineRule="exact"/>
              <w:ind w:firstLineChars="600" w:firstLine="31680"/>
              <w:rPr>
                <w:rFonts w:ascii="KaiTi_GB2312" w:eastAsia="KaiTi_GB2312" w:hint="eastAsia"/>
              </w:rPr>
            </w:pPr>
            <w:r>
              <w:rPr>
                <w:rFonts w:ascii="KaiTi_GB2312" w:eastAsia="KaiTi_GB2312" w:hint="eastAsia"/>
              </w:rPr>
              <w:sym w:font="Symbol" w:char="F02D"/>
            </w:r>
            <w:r>
              <w:rPr>
                <w:rFonts w:ascii="KaiTi_GB2312" w:eastAsia="KaiTi_GB2312" w:hint="eastAsia"/>
              </w:rPr>
              <w:t xml:space="preserve">  国外</w:t>
            </w:r>
          </w:p>
        </w:tc>
        <w:tc>
          <w:tcPr>
            <w:tcW w:w="1365" w:type="dxa"/>
          </w:tcPr>
          <w:p w:rsidR="0095327F" w:rsidRDefault="0095327F">
            <w:pPr>
              <w:spacing w:before="60" w:after="60" w:line="280" w:lineRule="exact"/>
              <w:jc w:val="center"/>
              <w:rPr>
                <w:rFonts w:ascii="Times New Roman" w:hint="eastAsia"/>
              </w:rPr>
            </w:pPr>
            <w:r>
              <w:rPr>
                <w:rFonts w:ascii="Times New Roman" w:hint="eastAsia"/>
              </w:rPr>
              <w:t>76</w:t>
            </w:r>
          </w:p>
        </w:tc>
      </w:tr>
      <w:tr w:rsidR="0095327F">
        <w:tblPrEx>
          <w:tblCellMar>
            <w:top w:w="0" w:type="dxa"/>
            <w:bottom w:w="0" w:type="dxa"/>
          </w:tblCellMar>
        </w:tblPrEx>
        <w:tc>
          <w:tcPr>
            <w:tcW w:w="5985" w:type="dxa"/>
            <w:shd w:val="clear" w:color="auto" w:fill="D9D9D9"/>
          </w:tcPr>
          <w:p w:rsidR="0095327F" w:rsidRDefault="0095327F" w:rsidP="004F22A5">
            <w:pPr>
              <w:spacing w:before="60" w:after="60" w:line="280" w:lineRule="exact"/>
              <w:ind w:leftChars="400" w:left="31680" w:hangingChars="200" w:firstLine="31680"/>
              <w:rPr>
                <w:rFonts w:ascii="Times New Roman" w:hint="eastAsia"/>
              </w:rPr>
            </w:pPr>
            <w:r>
              <w:rPr>
                <w:rFonts w:ascii="Times New Roman" w:hint="eastAsia"/>
              </w:rPr>
              <w:t>3</w:t>
            </w:r>
            <w:r>
              <w:rPr>
                <w:rFonts w:ascii="Times New Roman" w:hint="eastAsia"/>
              </w:rPr>
              <w:t>．</w:t>
            </w:r>
            <w:r>
              <w:rPr>
                <w:rFonts w:ascii="Times New Roman"/>
              </w:rPr>
              <w:tab/>
            </w:r>
            <w:r>
              <w:rPr>
                <w:rFonts w:ascii="Times New Roman" w:hint="eastAsia"/>
              </w:rPr>
              <w:t>非法收养－第</w:t>
            </w:r>
            <w:r>
              <w:rPr>
                <w:rFonts w:ascii="Times New Roman" w:hint="eastAsia"/>
              </w:rPr>
              <w:t>87/1998</w:t>
            </w:r>
            <w:r>
              <w:rPr>
                <w:rFonts w:ascii="Times New Roman" w:hint="eastAsia"/>
              </w:rPr>
              <w:t>号法律第</w:t>
            </w:r>
            <w:r>
              <w:rPr>
                <w:rFonts w:ascii="Times New Roman" w:hint="eastAsia"/>
              </w:rPr>
              <w:t>26</w:t>
            </w:r>
            <w:r>
              <w:rPr>
                <w:rFonts w:ascii="Times New Roman" w:hint="eastAsia"/>
              </w:rPr>
              <w:t>条</w:t>
            </w:r>
          </w:p>
        </w:tc>
        <w:tc>
          <w:tcPr>
            <w:tcW w:w="1365" w:type="dxa"/>
            <w:shd w:val="clear" w:color="auto" w:fill="D9D9D9"/>
          </w:tcPr>
          <w:p w:rsidR="0095327F" w:rsidRDefault="0095327F">
            <w:pPr>
              <w:spacing w:before="60" w:after="60" w:line="280" w:lineRule="exact"/>
              <w:jc w:val="center"/>
              <w:rPr>
                <w:rFonts w:ascii="Times New Roman" w:hint="eastAsia"/>
              </w:rPr>
            </w:pPr>
            <w:r>
              <w:rPr>
                <w:rFonts w:ascii="Times New Roman" w:hint="eastAsia"/>
              </w:rPr>
              <w:t>3</w:t>
            </w:r>
          </w:p>
        </w:tc>
      </w:tr>
      <w:tr w:rsidR="0095327F">
        <w:tblPrEx>
          <w:tblCellMar>
            <w:top w:w="0" w:type="dxa"/>
            <w:bottom w:w="0" w:type="dxa"/>
          </w:tblCellMar>
        </w:tblPrEx>
        <w:tc>
          <w:tcPr>
            <w:tcW w:w="5985" w:type="dxa"/>
          </w:tcPr>
          <w:p w:rsidR="0095327F" w:rsidRDefault="0095327F" w:rsidP="004F22A5">
            <w:pPr>
              <w:spacing w:before="60" w:after="60" w:line="280" w:lineRule="exact"/>
              <w:ind w:firstLineChars="600" w:firstLine="31680"/>
              <w:rPr>
                <w:rFonts w:ascii="KaiTi_GB2312" w:eastAsia="KaiTi_GB2312" w:hint="eastAsia"/>
              </w:rPr>
            </w:pPr>
            <w:r>
              <w:rPr>
                <w:rFonts w:ascii="KaiTi_GB2312" w:eastAsia="KaiTi_GB2312" w:hint="eastAsia"/>
              </w:rPr>
              <w:sym w:font="Symbol" w:char="F02D"/>
            </w:r>
            <w:r>
              <w:rPr>
                <w:rFonts w:ascii="KaiTi_GB2312" w:eastAsia="KaiTi_GB2312" w:hint="eastAsia"/>
              </w:rPr>
              <w:t xml:space="preserve">  被告</w:t>
            </w:r>
          </w:p>
        </w:tc>
        <w:tc>
          <w:tcPr>
            <w:tcW w:w="1365" w:type="dxa"/>
          </w:tcPr>
          <w:p w:rsidR="0095327F" w:rsidRDefault="0095327F">
            <w:pPr>
              <w:spacing w:before="60" w:after="60" w:line="280" w:lineRule="exact"/>
              <w:jc w:val="center"/>
              <w:rPr>
                <w:rFonts w:ascii="Times New Roman" w:hint="eastAsia"/>
              </w:rPr>
            </w:pPr>
            <w:r>
              <w:rPr>
                <w:rFonts w:ascii="Times New Roman" w:hint="eastAsia"/>
              </w:rPr>
              <w:t>6</w:t>
            </w:r>
          </w:p>
        </w:tc>
      </w:tr>
      <w:tr w:rsidR="0095327F">
        <w:tblPrEx>
          <w:tblCellMar>
            <w:top w:w="0" w:type="dxa"/>
            <w:bottom w:w="0" w:type="dxa"/>
          </w:tblCellMar>
        </w:tblPrEx>
        <w:tc>
          <w:tcPr>
            <w:tcW w:w="5985" w:type="dxa"/>
            <w:shd w:val="clear" w:color="auto" w:fill="D9D9D9"/>
          </w:tcPr>
          <w:p w:rsidR="0095327F" w:rsidRDefault="0095327F" w:rsidP="004F22A5">
            <w:pPr>
              <w:spacing w:before="60" w:after="60" w:line="280" w:lineRule="exact"/>
              <w:ind w:leftChars="400" w:left="31680" w:hangingChars="200" w:firstLine="31680"/>
              <w:rPr>
                <w:rFonts w:ascii="Times New Roman" w:hint="eastAsia"/>
              </w:rPr>
            </w:pPr>
            <w:r>
              <w:rPr>
                <w:rFonts w:ascii="Times New Roman" w:hint="eastAsia"/>
              </w:rPr>
              <w:t>4</w:t>
            </w:r>
            <w:r>
              <w:rPr>
                <w:rFonts w:ascii="Times New Roman" w:hint="eastAsia"/>
              </w:rPr>
              <w:t>．</w:t>
            </w:r>
            <w:r>
              <w:rPr>
                <w:rFonts w:ascii="Times New Roman"/>
              </w:rPr>
              <w:tab/>
            </w:r>
            <w:r>
              <w:rPr>
                <w:rFonts w:ascii="Times New Roman" w:hint="eastAsia"/>
              </w:rPr>
              <w:t>贩运人体组织和器官－第</w:t>
            </w:r>
            <w:r>
              <w:rPr>
                <w:rFonts w:ascii="Times New Roman" w:hint="eastAsia"/>
              </w:rPr>
              <w:t>2/1998</w:t>
            </w:r>
            <w:r>
              <w:rPr>
                <w:rFonts w:ascii="Times New Roman" w:hint="eastAsia"/>
              </w:rPr>
              <w:t>号法律</w:t>
            </w:r>
          </w:p>
        </w:tc>
        <w:tc>
          <w:tcPr>
            <w:tcW w:w="1365" w:type="dxa"/>
            <w:shd w:val="clear" w:color="auto" w:fill="D9D9D9"/>
          </w:tcPr>
          <w:p w:rsidR="0095327F" w:rsidRDefault="0095327F">
            <w:pPr>
              <w:spacing w:before="60" w:after="60" w:line="280" w:lineRule="exact"/>
              <w:jc w:val="center"/>
              <w:rPr>
                <w:rFonts w:ascii="Times New Roman" w:hint="eastAsia"/>
              </w:rPr>
            </w:pPr>
          </w:p>
        </w:tc>
      </w:tr>
      <w:tr w:rsidR="0095327F">
        <w:tblPrEx>
          <w:tblCellMar>
            <w:top w:w="0" w:type="dxa"/>
            <w:bottom w:w="0" w:type="dxa"/>
          </w:tblCellMar>
        </w:tblPrEx>
        <w:tc>
          <w:tcPr>
            <w:tcW w:w="5985" w:type="dxa"/>
          </w:tcPr>
          <w:p w:rsidR="0095327F" w:rsidRDefault="0095327F" w:rsidP="004F22A5">
            <w:pPr>
              <w:spacing w:before="60" w:after="60" w:line="280" w:lineRule="exact"/>
              <w:ind w:firstLineChars="600" w:firstLine="31680"/>
              <w:rPr>
                <w:rFonts w:ascii="KaiTi_GB2312" w:eastAsia="KaiTi_GB2312" w:hint="eastAsia"/>
              </w:rPr>
            </w:pPr>
            <w:r>
              <w:rPr>
                <w:rFonts w:ascii="KaiTi_GB2312" w:eastAsia="KaiTi_GB2312" w:hint="eastAsia"/>
              </w:rPr>
              <w:sym w:font="Symbol" w:char="F02D"/>
            </w:r>
            <w:r>
              <w:rPr>
                <w:rFonts w:ascii="KaiTi_GB2312" w:eastAsia="KaiTi_GB2312" w:hint="eastAsia"/>
              </w:rPr>
              <w:t xml:space="preserve">  被告</w:t>
            </w:r>
          </w:p>
        </w:tc>
        <w:tc>
          <w:tcPr>
            <w:tcW w:w="1365" w:type="dxa"/>
          </w:tcPr>
          <w:p w:rsidR="0095327F" w:rsidRDefault="0095327F">
            <w:pPr>
              <w:spacing w:before="60" w:after="60" w:line="280" w:lineRule="exact"/>
              <w:jc w:val="center"/>
              <w:rPr>
                <w:rFonts w:ascii="Times New Roman" w:hint="eastAsia"/>
              </w:rPr>
            </w:pPr>
          </w:p>
        </w:tc>
      </w:tr>
      <w:tr w:rsidR="0095327F">
        <w:tblPrEx>
          <w:tblCellMar>
            <w:top w:w="0" w:type="dxa"/>
            <w:bottom w:w="0" w:type="dxa"/>
          </w:tblCellMar>
        </w:tblPrEx>
        <w:tc>
          <w:tcPr>
            <w:tcW w:w="5985" w:type="dxa"/>
            <w:shd w:val="clear" w:color="auto" w:fill="D9D9D9"/>
          </w:tcPr>
          <w:p w:rsidR="0095327F" w:rsidRDefault="0095327F" w:rsidP="004F22A5">
            <w:pPr>
              <w:spacing w:before="60" w:after="60" w:line="280" w:lineRule="exact"/>
              <w:ind w:leftChars="400" w:left="31680" w:hangingChars="200" w:firstLine="31680"/>
              <w:rPr>
                <w:rFonts w:ascii="Times New Roman" w:hint="eastAsia"/>
              </w:rPr>
            </w:pPr>
            <w:r>
              <w:rPr>
                <w:rFonts w:ascii="Times New Roman" w:hint="eastAsia"/>
              </w:rPr>
              <w:t>5</w:t>
            </w:r>
            <w:r>
              <w:rPr>
                <w:rFonts w:ascii="Times New Roman" w:hint="eastAsia"/>
              </w:rPr>
              <w:t>．</w:t>
            </w:r>
            <w:r>
              <w:rPr>
                <w:rFonts w:ascii="Times New Roman"/>
              </w:rPr>
              <w:tab/>
            </w:r>
            <w:r>
              <w:rPr>
                <w:rFonts w:ascii="Times New Roman" w:hint="eastAsia"/>
              </w:rPr>
              <w:t>贩运人口罪－第</w:t>
            </w:r>
            <w:r>
              <w:rPr>
                <w:rFonts w:ascii="Times New Roman" w:hint="eastAsia"/>
              </w:rPr>
              <w:t>678/2001</w:t>
            </w:r>
            <w:r>
              <w:rPr>
                <w:rFonts w:ascii="Times New Roman" w:hint="eastAsia"/>
              </w:rPr>
              <w:t>号法律</w:t>
            </w:r>
          </w:p>
        </w:tc>
        <w:tc>
          <w:tcPr>
            <w:tcW w:w="1365" w:type="dxa"/>
            <w:shd w:val="clear" w:color="auto" w:fill="D9D9D9"/>
          </w:tcPr>
          <w:p w:rsidR="0095327F" w:rsidRDefault="0095327F">
            <w:pPr>
              <w:spacing w:before="60" w:after="60" w:line="280" w:lineRule="exact"/>
              <w:jc w:val="center"/>
              <w:rPr>
                <w:rFonts w:ascii="Times New Roman" w:hint="eastAsia"/>
              </w:rPr>
            </w:pPr>
            <w:r>
              <w:rPr>
                <w:rFonts w:ascii="Times New Roman" w:hint="eastAsia"/>
              </w:rPr>
              <w:t>280</w:t>
            </w:r>
          </w:p>
        </w:tc>
      </w:tr>
      <w:tr w:rsidR="0095327F">
        <w:tblPrEx>
          <w:tblCellMar>
            <w:top w:w="0" w:type="dxa"/>
            <w:bottom w:w="0" w:type="dxa"/>
          </w:tblCellMar>
        </w:tblPrEx>
        <w:tc>
          <w:tcPr>
            <w:tcW w:w="5985" w:type="dxa"/>
          </w:tcPr>
          <w:p w:rsidR="0095327F" w:rsidRDefault="0095327F" w:rsidP="004F22A5">
            <w:pPr>
              <w:spacing w:before="60" w:after="60" w:line="280" w:lineRule="exact"/>
              <w:ind w:firstLineChars="600" w:firstLine="31680"/>
              <w:rPr>
                <w:rFonts w:ascii="KaiTi_GB2312" w:eastAsia="KaiTi_GB2312" w:hint="eastAsia"/>
              </w:rPr>
            </w:pPr>
            <w:r>
              <w:rPr>
                <w:rFonts w:ascii="KaiTi_GB2312" w:eastAsia="KaiTi_GB2312" w:hint="eastAsia"/>
              </w:rPr>
              <w:sym w:font="Symbol" w:char="F02D"/>
            </w:r>
            <w:r>
              <w:rPr>
                <w:rFonts w:ascii="KaiTi_GB2312" w:eastAsia="KaiTi_GB2312" w:hint="eastAsia"/>
              </w:rPr>
              <w:t xml:space="preserve">  被告</w:t>
            </w:r>
          </w:p>
        </w:tc>
        <w:tc>
          <w:tcPr>
            <w:tcW w:w="1365" w:type="dxa"/>
          </w:tcPr>
          <w:p w:rsidR="0095327F" w:rsidRDefault="0095327F">
            <w:pPr>
              <w:spacing w:before="60" w:after="60" w:line="280" w:lineRule="exact"/>
              <w:jc w:val="center"/>
              <w:rPr>
                <w:rFonts w:ascii="Times New Roman" w:hint="eastAsia"/>
              </w:rPr>
            </w:pPr>
            <w:r>
              <w:rPr>
                <w:rFonts w:ascii="Times New Roman" w:hint="eastAsia"/>
              </w:rPr>
              <w:t>286</w:t>
            </w:r>
          </w:p>
        </w:tc>
      </w:tr>
      <w:tr w:rsidR="0095327F">
        <w:tblPrEx>
          <w:tblCellMar>
            <w:top w:w="0" w:type="dxa"/>
            <w:bottom w:w="0" w:type="dxa"/>
          </w:tblCellMar>
        </w:tblPrEx>
        <w:tc>
          <w:tcPr>
            <w:tcW w:w="5985" w:type="dxa"/>
            <w:shd w:val="clear" w:color="auto" w:fill="D9D9D9"/>
          </w:tcPr>
          <w:p w:rsidR="0095327F" w:rsidRDefault="0095327F" w:rsidP="004F22A5">
            <w:pPr>
              <w:spacing w:before="60" w:after="60" w:line="280" w:lineRule="exact"/>
              <w:ind w:leftChars="400" w:left="31680" w:hangingChars="200" w:firstLine="31680"/>
              <w:rPr>
                <w:rFonts w:ascii="Times New Roman" w:hint="eastAsia"/>
              </w:rPr>
            </w:pPr>
            <w:r>
              <w:rPr>
                <w:rFonts w:ascii="Times New Roman" w:hint="eastAsia"/>
              </w:rPr>
              <w:t>6</w:t>
            </w:r>
            <w:r>
              <w:rPr>
                <w:rFonts w:ascii="Times New Roman" w:hint="eastAsia"/>
              </w:rPr>
              <w:t>．</w:t>
            </w:r>
            <w:r>
              <w:rPr>
                <w:rFonts w:ascii="Times New Roman"/>
              </w:rPr>
              <w:tab/>
            </w:r>
            <w:r>
              <w:rPr>
                <w:rFonts w:ascii="Times New Roman" w:hint="eastAsia"/>
              </w:rPr>
              <w:t>其他罪行</w:t>
            </w:r>
          </w:p>
        </w:tc>
        <w:tc>
          <w:tcPr>
            <w:tcW w:w="1365" w:type="dxa"/>
            <w:shd w:val="clear" w:color="auto" w:fill="D9D9D9"/>
          </w:tcPr>
          <w:p w:rsidR="0095327F" w:rsidRDefault="0095327F">
            <w:pPr>
              <w:spacing w:before="60" w:after="60" w:line="280" w:lineRule="exact"/>
              <w:jc w:val="center"/>
              <w:rPr>
                <w:rFonts w:ascii="Times New Roman" w:hint="eastAsia"/>
              </w:rPr>
            </w:pPr>
            <w:r>
              <w:rPr>
                <w:rFonts w:ascii="Times New Roman" w:hint="eastAsia"/>
              </w:rPr>
              <w:t>138</w:t>
            </w:r>
          </w:p>
        </w:tc>
      </w:tr>
      <w:tr w:rsidR="0095327F">
        <w:tblPrEx>
          <w:tblCellMar>
            <w:top w:w="0" w:type="dxa"/>
            <w:bottom w:w="0" w:type="dxa"/>
          </w:tblCellMar>
        </w:tblPrEx>
        <w:tc>
          <w:tcPr>
            <w:tcW w:w="5985" w:type="dxa"/>
          </w:tcPr>
          <w:p w:rsidR="0095327F" w:rsidRDefault="0095327F" w:rsidP="004F22A5">
            <w:pPr>
              <w:spacing w:before="60" w:after="60" w:line="280" w:lineRule="exact"/>
              <w:ind w:firstLineChars="600" w:firstLine="31680"/>
              <w:rPr>
                <w:rFonts w:ascii="KaiTi_GB2312" w:eastAsia="KaiTi_GB2312" w:hint="eastAsia"/>
              </w:rPr>
            </w:pPr>
            <w:r>
              <w:rPr>
                <w:rFonts w:ascii="KaiTi_GB2312" w:eastAsia="KaiTi_GB2312" w:hint="eastAsia"/>
              </w:rPr>
              <w:sym w:font="Symbol" w:char="F02D"/>
            </w:r>
            <w:r>
              <w:rPr>
                <w:rFonts w:ascii="KaiTi_GB2312" w:eastAsia="KaiTi_GB2312" w:hint="eastAsia"/>
              </w:rPr>
              <w:t xml:space="preserve">  被告</w:t>
            </w:r>
          </w:p>
        </w:tc>
        <w:tc>
          <w:tcPr>
            <w:tcW w:w="1365" w:type="dxa"/>
          </w:tcPr>
          <w:p w:rsidR="0095327F" w:rsidRDefault="0095327F">
            <w:pPr>
              <w:spacing w:before="60" w:after="60" w:line="280" w:lineRule="exact"/>
              <w:jc w:val="center"/>
              <w:rPr>
                <w:rFonts w:ascii="Times New Roman" w:hint="eastAsia"/>
              </w:rPr>
            </w:pPr>
            <w:r>
              <w:rPr>
                <w:rFonts w:ascii="Times New Roman" w:hint="eastAsia"/>
              </w:rPr>
              <w:t>76</w:t>
            </w:r>
          </w:p>
        </w:tc>
      </w:tr>
    </w:tbl>
    <w:p w:rsidR="0095327F" w:rsidRDefault="0095327F">
      <w:pPr>
        <w:pStyle w:val="SingleTxt"/>
        <w:spacing w:after="0" w:line="120" w:lineRule="exact"/>
        <w:rPr>
          <w:rFonts w:hint="eastAsia"/>
          <w:sz w:val="10"/>
        </w:rPr>
      </w:pP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ab/>
        <w:t>由于罗马尼亚面临着加强与非政府组织的伙伴关系的挑战，而且这种挑战与分配给这些方案的资源有限甚或不断减少有关，罗马尼亚为预防和打击人口贩运而在法律和制度方面作出了加倍努力。</w:t>
      </w:r>
    </w:p>
    <w:p w:rsidR="0095327F" w:rsidRDefault="0095327F">
      <w:pPr>
        <w:pStyle w:val="SingleTxt"/>
        <w:rPr>
          <w:rFonts w:hint="eastAsia"/>
        </w:rPr>
      </w:pPr>
      <w:r>
        <w:rPr>
          <w:rFonts w:hint="eastAsia"/>
        </w:rPr>
        <w:tab/>
        <w:t>为了对全球的贩运人口情况进行统计估计，今后将依据六项干预指令采取措施，使用预防和打击贩运人口模型（由设在纽约的联合国人口基金顾问迪利·巴特拉伊提出的办法）：</w:t>
      </w:r>
    </w:p>
    <w:p w:rsidR="0095327F" w:rsidRDefault="0095327F">
      <w:pPr>
        <w:pStyle w:val="SingleTxt"/>
        <w:ind w:left="2126" w:hanging="431"/>
        <w:rPr>
          <w:rFonts w:hint="eastAsia"/>
        </w:rPr>
      </w:pPr>
      <w:r>
        <w:rPr>
          <w:rFonts w:hint="eastAsia"/>
        </w:rPr>
        <w:t>A．</w:t>
      </w:r>
      <w:r>
        <w:rPr>
          <w:rFonts w:hint="eastAsia"/>
        </w:rPr>
        <w:tab/>
        <w:t>开展禁止贩运妇女儿童的支助、认识和社会动员活动；</w:t>
      </w:r>
    </w:p>
    <w:p w:rsidR="0095327F" w:rsidRDefault="0095327F">
      <w:pPr>
        <w:pStyle w:val="SingleTxt"/>
        <w:ind w:left="2126" w:hanging="431"/>
        <w:rPr>
          <w:rFonts w:hint="eastAsia"/>
        </w:rPr>
      </w:pPr>
      <w:r>
        <w:rPr>
          <w:rFonts w:hint="eastAsia"/>
        </w:rPr>
        <w:t>B．</w:t>
      </w:r>
      <w:r>
        <w:rPr>
          <w:rFonts w:hint="eastAsia"/>
        </w:rPr>
        <w:tab/>
        <w:t>在政府和非政府组织、社区机构以及国际机构间建立伙伴关系；</w:t>
      </w:r>
    </w:p>
    <w:p w:rsidR="0095327F" w:rsidRDefault="0095327F">
      <w:pPr>
        <w:pStyle w:val="SingleTxt"/>
        <w:ind w:left="2126" w:hanging="431"/>
        <w:rPr>
          <w:rFonts w:hint="eastAsia"/>
        </w:rPr>
      </w:pPr>
      <w:r>
        <w:rPr>
          <w:rFonts w:hint="eastAsia"/>
        </w:rPr>
        <w:t>C．</w:t>
      </w:r>
      <w:r>
        <w:rPr>
          <w:rFonts w:hint="eastAsia"/>
        </w:rPr>
        <w:tab/>
        <w:t>政府和非政府组织以及负责消除这种现象的社区机构的组织发展；</w:t>
      </w:r>
    </w:p>
    <w:p w:rsidR="0095327F" w:rsidRDefault="0095327F">
      <w:pPr>
        <w:pStyle w:val="SingleTxt"/>
        <w:ind w:left="2126" w:hanging="431"/>
        <w:rPr>
          <w:rFonts w:hint="eastAsia"/>
        </w:rPr>
      </w:pPr>
      <w:r>
        <w:rPr>
          <w:rFonts w:hint="eastAsia"/>
        </w:rPr>
        <w:t>D．</w:t>
      </w:r>
      <w:r>
        <w:rPr>
          <w:rFonts w:hint="eastAsia"/>
        </w:rPr>
        <w:tab/>
        <w:t>为处于危险处境的各类人口和贩运人口的受害者提供直接的性及生殖健康援助；</w:t>
      </w:r>
    </w:p>
    <w:p w:rsidR="0095327F" w:rsidRDefault="0095327F">
      <w:pPr>
        <w:pStyle w:val="SingleTxt"/>
        <w:ind w:left="2126" w:hanging="431"/>
        <w:rPr>
          <w:rFonts w:hint="eastAsia"/>
        </w:rPr>
      </w:pPr>
      <w:r>
        <w:rPr>
          <w:rFonts w:hint="eastAsia"/>
        </w:rPr>
        <w:t>E．</w:t>
      </w:r>
      <w:r>
        <w:rPr>
          <w:rFonts w:hint="eastAsia"/>
        </w:rPr>
        <w:tab/>
        <w:t>提高处境危险的妇女以及贩运人口的受害者的能力，采取的办法是指导她们并为她们提供参与小企业的机会；</w:t>
      </w:r>
    </w:p>
    <w:p w:rsidR="0095327F" w:rsidRDefault="0095327F">
      <w:pPr>
        <w:pStyle w:val="SingleTxt"/>
        <w:ind w:left="2126" w:hanging="431"/>
        <w:rPr>
          <w:rFonts w:hint="eastAsia"/>
        </w:rPr>
      </w:pPr>
      <w:r>
        <w:rPr>
          <w:rFonts w:hint="eastAsia"/>
        </w:rPr>
        <w:t>F．</w:t>
      </w:r>
      <w:r>
        <w:rPr>
          <w:rFonts w:hint="eastAsia"/>
        </w:rPr>
        <w:tab/>
        <w:t>促进这一领域的国际行动。</w:t>
      </w:r>
    </w:p>
    <w:p w:rsidR="0095327F" w:rsidRDefault="0095327F">
      <w:pPr>
        <w:pStyle w:val="SingleTxt"/>
        <w:rPr>
          <w:rFonts w:ascii="SimHei" w:eastAsia="SimHei" w:hint="eastAsia"/>
          <w:color w:val="FF0000"/>
          <w:sz w:val="24"/>
        </w:rPr>
      </w:pPr>
      <w:r>
        <w:rPr>
          <w:rFonts w:ascii="SimHei" w:eastAsia="SimHei" w:hint="eastAsia"/>
          <w:color w:val="FF0000"/>
          <w:sz w:val="24"/>
        </w:rPr>
        <w:t>第7条</w:t>
      </w:r>
    </w:p>
    <w:p w:rsidR="0095327F" w:rsidRDefault="0095327F">
      <w:pPr>
        <w:pStyle w:val="SingleTxt"/>
        <w:rPr>
          <w:rFonts w:hint="eastAsia"/>
        </w:rPr>
      </w:pPr>
      <w:r>
        <w:rPr>
          <w:rFonts w:hint="eastAsia"/>
        </w:rPr>
        <w:tab/>
        <w:t>妇女参与政治生活的人数仍然不足，仅占众议员的11%，参议员的9%。在罗马尼亚目前的议会结构中，妇女为51人，男子为435人。在2000年的政府中，28名内阁部长中有5人是女性，90名国务秘书中有8人是女性。</w:t>
      </w:r>
    </w:p>
    <w:p w:rsidR="0095327F" w:rsidRDefault="0095327F">
      <w:pPr>
        <w:pStyle w:val="SingleTxt"/>
        <w:rPr>
          <w:rFonts w:ascii="SimHei" w:eastAsia="SimHei"/>
          <w:color w:val="FF0000"/>
        </w:rPr>
      </w:pPr>
      <w:r>
        <w:br w:type="page"/>
      </w:r>
      <w:r>
        <w:rPr>
          <w:rFonts w:ascii="SimHei" w:eastAsia="SimHei" w:hint="eastAsia"/>
          <w:color w:val="FF0000"/>
        </w:rPr>
        <w:t>1992-2000年间当选罗马尼亚议会议员的妇女人数</w:t>
      </w:r>
    </w:p>
    <w:tbl>
      <w:tblPr>
        <w:tblW w:w="0" w:type="auto"/>
        <w:tblInd w:w="1368" w:type="dxa"/>
        <w:tblLayout w:type="fixed"/>
        <w:tblLook w:val="0000" w:firstRow="0" w:lastRow="0" w:firstColumn="0" w:lastColumn="0" w:noHBand="0" w:noVBand="0"/>
      </w:tblPr>
      <w:tblGrid>
        <w:gridCol w:w="1470"/>
        <w:gridCol w:w="735"/>
        <w:gridCol w:w="735"/>
        <w:gridCol w:w="735"/>
        <w:gridCol w:w="735"/>
        <w:gridCol w:w="735"/>
        <w:gridCol w:w="735"/>
        <w:gridCol w:w="735"/>
        <w:gridCol w:w="735"/>
      </w:tblGrid>
      <w:tr w:rsidR="0095327F">
        <w:tblPrEx>
          <w:tblCellMar>
            <w:top w:w="0" w:type="dxa"/>
            <w:bottom w:w="0" w:type="dxa"/>
          </w:tblCellMar>
        </w:tblPrEx>
        <w:trPr>
          <w:cantSplit/>
          <w:tblHeader/>
        </w:trPr>
        <w:tc>
          <w:tcPr>
            <w:tcW w:w="1470" w:type="dxa"/>
            <w:vMerge w:val="restart"/>
            <w:tcBorders>
              <w:top w:val="single" w:sz="2" w:space="0" w:color="auto"/>
            </w:tcBorders>
            <w:vAlign w:val="center"/>
          </w:tcPr>
          <w:p w:rsidR="0095327F" w:rsidRDefault="0095327F">
            <w:pPr>
              <w:spacing w:before="60" w:after="60" w:line="240" w:lineRule="exact"/>
              <w:ind w:right="40"/>
              <w:jc w:val="center"/>
              <w:rPr>
                <w:rFonts w:ascii="Times New Roman" w:eastAsia="KaiTi_GB2312" w:hint="eastAsia"/>
                <w:color w:val="0000FF"/>
                <w:sz w:val="14"/>
              </w:rPr>
            </w:pPr>
            <w:r>
              <w:rPr>
                <w:rFonts w:ascii="KaiTi_GB2312" w:eastAsia="KaiTi_GB2312" w:hint="eastAsia"/>
                <w:color w:val="0000FF"/>
                <w:sz w:val="14"/>
              </w:rPr>
              <w:t>年份</w:t>
            </w:r>
          </w:p>
        </w:tc>
        <w:tc>
          <w:tcPr>
            <w:tcW w:w="2940" w:type="dxa"/>
            <w:gridSpan w:val="4"/>
            <w:tcBorders>
              <w:top w:val="single" w:sz="2" w:space="0" w:color="auto"/>
              <w:bottom w:val="single" w:sz="4" w:space="0" w:color="auto"/>
            </w:tcBorders>
            <w:vAlign w:val="bottom"/>
          </w:tcPr>
          <w:p w:rsidR="0095327F" w:rsidRDefault="0095327F">
            <w:pPr>
              <w:spacing w:before="60" w:after="60" w:line="240" w:lineRule="exact"/>
              <w:ind w:right="40"/>
              <w:jc w:val="center"/>
              <w:rPr>
                <w:rFonts w:ascii="Times New Roman" w:eastAsia="KaiTi_GB2312" w:hint="eastAsia"/>
                <w:color w:val="0000FF"/>
                <w:sz w:val="14"/>
              </w:rPr>
            </w:pPr>
            <w:r>
              <w:rPr>
                <w:rFonts w:ascii="KaiTi_GB2312" w:eastAsia="KaiTi_GB2312" w:hint="eastAsia"/>
                <w:color w:val="0000FF"/>
                <w:sz w:val="14"/>
              </w:rPr>
              <w:t>众议院</w:t>
            </w:r>
          </w:p>
        </w:tc>
        <w:tc>
          <w:tcPr>
            <w:tcW w:w="2940" w:type="dxa"/>
            <w:gridSpan w:val="4"/>
            <w:tcBorders>
              <w:top w:val="single" w:sz="2" w:space="0" w:color="auto"/>
              <w:bottom w:val="single" w:sz="4" w:space="0" w:color="auto"/>
            </w:tcBorders>
            <w:vAlign w:val="bottom"/>
          </w:tcPr>
          <w:p w:rsidR="0095327F" w:rsidRDefault="0095327F">
            <w:pPr>
              <w:spacing w:before="60" w:after="60" w:line="240" w:lineRule="exact"/>
              <w:ind w:right="40"/>
              <w:jc w:val="center"/>
              <w:rPr>
                <w:rFonts w:ascii="Times New Roman" w:eastAsia="KaiTi_GB2312" w:hint="eastAsia"/>
                <w:color w:val="0000FF"/>
                <w:sz w:val="14"/>
              </w:rPr>
            </w:pPr>
            <w:r>
              <w:rPr>
                <w:rFonts w:ascii="KaiTi_GB2312" w:eastAsia="KaiTi_GB2312" w:hint="eastAsia"/>
                <w:color w:val="0000FF"/>
                <w:sz w:val="14"/>
              </w:rPr>
              <w:t>参议院</w:t>
            </w:r>
          </w:p>
        </w:tc>
      </w:tr>
      <w:tr w:rsidR="0095327F">
        <w:tblPrEx>
          <w:tblCellMar>
            <w:top w:w="0" w:type="dxa"/>
            <w:bottom w:w="0" w:type="dxa"/>
          </w:tblCellMar>
        </w:tblPrEx>
        <w:trPr>
          <w:cantSplit/>
          <w:tblHeader/>
        </w:trPr>
        <w:tc>
          <w:tcPr>
            <w:tcW w:w="1470" w:type="dxa"/>
            <w:vMerge/>
            <w:vAlign w:val="bottom"/>
          </w:tcPr>
          <w:p w:rsidR="0095327F" w:rsidRDefault="0095327F">
            <w:pPr>
              <w:spacing w:after="60" w:line="240" w:lineRule="exact"/>
              <w:ind w:right="40"/>
              <w:jc w:val="center"/>
              <w:rPr>
                <w:rFonts w:ascii="Times New Roman" w:eastAsia="KaiTi_GB2312" w:hint="eastAsia"/>
                <w:color w:val="0000FF"/>
                <w:sz w:val="14"/>
              </w:rPr>
            </w:pPr>
          </w:p>
        </w:tc>
        <w:tc>
          <w:tcPr>
            <w:tcW w:w="1470" w:type="dxa"/>
            <w:gridSpan w:val="2"/>
            <w:tcBorders>
              <w:top w:val="single" w:sz="4" w:space="0" w:color="auto"/>
              <w:bottom w:val="single" w:sz="4" w:space="0" w:color="auto"/>
            </w:tcBorders>
            <w:vAlign w:val="bottom"/>
          </w:tcPr>
          <w:p w:rsidR="0095327F" w:rsidRDefault="0095327F">
            <w:pPr>
              <w:spacing w:after="60" w:line="240" w:lineRule="exact"/>
              <w:ind w:right="40"/>
              <w:jc w:val="center"/>
              <w:rPr>
                <w:rFonts w:ascii="Times New Roman" w:eastAsia="KaiTi_GB2312" w:hint="eastAsia"/>
                <w:color w:val="0000FF"/>
                <w:sz w:val="14"/>
              </w:rPr>
            </w:pPr>
            <w:r>
              <w:rPr>
                <w:rFonts w:ascii="KaiTi_GB2312" w:eastAsia="KaiTi_GB2312" w:hint="eastAsia"/>
                <w:color w:val="0000FF"/>
                <w:sz w:val="14"/>
              </w:rPr>
              <w:t>数量</w:t>
            </w:r>
          </w:p>
        </w:tc>
        <w:tc>
          <w:tcPr>
            <w:tcW w:w="1470" w:type="dxa"/>
            <w:gridSpan w:val="2"/>
            <w:tcBorders>
              <w:top w:val="single" w:sz="4" w:space="0" w:color="auto"/>
              <w:bottom w:val="single" w:sz="4" w:space="0" w:color="auto"/>
            </w:tcBorders>
            <w:vAlign w:val="bottom"/>
          </w:tcPr>
          <w:p w:rsidR="0095327F" w:rsidRDefault="0095327F">
            <w:pPr>
              <w:spacing w:after="60" w:line="240" w:lineRule="exact"/>
              <w:ind w:right="40"/>
              <w:jc w:val="center"/>
              <w:rPr>
                <w:rFonts w:ascii="Times New Roman" w:eastAsia="KaiTi_GB2312" w:hint="eastAsia"/>
                <w:color w:val="0000FF"/>
                <w:sz w:val="14"/>
              </w:rPr>
            </w:pPr>
            <w:r>
              <w:rPr>
                <w:rFonts w:ascii="KaiTi_GB2312" w:eastAsia="KaiTi_GB2312" w:hint="eastAsia"/>
                <w:color w:val="0000FF"/>
                <w:sz w:val="14"/>
              </w:rPr>
              <w:t>百分比</w:t>
            </w:r>
          </w:p>
        </w:tc>
        <w:tc>
          <w:tcPr>
            <w:tcW w:w="1470" w:type="dxa"/>
            <w:gridSpan w:val="2"/>
            <w:tcBorders>
              <w:top w:val="single" w:sz="4" w:space="0" w:color="auto"/>
              <w:bottom w:val="single" w:sz="4" w:space="0" w:color="auto"/>
            </w:tcBorders>
            <w:vAlign w:val="bottom"/>
          </w:tcPr>
          <w:p w:rsidR="0095327F" w:rsidRDefault="0095327F">
            <w:pPr>
              <w:spacing w:after="60" w:line="240" w:lineRule="exact"/>
              <w:ind w:right="40"/>
              <w:jc w:val="center"/>
              <w:rPr>
                <w:rFonts w:ascii="Times New Roman" w:eastAsia="KaiTi_GB2312" w:hint="eastAsia"/>
                <w:color w:val="0000FF"/>
                <w:sz w:val="14"/>
              </w:rPr>
            </w:pPr>
            <w:r>
              <w:rPr>
                <w:rFonts w:ascii="KaiTi_GB2312" w:eastAsia="KaiTi_GB2312" w:hint="eastAsia"/>
                <w:color w:val="0000FF"/>
                <w:sz w:val="14"/>
              </w:rPr>
              <w:t>数量</w:t>
            </w:r>
          </w:p>
        </w:tc>
        <w:tc>
          <w:tcPr>
            <w:tcW w:w="1470" w:type="dxa"/>
            <w:gridSpan w:val="2"/>
            <w:tcBorders>
              <w:top w:val="single" w:sz="4" w:space="0" w:color="auto"/>
              <w:bottom w:val="single" w:sz="4" w:space="0" w:color="auto"/>
            </w:tcBorders>
            <w:vAlign w:val="bottom"/>
          </w:tcPr>
          <w:p w:rsidR="0095327F" w:rsidRDefault="0095327F">
            <w:pPr>
              <w:spacing w:after="60" w:line="240" w:lineRule="exact"/>
              <w:ind w:right="40"/>
              <w:jc w:val="center"/>
              <w:rPr>
                <w:rFonts w:ascii="Times New Roman" w:eastAsia="KaiTi_GB2312" w:hint="eastAsia"/>
                <w:color w:val="0000FF"/>
                <w:sz w:val="14"/>
              </w:rPr>
            </w:pPr>
            <w:r>
              <w:rPr>
                <w:rFonts w:ascii="KaiTi_GB2312" w:eastAsia="KaiTi_GB2312" w:hint="eastAsia"/>
                <w:color w:val="0000FF"/>
                <w:sz w:val="14"/>
              </w:rPr>
              <w:t>百分比</w:t>
            </w:r>
          </w:p>
        </w:tc>
      </w:tr>
      <w:tr w:rsidR="0095327F">
        <w:tblPrEx>
          <w:tblCellMar>
            <w:top w:w="0" w:type="dxa"/>
            <w:bottom w:w="0" w:type="dxa"/>
          </w:tblCellMar>
        </w:tblPrEx>
        <w:trPr>
          <w:cantSplit/>
          <w:tblHeader/>
        </w:trPr>
        <w:tc>
          <w:tcPr>
            <w:tcW w:w="1470" w:type="dxa"/>
            <w:vMerge/>
            <w:tcBorders>
              <w:bottom w:val="single" w:sz="12" w:space="0" w:color="auto"/>
            </w:tcBorders>
            <w:vAlign w:val="bottom"/>
          </w:tcPr>
          <w:p w:rsidR="0095327F" w:rsidRDefault="0095327F">
            <w:pPr>
              <w:spacing w:after="60" w:line="240" w:lineRule="exact"/>
              <w:ind w:right="40"/>
              <w:jc w:val="center"/>
              <w:rPr>
                <w:rFonts w:ascii="Times New Roman" w:eastAsia="KaiTi_GB2312" w:hint="eastAsia"/>
                <w:color w:val="0000FF"/>
                <w:sz w:val="14"/>
              </w:rPr>
            </w:pPr>
          </w:p>
        </w:tc>
        <w:tc>
          <w:tcPr>
            <w:tcW w:w="735" w:type="dxa"/>
            <w:tcBorders>
              <w:top w:val="single" w:sz="4" w:space="0" w:color="auto"/>
              <w:bottom w:val="single" w:sz="12" w:space="0" w:color="auto"/>
            </w:tcBorders>
            <w:vAlign w:val="bottom"/>
          </w:tcPr>
          <w:p w:rsidR="0095327F" w:rsidRDefault="0095327F">
            <w:pPr>
              <w:spacing w:after="60" w:line="240" w:lineRule="exact"/>
              <w:ind w:right="40"/>
              <w:jc w:val="right"/>
              <w:rPr>
                <w:rFonts w:ascii="Times New Roman" w:eastAsia="KaiTi_GB2312" w:hint="eastAsia"/>
                <w:color w:val="0000FF"/>
                <w:sz w:val="14"/>
              </w:rPr>
            </w:pPr>
            <w:r>
              <w:rPr>
                <w:rFonts w:ascii="KaiTi_GB2312" w:eastAsia="KaiTi_GB2312" w:hint="eastAsia"/>
                <w:color w:val="0000FF"/>
                <w:sz w:val="14"/>
              </w:rPr>
              <w:t>女性</w:t>
            </w:r>
          </w:p>
        </w:tc>
        <w:tc>
          <w:tcPr>
            <w:tcW w:w="735" w:type="dxa"/>
            <w:tcBorders>
              <w:top w:val="single" w:sz="4" w:space="0" w:color="auto"/>
              <w:bottom w:val="single" w:sz="12" w:space="0" w:color="auto"/>
            </w:tcBorders>
            <w:vAlign w:val="bottom"/>
          </w:tcPr>
          <w:p w:rsidR="0095327F" w:rsidRDefault="0095327F">
            <w:pPr>
              <w:spacing w:after="60" w:line="240" w:lineRule="exact"/>
              <w:ind w:right="40"/>
              <w:jc w:val="right"/>
              <w:rPr>
                <w:rFonts w:ascii="Times New Roman" w:eastAsia="KaiTi_GB2312" w:hint="eastAsia"/>
                <w:color w:val="0000FF"/>
                <w:sz w:val="14"/>
              </w:rPr>
            </w:pPr>
            <w:r>
              <w:rPr>
                <w:rFonts w:ascii="KaiTi_GB2312" w:eastAsia="KaiTi_GB2312" w:hint="eastAsia"/>
                <w:color w:val="0000FF"/>
                <w:sz w:val="14"/>
              </w:rPr>
              <w:t>男性</w:t>
            </w:r>
          </w:p>
        </w:tc>
        <w:tc>
          <w:tcPr>
            <w:tcW w:w="735" w:type="dxa"/>
            <w:tcBorders>
              <w:top w:val="single" w:sz="4" w:space="0" w:color="auto"/>
              <w:bottom w:val="single" w:sz="12" w:space="0" w:color="auto"/>
            </w:tcBorders>
            <w:vAlign w:val="bottom"/>
          </w:tcPr>
          <w:p w:rsidR="0095327F" w:rsidRDefault="0095327F">
            <w:pPr>
              <w:spacing w:after="60" w:line="240" w:lineRule="exact"/>
              <w:ind w:right="40"/>
              <w:jc w:val="right"/>
              <w:rPr>
                <w:rFonts w:ascii="Times New Roman" w:eastAsia="KaiTi_GB2312" w:hint="eastAsia"/>
                <w:color w:val="0000FF"/>
                <w:sz w:val="14"/>
              </w:rPr>
            </w:pPr>
            <w:r>
              <w:rPr>
                <w:rFonts w:ascii="KaiTi_GB2312" w:eastAsia="KaiTi_GB2312" w:hint="eastAsia"/>
                <w:color w:val="0000FF"/>
                <w:sz w:val="14"/>
              </w:rPr>
              <w:t>女性</w:t>
            </w:r>
          </w:p>
        </w:tc>
        <w:tc>
          <w:tcPr>
            <w:tcW w:w="735" w:type="dxa"/>
            <w:tcBorders>
              <w:top w:val="single" w:sz="4" w:space="0" w:color="auto"/>
              <w:bottom w:val="single" w:sz="12" w:space="0" w:color="auto"/>
            </w:tcBorders>
            <w:vAlign w:val="bottom"/>
          </w:tcPr>
          <w:p w:rsidR="0095327F" w:rsidRDefault="0095327F">
            <w:pPr>
              <w:spacing w:after="60" w:line="240" w:lineRule="exact"/>
              <w:ind w:right="40"/>
              <w:jc w:val="right"/>
              <w:rPr>
                <w:rFonts w:ascii="Times New Roman" w:eastAsia="KaiTi_GB2312" w:hint="eastAsia"/>
                <w:color w:val="0000FF"/>
                <w:sz w:val="14"/>
              </w:rPr>
            </w:pPr>
            <w:r>
              <w:rPr>
                <w:rFonts w:ascii="KaiTi_GB2312" w:eastAsia="KaiTi_GB2312" w:hint="eastAsia"/>
                <w:color w:val="0000FF"/>
                <w:sz w:val="14"/>
              </w:rPr>
              <w:t>男性</w:t>
            </w:r>
          </w:p>
        </w:tc>
        <w:tc>
          <w:tcPr>
            <w:tcW w:w="735" w:type="dxa"/>
            <w:tcBorders>
              <w:top w:val="single" w:sz="4" w:space="0" w:color="auto"/>
              <w:bottom w:val="single" w:sz="12" w:space="0" w:color="auto"/>
            </w:tcBorders>
            <w:vAlign w:val="bottom"/>
          </w:tcPr>
          <w:p w:rsidR="0095327F" w:rsidRDefault="0095327F">
            <w:pPr>
              <w:spacing w:after="60" w:line="240" w:lineRule="exact"/>
              <w:ind w:right="40"/>
              <w:jc w:val="right"/>
              <w:rPr>
                <w:rFonts w:ascii="Times New Roman" w:eastAsia="KaiTi_GB2312" w:hint="eastAsia"/>
                <w:color w:val="0000FF"/>
                <w:sz w:val="14"/>
              </w:rPr>
            </w:pPr>
            <w:r>
              <w:rPr>
                <w:rFonts w:ascii="KaiTi_GB2312" w:eastAsia="KaiTi_GB2312" w:hint="eastAsia"/>
                <w:color w:val="0000FF"/>
                <w:sz w:val="14"/>
              </w:rPr>
              <w:t>女性</w:t>
            </w:r>
          </w:p>
        </w:tc>
        <w:tc>
          <w:tcPr>
            <w:tcW w:w="735" w:type="dxa"/>
            <w:tcBorders>
              <w:top w:val="single" w:sz="4" w:space="0" w:color="auto"/>
              <w:bottom w:val="single" w:sz="12" w:space="0" w:color="auto"/>
            </w:tcBorders>
            <w:vAlign w:val="bottom"/>
          </w:tcPr>
          <w:p w:rsidR="0095327F" w:rsidRDefault="0095327F">
            <w:pPr>
              <w:spacing w:after="60" w:line="240" w:lineRule="exact"/>
              <w:ind w:right="40"/>
              <w:jc w:val="right"/>
              <w:rPr>
                <w:rFonts w:ascii="Times New Roman" w:eastAsia="KaiTi_GB2312" w:hint="eastAsia"/>
                <w:color w:val="0000FF"/>
                <w:sz w:val="14"/>
              </w:rPr>
            </w:pPr>
            <w:r>
              <w:rPr>
                <w:rFonts w:ascii="KaiTi_GB2312" w:eastAsia="KaiTi_GB2312" w:hint="eastAsia"/>
                <w:color w:val="0000FF"/>
                <w:sz w:val="14"/>
              </w:rPr>
              <w:t>男性</w:t>
            </w:r>
          </w:p>
        </w:tc>
        <w:tc>
          <w:tcPr>
            <w:tcW w:w="735" w:type="dxa"/>
            <w:tcBorders>
              <w:top w:val="single" w:sz="4" w:space="0" w:color="auto"/>
              <w:bottom w:val="single" w:sz="12" w:space="0" w:color="auto"/>
            </w:tcBorders>
            <w:vAlign w:val="bottom"/>
          </w:tcPr>
          <w:p w:rsidR="0095327F" w:rsidRDefault="0095327F">
            <w:pPr>
              <w:spacing w:after="60" w:line="240" w:lineRule="exact"/>
              <w:ind w:right="40"/>
              <w:jc w:val="right"/>
              <w:rPr>
                <w:rFonts w:ascii="Times New Roman" w:eastAsia="KaiTi_GB2312" w:hint="eastAsia"/>
                <w:color w:val="0000FF"/>
                <w:sz w:val="14"/>
              </w:rPr>
            </w:pPr>
            <w:r>
              <w:rPr>
                <w:rFonts w:ascii="KaiTi_GB2312" w:eastAsia="KaiTi_GB2312" w:hint="eastAsia"/>
                <w:color w:val="0000FF"/>
                <w:sz w:val="14"/>
              </w:rPr>
              <w:t>女性</w:t>
            </w:r>
          </w:p>
        </w:tc>
        <w:tc>
          <w:tcPr>
            <w:tcW w:w="735" w:type="dxa"/>
            <w:tcBorders>
              <w:top w:val="single" w:sz="4" w:space="0" w:color="auto"/>
              <w:bottom w:val="single" w:sz="12" w:space="0" w:color="auto"/>
            </w:tcBorders>
            <w:vAlign w:val="bottom"/>
          </w:tcPr>
          <w:p w:rsidR="0095327F" w:rsidRDefault="0095327F">
            <w:pPr>
              <w:spacing w:after="60" w:line="240" w:lineRule="exact"/>
              <w:ind w:right="40"/>
              <w:jc w:val="right"/>
              <w:rPr>
                <w:rFonts w:ascii="Times New Roman" w:eastAsia="KaiTi_GB2312" w:hint="eastAsia"/>
                <w:color w:val="0000FF"/>
                <w:sz w:val="14"/>
              </w:rPr>
            </w:pPr>
            <w:r>
              <w:rPr>
                <w:rFonts w:ascii="KaiTi_GB2312" w:eastAsia="KaiTi_GB2312" w:hint="eastAsia"/>
                <w:color w:val="0000FF"/>
                <w:sz w:val="14"/>
              </w:rPr>
              <w:t>男性</w:t>
            </w:r>
          </w:p>
        </w:tc>
      </w:tr>
      <w:tr w:rsidR="0095327F">
        <w:tblPrEx>
          <w:tblCellMar>
            <w:top w:w="0" w:type="dxa"/>
            <w:bottom w:w="0" w:type="dxa"/>
          </w:tblCellMar>
        </w:tblPrEx>
        <w:trPr>
          <w:trHeight w:hRule="exact" w:val="115"/>
          <w:tblHeader/>
        </w:trPr>
        <w:tc>
          <w:tcPr>
            <w:tcW w:w="1470" w:type="dxa"/>
            <w:tcBorders>
              <w:top w:val="single" w:sz="12" w:space="0" w:color="auto"/>
            </w:tcBorders>
            <w:vAlign w:val="bottom"/>
          </w:tcPr>
          <w:p w:rsidR="0095327F" w:rsidRDefault="0095327F">
            <w:pPr>
              <w:spacing w:after="60" w:line="280" w:lineRule="exact"/>
              <w:ind w:right="40"/>
              <w:rPr>
                <w:rFonts w:ascii="Times New Roman" w:hint="eastAsia"/>
                <w:sz w:val="17"/>
              </w:rPr>
            </w:pPr>
          </w:p>
        </w:tc>
        <w:tc>
          <w:tcPr>
            <w:tcW w:w="735" w:type="dxa"/>
            <w:tcBorders>
              <w:top w:val="single" w:sz="12" w:space="0" w:color="auto"/>
            </w:tcBorders>
            <w:vAlign w:val="bottom"/>
          </w:tcPr>
          <w:p w:rsidR="0095327F" w:rsidRDefault="0095327F">
            <w:pPr>
              <w:spacing w:after="60" w:line="280" w:lineRule="exact"/>
              <w:ind w:right="40"/>
              <w:jc w:val="right"/>
              <w:rPr>
                <w:rFonts w:ascii="Times New Roman" w:hint="eastAsia"/>
                <w:sz w:val="17"/>
              </w:rPr>
            </w:pPr>
          </w:p>
        </w:tc>
        <w:tc>
          <w:tcPr>
            <w:tcW w:w="735" w:type="dxa"/>
            <w:tcBorders>
              <w:top w:val="single" w:sz="12" w:space="0" w:color="auto"/>
            </w:tcBorders>
            <w:vAlign w:val="bottom"/>
          </w:tcPr>
          <w:p w:rsidR="0095327F" w:rsidRDefault="0095327F">
            <w:pPr>
              <w:spacing w:after="60" w:line="280" w:lineRule="exact"/>
              <w:ind w:right="40"/>
              <w:jc w:val="right"/>
              <w:rPr>
                <w:rFonts w:ascii="Times New Roman" w:hint="eastAsia"/>
                <w:sz w:val="17"/>
              </w:rPr>
            </w:pPr>
          </w:p>
        </w:tc>
        <w:tc>
          <w:tcPr>
            <w:tcW w:w="735" w:type="dxa"/>
            <w:tcBorders>
              <w:top w:val="single" w:sz="12" w:space="0" w:color="auto"/>
            </w:tcBorders>
            <w:vAlign w:val="bottom"/>
          </w:tcPr>
          <w:p w:rsidR="0095327F" w:rsidRDefault="0095327F">
            <w:pPr>
              <w:spacing w:after="60" w:line="280" w:lineRule="exact"/>
              <w:ind w:right="40"/>
              <w:jc w:val="right"/>
              <w:rPr>
                <w:rFonts w:ascii="Times New Roman" w:hint="eastAsia"/>
                <w:sz w:val="17"/>
              </w:rPr>
            </w:pPr>
          </w:p>
        </w:tc>
        <w:tc>
          <w:tcPr>
            <w:tcW w:w="735" w:type="dxa"/>
            <w:tcBorders>
              <w:top w:val="single" w:sz="12" w:space="0" w:color="auto"/>
            </w:tcBorders>
            <w:vAlign w:val="bottom"/>
          </w:tcPr>
          <w:p w:rsidR="0095327F" w:rsidRDefault="0095327F">
            <w:pPr>
              <w:spacing w:after="60" w:line="280" w:lineRule="exact"/>
              <w:ind w:right="40"/>
              <w:jc w:val="right"/>
              <w:rPr>
                <w:rFonts w:ascii="Times New Roman" w:hint="eastAsia"/>
                <w:sz w:val="17"/>
              </w:rPr>
            </w:pPr>
          </w:p>
        </w:tc>
        <w:tc>
          <w:tcPr>
            <w:tcW w:w="735" w:type="dxa"/>
            <w:tcBorders>
              <w:top w:val="single" w:sz="12" w:space="0" w:color="auto"/>
            </w:tcBorders>
            <w:vAlign w:val="bottom"/>
          </w:tcPr>
          <w:p w:rsidR="0095327F" w:rsidRDefault="0095327F">
            <w:pPr>
              <w:spacing w:after="60" w:line="280" w:lineRule="exact"/>
              <w:ind w:right="40"/>
              <w:jc w:val="right"/>
              <w:rPr>
                <w:rFonts w:ascii="Times New Roman" w:hint="eastAsia"/>
                <w:sz w:val="17"/>
              </w:rPr>
            </w:pPr>
          </w:p>
        </w:tc>
        <w:tc>
          <w:tcPr>
            <w:tcW w:w="735" w:type="dxa"/>
            <w:tcBorders>
              <w:top w:val="single" w:sz="12" w:space="0" w:color="auto"/>
            </w:tcBorders>
            <w:vAlign w:val="bottom"/>
          </w:tcPr>
          <w:p w:rsidR="0095327F" w:rsidRDefault="0095327F">
            <w:pPr>
              <w:spacing w:after="60" w:line="280" w:lineRule="exact"/>
              <w:ind w:right="40"/>
              <w:jc w:val="right"/>
              <w:rPr>
                <w:rFonts w:ascii="Times New Roman" w:hint="eastAsia"/>
                <w:sz w:val="17"/>
              </w:rPr>
            </w:pPr>
          </w:p>
        </w:tc>
        <w:tc>
          <w:tcPr>
            <w:tcW w:w="735" w:type="dxa"/>
            <w:tcBorders>
              <w:top w:val="single" w:sz="12" w:space="0" w:color="auto"/>
            </w:tcBorders>
            <w:vAlign w:val="bottom"/>
          </w:tcPr>
          <w:p w:rsidR="0095327F" w:rsidRDefault="0095327F">
            <w:pPr>
              <w:spacing w:after="60" w:line="280" w:lineRule="exact"/>
              <w:ind w:right="40"/>
              <w:jc w:val="right"/>
              <w:rPr>
                <w:rFonts w:ascii="Times New Roman" w:hint="eastAsia"/>
                <w:sz w:val="17"/>
              </w:rPr>
            </w:pPr>
          </w:p>
        </w:tc>
        <w:tc>
          <w:tcPr>
            <w:tcW w:w="735" w:type="dxa"/>
            <w:tcBorders>
              <w:top w:val="single" w:sz="12" w:space="0" w:color="auto"/>
            </w:tcBorders>
            <w:vAlign w:val="bottom"/>
          </w:tcPr>
          <w:p w:rsidR="0095327F" w:rsidRDefault="0095327F">
            <w:pPr>
              <w:spacing w:after="60" w:line="280" w:lineRule="exact"/>
              <w:ind w:right="40"/>
              <w:jc w:val="right"/>
              <w:rPr>
                <w:rFonts w:ascii="Times New Roman" w:hint="eastAsia"/>
                <w:sz w:val="17"/>
              </w:rPr>
            </w:pPr>
          </w:p>
        </w:tc>
      </w:tr>
      <w:tr w:rsidR="0095327F">
        <w:tblPrEx>
          <w:tblCellMar>
            <w:top w:w="0" w:type="dxa"/>
            <w:bottom w:w="0" w:type="dxa"/>
          </w:tblCellMar>
        </w:tblPrEx>
        <w:tc>
          <w:tcPr>
            <w:tcW w:w="1470" w:type="dxa"/>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1992</w:t>
            </w:r>
            <w:r>
              <w:rPr>
                <w:rFonts w:ascii="Times New Roman" w:hint="eastAsia"/>
                <w:sz w:val="17"/>
              </w:rPr>
              <w:t>年</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13</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326</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4</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96</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3</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140</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2</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98</w:t>
            </w:r>
          </w:p>
        </w:tc>
      </w:tr>
      <w:tr w:rsidR="0095327F">
        <w:tblPrEx>
          <w:tblCellMar>
            <w:top w:w="0" w:type="dxa"/>
            <w:bottom w:w="0" w:type="dxa"/>
          </w:tblCellMar>
        </w:tblPrEx>
        <w:tc>
          <w:tcPr>
            <w:tcW w:w="1470" w:type="dxa"/>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1996</w:t>
            </w:r>
            <w:r>
              <w:rPr>
                <w:rFonts w:ascii="Times New Roman" w:hint="eastAsia"/>
                <w:sz w:val="17"/>
              </w:rPr>
              <w:t>年</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25</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315</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7</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93</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2</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141</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1</w:t>
            </w:r>
          </w:p>
        </w:tc>
        <w:tc>
          <w:tcPr>
            <w:tcW w:w="735"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99</w:t>
            </w:r>
          </w:p>
        </w:tc>
      </w:tr>
      <w:tr w:rsidR="0095327F">
        <w:tblPrEx>
          <w:tblCellMar>
            <w:top w:w="0" w:type="dxa"/>
            <w:bottom w:w="0" w:type="dxa"/>
          </w:tblCellMar>
        </w:tblPrEx>
        <w:tc>
          <w:tcPr>
            <w:tcW w:w="1470"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2000</w:t>
            </w:r>
            <w:r>
              <w:rPr>
                <w:rFonts w:ascii="Times New Roman" w:hint="eastAsia"/>
                <w:sz w:val="17"/>
              </w:rPr>
              <w:t>年</w:t>
            </w:r>
          </w:p>
        </w:tc>
        <w:tc>
          <w:tcPr>
            <w:tcW w:w="735"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38</w:t>
            </w:r>
          </w:p>
        </w:tc>
        <w:tc>
          <w:tcPr>
            <w:tcW w:w="735"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317</w:t>
            </w:r>
          </w:p>
        </w:tc>
        <w:tc>
          <w:tcPr>
            <w:tcW w:w="735"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11</w:t>
            </w:r>
          </w:p>
        </w:tc>
        <w:tc>
          <w:tcPr>
            <w:tcW w:w="735"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89</w:t>
            </w:r>
          </w:p>
        </w:tc>
        <w:tc>
          <w:tcPr>
            <w:tcW w:w="735"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9</w:t>
            </w:r>
          </w:p>
        </w:tc>
        <w:tc>
          <w:tcPr>
            <w:tcW w:w="735"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131</w:t>
            </w:r>
          </w:p>
        </w:tc>
        <w:tc>
          <w:tcPr>
            <w:tcW w:w="735"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7</w:t>
            </w:r>
          </w:p>
        </w:tc>
        <w:tc>
          <w:tcPr>
            <w:tcW w:w="735"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jc w:val="right"/>
              <w:rPr>
                <w:rFonts w:ascii="Times New Roman" w:hint="eastAsia"/>
                <w:sz w:val="17"/>
              </w:rPr>
            </w:pPr>
            <w:r>
              <w:rPr>
                <w:rFonts w:ascii="Times New Roman" w:hint="eastAsia"/>
                <w:sz w:val="17"/>
              </w:rPr>
              <w:t>93</w:t>
            </w:r>
          </w:p>
        </w:tc>
      </w:tr>
    </w:tbl>
    <w:p w:rsidR="0095327F" w:rsidRDefault="0095327F">
      <w:pPr>
        <w:pStyle w:val="SingleTxt"/>
        <w:rPr>
          <w:rFonts w:hint="eastAsia"/>
        </w:rPr>
      </w:pPr>
    </w:p>
    <w:p w:rsidR="0095327F" w:rsidRDefault="0095327F">
      <w:pPr>
        <w:pStyle w:val="SingleTxt"/>
        <w:rPr>
          <w:rFonts w:hint="eastAsia"/>
        </w:rPr>
      </w:pPr>
      <w:r>
        <w:rPr>
          <w:rFonts w:hint="eastAsia"/>
        </w:rPr>
        <w:tab/>
        <w:t>1997年，罗马尼亚议会欧洲一体化委员会设立了机会均等小组委员会。继2000年选举后，这个小组委员会重新启动，并在同一议会委员会中运作，其成员由5名议会议员组成，其中有2人是男性。</w:t>
      </w:r>
    </w:p>
    <w:p w:rsidR="0095327F" w:rsidRDefault="0095327F">
      <w:pPr>
        <w:pStyle w:val="SingleTxt"/>
        <w:rPr>
          <w:rFonts w:hint="eastAsia"/>
        </w:rPr>
      </w:pPr>
      <w:r>
        <w:rPr>
          <w:rFonts w:hint="eastAsia"/>
        </w:rPr>
        <w:tab/>
        <w:t>在2000年的地方选举中，109名妇女当选市长，全国共有3 000位市长。</w:t>
      </w:r>
    </w:p>
    <w:p w:rsidR="0095327F" w:rsidRDefault="0095327F">
      <w:pPr>
        <w:pStyle w:val="SingleTxt"/>
        <w:rPr>
          <w:rFonts w:hint="eastAsia"/>
        </w:rPr>
      </w:pPr>
      <w:r>
        <w:rPr>
          <w:rFonts w:hint="eastAsia"/>
        </w:rPr>
        <w:tab/>
        <w:t>为了加速实现男女机会均等，中央和地方政府当局将采取激励措施，让男女依照能力标准在社会伙伴的决策当局公平、均等地任职。</w:t>
      </w:r>
    </w:p>
    <w:p w:rsidR="0095327F" w:rsidRDefault="0095327F">
      <w:pPr>
        <w:pStyle w:val="SingleTxt"/>
        <w:rPr>
          <w:rFonts w:hint="eastAsia"/>
        </w:rPr>
      </w:pPr>
      <w:r>
        <w:rPr>
          <w:rFonts w:hint="eastAsia"/>
        </w:rPr>
        <w:tab/>
        <w:t>根据1999年12月8日关于政府官员规约的第188号法律的规定，担任高级或初级公务员职位，应参加基于职业能力标准的竞争性甄选，男子和妇女均不受歧视。竞聘结果将予以公布，并提供给所有有关候选人，无论他们的种族、性别、宗教或种族背景如何，唯一的条件是他们必须是罗马尼亚公民并且年满18岁或以上。</w:t>
      </w:r>
    </w:p>
    <w:p w:rsidR="0095327F" w:rsidRDefault="0095327F">
      <w:pPr>
        <w:pStyle w:val="SingleTxt"/>
        <w:rPr>
          <w:rFonts w:hint="eastAsia"/>
        </w:rPr>
      </w:pPr>
      <w:r>
        <w:rPr>
          <w:rFonts w:hint="eastAsia"/>
        </w:rPr>
        <w:tab/>
        <w:t>就妇女作为非政府组织的成员积极参与公共生活和政治生活的机会而言，2000年1月30日关于协会和基金会的第26号政府法令规定，“个人和法律实体，旨在从事一般性利益活动或地方利益活动的，或者按情况下出于自身的非继承利益的，可根据本法令的规定创建协会或基金会。”这项规定在赋予组建协会或基金会（无论其活动领域如何）的权利时，未作出任何性别区分。</w:t>
      </w:r>
    </w:p>
    <w:p w:rsidR="0095327F" w:rsidRDefault="0095327F">
      <w:pPr>
        <w:pStyle w:val="SingleTxt"/>
        <w:rPr>
          <w:rFonts w:ascii="SimHei" w:eastAsia="SimHei" w:hint="eastAsia"/>
          <w:color w:val="FF0000"/>
          <w:sz w:val="24"/>
        </w:rPr>
      </w:pPr>
      <w:r>
        <w:rPr>
          <w:rFonts w:ascii="SimHei" w:eastAsia="SimHei" w:hint="eastAsia"/>
          <w:color w:val="FF0000"/>
          <w:sz w:val="24"/>
        </w:rPr>
        <w:t>第8条</w:t>
      </w:r>
    </w:p>
    <w:p w:rsidR="0095327F" w:rsidRDefault="0095327F">
      <w:pPr>
        <w:pStyle w:val="SingleTxt"/>
        <w:rPr>
          <w:rFonts w:hint="eastAsia"/>
        </w:rPr>
      </w:pPr>
      <w:r>
        <w:rPr>
          <w:rFonts w:hint="eastAsia"/>
        </w:rPr>
        <w:tab/>
        <w:t>在国际关系领域，罗马尼亚妇女参加国际会议、集会或研讨会的人数引人注目。</w:t>
      </w:r>
    </w:p>
    <w:p w:rsidR="0095327F" w:rsidRDefault="0095327F">
      <w:pPr>
        <w:pStyle w:val="SingleTxt"/>
        <w:rPr>
          <w:rFonts w:hint="eastAsia"/>
        </w:rPr>
      </w:pPr>
      <w:r>
        <w:rPr>
          <w:rFonts w:hint="eastAsia"/>
        </w:rPr>
        <w:tab/>
        <w:t>罗马尼亚外交使团的妇女人数很多，她们的职业特点值得注意。目前有9名女性担任罗马尼亚驻外大使。</w:t>
      </w:r>
    </w:p>
    <w:p w:rsidR="0095327F" w:rsidRDefault="0095327F">
      <w:pPr>
        <w:pStyle w:val="SingleTxt"/>
        <w:rPr>
          <w:rFonts w:hint="eastAsia"/>
        </w:rPr>
      </w:pPr>
      <w:r>
        <w:rPr>
          <w:rFonts w:ascii="SimHei" w:eastAsia="SimHei" w:hint="eastAsia"/>
          <w:color w:val="FF0000"/>
          <w:sz w:val="24"/>
        </w:rPr>
        <w:t>第9条</w:t>
      </w:r>
    </w:p>
    <w:p w:rsidR="0095327F" w:rsidRDefault="0095327F">
      <w:pPr>
        <w:pStyle w:val="SingleTxt"/>
        <w:rPr>
          <w:rFonts w:hint="eastAsia"/>
        </w:rPr>
      </w:pPr>
      <w:r>
        <w:rPr>
          <w:rFonts w:hint="eastAsia"/>
        </w:rPr>
        <w:tab/>
        <w:t>在取得公民资格方面，不得对妇女实施（直接或间接）歧视。妇女和男子在子女的公民资格方面享有同等权利。关于收养的子女取得和丧失罗马尼亚公民资格，见以前报告详述的程序规则。比如，外籍或无国籍儿童被收养后可取得罗马尼亚公民资格，条件是收养人是罗马尼亚公民且该名儿童尚未成年。外国或无国籍儿童，收养他的夫妇若只有一方拥有罗马尼亚公民资格，其公民资格将由养父母协商决定。根据公民资格法第6条，养父母若发生分歧，主管法院有责任宣布未成年儿童的公民资格，并要考虑到该儿童的利益。儿童年满14岁或以上的，法官应征得他/她的同意。</w:t>
      </w:r>
    </w:p>
    <w:p w:rsidR="0095327F" w:rsidRDefault="0095327F">
      <w:pPr>
        <w:pStyle w:val="SingleTxt"/>
        <w:rPr>
          <w:rFonts w:hint="eastAsia"/>
        </w:rPr>
      </w:pPr>
      <w:r>
        <w:rPr>
          <w:rFonts w:hint="eastAsia"/>
        </w:rPr>
        <w:tab/>
        <w:t>对于涉及父母回国的案件，出台了同样的规定。子女仍未成年且不满14岁的，其公民资格应由返回祖国的父母决定。如果父母发生分歧，子女居住地法院有权宣布该子女的公民资格，并要考虑到他/她的利益。子女年满14岁或以上的，法官仍应征得他/她的同意。从程序的角度，对父母一方在提出申请后取得罗马尼亚公民资格的情况，由类似条款作了澄清。在这种情况下，父母双方共同决定其未成年子女的公民资格。如果双方发生分歧，问题将由主管法院审议决定。</w:t>
      </w:r>
    </w:p>
    <w:p w:rsidR="0095327F" w:rsidRDefault="0095327F">
      <w:pPr>
        <w:pStyle w:val="SingleTxt"/>
        <w:rPr>
          <w:rFonts w:ascii="SimHei" w:eastAsia="SimHei" w:hint="eastAsia"/>
          <w:color w:val="FF0000"/>
          <w:sz w:val="24"/>
        </w:rPr>
      </w:pPr>
      <w:r>
        <w:rPr>
          <w:rFonts w:ascii="SimHei" w:eastAsia="SimHei" w:hint="eastAsia"/>
          <w:color w:val="FF0000"/>
          <w:sz w:val="24"/>
        </w:rPr>
        <w:t>第10条</w:t>
      </w:r>
    </w:p>
    <w:p w:rsidR="0095327F" w:rsidRDefault="0095327F">
      <w:pPr>
        <w:pStyle w:val="SingleTxt"/>
        <w:rPr>
          <w:rFonts w:ascii="SimHei" w:eastAsia="SimHei" w:hint="eastAsia"/>
          <w:color w:val="FF0000"/>
          <w:sz w:val="24"/>
        </w:rPr>
      </w:pPr>
      <w:r>
        <w:rPr>
          <w:rFonts w:ascii="SimHei" w:eastAsia="SimHei" w:hint="eastAsia"/>
          <w:color w:val="FF0000"/>
          <w:sz w:val="24"/>
        </w:rPr>
        <w:t>第11条</w:t>
      </w:r>
    </w:p>
    <w:p w:rsidR="0095327F" w:rsidRDefault="0095327F">
      <w:pPr>
        <w:pStyle w:val="SingleTxt"/>
        <w:rPr>
          <w:rFonts w:hint="eastAsia"/>
        </w:rPr>
      </w:pPr>
      <w:r>
        <w:rPr>
          <w:rFonts w:hint="eastAsia"/>
        </w:rPr>
        <w:tab/>
        <w:t>上文提到的关于男女机会均等和待遇的第202/2002法律规定，妇女同男子一样，应当有权不受歧视地自由选择和从事她们的职业，并且拥有同工同酬的权利，以及获得培训方案和其他福利的权利。</w:t>
      </w:r>
    </w:p>
    <w:p w:rsidR="0095327F" w:rsidRDefault="0095327F">
      <w:pPr>
        <w:pStyle w:val="SingleTxt"/>
        <w:rPr>
          <w:rFonts w:hint="eastAsia"/>
        </w:rPr>
      </w:pPr>
      <w:r>
        <w:rPr>
          <w:rFonts w:hint="eastAsia"/>
        </w:rPr>
        <w:tab/>
        <w:t>雇主应在一切类型的工作关系内保证雇员之间以及男女之间的机会和待遇平等，包括制定规定禁止在单位的组织和工作条例以及内部秩序条例方面实施歧视。第9条第1款规定，孕产不是女性候选人就业的理由。</w:t>
      </w:r>
    </w:p>
    <w:p w:rsidR="0095327F" w:rsidRDefault="0095327F">
      <w:pPr>
        <w:pStyle w:val="SingleTxt"/>
        <w:rPr>
          <w:rFonts w:hint="eastAsia"/>
        </w:rPr>
      </w:pPr>
      <w:r>
        <w:rPr>
          <w:rFonts w:hint="eastAsia"/>
        </w:rPr>
        <w:tab/>
        <w:t>为了预防和限制工作地点的侮辱性行为，根据关于修订《刑法典》与性生活有关的犯罪的部分规定的第89/2001号紧急法令（第61/2002号法律批准），性骚扰属犯罪行为。</w:t>
      </w:r>
    </w:p>
    <w:p w:rsidR="0095327F" w:rsidRDefault="0095327F">
      <w:pPr>
        <w:pStyle w:val="SingleTxt"/>
        <w:rPr>
          <w:rFonts w:hint="eastAsia"/>
        </w:rPr>
      </w:pPr>
      <w:r>
        <w:rPr>
          <w:rFonts w:hint="eastAsia"/>
        </w:rPr>
        <w:tab/>
        <w:t>罗马尼亚《劳动法典》规定，男子和妇女可按能力和职业培训自由选择职业和工作场所，并有权在一切领域从事其活动。</w:t>
      </w:r>
    </w:p>
    <w:p w:rsidR="0095327F" w:rsidRDefault="0095327F">
      <w:pPr>
        <w:pStyle w:val="SingleTxt"/>
        <w:rPr>
          <w:rFonts w:hint="eastAsia"/>
        </w:rPr>
      </w:pPr>
      <w:r>
        <w:rPr>
          <w:rFonts w:hint="eastAsia"/>
        </w:rPr>
        <w:tab/>
        <w:t>《劳动保护法》（重新颁布）各规定的宗旨是保证在工作过程中提供最佳条件，并保护雇员的生命、人身安全和健康，而无论其性别如何。</w:t>
      </w:r>
    </w:p>
    <w:p w:rsidR="0095327F" w:rsidRDefault="0095327F">
      <w:pPr>
        <w:pStyle w:val="SingleTxt"/>
        <w:rPr>
          <w:rFonts w:hint="eastAsia"/>
        </w:rPr>
      </w:pPr>
      <w:r>
        <w:rPr>
          <w:rFonts w:hint="eastAsia"/>
        </w:rPr>
        <w:tab/>
        <w:t>雇员认为自己受到基于性别标准歧视的，有权向雇主提出请求或申诉，若雇主直接参与歧视，还有权起诉雇主，并有权要求工会组织或单位雇员代表提供支持，帮助解决工作地点发生的歧视。如果这种歧视情况在单位一级通过仲裁未得到解决，雇员能证明其在劳动领域的权利受到侵害的，有权依照本法分别向主管法院专门负责劳动争议或纠纷的裁决小组或雇主和行为人实施其行为的管辖区的社会保险部门提出申诉，如有必要，也可向行政诉讼法院提出申诉，但申诉期限从实施歧视行为之日起不得超过一年。</w:t>
      </w:r>
    </w:p>
    <w:p w:rsidR="0095327F" w:rsidRDefault="0095327F">
      <w:pPr>
        <w:pStyle w:val="SingleTxt"/>
        <w:rPr>
          <w:rFonts w:hint="eastAsia"/>
        </w:rPr>
      </w:pPr>
      <w:r>
        <w:rPr>
          <w:rFonts w:hint="eastAsia"/>
        </w:rPr>
        <w:tab/>
        <w:t>罗马尼亚在工作中的安全与健康领域的立法规定，执行措施促进改善怀孕、分娩和哺乳期的女雇员以及被认为易遭到某些危险的群体在工作中的安全与健康是一项目标。条件有害、艰苦或危险的工作场所，不能使用这些妇女。</w:t>
      </w:r>
    </w:p>
    <w:p w:rsidR="0095327F" w:rsidRDefault="0095327F">
      <w:pPr>
        <w:pStyle w:val="SingleTxt"/>
        <w:rPr>
          <w:rFonts w:hint="eastAsia"/>
        </w:rPr>
      </w:pPr>
      <w:r>
        <w:rPr>
          <w:rFonts w:hint="eastAsia"/>
        </w:rPr>
        <w:tab/>
        <w:t>劳动保护的一般性规范规定，怀孕及哺乳妇女就业的，应在体检后，为她们提供与其生理状况相适应的工作场所。让这些妇女进入工作场所时，应考虑她们的体能和生理状况，避免让她们受到惊吓，不要让她们接触化学物品和电离物品，并应避免让她们搬运重物及长时间保持站立姿势。</w:t>
      </w:r>
    </w:p>
    <w:p w:rsidR="0095327F" w:rsidRDefault="0095327F">
      <w:pPr>
        <w:pStyle w:val="SingleTxt"/>
        <w:rPr>
          <w:rFonts w:hint="eastAsia"/>
        </w:rPr>
      </w:pPr>
      <w:r>
        <w:rPr>
          <w:rFonts w:hint="eastAsia"/>
        </w:rPr>
        <w:tab/>
        <w:t>重新公布的关于劳动保护的第90/1996号法律规定，在工作中的健康和安全领域，雇主在公司开支、全体雇员的学习和教育以及工作中的健康和安全领域的培训和再培训方面，有义务对应得到劳动保护的雇员提供保护。</w:t>
      </w:r>
    </w:p>
    <w:p w:rsidR="0095327F" w:rsidRDefault="0095327F">
      <w:pPr>
        <w:pStyle w:val="SingleTxt"/>
        <w:rPr>
          <w:rFonts w:hint="eastAsia"/>
        </w:rPr>
      </w:pPr>
      <w:r>
        <w:rPr>
          <w:rFonts w:hint="eastAsia"/>
        </w:rPr>
        <w:tab/>
        <w:t>关于劳动事故和职业病的第346/2002号法律为女性雇员提供与男性雇员相同的社会保护，以防她们遭到以下类别的职业风险：丧失或减少劳动能力以及因劳动事故和职业病死亡。</w:t>
      </w:r>
    </w:p>
    <w:p w:rsidR="0095327F" w:rsidRDefault="0095327F">
      <w:pPr>
        <w:pStyle w:val="SingleTxt"/>
        <w:rPr>
          <w:rFonts w:hint="eastAsia"/>
        </w:rPr>
      </w:pPr>
      <w:r>
        <w:rPr>
          <w:rFonts w:hint="eastAsia"/>
        </w:rPr>
        <w:tab/>
        <w:t>《罗马尼亚宪法》、《劳动法典》、重新公布的关于劳动保护的第90/96号法律及其实施方法规范、工作中的健康与安全具体规范均对在工作中享有健康与安全保护的权利作出了规定。</w:t>
      </w:r>
    </w:p>
    <w:p w:rsidR="0095327F" w:rsidRDefault="0095327F">
      <w:pPr>
        <w:pStyle w:val="SingleTxt"/>
        <w:rPr>
          <w:rFonts w:hint="eastAsia"/>
        </w:rPr>
      </w:pPr>
      <w:r>
        <w:rPr>
          <w:rFonts w:hint="eastAsia"/>
        </w:rPr>
        <w:tab/>
        <w:t>一般性劳动保护规范依照国家一级的法律和技术性修改定期修订。</w:t>
      </w:r>
    </w:p>
    <w:p w:rsidR="0095327F" w:rsidRDefault="0095327F">
      <w:pPr>
        <w:pStyle w:val="SingleTxt"/>
        <w:rPr>
          <w:rFonts w:hint="eastAsia"/>
        </w:rPr>
      </w:pPr>
      <w:r>
        <w:rPr>
          <w:rFonts w:hint="eastAsia"/>
        </w:rPr>
        <w:tab/>
        <w:t>作为劳动安全说明的特定规范和劳动标准，依照国家、雇主或劳动过程一级的法律和技术性修改定期修订。</w:t>
      </w:r>
    </w:p>
    <w:p w:rsidR="0095327F" w:rsidRDefault="0095327F">
      <w:pPr>
        <w:pStyle w:val="SingleTxt"/>
        <w:rPr>
          <w:rFonts w:hint="eastAsia"/>
        </w:rPr>
      </w:pPr>
      <w:r>
        <w:rPr>
          <w:rFonts w:hint="eastAsia"/>
        </w:rPr>
        <w:tab/>
        <w:t>与社会排斥和贫穷作斗争是政府的明确优先事项，在本报告所述期间，立法活动有所加强。新的立法谋求提供一个社会安全网络，同时促进进入劳动力市场的机会，以便提高社会易受害人群的经济独立能力。全国防止贫困和促进社会包容计划于2002年4月出台；一项有关预防和打击社会排斥的法律，作为执行这项计划的首批文书之一，也获得通过。</w:t>
      </w:r>
    </w:p>
    <w:p w:rsidR="0095327F" w:rsidRDefault="0095327F">
      <w:pPr>
        <w:pStyle w:val="SingleTxt"/>
        <w:rPr>
          <w:rFonts w:hint="eastAsia"/>
        </w:rPr>
      </w:pPr>
      <w:r>
        <w:rPr>
          <w:rFonts w:hint="eastAsia"/>
        </w:rPr>
        <w:tab/>
        <w:t>另外还制定了全国残疾人特别保护和融入社会战略。</w:t>
      </w:r>
    </w:p>
    <w:p w:rsidR="0095327F" w:rsidRDefault="0095327F">
      <w:pPr>
        <w:pStyle w:val="SingleTxt"/>
        <w:rPr>
          <w:rFonts w:ascii="SimHei" w:eastAsia="SimHei" w:hint="eastAsia"/>
          <w:color w:val="FF0000"/>
        </w:rPr>
      </w:pPr>
      <w:r>
        <w:rPr>
          <w:rFonts w:ascii="SimHei" w:eastAsia="SimHei" w:hint="eastAsia"/>
          <w:color w:val="FF0000"/>
        </w:rPr>
        <w:t>预防在劳动领域对罗姆妇女的歧视</w:t>
      </w:r>
    </w:p>
    <w:p w:rsidR="0095327F" w:rsidRDefault="0095327F">
      <w:pPr>
        <w:pStyle w:val="SingleTxt"/>
        <w:rPr>
          <w:rFonts w:hint="eastAsia"/>
        </w:rPr>
      </w:pPr>
      <w:r>
        <w:rPr>
          <w:rFonts w:hint="eastAsia"/>
        </w:rPr>
        <w:tab/>
        <w:t>就业总局和全国就业机构采取具体措施，改进了全国就业机构2001年提高就业率方案中的改善罗姆人状况的战略的执行方法。</w:t>
      </w:r>
    </w:p>
    <w:p w:rsidR="0095327F" w:rsidRDefault="0095327F">
      <w:pPr>
        <w:pStyle w:val="SingleTxt"/>
        <w:rPr>
          <w:rFonts w:hint="eastAsia"/>
        </w:rPr>
      </w:pPr>
      <w:r>
        <w:rPr>
          <w:rFonts w:hint="eastAsia"/>
        </w:rPr>
        <w:tab/>
        <w:t>在劳动、社会团结和家庭部内设立了罗姆人特别委员会，目的是执行改善罗姆人状况的战略。就业总局的一名代表也将参与这个委员会。委员会将关注如何落实执行战略的计划所确定的措施。</w:t>
      </w:r>
    </w:p>
    <w:p w:rsidR="0095327F" w:rsidRDefault="0095327F">
      <w:pPr>
        <w:pStyle w:val="SingleTxt"/>
        <w:rPr>
          <w:rFonts w:hint="eastAsia"/>
        </w:rPr>
      </w:pPr>
      <w:r>
        <w:rPr>
          <w:rFonts w:hint="eastAsia"/>
        </w:rPr>
        <w:tab/>
        <w:t>2001年，罗姆人首次被视为全国就业机构提高就业率方案的目标群体，罗姆人在本年度的就业人数估计为3 725人。目前已经制定并且正在执行支助罗姆人就业的一些特别措施，如：</w:t>
      </w:r>
    </w:p>
    <w:p w:rsidR="0095327F" w:rsidRDefault="0095327F">
      <w:pPr>
        <w:pStyle w:val="SingleTxt"/>
        <w:ind w:left="2126" w:hanging="431"/>
        <w:rPr>
          <w:rFonts w:hint="eastAsia"/>
        </w:rPr>
      </w:pPr>
      <w:r>
        <w:rPr>
          <w:rFonts w:hint="eastAsia"/>
        </w:rPr>
        <w:t>-</w:t>
      </w:r>
      <w:r>
        <w:rPr>
          <w:rFonts w:hint="eastAsia"/>
        </w:rPr>
        <w:tab/>
        <w:t>职业咨询服务，包括提供资料说明基于自由倡议的组织和法律活动的优点，以及以切实支助帮助罗姆人开展这类活动；</w:t>
      </w:r>
    </w:p>
    <w:p w:rsidR="0095327F" w:rsidRDefault="0095327F">
      <w:pPr>
        <w:pStyle w:val="SingleTxt"/>
        <w:ind w:left="2126" w:hanging="431"/>
        <w:rPr>
          <w:rFonts w:hint="eastAsia"/>
        </w:rPr>
      </w:pPr>
      <w:r>
        <w:rPr>
          <w:rFonts w:hint="eastAsia"/>
        </w:rPr>
        <w:t>-</w:t>
      </w:r>
      <w:r>
        <w:rPr>
          <w:rFonts w:hint="eastAsia"/>
        </w:rPr>
        <w:tab/>
        <w:t>为移民后重返罗马尼亚的罗姆人提供咨询服务；</w:t>
      </w:r>
    </w:p>
    <w:p w:rsidR="0095327F" w:rsidRDefault="0095327F">
      <w:pPr>
        <w:pStyle w:val="SingleTxt"/>
        <w:ind w:left="2126" w:hanging="431"/>
        <w:rPr>
          <w:rFonts w:hint="eastAsia"/>
        </w:rPr>
      </w:pPr>
      <w:r>
        <w:rPr>
          <w:rFonts w:hint="eastAsia"/>
        </w:rPr>
        <w:t>-</w:t>
      </w:r>
      <w:r>
        <w:rPr>
          <w:rFonts w:hint="eastAsia"/>
        </w:rPr>
        <w:tab/>
        <w:t>为中小型企业提供低息贷款——针对有意创办中小型企业的罗姆人开展宣传活动，向他们介绍低息贷款的好处，以及批准可行性研究的咨询活动，等等；</w:t>
      </w:r>
    </w:p>
    <w:p w:rsidR="0095327F" w:rsidRDefault="0095327F">
      <w:pPr>
        <w:pStyle w:val="SingleTxt"/>
        <w:ind w:left="2126" w:hanging="431"/>
        <w:rPr>
          <w:rFonts w:hint="eastAsia"/>
        </w:rPr>
      </w:pPr>
      <w:r>
        <w:rPr>
          <w:rFonts w:hint="eastAsia"/>
        </w:rPr>
        <w:t>-</w:t>
      </w:r>
      <w:r>
        <w:rPr>
          <w:rFonts w:hint="eastAsia"/>
        </w:rPr>
        <w:tab/>
        <w:t>与地方当局合作，为开展对整个社区有利的活动创造一些临时工作机会；</w:t>
      </w:r>
    </w:p>
    <w:p w:rsidR="0095327F" w:rsidRDefault="0095327F">
      <w:pPr>
        <w:pStyle w:val="SingleTxt"/>
        <w:ind w:left="2126" w:hanging="431"/>
        <w:rPr>
          <w:rFonts w:hint="eastAsia"/>
        </w:rPr>
      </w:pPr>
      <w:r>
        <w:rPr>
          <w:rFonts w:hint="eastAsia"/>
        </w:rPr>
        <w:t>-</w:t>
      </w:r>
      <w:r>
        <w:rPr>
          <w:rFonts w:hint="eastAsia"/>
        </w:rPr>
        <w:tab/>
        <w:t>与地方当局和罗姆人联合会合作，以便资助并制定一些地方方案，以创办新的小企业，专门生产罗姆人的传统手工艺产品；</w:t>
      </w:r>
    </w:p>
    <w:p w:rsidR="0095327F" w:rsidRDefault="0095327F">
      <w:pPr>
        <w:pStyle w:val="SingleTxt"/>
        <w:ind w:left="2126" w:hanging="431"/>
        <w:rPr>
          <w:rFonts w:hint="eastAsia"/>
        </w:rPr>
      </w:pPr>
      <w:r>
        <w:rPr>
          <w:rFonts w:hint="eastAsia"/>
        </w:rPr>
        <w:t>-</w:t>
      </w:r>
      <w:r>
        <w:rPr>
          <w:rFonts w:hint="eastAsia"/>
        </w:rPr>
        <w:tab/>
        <w:t>加强中介服务，最终目标是让罗姆人在一段时间内从事一些季节性工作和临时活动（譬如：农业工作）；</w:t>
      </w:r>
    </w:p>
    <w:p w:rsidR="0095327F" w:rsidRDefault="0095327F">
      <w:pPr>
        <w:pStyle w:val="SingleTxt"/>
        <w:ind w:left="2126" w:hanging="431"/>
        <w:rPr>
          <w:rFonts w:hint="eastAsia"/>
        </w:rPr>
      </w:pPr>
      <w:r>
        <w:rPr>
          <w:rFonts w:hint="eastAsia"/>
        </w:rPr>
        <w:t>-</w:t>
      </w:r>
      <w:r>
        <w:rPr>
          <w:rFonts w:hint="eastAsia"/>
        </w:rPr>
        <w:tab/>
        <w:t>制定促使具有资格证书的罗姆人转换职业的方案；这项方案将扩大罗姆人重新进入劳动力市场的机会；</w:t>
      </w:r>
    </w:p>
    <w:p w:rsidR="0095327F" w:rsidRDefault="0095327F">
      <w:pPr>
        <w:pStyle w:val="SingleTxt"/>
        <w:ind w:left="2126" w:hanging="431"/>
        <w:rPr>
          <w:rFonts w:hint="eastAsia"/>
        </w:rPr>
      </w:pPr>
      <w:r>
        <w:rPr>
          <w:rFonts w:hint="eastAsia"/>
        </w:rPr>
        <w:t>-</w:t>
      </w:r>
      <w:r>
        <w:rPr>
          <w:rFonts w:hint="eastAsia"/>
        </w:rPr>
        <w:tab/>
        <w:t>为从事传统手工艺的罗姆人开设一些课程；这些课程将能够让毕业的罗姆人取得手工业者资格证书，等等。</w:t>
      </w:r>
    </w:p>
    <w:p w:rsidR="0095327F" w:rsidRDefault="0095327F">
      <w:pPr>
        <w:pStyle w:val="SingleTxt"/>
        <w:rPr>
          <w:rFonts w:ascii="SimHei" w:eastAsia="SimHei" w:hint="eastAsia"/>
          <w:color w:val="FF0000"/>
          <w:sz w:val="24"/>
        </w:rPr>
      </w:pPr>
      <w:r>
        <w:rPr>
          <w:rFonts w:ascii="SimHei" w:eastAsia="SimHei" w:hint="eastAsia"/>
          <w:color w:val="FF0000"/>
          <w:sz w:val="24"/>
        </w:rPr>
        <w:t>第12条</w:t>
      </w:r>
    </w:p>
    <w:p w:rsidR="0095327F" w:rsidRDefault="0095327F">
      <w:pPr>
        <w:pStyle w:val="SingleTxt"/>
        <w:rPr>
          <w:rFonts w:hint="eastAsia"/>
        </w:rPr>
      </w:pPr>
      <w:r>
        <w:rPr>
          <w:rFonts w:hint="eastAsia"/>
        </w:rPr>
        <w:tab/>
        <w:t>根据1991年《罗马尼亚宪法》第33条第（1）款，国家负责罗马尼亚人口的健康，并保证公共卫生和健康。宪法还宣布男女平等，有权取得保健服务以及与计划生育有关的服务。</w:t>
      </w:r>
    </w:p>
    <w:p w:rsidR="0095327F" w:rsidRDefault="0095327F">
      <w:pPr>
        <w:pStyle w:val="SingleTxt"/>
        <w:rPr>
          <w:rFonts w:hint="eastAsia"/>
        </w:rPr>
      </w:pPr>
      <w:r>
        <w:rPr>
          <w:rFonts w:hint="eastAsia"/>
        </w:rPr>
        <w:tab/>
        <w:t>自1990年起，根据妇女提出的要求实施的堕胎属合法行为。（政府和非政府部门提供的）计划生育服务在全国一级得到发展，目的是进行健康教育，并不断降低1990年后登记的高堕胎率。计划生育服务的部分益惠是产妇死亡率和弃儿率不断降低。</w:t>
      </w:r>
    </w:p>
    <w:p w:rsidR="0095327F" w:rsidRDefault="0095327F">
      <w:pPr>
        <w:pStyle w:val="SingleTxt"/>
        <w:rPr>
          <w:rFonts w:hint="eastAsia"/>
        </w:rPr>
      </w:pPr>
      <w:r>
        <w:rPr>
          <w:rFonts w:hint="eastAsia"/>
        </w:rPr>
        <w:tab/>
        <w:t>自2001年起，儿童不满一岁的，保证能得到免费提供的奶粉。在过去五年间，罗马尼亚各城市开办了专门的妇女保健中心。这类中心提供不孕症、生殖器官癌和乳腺癌的预防、早期检查和治疗，以及预防绝经引发的疾病等服务。</w:t>
      </w:r>
    </w:p>
    <w:p w:rsidR="0095327F" w:rsidRDefault="0095327F">
      <w:pPr>
        <w:pStyle w:val="SingleTxt"/>
        <w:rPr>
          <w:rFonts w:hint="eastAsia"/>
        </w:rPr>
      </w:pPr>
      <w:r>
        <w:rPr>
          <w:rFonts w:hint="eastAsia"/>
        </w:rPr>
        <w:tab/>
        <w:t>切割女性生殖器官不是罗马尼亚的传统文化惯例，也没有得到罗马尼亚立法的许可。</w:t>
      </w:r>
    </w:p>
    <w:p w:rsidR="0095327F" w:rsidRDefault="0095327F">
      <w:pPr>
        <w:pStyle w:val="SingleTxt"/>
        <w:rPr>
          <w:rFonts w:ascii="SimHei" w:eastAsia="SimHei" w:hint="eastAsia"/>
          <w:color w:val="FF0000"/>
        </w:rPr>
      </w:pPr>
      <w:r>
        <w:rPr>
          <w:rFonts w:ascii="SimHei" w:eastAsia="SimHei" w:hint="eastAsia"/>
          <w:color w:val="FF0000"/>
        </w:rPr>
        <w:t>家庭暴力</w:t>
      </w:r>
    </w:p>
    <w:p w:rsidR="0095327F" w:rsidRDefault="0095327F">
      <w:pPr>
        <w:pStyle w:val="SingleTxt"/>
        <w:rPr>
          <w:rFonts w:hint="eastAsia"/>
        </w:rPr>
      </w:pPr>
      <w:r>
        <w:rPr>
          <w:rFonts w:hint="eastAsia"/>
        </w:rPr>
        <w:tab/>
        <w:t>对妇女的家庭暴力这种现象是一种社会和司法问题，也是一个重要的公共卫生问题，这不是罗马尼亚社会特有的现象，而是世界各国普遍存在的现象。</w:t>
      </w:r>
    </w:p>
    <w:p w:rsidR="0095327F" w:rsidRDefault="0095327F">
      <w:pPr>
        <w:pStyle w:val="SingleTxt"/>
        <w:rPr>
          <w:rFonts w:hint="eastAsia"/>
        </w:rPr>
      </w:pPr>
      <w:r>
        <w:rPr>
          <w:rFonts w:hint="eastAsia"/>
        </w:rPr>
        <w:tab/>
        <w:t>2000年前，罗马尼亚没有专门针对家庭暴力的条例，包括家庭暴力在内的暴力行为仅依照《刑法典》予以惩处（第180、第181和第184条）。</w:t>
      </w:r>
    </w:p>
    <w:p w:rsidR="0095327F" w:rsidRDefault="0095327F">
      <w:pPr>
        <w:pStyle w:val="SingleTxt"/>
        <w:rPr>
          <w:rFonts w:hint="eastAsia"/>
        </w:rPr>
      </w:pPr>
      <w:r>
        <w:rPr>
          <w:rFonts w:hint="eastAsia"/>
        </w:rPr>
        <w:tab/>
        <w:t>议会于2000年11月通过的第197号法律修订并完善了《刑法典》的第75、第112、第118、第149、第180、第181、第197、第198、第202、第305、第306、第314条。</w:t>
      </w:r>
    </w:p>
    <w:p w:rsidR="0095327F" w:rsidRDefault="0095327F">
      <w:pPr>
        <w:pStyle w:val="SingleTxt"/>
        <w:rPr>
          <w:rFonts w:hint="eastAsia"/>
        </w:rPr>
      </w:pPr>
      <w:r>
        <w:rPr>
          <w:rFonts w:hint="eastAsia"/>
        </w:rPr>
        <w:tab/>
        <w:t>这部法律在罗马尼亚立法中首次明确规定，无论家庭有无合法婚姻地位，对家庭成员实施暴力的，应加重处罚；因家庭暴力攻击被判刑和监禁的攻击者，应禁止他重新融入家庭。此外，这部法律还加重了对性虐待和虐待未成年人的处罚。</w:t>
      </w:r>
    </w:p>
    <w:p w:rsidR="0095327F" w:rsidRDefault="0095327F">
      <w:pPr>
        <w:pStyle w:val="SingleTxt"/>
        <w:rPr>
          <w:rFonts w:hint="eastAsia"/>
        </w:rPr>
      </w:pPr>
      <w:r>
        <w:rPr>
          <w:rFonts w:hint="eastAsia"/>
        </w:rPr>
        <w:tab/>
        <w:t>罗马尼亚议会于2003年5月通过了关于预防和打击家庭暴力的第217号法律。这部法律设立了全国家庭保护机构，提供了预防和打击家庭暴力以及保护受害人的措施，并明确了家庭社会救济人员的地位和义务。</w:t>
      </w:r>
    </w:p>
    <w:p w:rsidR="0095327F" w:rsidRDefault="0095327F">
      <w:pPr>
        <w:pStyle w:val="SingleTxt"/>
        <w:rPr>
          <w:rFonts w:ascii="KaiTi_GB2312" w:eastAsia="KaiTi_GB2312" w:hint="eastAsia"/>
          <w:b/>
          <w:bCs/>
          <w:color w:val="0000FF"/>
        </w:rPr>
      </w:pPr>
      <w:r>
        <w:rPr>
          <w:rFonts w:ascii="KaiTi_GB2312" w:eastAsia="KaiTi_GB2312" w:hint="eastAsia"/>
          <w:b/>
          <w:bCs/>
          <w:color w:val="0000FF"/>
        </w:rPr>
        <w:t>统计数据</w:t>
      </w:r>
    </w:p>
    <w:p w:rsidR="0095327F" w:rsidRDefault="0095327F">
      <w:pPr>
        <w:pStyle w:val="SingleTxt"/>
        <w:rPr>
          <w:rFonts w:hint="eastAsia"/>
        </w:rPr>
      </w:pPr>
      <w:r>
        <w:rPr>
          <w:rFonts w:hint="eastAsia"/>
        </w:rPr>
        <w:tab/>
        <w:t>目前在国家一级尚没有统计数据。</w:t>
      </w:r>
    </w:p>
    <w:p w:rsidR="0095327F" w:rsidRDefault="0095327F">
      <w:pPr>
        <w:pStyle w:val="SingleTxt"/>
        <w:rPr>
          <w:rFonts w:hint="eastAsia"/>
        </w:rPr>
      </w:pPr>
      <w:r>
        <w:rPr>
          <w:rFonts w:hint="eastAsia"/>
        </w:rPr>
        <w:tab/>
        <w:t>在布加勒斯特（居民人口为190万）的援助和保护家庭暴力受害者试验中心，每年有1 000多名被虐待的妇女前来寻求帮助和支助。</w:t>
      </w:r>
    </w:p>
    <w:p w:rsidR="0095327F" w:rsidRDefault="0095327F">
      <w:pPr>
        <w:pStyle w:val="SingleTxt"/>
        <w:rPr>
          <w:rFonts w:hint="eastAsia"/>
        </w:rPr>
      </w:pPr>
      <w:r>
        <w:rPr>
          <w:rFonts w:hint="eastAsia"/>
        </w:rPr>
        <w:tab/>
        <w:t>全国预防、监督和控制家庭暴力战略的基础是：</w:t>
      </w:r>
    </w:p>
    <w:p w:rsidR="0095327F" w:rsidRDefault="0095327F">
      <w:pPr>
        <w:pStyle w:val="SingleTxt"/>
        <w:ind w:left="1695"/>
        <w:rPr>
          <w:rFonts w:hint="eastAsia"/>
        </w:rPr>
      </w:pPr>
      <w:r>
        <w:rPr>
          <w:rFonts w:hint="eastAsia"/>
        </w:rPr>
        <w:sym w:font="Symbol" w:char="F0B7"/>
      </w:r>
      <w:r>
        <w:rPr>
          <w:rFonts w:hint="eastAsia"/>
        </w:rPr>
        <w:tab/>
        <w:t>欧洲委员会的第4/1985号建议；</w:t>
      </w:r>
    </w:p>
    <w:p w:rsidR="0095327F" w:rsidRDefault="0095327F">
      <w:pPr>
        <w:pStyle w:val="SingleTxt"/>
        <w:ind w:left="1695"/>
        <w:rPr>
          <w:rFonts w:hint="eastAsia"/>
        </w:rPr>
      </w:pPr>
      <w:r>
        <w:rPr>
          <w:rFonts w:hint="eastAsia"/>
        </w:rPr>
        <w:sym w:font="Symbol" w:char="F0B7"/>
      </w:r>
      <w:r>
        <w:rPr>
          <w:rFonts w:hint="eastAsia"/>
        </w:rPr>
        <w:tab/>
        <w:t>欧洲委员会的专家建议；</w:t>
      </w:r>
    </w:p>
    <w:p w:rsidR="0095327F" w:rsidRDefault="0095327F">
      <w:pPr>
        <w:pStyle w:val="SingleTxt"/>
        <w:ind w:left="1695"/>
        <w:rPr>
          <w:rFonts w:hint="eastAsia"/>
        </w:rPr>
      </w:pPr>
      <w:r>
        <w:rPr>
          <w:rFonts w:hint="eastAsia"/>
        </w:rPr>
        <w:sym w:font="Symbol" w:char="F0B7"/>
      </w:r>
      <w:r>
        <w:rPr>
          <w:rFonts w:hint="eastAsia"/>
        </w:rPr>
        <w:tab/>
        <w:t>欧洲委员会的部理事会自2000年11月29日起作出的决定；</w:t>
      </w:r>
    </w:p>
    <w:p w:rsidR="0095327F" w:rsidRDefault="0095327F">
      <w:pPr>
        <w:pStyle w:val="SingleTxt"/>
        <w:ind w:left="1695"/>
        <w:rPr>
          <w:rFonts w:hint="eastAsia"/>
        </w:rPr>
      </w:pPr>
      <w:r>
        <w:rPr>
          <w:rFonts w:hint="eastAsia"/>
        </w:rPr>
        <w:sym w:font="Symbol" w:char="F0B7"/>
      </w:r>
      <w:r>
        <w:rPr>
          <w:rFonts w:hint="eastAsia"/>
        </w:rPr>
        <w:tab/>
        <w:t>各民主国家的立法和经验。</w:t>
      </w:r>
    </w:p>
    <w:p w:rsidR="0095327F" w:rsidRDefault="0095327F">
      <w:pPr>
        <w:pStyle w:val="SingleTxt"/>
        <w:rPr>
          <w:rFonts w:hint="eastAsia"/>
        </w:rPr>
      </w:pPr>
      <w:r>
        <w:rPr>
          <w:rFonts w:hint="eastAsia"/>
        </w:rPr>
        <w:tab/>
        <w:t>卫生部设立了一个部际小组，负责制定预防、监督和控制家庭暴力的原则和战略。该部建议部际小组设立一个评估、控制和减少家庭暴力现象的全国性机构。卫生部也为这个全国性机构制定了计划。</w:t>
      </w:r>
    </w:p>
    <w:p w:rsidR="0095327F" w:rsidRDefault="0095327F">
      <w:pPr>
        <w:pStyle w:val="SingleTxt"/>
        <w:rPr>
          <w:rFonts w:hint="eastAsia"/>
        </w:rPr>
      </w:pPr>
      <w:r>
        <w:rPr>
          <w:rFonts w:hint="eastAsia"/>
        </w:rPr>
        <w:tab/>
        <w:t>部际小组的主要目标是明确全国一级的各部之间以及地方一级的各机构之间的原则、结构、规范和职能关系。</w:t>
      </w:r>
    </w:p>
    <w:p w:rsidR="0095327F" w:rsidRDefault="0095327F">
      <w:pPr>
        <w:pStyle w:val="SingleTxt"/>
        <w:rPr>
          <w:rFonts w:hint="eastAsia"/>
        </w:rPr>
      </w:pPr>
      <w:r>
        <w:rPr>
          <w:rFonts w:hint="eastAsia"/>
        </w:rPr>
        <w:tab/>
        <w:t>根据全国男女机会均等行动计划（2001－2004年）在部门一级采取措施的方案，内务部开展了很多活动，重点是预防和打击与家庭暴力有关的活动。</w:t>
      </w:r>
    </w:p>
    <w:p w:rsidR="0095327F" w:rsidRDefault="0095327F">
      <w:pPr>
        <w:pStyle w:val="SingleTxt"/>
        <w:rPr>
          <w:rFonts w:hint="eastAsia"/>
        </w:rPr>
      </w:pPr>
      <w:r>
        <w:tab/>
      </w:r>
      <w:r>
        <w:rPr>
          <w:rFonts w:hint="eastAsia"/>
        </w:rPr>
        <w:t>所实施的方案的主要目标是了解家庭暴力现象及其原因和后果，并提高对这方面的认识；通过促进妇女权利及其保障手段，以及通过在高风险群体中开展教育和预防活动，减少妇女受害的风险；让舆论和地方行政管理机构认识到，侵犯上述权利等于违反宪法权利；通过减少犯罪条件并宣传这种犯罪的后果阻止潜在的攻击者。</w:t>
      </w:r>
    </w:p>
    <w:p w:rsidR="0095327F" w:rsidRDefault="0095327F">
      <w:pPr>
        <w:pStyle w:val="SingleTxt"/>
        <w:rPr>
          <w:rFonts w:hint="eastAsia"/>
        </w:rPr>
      </w:pPr>
      <w:r>
        <w:rPr>
          <w:rFonts w:hint="eastAsia"/>
        </w:rPr>
        <w:tab/>
        <w:t>最具代表性的方案有：</w:t>
      </w:r>
    </w:p>
    <w:p w:rsidR="0095327F" w:rsidRDefault="0095327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w:t>
      </w:r>
      <w:r>
        <w:rPr>
          <w:rFonts w:hint="eastAsia"/>
        </w:rPr>
        <w:tab/>
        <w:t>预防家庭暴力</w:t>
      </w: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ab/>
        <w:t>本方案旨在让民间社会参与教育和防范活动，以便限制这种现象；布加勒斯特及所有县已参加这个行动，并且以地方非政府组织作为其合作伙伴。</w:t>
      </w:r>
    </w:p>
    <w:p w:rsidR="0095327F" w:rsidRDefault="0095327F">
      <w:pPr>
        <w:pStyle w:val="SingleTxt"/>
        <w:rPr>
          <w:rFonts w:hint="eastAsia"/>
        </w:rPr>
      </w:pPr>
      <w:r>
        <w:rPr>
          <w:rFonts w:hint="eastAsia"/>
        </w:rPr>
        <w:tab/>
      </w:r>
      <w:r>
        <w:rPr>
          <w:rFonts w:ascii="SimHei" w:eastAsia="SimHei" w:hint="eastAsia"/>
          <w:color w:val="FF0000"/>
        </w:rPr>
        <w:t>合作伙伴</w:t>
      </w:r>
      <w:r>
        <w:rPr>
          <w:rFonts w:hint="eastAsia"/>
        </w:rPr>
        <w:t>：警方总检查局－犯罪研究和预防机构；县警察检查局-防范部门、非政府组织。</w:t>
      </w:r>
    </w:p>
    <w:p w:rsidR="0095327F" w:rsidRDefault="0095327F">
      <w:pPr>
        <w:pStyle w:val="SingleTxt"/>
        <w:ind w:left="1695"/>
        <w:rPr>
          <w:rFonts w:hint="eastAsia"/>
        </w:rPr>
      </w:pPr>
      <w:r>
        <w:rPr>
          <w:rFonts w:ascii="SimHei" w:eastAsia="SimHei" w:hint="eastAsia"/>
          <w:color w:val="FF0000"/>
        </w:rPr>
        <w:t>时间</w:t>
      </w:r>
      <w:r>
        <w:rPr>
          <w:rFonts w:hint="eastAsia"/>
        </w:rPr>
        <w:t>：2002-2004年</w:t>
      </w:r>
    </w:p>
    <w:p w:rsidR="0095327F" w:rsidRDefault="0095327F">
      <w:pPr>
        <w:pStyle w:val="SingleTxt"/>
        <w:ind w:left="1695"/>
        <w:rPr>
          <w:rFonts w:hint="eastAsia"/>
        </w:rPr>
      </w:pPr>
      <w:r>
        <w:rPr>
          <w:rFonts w:ascii="SimHei" w:eastAsia="SimHei" w:hint="eastAsia"/>
          <w:color w:val="FF0000"/>
        </w:rPr>
        <w:t>地点</w:t>
      </w:r>
      <w:r>
        <w:rPr>
          <w:rFonts w:hint="eastAsia"/>
        </w:rPr>
        <w:t>：布加勒斯特和所有各县</w:t>
      </w:r>
    </w:p>
    <w:p w:rsidR="0095327F" w:rsidRDefault="0095327F">
      <w:pPr>
        <w:pStyle w:val="SingleTxt"/>
        <w:ind w:left="1695"/>
        <w:rPr>
          <w:rFonts w:hint="eastAsia"/>
        </w:rPr>
      </w:pPr>
      <w:r>
        <w:rPr>
          <w:rFonts w:ascii="SimHei" w:eastAsia="SimHei" w:hint="eastAsia"/>
          <w:color w:val="FF0000"/>
        </w:rPr>
        <w:t>目标</w:t>
      </w:r>
      <w:r>
        <w:rPr>
          <w:rFonts w:hint="eastAsia"/>
        </w:rPr>
        <w:t>：</w:t>
      </w:r>
    </w:p>
    <w:p w:rsidR="0095327F" w:rsidRDefault="0095327F">
      <w:pPr>
        <w:pStyle w:val="SingleTxt"/>
        <w:ind w:left="2126"/>
        <w:rPr>
          <w:rFonts w:hint="eastAsia"/>
        </w:rPr>
      </w:pPr>
      <w:r>
        <w:rPr>
          <w:rFonts w:hint="eastAsia"/>
        </w:rPr>
        <w:t>-</w:t>
      </w:r>
      <w:r>
        <w:rPr>
          <w:rFonts w:hint="eastAsia"/>
        </w:rPr>
        <w:tab/>
        <w:t>减少家庭暴力案件的数量；</w:t>
      </w:r>
    </w:p>
    <w:p w:rsidR="0095327F" w:rsidRDefault="0095327F">
      <w:pPr>
        <w:pStyle w:val="SingleTxt"/>
        <w:ind w:left="2126"/>
        <w:rPr>
          <w:rFonts w:hint="eastAsia"/>
        </w:rPr>
      </w:pPr>
      <w:r>
        <w:rPr>
          <w:rFonts w:hint="eastAsia"/>
        </w:rPr>
        <w:t>-</w:t>
      </w:r>
      <w:r>
        <w:rPr>
          <w:rFonts w:hint="eastAsia"/>
        </w:rPr>
        <w:tab/>
        <w:t>通过减少犯罪条件并宣传这种犯罪的后果阻止潜在的攻击者；</w:t>
      </w:r>
    </w:p>
    <w:p w:rsidR="0095327F" w:rsidRDefault="0095327F">
      <w:pPr>
        <w:pStyle w:val="SingleTxt"/>
        <w:ind w:left="2126"/>
        <w:rPr>
          <w:rFonts w:hint="eastAsia"/>
        </w:rPr>
      </w:pPr>
      <w:r>
        <w:rPr>
          <w:rFonts w:hint="eastAsia"/>
        </w:rPr>
        <w:t>-</w:t>
      </w:r>
      <w:r>
        <w:rPr>
          <w:rFonts w:hint="eastAsia"/>
        </w:rPr>
        <w:tab/>
        <w:t>让民间社会参与教育和防范活动，以限制这种现象</w:t>
      </w:r>
    </w:p>
    <w:p w:rsidR="0095327F" w:rsidRDefault="0095327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2.</w:t>
      </w:r>
      <w:r>
        <w:rPr>
          <w:rFonts w:hint="eastAsia"/>
        </w:rPr>
        <w:tab/>
        <w:t>制止对妇女的暴力！</w:t>
      </w: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ab/>
        <w:t>这个方案旨在改变新闻媒体处理家庭暴力问题的方法，要求新闻媒体突出报道教育和防范方面，不要渲染具有轰动效应的内容。现已与目标群体在布加勒斯特、康斯坦察、雅西、克鲁日－纳波卡以及克拉约瓦举行会议。</w:t>
      </w:r>
    </w:p>
    <w:p w:rsidR="0095327F" w:rsidRDefault="0095327F">
      <w:pPr>
        <w:pStyle w:val="SingleTxt"/>
        <w:rPr>
          <w:rFonts w:hint="eastAsia"/>
        </w:rPr>
      </w:pPr>
      <w:r>
        <w:rPr>
          <w:rFonts w:hint="eastAsia"/>
        </w:rPr>
        <w:tab/>
      </w:r>
      <w:r>
        <w:rPr>
          <w:rFonts w:ascii="SimHei" w:eastAsia="SimHei" w:hint="eastAsia"/>
          <w:color w:val="FF0000"/>
        </w:rPr>
        <w:t>合作伙伴</w:t>
      </w:r>
      <w:r>
        <w:rPr>
          <w:rFonts w:hint="eastAsia"/>
        </w:rPr>
        <w:t>：警方总检查局－犯罪研究和预防机构，ARIADNA组织（妇女艺术、媒体和商业工作者协会）。</w:t>
      </w:r>
    </w:p>
    <w:p w:rsidR="0095327F" w:rsidRDefault="0095327F">
      <w:pPr>
        <w:pStyle w:val="SingleTxt"/>
        <w:ind w:left="1695"/>
        <w:rPr>
          <w:rFonts w:hint="eastAsia"/>
        </w:rPr>
      </w:pPr>
      <w:r>
        <w:rPr>
          <w:rFonts w:ascii="SimHei" w:eastAsia="SimHei" w:hint="eastAsia"/>
          <w:color w:val="FF0000"/>
        </w:rPr>
        <w:t>时间</w:t>
      </w:r>
      <w:r>
        <w:rPr>
          <w:rFonts w:hint="eastAsia"/>
        </w:rPr>
        <w:t>：1996-1997年</w:t>
      </w:r>
    </w:p>
    <w:p w:rsidR="0095327F" w:rsidRDefault="0095327F">
      <w:pPr>
        <w:pStyle w:val="SingleTxt"/>
        <w:ind w:left="1695"/>
        <w:rPr>
          <w:rFonts w:hint="eastAsia"/>
        </w:rPr>
      </w:pPr>
      <w:r>
        <w:rPr>
          <w:rFonts w:ascii="SimHei" w:eastAsia="SimHei" w:hint="eastAsia"/>
          <w:color w:val="FF0000"/>
        </w:rPr>
        <w:t>地点</w:t>
      </w:r>
      <w:r>
        <w:rPr>
          <w:rFonts w:hint="eastAsia"/>
        </w:rPr>
        <w:t>：布加勒斯特、雅西、康斯坦察、克卢日和克拉约瓦</w:t>
      </w:r>
    </w:p>
    <w:p w:rsidR="0095327F" w:rsidRDefault="0095327F">
      <w:pPr>
        <w:pStyle w:val="SingleTxt"/>
        <w:ind w:left="1695"/>
        <w:rPr>
          <w:rFonts w:hint="eastAsia"/>
        </w:rPr>
      </w:pPr>
      <w:r>
        <w:rPr>
          <w:rFonts w:ascii="SimHei" w:eastAsia="SimHei" w:hint="eastAsia"/>
          <w:color w:val="FF0000"/>
        </w:rPr>
        <w:t>目标</w:t>
      </w:r>
      <w:r>
        <w:rPr>
          <w:rFonts w:hint="eastAsia"/>
        </w:rPr>
        <w:t>：减少妇女受害风险</w:t>
      </w:r>
    </w:p>
    <w:p w:rsidR="0095327F" w:rsidRDefault="0095327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3.</w:t>
      </w:r>
      <w:r>
        <w:rPr>
          <w:rFonts w:hint="eastAsia"/>
        </w:rPr>
        <w:tab/>
        <w:t>家庭暴力和妇女权利</w:t>
      </w: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ab/>
        <w:t>这个方案的落实方式是在不同社会和职业类别的妇女之间举行交互会议。方案的目标是根据国内立法和国际文件重新分析妇女对其权利的认识，以及妇女对预防和打击对妇女的暴力的办法的认识。</w:t>
      </w:r>
    </w:p>
    <w:p w:rsidR="0095327F" w:rsidRDefault="0095327F">
      <w:pPr>
        <w:pStyle w:val="SingleTxt"/>
        <w:rPr>
          <w:rFonts w:hint="eastAsia"/>
        </w:rPr>
      </w:pPr>
      <w:r>
        <w:rPr>
          <w:rFonts w:hint="eastAsia"/>
        </w:rPr>
        <w:tab/>
      </w:r>
      <w:r>
        <w:rPr>
          <w:rFonts w:ascii="SimHei" w:eastAsia="SimHei" w:hint="eastAsia"/>
          <w:color w:val="FF0000"/>
        </w:rPr>
        <w:t>合作伙伴</w:t>
      </w:r>
      <w:r>
        <w:rPr>
          <w:rFonts w:hint="eastAsia"/>
        </w:rPr>
        <w:t>：警方总检查局-犯罪研究和预防机构,LADO组织</w:t>
      </w:r>
      <w:r>
        <w:t>(</w:t>
      </w:r>
      <w:r>
        <w:rPr>
          <w:rFonts w:hint="eastAsia"/>
        </w:rPr>
        <w:t>保护人权联盟）。</w:t>
      </w:r>
    </w:p>
    <w:p w:rsidR="0095327F" w:rsidRDefault="0095327F">
      <w:pPr>
        <w:pStyle w:val="SingleTxt"/>
        <w:ind w:left="1695"/>
        <w:rPr>
          <w:rFonts w:hint="eastAsia"/>
        </w:rPr>
      </w:pPr>
      <w:r>
        <w:rPr>
          <w:rFonts w:ascii="SimHei" w:eastAsia="SimHei" w:hint="eastAsia"/>
          <w:color w:val="FF0000"/>
        </w:rPr>
        <w:t>时间</w:t>
      </w:r>
      <w:r>
        <w:rPr>
          <w:rFonts w:hint="eastAsia"/>
        </w:rPr>
        <w:t>：1997年3月-1998年3月</w:t>
      </w:r>
    </w:p>
    <w:p w:rsidR="0095327F" w:rsidRDefault="0095327F">
      <w:pPr>
        <w:pStyle w:val="SingleTxt"/>
        <w:ind w:left="1695"/>
        <w:rPr>
          <w:rFonts w:hint="eastAsia"/>
        </w:rPr>
      </w:pPr>
      <w:r>
        <w:rPr>
          <w:rFonts w:ascii="SimHei" w:eastAsia="SimHei" w:hint="eastAsia"/>
          <w:color w:val="FF0000"/>
        </w:rPr>
        <w:t>地点</w:t>
      </w:r>
      <w:r>
        <w:rPr>
          <w:rFonts w:hint="eastAsia"/>
        </w:rPr>
        <w:t>：布加勒斯特——城区</w:t>
      </w:r>
    </w:p>
    <w:p w:rsidR="0095327F" w:rsidRDefault="0095327F">
      <w:pPr>
        <w:pStyle w:val="SingleTxt"/>
        <w:ind w:left="1695"/>
        <w:rPr>
          <w:rFonts w:hint="eastAsia"/>
        </w:rPr>
      </w:pPr>
      <w:r>
        <w:rPr>
          <w:rFonts w:ascii="SimHei" w:eastAsia="SimHei" w:hint="eastAsia"/>
          <w:color w:val="FF0000"/>
        </w:rPr>
        <w:t>目标</w:t>
      </w:r>
      <w:r>
        <w:rPr>
          <w:rFonts w:hint="eastAsia"/>
        </w:rPr>
        <w:t>：促进和保障妇女权利</w:t>
      </w:r>
    </w:p>
    <w:p w:rsidR="0095327F" w:rsidRDefault="0095327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4.</w:t>
      </w:r>
      <w:r>
        <w:rPr>
          <w:rFonts w:hint="eastAsia"/>
        </w:rPr>
        <w:tab/>
        <w:t>现代国家的体面状况－机会均等的机会</w:t>
      </w: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ab/>
        <w:t>这个方案在6个县实施：多尔日、瓦尔恰、布勒伊拉、阿尔杰什、久尔久以及梅赫丁茨，宗旨是查明并分析具体案例，以及制定切合实际的有效解决办法，同时还计划证明民间社会成员之间的对话与合作是解决各自社区存在的问题的最有效、最民主的方式。</w:t>
      </w:r>
    </w:p>
    <w:p w:rsidR="0095327F" w:rsidRDefault="0095327F">
      <w:pPr>
        <w:pStyle w:val="SingleTxt"/>
        <w:rPr>
          <w:rFonts w:hint="eastAsia"/>
        </w:rPr>
      </w:pPr>
      <w:r>
        <w:rPr>
          <w:rFonts w:hint="eastAsia"/>
        </w:rPr>
        <w:tab/>
      </w:r>
      <w:r>
        <w:rPr>
          <w:rFonts w:ascii="SimHei" w:eastAsia="SimHei" w:hint="eastAsia"/>
          <w:color w:val="FF0000"/>
        </w:rPr>
        <w:t>合作伙伴</w:t>
      </w:r>
      <w:r>
        <w:rPr>
          <w:rFonts w:hint="eastAsia"/>
        </w:rPr>
        <w:t>：警方总检查局</w:t>
      </w:r>
      <w:r>
        <w:t>-</w:t>
      </w:r>
      <w:r>
        <w:rPr>
          <w:rFonts w:hint="eastAsia"/>
        </w:rPr>
        <w:t>犯罪研究和预防机构，LDSR组织（罗马尼亚女学生民主联盟）。</w:t>
      </w:r>
    </w:p>
    <w:p w:rsidR="0095327F" w:rsidRDefault="0095327F">
      <w:pPr>
        <w:pStyle w:val="SingleTxt"/>
        <w:ind w:left="1695"/>
        <w:rPr>
          <w:rFonts w:hint="eastAsia"/>
        </w:rPr>
      </w:pPr>
      <w:r>
        <w:rPr>
          <w:rFonts w:ascii="SimHei" w:eastAsia="SimHei" w:hint="eastAsia"/>
          <w:color w:val="FF0000"/>
        </w:rPr>
        <w:t>时间</w:t>
      </w:r>
      <w:r>
        <w:rPr>
          <w:rFonts w:hint="eastAsia"/>
        </w:rPr>
        <w:t>：1997-1998年</w:t>
      </w:r>
    </w:p>
    <w:p w:rsidR="0095327F" w:rsidRDefault="0095327F">
      <w:pPr>
        <w:pStyle w:val="SingleTxt"/>
        <w:ind w:left="1695"/>
        <w:rPr>
          <w:rFonts w:hint="eastAsia"/>
        </w:rPr>
      </w:pPr>
      <w:r>
        <w:rPr>
          <w:rFonts w:ascii="SimHei" w:eastAsia="SimHei" w:hint="eastAsia"/>
          <w:color w:val="FF0000"/>
        </w:rPr>
        <w:t>地点</w:t>
      </w:r>
      <w:r>
        <w:rPr>
          <w:rFonts w:hint="eastAsia"/>
        </w:rPr>
        <w:t>：多尔日、瓦尔恰、布勒伊拉、阿尔杰什、久尔久以及梅赫丁茨</w:t>
      </w:r>
    </w:p>
    <w:p w:rsidR="0095327F" w:rsidRDefault="0095327F">
      <w:pPr>
        <w:pStyle w:val="SingleTxt"/>
        <w:ind w:left="1275"/>
      </w:pPr>
      <w:r>
        <w:rPr>
          <w:rFonts w:ascii="SimHei" w:eastAsia="SimHei"/>
          <w:color w:val="FF0000"/>
        </w:rPr>
        <w:tab/>
      </w:r>
      <w:r>
        <w:rPr>
          <w:rFonts w:ascii="SimHei" w:eastAsia="SimHei" w:hint="eastAsia"/>
          <w:color w:val="FF0000"/>
        </w:rPr>
        <w:t>目标</w:t>
      </w:r>
      <w:r>
        <w:rPr>
          <w:rFonts w:hint="eastAsia"/>
        </w:rPr>
        <w:t>：促进并支持作为人权组成部分的妇女权利，提高舆论和地方行政管理机构对这一事实的认识，即侵犯上述权利等于违反宪法权利</w:t>
      </w:r>
    </w:p>
    <w:p w:rsidR="0095327F" w:rsidRDefault="0095327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5.</w:t>
      </w:r>
      <w:r>
        <w:rPr>
          <w:rFonts w:hint="eastAsia"/>
        </w:rPr>
        <w:tab/>
        <w:t>在第三个千年妇女反对暴力</w:t>
      </w: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ab/>
      </w:r>
      <w:r>
        <w:rPr>
          <w:rFonts w:ascii="SimHei" w:eastAsia="SimHei" w:hint="eastAsia"/>
          <w:color w:val="FF0000"/>
        </w:rPr>
        <w:t>合作伙伴</w:t>
      </w:r>
      <w:r>
        <w:rPr>
          <w:rFonts w:hint="eastAsia"/>
        </w:rPr>
        <w:t>：警方总检查局</w:t>
      </w:r>
      <w:r>
        <w:t>-</w:t>
      </w:r>
      <w:r>
        <w:rPr>
          <w:rFonts w:hint="eastAsia"/>
        </w:rPr>
        <w:t>犯罪研究和预防机构，Ariadna组织，美国新闻署。</w:t>
      </w:r>
    </w:p>
    <w:p w:rsidR="0095327F" w:rsidRDefault="0095327F">
      <w:pPr>
        <w:pStyle w:val="SingleTxt"/>
        <w:ind w:left="1695"/>
        <w:rPr>
          <w:rFonts w:hint="eastAsia"/>
        </w:rPr>
      </w:pPr>
      <w:r>
        <w:rPr>
          <w:rFonts w:ascii="SimHei" w:eastAsia="SimHei" w:hint="eastAsia"/>
          <w:color w:val="FF0000"/>
        </w:rPr>
        <w:t>时间</w:t>
      </w:r>
      <w:r>
        <w:rPr>
          <w:rFonts w:hint="eastAsia"/>
        </w:rPr>
        <w:t>：1999-2000年</w:t>
      </w:r>
    </w:p>
    <w:p w:rsidR="0095327F" w:rsidRDefault="0095327F">
      <w:pPr>
        <w:pStyle w:val="SingleTxt"/>
        <w:ind w:left="1695"/>
        <w:rPr>
          <w:rFonts w:hint="eastAsia"/>
        </w:rPr>
      </w:pPr>
      <w:r>
        <w:rPr>
          <w:rFonts w:ascii="SimHei" w:eastAsia="SimHei" w:hint="eastAsia"/>
          <w:color w:val="FF0000"/>
        </w:rPr>
        <w:t>地点</w:t>
      </w:r>
      <w:r>
        <w:rPr>
          <w:rFonts w:hint="eastAsia"/>
        </w:rPr>
        <w:t>：布加勒斯特、康斯坦察、布拉索夫</w:t>
      </w:r>
    </w:p>
    <w:p w:rsidR="0095327F" w:rsidRDefault="0095327F">
      <w:pPr>
        <w:pStyle w:val="SingleTxt"/>
        <w:ind w:left="1695"/>
        <w:rPr>
          <w:rFonts w:hint="eastAsia"/>
        </w:rPr>
      </w:pPr>
      <w:r>
        <w:rPr>
          <w:rFonts w:ascii="SimHei" w:eastAsia="SimHei" w:hint="eastAsia"/>
          <w:color w:val="FF0000"/>
        </w:rPr>
        <w:t>目标</w:t>
      </w:r>
      <w:r>
        <w:rPr>
          <w:rFonts w:hint="eastAsia"/>
        </w:rPr>
        <w:t>：与目标群体、媒体代表等举行会议</w:t>
      </w:r>
    </w:p>
    <w:p w:rsidR="0095327F" w:rsidRDefault="0095327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6.</w:t>
      </w:r>
      <w:r>
        <w:rPr>
          <w:rFonts w:hint="eastAsia"/>
        </w:rPr>
        <w:tab/>
        <w:t>两性平等—— 一项持续挑战</w:t>
      </w:r>
    </w:p>
    <w:p w:rsidR="0095327F" w:rsidRDefault="0095327F">
      <w:pPr>
        <w:pStyle w:val="SingleTxt"/>
        <w:spacing w:after="0" w:line="120" w:lineRule="exact"/>
        <w:rPr>
          <w:rFonts w:hint="eastAsia"/>
          <w:sz w:val="10"/>
        </w:rPr>
      </w:pPr>
    </w:p>
    <w:p w:rsidR="0095327F" w:rsidRDefault="0095327F">
      <w:pPr>
        <w:pStyle w:val="SingleTxt"/>
        <w:rPr>
          <w:rFonts w:hint="eastAsia"/>
        </w:rPr>
      </w:pPr>
      <w:r>
        <w:rPr>
          <w:rFonts w:hint="eastAsia"/>
        </w:rPr>
        <w:tab/>
      </w:r>
      <w:r>
        <w:rPr>
          <w:rFonts w:ascii="SimHei" w:eastAsia="SimHei" w:hint="eastAsia"/>
          <w:color w:val="FF0000"/>
        </w:rPr>
        <w:t>合作伙伴</w:t>
      </w:r>
      <w:r>
        <w:rPr>
          <w:rFonts w:hint="eastAsia"/>
        </w:rPr>
        <w:t>：警方总检查局</w:t>
      </w:r>
      <w:r>
        <w:t>-</w:t>
      </w:r>
      <w:r>
        <w:rPr>
          <w:rFonts w:hint="eastAsia"/>
        </w:rPr>
        <w:t>犯罪研究和预防机构，县警察检查局的犯罪预防部门，变革的伙伴。</w:t>
      </w:r>
    </w:p>
    <w:p w:rsidR="0095327F" w:rsidRDefault="0095327F">
      <w:pPr>
        <w:pStyle w:val="SingleTxt"/>
        <w:ind w:left="1695"/>
        <w:rPr>
          <w:rFonts w:hint="eastAsia"/>
        </w:rPr>
      </w:pPr>
      <w:r>
        <w:rPr>
          <w:rFonts w:ascii="SimHei" w:eastAsia="SimHei" w:hint="eastAsia"/>
          <w:color w:val="FF0000"/>
        </w:rPr>
        <w:t>时间</w:t>
      </w:r>
      <w:r>
        <w:rPr>
          <w:rFonts w:hint="eastAsia"/>
        </w:rPr>
        <w:t>：1999-2000年</w:t>
      </w:r>
    </w:p>
    <w:p w:rsidR="0095327F" w:rsidRDefault="0095327F">
      <w:pPr>
        <w:pStyle w:val="SingleTxt"/>
        <w:ind w:left="1695"/>
        <w:rPr>
          <w:rFonts w:hint="eastAsia"/>
        </w:rPr>
      </w:pPr>
      <w:r>
        <w:rPr>
          <w:rFonts w:ascii="SimHei" w:eastAsia="SimHei" w:hint="eastAsia"/>
          <w:color w:val="FF0000"/>
        </w:rPr>
        <w:t>地点</w:t>
      </w:r>
      <w:r>
        <w:rPr>
          <w:rFonts w:hint="eastAsia"/>
        </w:rPr>
        <w:t>：布加勒斯特、克鲁日、瓦尔恰、雅西、康斯坦察</w:t>
      </w:r>
    </w:p>
    <w:p w:rsidR="0095327F" w:rsidRDefault="0095327F">
      <w:pPr>
        <w:pStyle w:val="SingleTxt"/>
        <w:ind w:left="1695"/>
        <w:rPr>
          <w:rFonts w:hint="eastAsia"/>
        </w:rPr>
      </w:pPr>
      <w:r>
        <w:rPr>
          <w:rFonts w:ascii="SimHei" w:eastAsia="SimHei" w:hint="eastAsia"/>
          <w:color w:val="FF0000"/>
        </w:rPr>
        <w:t>目标</w:t>
      </w:r>
      <w:r>
        <w:rPr>
          <w:rFonts w:hint="eastAsia"/>
        </w:rPr>
        <w:t>：在所有活动领域执行“社会性别”活动和观念，传播尊重人权的观念</w:t>
      </w:r>
    </w:p>
    <w:p w:rsidR="0095327F" w:rsidRDefault="0095327F">
      <w:pPr>
        <w:pStyle w:val="SingleTxt"/>
        <w:rPr>
          <w:rFonts w:ascii="SimHei" w:eastAsia="SimHei" w:hint="eastAsia"/>
          <w:color w:val="FF0000"/>
        </w:rPr>
      </w:pPr>
      <w:r>
        <w:rPr>
          <w:rFonts w:ascii="SimHei" w:eastAsia="SimHei" w:hint="eastAsia"/>
          <w:color w:val="FF0000"/>
        </w:rPr>
        <w:t>堕胎及为安全堕胎提供的医疗服务</w:t>
      </w:r>
    </w:p>
    <w:p w:rsidR="0095327F" w:rsidRDefault="0095327F">
      <w:pPr>
        <w:pStyle w:val="SingleTxt"/>
        <w:rPr>
          <w:rFonts w:hint="eastAsia"/>
        </w:rPr>
      </w:pPr>
      <w:r>
        <w:rPr>
          <w:rFonts w:hint="eastAsia"/>
        </w:rPr>
        <w:tab/>
        <w:t>过去的十年表明，人口自然增长率为负增长。</w:t>
      </w:r>
    </w:p>
    <w:p w:rsidR="0095327F" w:rsidRDefault="0095327F">
      <w:pPr>
        <w:pStyle w:val="SingleTxt"/>
        <w:rPr>
          <w:rFonts w:hint="eastAsia"/>
        </w:rPr>
      </w:pPr>
      <w:r>
        <w:rPr>
          <w:rFonts w:hint="eastAsia"/>
        </w:rPr>
        <w:tab/>
        <w:t>主要原因有：</w:t>
      </w:r>
    </w:p>
    <w:p w:rsidR="0095327F" w:rsidRDefault="0095327F">
      <w:pPr>
        <w:pStyle w:val="SingleTxt"/>
        <w:ind w:left="2126" w:hanging="431"/>
        <w:rPr>
          <w:rFonts w:hint="eastAsia"/>
        </w:rPr>
      </w:pPr>
      <w:r>
        <w:rPr>
          <w:rFonts w:hint="eastAsia"/>
        </w:rPr>
        <w:sym w:font="Symbol" w:char="F0B7"/>
      </w:r>
      <w:r>
        <w:rPr>
          <w:rFonts w:hint="eastAsia"/>
        </w:rPr>
        <w:tab/>
        <w:t>人口总死亡率从1989年的10.7/1000增长到1999年的12/1000，之所以出现这种现象，原因是罗马尼亚人口的社会经济状况自1990年后严重恶化。</w:t>
      </w:r>
    </w:p>
    <w:p w:rsidR="0095327F" w:rsidRDefault="0095327F">
      <w:pPr>
        <w:pStyle w:val="SingleTxt"/>
        <w:ind w:left="2126" w:hanging="431"/>
        <w:rPr>
          <w:rFonts w:hint="eastAsia"/>
        </w:rPr>
      </w:pPr>
      <w:r>
        <w:rPr>
          <w:rFonts w:hint="eastAsia"/>
        </w:rPr>
        <w:sym w:font="Symbol" w:char="F0B7"/>
      </w:r>
      <w:r>
        <w:rPr>
          <w:rFonts w:hint="eastAsia"/>
        </w:rPr>
        <w:tab/>
        <w:t>人口出生率从1989年的16/1000降至1999年的10.4/1000。堕胎自由化以及开始使用新的避孕方法是这个指标出现负增长的主要原因之一。社会经济状况不好是出生率不断下降的原因。</w:t>
      </w:r>
    </w:p>
    <w:p w:rsidR="0095327F" w:rsidRDefault="0095327F">
      <w:pPr>
        <w:pStyle w:val="SingleTxt"/>
        <w:ind w:left="2126" w:hanging="431"/>
        <w:rPr>
          <w:rFonts w:hint="eastAsia"/>
        </w:rPr>
      </w:pPr>
      <w:r>
        <w:rPr>
          <w:rFonts w:hint="eastAsia"/>
        </w:rPr>
        <w:sym w:font="Symbol" w:char="F0B7"/>
      </w:r>
      <w:r>
        <w:rPr>
          <w:rFonts w:hint="eastAsia"/>
        </w:rPr>
        <w:tab/>
        <w:t>1992年，人口自然增长率出现负数，1996年曾达到最高水平，为2.4/1000。</w:t>
      </w:r>
    </w:p>
    <w:p w:rsidR="0095327F" w:rsidRDefault="0095327F">
      <w:pPr>
        <w:pStyle w:val="SingleTxt"/>
        <w:ind w:left="2126" w:hanging="431"/>
        <w:rPr>
          <w:rFonts w:hint="eastAsia"/>
        </w:rPr>
      </w:pPr>
      <w:r>
        <w:rPr>
          <w:rFonts w:hint="eastAsia"/>
        </w:rPr>
        <w:sym w:font="Symbol" w:char="F0B7"/>
      </w:r>
      <w:r>
        <w:rPr>
          <w:rFonts w:hint="eastAsia"/>
        </w:rPr>
        <w:tab/>
        <w:t>产妇死亡率仍然高于其他欧洲国家，即使这种死亡率已从1998年0.42/1000的活产率降至2000年0.33/1000的活产率。</w:t>
      </w:r>
    </w:p>
    <w:p w:rsidR="0095327F" w:rsidRDefault="0095327F">
      <w:pPr>
        <w:pStyle w:val="SingleTxt"/>
        <w:rPr>
          <w:rFonts w:hint="eastAsia"/>
        </w:rPr>
      </w:pPr>
      <w:r>
        <w:rPr>
          <w:rFonts w:hint="eastAsia"/>
        </w:rPr>
        <w:tab/>
        <w:t>过去十年间的堕胎率不断下降，从1993年的2.2例堕胎/1例活产降至1例堕胎/1.6例活产。20－34岁年龄段的妇女堕胎率较高。由江湖医生实施堕胎的现象虽然减少，但仍然存在（根据记录，由江湖医生堕胎的是收入很低、文化程度低或年少的人口），由此而产生了一些悲剧。</w:t>
      </w:r>
    </w:p>
    <w:p w:rsidR="0095327F" w:rsidRDefault="0095327F">
      <w:pPr>
        <w:pStyle w:val="SingleTxt"/>
        <w:rPr>
          <w:rFonts w:ascii="SimHei" w:eastAsia="SimHei" w:hint="eastAsia"/>
          <w:color w:val="FF0000"/>
        </w:rPr>
      </w:pPr>
      <w:r>
        <w:rPr>
          <w:rFonts w:ascii="SimHei" w:eastAsia="SimHei" w:hint="eastAsia"/>
          <w:color w:val="FF0000"/>
        </w:rPr>
        <w:t>计划生育服务</w:t>
      </w:r>
    </w:p>
    <w:p w:rsidR="0095327F" w:rsidRDefault="0095327F">
      <w:pPr>
        <w:pStyle w:val="SingleTxt"/>
        <w:rPr>
          <w:rFonts w:hint="eastAsia"/>
        </w:rPr>
      </w:pPr>
      <w:r>
        <w:rPr>
          <w:rFonts w:hint="eastAsia"/>
        </w:rPr>
        <w:tab/>
        <w:t>1989年以前，计划生育方法还不大为人所知。最常用的方法是自然避孕法和使用避孕套。1990年以后，在全国范围开展了计划生育服务，并发起了很多人口信息、教育和宣传活动。每年，越来越多的女性人口开始了解新的现代避孕方法。采取这种方式，妇女的生殖健康得到了改善。如果说在1993年仅有13.9/1000的妇女采用避孕方法，1999年则达到了29.5/1000。</w:t>
      </w:r>
    </w:p>
    <w:p w:rsidR="0095327F" w:rsidRDefault="0095327F">
      <w:pPr>
        <w:pStyle w:val="SingleTxt"/>
        <w:rPr>
          <w:rFonts w:hint="eastAsia"/>
        </w:rPr>
      </w:pPr>
      <w:r>
        <w:rPr>
          <w:rFonts w:hint="eastAsia"/>
        </w:rPr>
        <w:tab/>
        <w:t>为了促进使用新的避孕方法，卫生部与国家和国际组织合作制定了一项全国战略。</w:t>
      </w:r>
    </w:p>
    <w:p w:rsidR="0095327F" w:rsidRDefault="0095327F">
      <w:pPr>
        <w:pStyle w:val="SingleTxt"/>
        <w:rPr>
          <w:rFonts w:hint="eastAsia"/>
        </w:rPr>
      </w:pPr>
      <w:r>
        <w:rPr>
          <w:rFonts w:hint="eastAsia"/>
        </w:rPr>
        <w:tab/>
        <w:t>通过这项全国战略，可保证为目标群体的妇女（学生、失业妇女、低收入妇女、农村妇女）提供免费避孕服务。还组织社区妇女促进计划生育宣传，开展人口信息、教育和宣传活动（涉及地方和全国大众媒介并使用保健宣传材料），增加了计划生育服务提供者的数量（来自农村地区的家庭医生）。</w:t>
      </w:r>
    </w:p>
    <w:p w:rsidR="0095327F" w:rsidRDefault="0095327F">
      <w:pPr>
        <w:pStyle w:val="SingleTxt"/>
        <w:rPr>
          <w:rFonts w:hint="eastAsia"/>
        </w:rPr>
      </w:pPr>
      <w:r>
        <w:rPr>
          <w:rFonts w:hint="eastAsia"/>
        </w:rPr>
        <w:tab/>
        <w:t>这项全国战略旨在增加计划生育方法的可使用性和可获得性，并且为妇女提供自行决定想要生育多少子女以及选择生育时机的机会。</w:t>
      </w:r>
    </w:p>
    <w:p w:rsidR="0095327F" w:rsidRDefault="0095327F">
      <w:pPr>
        <w:pStyle w:val="SingleTxt"/>
        <w:rPr>
          <w:rFonts w:hint="eastAsia"/>
        </w:rPr>
      </w:pPr>
      <w:r>
        <w:rPr>
          <w:rFonts w:hint="eastAsia"/>
        </w:rPr>
        <w:tab/>
        <w:t>此外，避孕方法所需费用由政府承担一部分。</w:t>
      </w:r>
    </w:p>
    <w:p w:rsidR="0095327F" w:rsidRDefault="0095327F">
      <w:pPr>
        <w:pStyle w:val="SingleTxt"/>
        <w:rPr>
          <w:rFonts w:ascii="SimHei" w:eastAsia="SimHei" w:hint="eastAsia"/>
          <w:color w:val="FF0000"/>
        </w:rPr>
      </w:pPr>
      <w:r>
        <w:rPr>
          <w:rFonts w:ascii="SimHei" w:eastAsia="SimHei" w:hint="eastAsia"/>
          <w:color w:val="FF0000"/>
        </w:rPr>
        <w:t>妇女死亡率不断降低</w:t>
      </w:r>
    </w:p>
    <w:p w:rsidR="0095327F" w:rsidRDefault="0095327F">
      <w:pPr>
        <w:pStyle w:val="SingleTxt"/>
        <w:rPr>
          <w:rFonts w:hint="eastAsia"/>
        </w:rPr>
      </w:pPr>
      <w:r>
        <w:rPr>
          <w:rFonts w:hint="eastAsia"/>
        </w:rPr>
        <w:tab/>
        <w:t>1990年以后，由于堕胎合法化和计划生育服务的发展，产妇死亡率下降。</w:t>
      </w:r>
    </w:p>
    <w:p w:rsidR="0095327F" w:rsidRDefault="0095327F">
      <w:pPr>
        <w:pStyle w:val="SingleTxt"/>
        <w:rPr>
          <w:rFonts w:hint="eastAsia"/>
        </w:rPr>
      </w:pPr>
      <w:r>
        <w:rPr>
          <w:rFonts w:hint="eastAsia"/>
        </w:rPr>
        <w:tab/>
        <w:t>部分妇女保健中心取得发展，它们通过对乳腺癌和子宫颈癌的早期发现以及对癌症和绝经的专门治疗，减少了妇女的死亡率。</w:t>
      </w:r>
    </w:p>
    <w:p w:rsidR="0095327F" w:rsidRDefault="0095327F">
      <w:pPr>
        <w:pStyle w:val="SingleTxt"/>
        <w:rPr>
          <w:rFonts w:ascii="SimHei" w:eastAsia="SimHei" w:hint="eastAsia"/>
          <w:color w:val="FF0000"/>
        </w:rPr>
      </w:pPr>
      <w:r>
        <w:rPr>
          <w:rFonts w:ascii="SimHei" w:eastAsia="SimHei" w:hint="eastAsia"/>
          <w:color w:val="FF0000"/>
        </w:rPr>
        <w:t>罗马尼亚政府为怀孕及哺乳期妇女提供的照料</w:t>
      </w:r>
    </w:p>
    <w:p w:rsidR="0095327F" w:rsidRDefault="0095327F">
      <w:pPr>
        <w:pStyle w:val="SingleTxt"/>
        <w:rPr>
          <w:rFonts w:hint="eastAsia"/>
        </w:rPr>
      </w:pPr>
      <w:r>
        <w:rPr>
          <w:rFonts w:hint="eastAsia"/>
        </w:rPr>
        <w:tab/>
        <w:t>根据社会保险法（1997年7月24日第145/24号法律），怀孕及分娩期的妇女人人都可取得免费的医疗服务。</w:t>
      </w:r>
    </w:p>
    <w:p w:rsidR="0095327F" w:rsidRDefault="0095327F">
      <w:pPr>
        <w:pStyle w:val="SingleTxt"/>
        <w:rPr>
          <w:rFonts w:hint="eastAsia"/>
        </w:rPr>
      </w:pPr>
      <w:r>
        <w:rPr>
          <w:rFonts w:hint="eastAsia"/>
        </w:rPr>
        <w:tab/>
        <w:t>尽管鼓励母乳喂养，但对不能喂养新生儿的妇女，罗马尼亚政府保证为她们提供免费奶粉，以保证婴儿的营养。</w:t>
      </w:r>
    </w:p>
    <w:p w:rsidR="0095327F" w:rsidRDefault="0095327F">
      <w:pPr>
        <w:pStyle w:val="SingleTxt"/>
        <w:rPr>
          <w:rFonts w:ascii="SimHei" w:eastAsia="SimHei" w:hint="eastAsia"/>
          <w:color w:val="FF0000"/>
          <w:sz w:val="24"/>
        </w:rPr>
      </w:pPr>
      <w:r>
        <w:rPr>
          <w:rFonts w:ascii="SimHei" w:eastAsia="SimHei" w:hint="eastAsia"/>
          <w:color w:val="FF0000"/>
          <w:sz w:val="24"/>
        </w:rPr>
        <w:t>第13条</w:t>
      </w:r>
    </w:p>
    <w:p w:rsidR="0095327F" w:rsidRDefault="0095327F">
      <w:pPr>
        <w:pStyle w:val="SingleTxt"/>
        <w:rPr>
          <w:rFonts w:hint="eastAsia"/>
        </w:rPr>
      </w:pPr>
      <w:r>
        <w:rPr>
          <w:rFonts w:hint="eastAsia"/>
        </w:rPr>
        <w:tab/>
        <w:t>在罗马尼亚，国家采取经济和社会措施保护婚姻和家庭，支持其发展和巩固（《家庭法典》，第1.1条）。</w:t>
      </w:r>
    </w:p>
    <w:p w:rsidR="0095327F" w:rsidRDefault="0095327F">
      <w:pPr>
        <w:pStyle w:val="SingleTxt"/>
        <w:rPr>
          <w:rFonts w:hint="eastAsia"/>
        </w:rPr>
      </w:pPr>
      <w:r>
        <w:rPr>
          <w:rFonts w:hint="eastAsia"/>
        </w:rPr>
        <w:tab/>
        <w:t>根据《罗马尼亚宪法》第44条：“家庭得以组建的基础是配偶双方自愿缔结的婚姻、配偶双方的完全平等以及父母双方保证抚养、教育和指导其子女的权利和义务。”</w:t>
      </w:r>
    </w:p>
    <w:p w:rsidR="0095327F" w:rsidRDefault="0095327F">
      <w:pPr>
        <w:pStyle w:val="SingleTxt"/>
        <w:rPr>
          <w:rFonts w:ascii="SimHei" w:eastAsia="SimHei" w:hint="eastAsia"/>
          <w:color w:val="FF0000"/>
        </w:rPr>
      </w:pPr>
      <w:r>
        <w:rPr>
          <w:rFonts w:ascii="SimHei" w:eastAsia="SimHei" w:hint="eastAsia"/>
          <w:color w:val="FF0000"/>
        </w:rPr>
        <w:t>家庭补助战略的发展概况</w:t>
      </w:r>
    </w:p>
    <w:p w:rsidR="0095327F" w:rsidRDefault="0095327F">
      <w:pPr>
        <w:pStyle w:val="SingleTxt"/>
        <w:rPr>
          <w:rFonts w:hint="eastAsia"/>
        </w:rPr>
      </w:pPr>
      <w:r>
        <w:rPr>
          <w:rFonts w:ascii="Times New Roman"/>
        </w:rPr>
        <w:t>►</w:t>
      </w:r>
      <w:r>
        <w:rPr>
          <w:rFonts w:hint="eastAsia"/>
        </w:rPr>
        <w:tab/>
      </w:r>
      <w:r>
        <w:rPr>
          <w:rFonts w:ascii="KaiTi_GB2312" w:eastAsia="KaiTi_GB2312" w:hint="eastAsia"/>
          <w:b/>
          <w:bCs/>
          <w:color w:val="0000FF"/>
        </w:rPr>
        <w:t>关于国家子女补助的第61/1993号法律</w:t>
      </w:r>
      <w:r>
        <w:rPr>
          <w:rFonts w:hint="eastAsia"/>
        </w:rPr>
        <w:t>。根据普遍性原则，国家补助依照</w:t>
      </w:r>
      <w:r>
        <w:rPr>
          <w:rFonts w:ascii="KaiTi_GB2312" w:eastAsia="KaiTi_GB2312" w:hint="eastAsia"/>
          <w:b/>
          <w:bCs/>
          <w:color w:val="0000FF"/>
        </w:rPr>
        <w:t>第63/1993号法律</w:t>
      </w:r>
      <w:r>
        <w:rPr>
          <w:rFonts w:hint="eastAsia"/>
        </w:rPr>
        <w:t>提供给所有年满16岁或18岁的子女，条件是他们还在依照法律规定在校就读。无论子女的家庭收入状况如何，国家补助均按月定额发放。</w:t>
      </w:r>
    </w:p>
    <w:p w:rsidR="0095327F" w:rsidRDefault="0095327F">
      <w:pPr>
        <w:pStyle w:val="SingleTxt"/>
        <w:rPr>
          <w:rFonts w:hint="eastAsia"/>
        </w:rPr>
      </w:pPr>
      <w:r>
        <w:rPr>
          <w:rFonts w:hint="eastAsia"/>
        </w:rPr>
        <w:tab/>
        <w:t>对于1－2级病残的残障子女，补助金的数额增加一倍。</w:t>
      </w:r>
    </w:p>
    <w:p w:rsidR="0095327F" w:rsidRDefault="0095327F">
      <w:pPr>
        <w:pStyle w:val="SingleTxt"/>
        <w:rPr>
          <w:rFonts w:hint="eastAsia"/>
        </w:rPr>
      </w:pPr>
      <w:r>
        <w:rPr>
          <w:rFonts w:hint="eastAsia"/>
        </w:rPr>
        <w:tab/>
        <w:t>考虑到一部分子女18岁以后才从上大学前的学校毕业，根据</w:t>
      </w:r>
      <w:r>
        <w:rPr>
          <w:rFonts w:ascii="KaiTi_GB2312" w:eastAsia="KaiTi_GB2312" w:hint="eastAsia"/>
          <w:b/>
          <w:bCs/>
          <w:color w:val="0000FF"/>
        </w:rPr>
        <w:t>第261/1998号法律</w:t>
      </w:r>
      <w:r>
        <w:rPr>
          <w:rFonts w:hint="eastAsia"/>
        </w:rPr>
        <w:t>自1999年起，修订第61/1993号法律，也为18岁以上的子女和青年人提供国家补助，直至他们从依照法律规定的条件开办的中学或职业教育学校毕业。</w:t>
      </w:r>
    </w:p>
    <w:p w:rsidR="0095327F" w:rsidRDefault="0095327F">
      <w:pPr>
        <w:pStyle w:val="SingleTxt"/>
        <w:rPr>
          <w:rFonts w:hint="eastAsia"/>
        </w:rPr>
      </w:pPr>
      <w:r>
        <w:rPr>
          <w:rFonts w:hint="eastAsia"/>
        </w:rPr>
        <w:tab/>
        <w:t>政府通过政府方案提议增加国家子女补助金的数额，目标是到2004年底使这种补助金的数额达到平均工资的10%。</w:t>
      </w:r>
    </w:p>
    <w:p w:rsidR="0095327F" w:rsidRDefault="0095327F">
      <w:pPr>
        <w:pStyle w:val="SingleTxt"/>
        <w:rPr>
          <w:rFonts w:hint="eastAsia"/>
        </w:rPr>
      </w:pPr>
      <w:r>
        <w:rPr>
          <w:rFonts w:hint="eastAsia"/>
        </w:rPr>
        <w:tab/>
        <w:t>对国家子女补助金的重新评估考虑到了学校用品、食品及子女确实必备的其他物品的价格上涨，并考虑到了如何预防子女辍学现象，在过去几年中，子女辍学现象增多，原因是有子女的家庭的经济来源减少。</w:t>
      </w:r>
    </w:p>
    <w:p w:rsidR="0095327F" w:rsidRDefault="0095327F">
      <w:pPr>
        <w:pStyle w:val="SingleTxt"/>
        <w:rPr>
          <w:rFonts w:hint="eastAsia"/>
        </w:rPr>
      </w:pPr>
      <w:r>
        <w:rPr>
          <w:rFonts w:hint="eastAsia"/>
        </w:rPr>
        <w:tab/>
        <w:t>为此，作为第一个步骤，</w:t>
      </w:r>
      <w:r>
        <w:rPr>
          <w:rFonts w:ascii="KaiTi_GB2312" w:eastAsia="KaiTi_GB2312" w:hint="eastAsia"/>
          <w:b/>
          <w:bCs/>
          <w:color w:val="0000FF"/>
        </w:rPr>
        <w:t>第1040/2001号政府决定</w:t>
      </w:r>
      <w:r>
        <w:rPr>
          <w:rFonts w:hint="eastAsia"/>
        </w:rPr>
        <w:t>增加了国家为子女提供</w:t>
      </w:r>
      <w:r>
        <w:rPr>
          <w:rFonts w:hint="eastAsia"/>
          <w:spacing w:val="-4"/>
        </w:rPr>
        <w:t>补助的金额。因此，在2002年1－6月间，国家为子女提供的补助金是每个子女150 000</w:t>
      </w:r>
      <w:r>
        <w:rPr>
          <w:rFonts w:hint="eastAsia"/>
        </w:rPr>
        <w:t>列伊，从2002年7月起，增加到每个子女180 000列伊。</w:t>
      </w:r>
    </w:p>
    <w:p w:rsidR="0095327F" w:rsidRDefault="0095327F">
      <w:pPr>
        <w:pStyle w:val="SingleTxt"/>
        <w:rPr>
          <w:rFonts w:hint="eastAsia"/>
        </w:rPr>
      </w:pPr>
      <w:r>
        <w:rPr>
          <w:rFonts w:hint="eastAsia"/>
        </w:rPr>
        <w:tab/>
      </w:r>
      <w:r>
        <w:rPr>
          <w:rFonts w:ascii="KaiTi_GB2312" w:eastAsia="KaiTi_GB2312" w:hint="eastAsia"/>
          <w:b/>
          <w:bCs/>
          <w:color w:val="0000FF"/>
        </w:rPr>
        <w:t>第811/2002号政府决定</w:t>
      </w:r>
      <w:r>
        <w:rPr>
          <w:rFonts w:hint="eastAsia"/>
        </w:rPr>
        <w:t>通过的“社会方案”对增加子女补助金的第二个阶段作出了规定。增加的金额将由政府决定批准，目的是从2003年1月起达到每个子女210 000列伊。</w:t>
      </w:r>
    </w:p>
    <w:p w:rsidR="0095327F" w:rsidRDefault="0095327F">
      <w:pPr>
        <w:pStyle w:val="SingleTxt"/>
        <w:rPr>
          <w:rFonts w:hint="eastAsia"/>
        </w:rPr>
      </w:pPr>
      <w:r>
        <w:rPr>
          <w:rFonts w:hint="eastAsia"/>
        </w:rPr>
        <w:tab/>
        <w:t>国家子女补助金的金额从2002年后增加，这对有四个子女或四个以上子女的家庭产生的影响更为明显。</w:t>
      </w:r>
    </w:p>
    <w:p w:rsidR="0095327F" w:rsidRDefault="0095327F">
      <w:pPr>
        <w:pStyle w:val="SingleTxt"/>
        <w:spacing w:after="0" w:line="240" w:lineRule="auto"/>
        <w:jc w:val="center"/>
        <w:rPr>
          <w:rFonts w:hint="eastAsia"/>
        </w:rPr>
      </w:pPr>
      <w:r>
        <w:object w:dxaOrig="7170" w:dyaOrig="4125">
          <v:shape id="_x0000_i1027" type="#_x0000_t75" style="width:358.5pt;height:206.25pt" o:ole="">
            <v:imagedata r:id="rId18" o:title=""/>
          </v:shape>
          <o:OLEObject Type="Embed" ProgID="Excel.Chart.8" ShapeID="_x0000_i1027" DrawAspect="Content" ObjectID="_1395458259" r:id="rId19">
            <o:FieldCodes>\s</o:FieldCodes>
          </o:OLEObject>
        </w:object>
      </w:r>
    </w:p>
    <w:p w:rsidR="0095327F" w:rsidRDefault="0095327F">
      <w:pPr>
        <w:pStyle w:val="SingleTxt"/>
        <w:spacing w:after="0" w:line="120" w:lineRule="exact"/>
        <w:rPr>
          <w:rFonts w:ascii="Times New Roman"/>
          <w:sz w:val="10"/>
        </w:rPr>
      </w:pPr>
    </w:p>
    <w:p w:rsidR="0095327F" w:rsidRDefault="0095327F">
      <w:pPr>
        <w:pStyle w:val="SingleTxt"/>
        <w:rPr>
          <w:rFonts w:hint="eastAsia"/>
        </w:rPr>
      </w:pPr>
      <w:r>
        <w:rPr>
          <w:rFonts w:ascii="Times New Roman"/>
        </w:rPr>
        <w:t>►</w:t>
      </w:r>
      <w:r>
        <w:rPr>
          <w:rFonts w:hint="eastAsia"/>
        </w:rPr>
        <w:tab/>
        <w:t>已经进行的研究和分析表明，有子女家庭的社会风险群体由需要照料两名、三名以及四名子女的家庭组成。</w:t>
      </w:r>
    </w:p>
    <w:p w:rsidR="0095327F" w:rsidRDefault="0095327F">
      <w:pPr>
        <w:pStyle w:val="SingleTxt"/>
        <w:rPr>
          <w:rFonts w:hint="eastAsia"/>
          <w:spacing w:val="-4"/>
        </w:rPr>
      </w:pPr>
      <w:r>
        <w:rPr>
          <w:rFonts w:hint="eastAsia"/>
        </w:rPr>
        <w:tab/>
      </w:r>
      <w:r>
        <w:rPr>
          <w:rFonts w:ascii="KaiTi_GB2312" w:eastAsia="KaiTi_GB2312" w:hint="eastAsia"/>
          <w:b/>
          <w:bCs/>
          <w:color w:val="0000FF"/>
          <w:spacing w:val="-4"/>
        </w:rPr>
        <w:t>为多子女家庭提供额外补助的第119/1997号法律</w:t>
      </w:r>
      <w:r>
        <w:rPr>
          <w:rFonts w:hint="eastAsia"/>
          <w:spacing w:val="-4"/>
        </w:rPr>
        <w:t>计划为上述家庭提供支助。</w:t>
      </w:r>
    </w:p>
    <w:p w:rsidR="0095327F" w:rsidRDefault="0095327F">
      <w:pPr>
        <w:pStyle w:val="SingleTxt"/>
        <w:rPr>
          <w:rFonts w:hint="eastAsia"/>
        </w:rPr>
      </w:pPr>
      <w:r>
        <w:rPr>
          <w:rFonts w:hint="eastAsia"/>
        </w:rPr>
        <w:tab/>
        <w:t>根据法律规定，额外补助的受益者是须抚养两名或两名以上年满16岁或18岁子女的家庭，条件是这些子女还在依法开办的教育机构就读，或者他们被宣布或登记为一至二级病残。</w:t>
      </w:r>
    </w:p>
    <w:p w:rsidR="0095327F" w:rsidRDefault="0095327F">
      <w:pPr>
        <w:pStyle w:val="SingleTxt"/>
        <w:rPr>
          <w:rFonts w:hint="eastAsia"/>
        </w:rPr>
      </w:pPr>
      <w:r>
        <w:rPr>
          <w:rFonts w:hint="eastAsia"/>
        </w:rPr>
        <w:tab/>
        <w:t>额外补助按月发放，金额视家庭中子女数量的多少有所不同。支付补助的必要金额从劳动与社会团结部的预算中支取。目前的额外补助金额如下：</w:t>
      </w:r>
    </w:p>
    <w:p w:rsidR="0095327F" w:rsidRDefault="0095327F">
      <w:pPr>
        <w:pStyle w:val="SingleTxt"/>
        <w:ind w:left="1695"/>
        <w:rPr>
          <w:rFonts w:hint="eastAsia"/>
        </w:rPr>
      </w:pPr>
      <w:r>
        <w:rPr>
          <w:rFonts w:hint="eastAsia"/>
        </w:rPr>
        <w:t>-</w:t>
      </w:r>
      <w:r>
        <w:rPr>
          <w:rFonts w:hint="eastAsia"/>
        </w:rPr>
        <w:tab/>
        <w:t>家庭有两个子女的，为50 000列伊；</w:t>
      </w:r>
    </w:p>
    <w:p w:rsidR="0095327F" w:rsidRDefault="0095327F">
      <w:pPr>
        <w:pStyle w:val="SingleTxt"/>
        <w:ind w:left="1695"/>
        <w:rPr>
          <w:rFonts w:hint="eastAsia"/>
        </w:rPr>
      </w:pPr>
      <w:r>
        <w:rPr>
          <w:rFonts w:hint="eastAsia"/>
        </w:rPr>
        <w:t>-</w:t>
      </w:r>
      <w:r>
        <w:rPr>
          <w:rFonts w:hint="eastAsia"/>
        </w:rPr>
        <w:tab/>
        <w:t>家庭有三个子女的，为1000 000列伊；</w:t>
      </w:r>
    </w:p>
    <w:p w:rsidR="0095327F" w:rsidRDefault="0095327F">
      <w:pPr>
        <w:pStyle w:val="SingleTxt"/>
        <w:ind w:left="1695"/>
        <w:rPr>
          <w:rFonts w:hint="eastAsia"/>
        </w:rPr>
      </w:pPr>
      <w:r>
        <w:rPr>
          <w:rFonts w:hint="eastAsia"/>
        </w:rPr>
        <w:t>-</w:t>
      </w:r>
      <w:r>
        <w:rPr>
          <w:rFonts w:hint="eastAsia"/>
        </w:rPr>
        <w:tab/>
        <w:t>家庭有四个或四个以上子女的，为125 000列伊。</w:t>
      </w:r>
    </w:p>
    <w:tbl>
      <w:tblPr>
        <w:tblW w:w="0" w:type="auto"/>
        <w:tblInd w:w="1368" w:type="dxa"/>
        <w:tblLayout w:type="fixed"/>
        <w:tblLook w:val="0000" w:firstRow="0" w:lastRow="0" w:firstColumn="0" w:lastColumn="0" w:noHBand="0" w:noVBand="0"/>
      </w:tblPr>
      <w:tblGrid>
        <w:gridCol w:w="2205"/>
        <w:gridCol w:w="1029"/>
        <w:gridCol w:w="1029"/>
        <w:gridCol w:w="1029"/>
        <w:gridCol w:w="1029"/>
        <w:gridCol w:w="1029"/>
      </w:tblGrid>
      <w:tr w:rsidR="0095327F">
        <w:tblPrEx>
          <w:tblCellMar>
            <w:top w:w="0" w:type="dxa"/>
            <w:bottom w:w="0" w:type="dxa"/>
          </w:tblCellMar>
        </w:tblPrEx>
        <w:trPr>
          <w:tblHeader/>
        </w:trPr>
        <w:tc>
          <w:tcPr>
            <w:tcW w:w="2205" w:type="dxa"/>
            <w:tcBorders>
              <w:top w:val="single" w:sz="2" w:space="0" w:color="auto"/>
              <w:bottom w:val="single" w:sz="12" w:space="0" w:color="auto"/>
            </w:tcBorders>
            <w:vAlign w:val="bottom"/>
          </w:tcPr>
          <w:p w:rsidR="0095327F" w:rsidRDefault="0095327F">
            <w:pPr>
              <w:spacing w:before="60" w:after="60" w:line="240" w:lineRule="exact"/>
              <w:ind w:right="40"/>
              <w:rPr>
                <w:rFonts w:ascii="Times New Roman" w:eastAsia="KaiTi_GB2312" w:hint="eastAsia"/>
                <w:color w:val="0000FF"/>
                <w:sz w:val="14"/>
              </w:rPr>
            </w:pPr>
          </w:p>
        </w:tc>
        <w:tc>
          <w:tcPr>
            <w:tcW w:w="1029" w:type="dxa"/>
            <w:tcBorders>
              <w:top w:val="single" w:sz="2" w:space="0" w:color="auto"/>
              <w:bottom w:val="single" w:sz="12" w:space="0" w:color="auto"/>
            </w:tcBorders>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1997</w:t>
            </w:r>
            <w:r>
              <w:rPr>
                <w:rFonts w:ascii="SimHei" w:eastAsia="KaiTi_GB2312" w:hint="eastAsia"/>
                <w:color w:val="0000FF"/>
                <w:sz w:val="14"/>
              </w:rPr>
              <w:t>年</w:t>
            </w:r>
          </w:p>
        </w:tc>
        <w:tc>
          <w:tcPr>
            <w:tcW w:w="1029" w:type="dxa"/>
            <w:tcBorders>
              <w:top w:val="single" w:sz="2" w:space="0" w:color="auto"/>
              <w:bottom w:val="single" w:sz="12" w:space="0" w:color="auto"/>
            </w:tcBorders>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1998</w:t>
            </w:r>
            <w:r>
              <w:rPr>
                <w:rFonts w:ascii="SimHei" w:eastAsia="KaiTi_GB2312" w:hint="eastAsia"/>
                <w:color w:val="0000FF"/>
                <w:sz w:val="14"/>
              </w:rPr>
              <w:t>年</w:t>
            </w:r>
          </w:p>
        </w:tc>
        <w:tc>
          <w:tcPr>
            <w:tcW w:w="1029" w:type="dxa"/>
            <w:tcBorders>
              <w:top w:val="single" w:sz="2" w:space="0" w:color="auto"/>
              <w:bottom w:val="single" w:sz="12" w:space="0" w:color="auto"/>
            </w:tcBorders>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1999</w:t>
            </w:r>
            <w:r>
              <w:rPr>
                <w:rFonts w:ascii="SimHei" w:eastAsia="KaiTi_GB2312" w:hint="eastAsia"/>
                <w:color w:val="0000FF"/>
                <w:sz w:val="14"/>
              </w:rPr>
              <w:t>年</w:t>
            </w:r>
          </w:p>
        </w:tc>
        <w:tc>
          <w:tcPr>
            <w:tcW w:w="1029" w:type="dxa"/>
            <w:tcBorders>
              <w:top w:val="single" w:sz="2" w:space="0" w:color="auto"/>
              <w:bottom w:val="single" w:sz="12" w:space="0" w:color="auto"/>
            </w:tcBorders>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2000</w:t>
            </w:r>
            <w:r>
              <w:rPr>
                <w:rFonts w:ascii="SimHei" w:eastAsia="KaiTi_GB2312" w:hint="eastAsia"/>
                <w:color w:val="0000FF"/>
                <w:sz w:val="14"/>
              </w:rPr>
              <w:t>年</w:t>
            </w:r>
          </w:p>
        </w:tc>
        <w:tc>
          <w:tcPr>
            <w:tcW w:w="1029" w:type="dxa"/>
            <w:tcBorders>
              <w:top w:val="single" w:sz="2" w:space="0" w:color="auto"/>
              <w:bottom w:val="single" w:sz="12" w:space="0" w:color="auto"/>
            </w:tcBorders>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2001</w:t>
            </w:r>
            <w:r>
              <w:rPr>
                <w:rFonts w:ascii="SimHei" w:eastAsia="KaiTi_GB2312" w:hint="eastAsia"/>
                <w:color w:val="0000FF"/>
                <w:sz w:val="14"/>
              </w:rPr>
              <w:t>年</w:t>
            </w:r>
          </w:p>
        </w:tc>
      </w:tr>
      <w:tr w:rsidR="0095327F">
        <w:tblPrEx>
          <w:tblCellMar>
            <w:top w:w="0" w:type="dxa"/>
            <w:bottom w:w="0" w:type="dxa"/>
          </w:tblCellMar>
        </w:tblPrEx>
        <w:trPr>
          <w:trHeight w:hRule="exact" w:val="115"/>
          <w:tblHeader/>
        </w:trPr>
        <w:tc>
          <w:tcPr>
            <w:tcW w:w="2205" w:type="dxa"/>
            <w:tcBorders>
              <w:top w:val="single" w:sz="12" w:space="0" w:color="auto"/>
            </w:tcBorders>
            <w:vAlign w:val="bottom"/>
          </w:tcPr>
          <w:p w:rsidR="0095327F" w:rsidRDefault="0095327F">
            <w:pPr>
              <w:spacing w:after="60" w:line="280" w:lineRule="exact"/>
              <w:ind w:right="40"/>
              <w:rPr>
                <w:rFonts w:ascii="Times New Roman" w:hint="eastAsia"/>
                <w:sz w:val="17"/>
              </w:rPr>
            </w:pPr>
          </w:p>
        </w:tc>
        <w:tc>
          <w:tcPr>
            <w:tcW w:w="1029" w:type="dxa"/>
            <w:tcBorders>
              <w:top w:val="single" w:sz="12" w:space="0" w:color="auto"/>
            </w:tcBorders>
            <w:vAlign w:val="bottom"/>
          </w:tcPr>
          <w:p w:rsidR="0095327F" w:rsidRDefault="0095327F">
            <w:pPr>
              <w:spacing w:after="60" w:line="280" w:lineRule="exact"/>
              <w:ind w:right="40"/>
              <w:jc w:val="right"/>
              <w:rPr>
                <w:rFonts w:ascii="Times New Roman" w:hint="eastAsia"/>
                <w:b/>
                <w:bCs/>
                <w:sz w:val="17"/>
              </w:rPr>
            </w:pPr>
          </w:p>
        </w:tc>
        <w:tc>
          <w:tcPr>
            <w:tcW w:w="1029" w:type="dxa"/>
            <w:tcBorders>
              <w:top w:val="single" w:sz="12" w:space="0" w:color="auto"/>
            </w:tcBorders>
            <w:vAlign w:val="bottom"/>
          </w:tcPr>
          <w:p w:rsidR="0095327F" w:rsidRDefault="0095327F">
            <w:pPr>
              <w:spacing w:after="60" w:line="280" w:lineRule="exact"/>
              <w:ind w:right="40"/>
              <w:jc w:val="right"/>
              <w:rPr>
                <w:rFonts w:ascii="Times New Roman" w:hint="eastAsia"/>
                <w:b/>
                <w:bCs/>
                <w:sz w:val="17"/>
              </w:rPr>
            </w:pPr>
          </w:p>
        </w:tc>
        <w:tc>
          <w:tcPr>
            <w:tcW w:w="1029" w:type="dxa"/>
            <w:tcBorders>
              <w:top w:val="single" w:sz="12" w:space="0" w:color="auto"/>
            </w:tcBorders>
            <w:vAlign w:val="bottom"/>
          </w:tcPr>
          <w:p w:rsidR="0095327F" w:rsidRDefault="0095327F">
            <w:pPr>
              <w:spacing w:after="60" w:line="280" w:lineRule="exact"/>
              <w:ind w:right="40"/>
              <w:jc w:val="right"/>
              <w:rPr>
                <w:rFonts w:ascii="Times New Roman" w:hint="eastAsia"/>
                <w:b/>
                <w:bCs/>
                <w:sz w:val="17"/>
              </w:rPr>
            </w:pPr>
          </w:p>
        </w:tc>
        <w:tc>
          <w:tcPr>
            <w:tcW w:w="1029" w:type="dxa"/>
            <w:tcBorders>
              <w:top w:val="single" w:sz="12" w:space="0" w:color="auto"/>
            </w:tcBorders>
            <w:vAlign w:val="bottom"/>
          </w:tcPr>
          <w:p w:rsidR="0095327F" w:rsidRDefault="0095327F">
            <w:pPr>
              <w:spacing w:after="60" w:line="280" w:lineRule="exact"/>
              <w:ind w:right="40"/>
              <w:jc w:val="right"/>
              <w:rPr>
                <w:rFonts w:ascii="Times New Roman" w:hint="eastAsia"/>
                <w:b/>
                <w:bCs/>
                <w:sz w:val="17"/>
              </w:rPr>
            </w:pPr>
          </w:p>
        </w:tc>
        <w:tc>
          <w:tcPr>
            <w:tcW w:w="1029" w:type="dxa"/>
            <w:tcBorders>
              <w:top w:val="single" w:sz="12" w:space="0" w:color="auto"/>
            </w:tcBorders>
            <w:vAlign w:val="bottom"/>
          </w:tcPr>
          <w:p w:rsidR="0095327F" w:rsidRDefault="0095327F">
            <w:pPr>
              <w:spacing w:after="60" w:line="280" w:lineRule="exact"/>
              <w:ind w:right="40"/>
              <w:jc w:val="right"/>
              <w:rPr>
                <w:rFonts w:ascii="Times New Roman" w:hint="eastAsia"/>
                <w:b/>
                <w:bCs/>
                <w:sz w:val="17"/>
              </w:rPr>
            </w:pPr>
          </w:p>
        </w:tc>
      </w:tr>
      <w:tr w:rsidR="0095327F">
        <w:tblPrEx>
          <w:tblCellMar>
            <w:top w:w="0" w:type="dxa"/>
            <w:bottom w:w="0" w:type="dxa"/>
          </w:tblCellMar>
        </w:tblPrEx>
        <w:tc>
          <w:tcPr>
            <w:tcW w:w="2205" w:type="dxa"/>
            <w:vAlign w:val="bottom"/>
          </w:tcPr>
          <w:p w:rsidR="0095327F" w:rsidRDefault="0095327F">
            <w:pPr>
              <w:tabs>
                <w:tab w:val="left" w:pos="357"/>
                <w:tab w:val="left" w:pos="714"/>
                <w:tab w:val="left" w:pos="1071"/>
                <w:tab w:val="left" w:pos="1429"/>
              </w:tabs>
              <w:spacing w:after="60" w:line="260" w:lineRule="exact"/>
              <w:ind w:right="40"/>
              <w:rPr>
                <w:rFonts w:ascii="Times New Roman" w:hint="eastAsia"/>
                <w:sz w:val="17"/>
              </w:rPr>
            </w:pPr>
            <w:r>
              <w:rPr>
                <w:rFonts w:ascii="Times New Roman" w:hint="eastAsia"/>
                <w:sz w:val="17"/>
              </w:rPr>
              <w:t>多子女家庭额外补助受益者的平均数量如下：</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b/>
                <w:bCs/>
                <w:sz w:val="17"/>
              </w:rPr>
            </w:pPr>
            <w:r>
              <w:rPr>
                <w:rFonts w:ascii="Times New Roman" w:hint="eastAsia"/>
                <w:b/>
                <w:bCs/>
                <w:sz w:val="17"/>
              </w:rPr>
              <w:t>893 905</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b/>
                <w:bCs/>
                <w:sz w:val="17"/>
              </w:rPr>
            </w:pPr>
            <w:r>
              <w:rPr>
                <w:rFonts w:ascii="Times New Roman" w:hint="eastAsia"/>
                <w:b/>
                <w:bCs/>
                <w:sz w:val="17"/>
              </w:rPr>
              <w:t>1 099 399</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b/>
                <w:bCs/>
                <w:sz w:val="17"/>
              </w:rPr>
            </w:pPr>
            <w:r>
              <w:rPr>
                <w:rFonts w:ascii="Times New Roman" w:hint="eastAsia"/>
                <w:b/>
                <w:bCs/>
                <w:sz w:val="17"/>
              </w:rPr>
              <w:t>1 117 473</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b/>
                <w:bCs/>
                <w:sz w:val="17"/>
              </w:rPr>
            </w:pPr>
            <w:r>
              <w:rPr>
                <w:rFonts w:ascii="Times New Roman" w:hint="eastAsia"/>
                <w:b/>
                <w:bCs/>
                <w:sz w:val="17"/>
              </w:rPr>
              <w:t>1 097 694</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b/>
                <w:bCs/>
                <w:sz w:val="17"/>
              </w:rPr>
            </w:pPr>
            <w:r>
              <w:rPr>
                <w:rFonts w:ascii="Times New Roman" w:hint="eastAsia"/>
                <w:b/>
                <w:bCs/>
                <w:sz w:val="17"/>
              </w:rPr>
              <w:t>1 054 719</w:t>
            </w:r>
          </w:p>
        </w:tc>
      </w:tr>
      <w:tr w:rsidR="0095327F">
        <w:tblPrEx>
          <w:tblCellMar>
            <w:top w:w="0" w:type="dxa"/>
            <w:bottom w:w="0" w:type="dxa"/>
          </w:tblCellMar>
        </w:tblPrEx>
        <w:tc>
          <w:tcPr>
            <w:tcW w:w="2205" w:type="dxa"/>
            <w:vAlign w:val="bottom"/>
          </w:tcPr>
          <w:p w:rsidR="0095327F" w:rsidRDefault="0095327F">
            <w:pPr>
              <w:pStyle w:val="H56"/>
              <w:keepNext w:val="0"/>
              <w:keepLines w:val="0"/>
              <w:numPr>
                <w:ilvl w:val="0"/>
                <w:numId w:val="10"/>
              </w:numPr>
              <w:tabs>
                <w:tab w:val="clear" w:pos="360"/>
                <w:tab w:val="left" w:pos="357"/>
                <w:tab w:val="left" w:pos="714"/>
                <w:tab w:val="left" w:pos="1071"/>
                <w:tab w:val="left" w:pos="1429"/>
              </w:tabs>
              <w:suppressAutoHyphens w:val="0"/>
              <w:spacing w:after="60" w:line="260" w:lineRule="exact"/>
              <w:ind w:left="420" w:right="40"/>
              <w:outlineLvl w:val="9"/>
              <w:rPr>
                <w:rFonts w:ascii="Times New Roman" w:hint="eastAsia"/>
                <w:noProof w:val="0"/>
                <w:spacing w:val="0"/>
                <w:w w:val="100"/>
                <w:sz w:val="17"/>
              </w:rPr>
            </w:pPr>
            <w:r>
              <w:rPr>
                <w:rFonts w:ascii="Times New Roman" w:hint="eastAsia"/>
                <w:noProof w:val="0"/>
                <w:spacing w:val="0"/>
                <w:w w:val="100"/>
                <w:sz w:val="17"/>
              </w:rPr>
              <w:t>有两个子女的家庭</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630 908</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791 061</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817 576</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810 720</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783 443</w:t>
            </w:r>
          </w:p>
        </w:tc>
      </w:tr>
      <w:tr w:rsidR="0095327F">
        <w:tblPrEx>
          <w:tblCellMar>
            <w:top w:w="0" w:type="dxa"/>
            <w:bottom w:w="0" w:type="dxa"/>
          </w:tblCellMar>
        </w:tblPrEx>
        <w:tc>
          <w:tcPr>
            <w:tcW w:w="2205" w:type="dxa"/>
            <w:vAlign w:val="bottom"/>
          </w:tcPr>
          <w:p w:rsidR="0095327F" w:rsidRDefault="0095327F">
            <w:pPr>
              <w:pStyle w:val="H56"/>
              <w:keepNext w:val="0"/>
              <w:keepLines w:val="0"/>
              <w:numPr>
                <w:ilvl w:val="0"/>
                <w:numId w:val="10"/>
              </w:numPr>
              <w:tabs>
                <w:tab w:val="clear" w:pos="360"/>
                <w:tab w:val="left" w:pos="357"/>
                <w:tab w:val="left" w:pos="714"/>
                <w:tab w:val="left" w:pos="1071"/>
                <w:tab w:val="left" w:pos="1429"/>
              </w:tabs>
              <w:suppressAutoHyphens w:val="0"/>
              <w:spacing w:after="60" w:line="260" w:lineRule="exact"/>
              <w:ind w:left="420" w:right="40"/>
              <w:outlineLvl w:val="9"/>
              <w:rPr>
                <w:rFonts w:ascii="Times New Roman" w:hint="eastAsia"/>
                <w:sz w:val="17"/>
              </w:rPr>
            </w:pPr>
            <w:r>
              <w:rPr>
                <w:rFonts w:ascii="Times New Roman" w:hint="eastAsia"/>
                <w:sz w:val="17"/>
              </w:rPr>
              <w:t>有三个</w:t>
            </w:r>
            <w:r>
              <w:rPr>
                <w:rFonts w:ascii="Times New Roman" w:hint="eastAsia"/>
                <w:noProof w:val="0"/>
                <w:spacing w:val="0"/>
                <w:w w:val="100"/>
                <w:sz w:val="17"/>
              </w:rPr>
              <w:t>子女</w:t>
            </w:r>
            <w:r>
              <w:rPr>
                <w:rFonts w:ascii="Times New Roman" w:hint="eastAsia"/>
                <w:sz w:val="17"/>
              </w:rPr>
              <w:t>的家庭</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174 288</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203 840</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199 392</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190 973</w:t>
            </w:r>
          </w:p>
        </w:tc>
        <w:tc>
          <w:tcPr>
            <w:tcW w:w="1029" w:type="dxa"/>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178 544</w:t>
            </w:r>
          </w:p>
        </w:tc>
      </w:tr>
      <w:tr w:rsidR="0095327F">
        <w:tblPrEx>
          <w:tblCellMar>
            <w:top w:w="0" w:type="dxa"/>
            <w:bottom w:w="0" w:type="dxa"/>
          </w:tblCellMar>
        </w:tblPrEx>
        <w:trPr>
          <w:trHeight w:val="490"/>
        </w:trPr>
        <w:tc>
          <w:tcPr>
            <w:tcW w:w="2205" w:type="dxa"/>
            <w:tcBorders>
              <w:bottom w:val="single" w:sz="12" w:space="0" w:color="auto"/>
            </w:tcBorders>
            <w:vAlign w:val="bottom"/>
          </w:tcPr>
          <w:p w:rsidR="0095327F" w:rsidRDefault="0095327F">
            <w:pPr>
              <w:pStyle w:val="H56"/>
              <w:keepNext w:val="0"/>
              <w:keepLines w:val="0"/>
              <w:numPr>
                <w:ilvl w:val="0"/>
                <w:numId w:val="10"/>
              </w:numPr>
              <w:tabs>
                <w:tab w:val="clear" w:pos="360"/>
                <w:tab w:val="left" w:pos="357"/>
                <w:tab w:val="left" w:pos="714"/>
                <w:tab w:val="left" w:pos="1071"/>
                <w:tab w:val="left" w:pos="1429"/>
              </w:tabs>
              <w:suppressAutoHyphens w:val="0"/>
              <w:spacing w:after="60" w:line="260" w:lineRule="exact"/>
              <w:ind w:left="420" w:right="40"/>
              <w:outlineLvl w:val="9"/>
              <w:rPr>
                <w:rFonts w:ascii="Times New Roman" w:hint="eastAsia"/>
                <w:sz w:val="17"/>
              </w:rPr>
            </w:pPr>
            <w:r>
              <w:rPr>
                <w:rFonts w:ascii="Times New Roman" w:hint="eastAsia"/>
                <w:sz w:val="17"/>
              </w:rPr>
              <w:t>有四个或四个以上子女的家庭</w:t>
            </w:r>
          </w:p>
        </w:tc>
        <w:tc>
          <w:tcPr>
            <w:tcW w:w="1029" w:type="dxa"/>
            <w:tcBorders>
              <w:bottom w:val="single" w:sz="12" w:space="0" w:color="auto"/>
            </w:tcBorders>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88 709</w:t>
            </w:r>
          </w:p>
        </w:tc>
        <w:tc>
          <w:tcPr>
            <w:tcW w:w="1029" w:type="dxa"/>
            <w:tcBorders>
              <w:bottom w:val="single" w:sz="12" w:space="0" w:color="auto"/>
            </w:tcBorders>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104 498</w:t>
            </w:r>
          </w:p>
        </w:tc>
        <w:tc>
          <w:tcPr>
            <w:tcW w:w="1029" w:type="dxa"/>
            <w:tcBorders>
              <w:bottom w:val="single" w:sz="12" w:space="0" w:color="auto"/>
            </w:tcBorders>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100 505</w:t>
            </w:r>
          </w:p>
        </w:tc>
        <w:tc>
          <w:tcPr>
            <w:tcW w:w="1029" w:type="dxa"/>
            <w:tcBorders>
              <w:bottom w:val="single" w:sz="12" w:space="0" w:color="auto"/>
            </w:tcBorders>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96 001</w:t>
            </w:r>
          </w:p>
        </w:tc>
        <w:tc>
          <w:tcPr>
            <w:tcW w:w="1029" w:type="dxa"/>
            <w:tcBorders>
              <w:bottom w:val="single" w:sz="12" w:space="0" w:color="auto"/>
            </w:tcBorders>
            <w:vAlign w:val="bottom"/>
          </w:tcPr>
          <w:p w:rsidR="0095327F" w:rsidRDefault="0095327F">
            <w:pPr>
              <w:tabs>
                <w:tab w:val="left" w:pos="357"/>
                <w:tab w:val="left" w:pos="714"/>
                <w:tab w:val="left" w:pos="1071"/>
                <w:tab w:val="left" w:pos="1429"/>
              </w:tabs>
              <w:spacing w:after="60" w:line="260" w:lineRule="exact"/>
              <w:ind w:right="40"/>
              <w:jc w:val="right"/>
              <w:rPr>
                <w:rFonts w:ascii="Times New Roman" w:hint="eastAsia"/>
                <w:sz w:val="17"/>
              </w:rPr>
            </w:pPr>
            <w:r>
              <w:rPr>
                <w:rFonts w:ascii="Times New Roman" w:hint="eastAsia"/>
                <w:sz w:val="17"/>
              </w:rPr>
              <w:t>92 732</w:t>
            </w:r>
          </w:p>
        </w:tc>
      </w:tr>
    </w:tbl>
    <w:p w:rsidR="0095327F" w:rsidRDefault="0095327F">
      <w:pPr>
        <w:pStyle w:val="SingleTxt"/>
        <w:rPr>
          <w:rFonts w:ascii="SimHei" w:eastAsia="SimHei" w:hint="eastAsia"/>
          <w:color w:val="FF0000"/>
        </w:rPr>
      </w:pPr>
      <w:r>
        <w:rPr>
          <w:rFonts w:ascii="SimHei" w:eastAsia="SimHei" w:hint="eastAsia"/>
          <w:color w:val="FF0000"/>
        </w:rPr>
        <w:t>1997-2001年领取额外补助的家庭的平均数量</w:t>
      </w:r>
    </w:p>
    <w:p w:rsidR="0095327F" w:rsidRDefault="0095327F">
      <w:pPr>
        <w:pStyle w:val="SingleTxt"/>
        <w:spacing w:after="0" w:line="240" w:lineRule="auto"/>
        <w:rPr>
          <w:rFonts w:hint="eastAsia"/>
        </w:rPr>
      </w:pPr>
      <w:r>
        <w:object w:dxaOrig="7230" w:dyaOrig="3390">
          <v:shape id="_x0000_i1028" type="#_x0000_t75" style="width:361.5pt;height:169.5pt" o:ole="">
            <v:imagedata r:id="rId20" o:title=""/>
          </v:shape>
          <o:OLEObject Type="Embed" ProgID="Excel.Chart.8" ShapeID="_x0000_i1028" DrawAspect="Content" ObjectID="_1395458260" r:id="rId21">
            <o:FieldCodes>\s</o:FieldCodes>
          </o:OLEObject>
        </w:object>
      </w:r>
    </w:p>
    <w:p w:rsidR="0095327F" w:rsidRDefault="0095327F">
      <w:pPr>
        <w:pStyle w:val="SingleTxt"/>
        <w:rPr>
          <w:rFonts w:hint="eastAsia"/>
        </w:rPr>
      </w:pPr>
      <w:r>
        <w:rPr>
          <w:rFonts w:ascii="Times New Roman"/>
        </w:rPr>
        <w:t>►</w:t>
      </w:r>
      <w:r>
        <w:rPr>
          <w:rFonts w:hint="eastAsia"/>
        </w:rPr>
        <w:tab/>
        <w:t>贫穷、缺乏教育、父母的经历、不利的社会环境、边缘化以及缺少价值观、公民及道德原则，通常导致父母一方遗弃家庭甚至遗弃子女，并因此迫使子女为了获取必要的谋生手段而走上犯罪道路。</w:t>
      </w:r>
    </w:p>
    <w:p w:rsidR="0095327F" w:rsidRDefault="0095327F">
      <w:pPr>
        <w:pStyle w:val="SingleTxt"/>
        <w:rPr>
          <w:rFonts w:hint="eastAsia"/>
        </w:rPr>
      </w:pPr>
      <w:r>
        <w:rPr>
          <w:rFonts w:hint="eastAsia"/>
        </w:rPr>
        <w:tab/>
        <w:t>在这种情况下，国家采取特殊的手段和措施实施干预，以帮助子女摆脱不利环境，并分别在社会机构或替代家庭为他们提供社会保护，委托安置家庭抚养他们。</w:t>
      </w:r>
    </w:p>
    <w:p w:rsidR="0095327F" w:rsidRDefault="0095327F">
      <w:pPr>
        <w:pStyle w:val="SingleTxt"/>
        <w:rPr>
          <w:rFonts w:hint="eastAsia"/>
        </w:rPr>
      </w:pPr>
      <w:r>
        <w:rPr>
          <w:rFonts w:hint="eastAsia"/>
        </w:rPr>
        <w:tab/>
        <w:t>为了切实支助受托抚养或安置子女的家庭或私营受权机构，颁布了</w:t>
      </w:r>
      <w:r>
        <w:rPr>
          <w:rFonts w:ascii="KaiTi_GB2312" w:eastAsia="KaiTi_GB2312" w:hint="eastAsia"/>
          <w:b/>
          <w:bCs/>
          <w:color w:val="0000FF"/>
        </w:rPr>
        <w:t>关于保护有困难子女的第26号政府紧急法令，</w:t>
      </w:r>
      <w:r>
        <w:rPr>
          <w:rFonts w:hint="eastAsia"/>
        </w:rPr>
        <w:t>并得到了</w:t>
      </w:r>
      <w:r>
        <w:rPr>
          <w:rFonts w:ascii="KaiTi_GB2312" w:eastAsia="KaiTi_GB2312" w:hint="eastAsia"/>
          <w:b/>
          <w:bCs/>
          <w:color w:val="0000FF"/>
        </w:rPr>
        <w:t>第108/1998号法律</w:t>
      </w:r>
      <w:r>
        <w:rPr>
          <w:rFonts w:hint="eastAsia"/>
        </w:rPr>
        <w:t>的批准。</w:t>
      </w:r>
    </w:p>
    <w:p w:rsidR="0095327F" w:rsidRDefault="0095327F">
      <w:pPr>
        <w:pStyle w:val="SingleTxt"/>
        <w:rPr>
          <w:rFonts w:hint="eastAsia"/>
        </w:rPr>
      </w:pPr>
      <w:r>
        <w:rPr>
          <w:rFonts w:hint="eastAsia"/>
        </w:rPr>
        <w:tab/>
        <w:t>2001年，根据第331/2001号政府决定，月安置补助金的数额增至500 000列伊。</w:t>
      </w:r>
    </w:p>
    <w:p w:rsidR="0095327F" w:rsidRDefault="0095327F">
      <w:pPr>
        <w:pStyle w:val="SingleTxt"/>
        <w:rPr>
          <w:rFonts w:hint="eastAsia"/>
        </w:rPr>
      </w:pPr>
      <w:r>
        <w:rPr>
          <w:rFonts w:hint="eastAsia"/>
        </w:rPr>
        <w:tab/>
        <w:t>月抚养补助金从406 000列伊增至500 000列伊也决定了安置或委托抚养的子女人数增多，原因是高额补助金促使很多家庭为从这种保护性措施中受益而安置子女。</w:t>
      </w:r>
    </w:p>
    <w:p w:rsidR="0095327F" w:rsidRDefault="0095327F">
      <w:pPr>
        <w:pStyle w:val="SingleTxt"/>
        <w:rPr>
          <w:rFonts w:hint="eastAsia"/>
        </w:rPr>
      </w:pPr>
      <w:r>
        <w:rPr>
          <w:rFonts w:hint="eastAsia"/>
        </w:rPr>
        <w:tab/>
        <w:t>此外，受托抚养或安置子女的人，取得职业协理母亲许可证的，在受托期间有权按月领取相当于具有中等学历并有工龄的社会救助人员的月工资毛额，而且受托时间将计入其年资。</w:t>
      </w:r>
    </w:p>
    <w:p w:rsidR="0095327F" w:rsidRDefault="0095327F">
      <w:pPr>
        <w:pStyle w:val="SingleTxt"/>
        <w:rPr>
          <w:rFonts w:hint="eastAsia"/>
        </w:rPr>
      </w:pPr>
      <w:r>
        <w:rPr>
          <w:rFonts w:ascii="Times New Roman"/>
        </w:rPr>
        <w:t>►</w:t>
      </w:r>
      <w:r>
        <w:rPr>
          <w:rFonts w:hint="eastAsia"/>
        </w:rPr>
        <w:tab/>
      </w:r>
      <w:r>
        <w:rPr>
          <w:rFonts w:ascii="KaiTi_GB2312" w:eastAsia="KaiTi_GB2312" w:hint="eastAsia"/>
          <w:b/>
          <w:bCs/>
          <w:color w:val="0000FF"/>
        </w:rPr>
        <w:t>新生儿补助</w:t>
      </w:r>
      <w:r>
        <w:rPr>
          <w:rFonts w:hint="eastAsia"/>
        </w:rPr>
        <w:t>——这项补助根据关于最低收保障的</w:t>
      </w:r>
      <w:r>
        <w:rPr>
          <w:rFonts w:ascii="KaiTi_GB2312" w:eastAsia="KaiTi_GB2312" w:hint="eastAsia"/>
          <w:b/>
          <w:bCs/>
          <w:color w:val="0000FF"/>
        </w:rPr>
        <w:t>第416/2001号法律</w:t>
      </w:r>
      <w:r>
        <w:rPr>
          <w:rFonts w:hint="eastAsia"/>
        </w:rPr>
        <w:t>重新确定，一次性发放给前四胎新生儿的每一个。补助金额为1 400 000列伊，与物价指数挂钩，并从国家预算中支取。子女的母亲若不能从这项权利中受益，这笔补助也可发放给子女的法定代表。2002年9月，发放了16 260笔补助，共计227亿列伊。</w:t>
      </w:r>
    </w:p>
    <w:p w:rsidR="0095327F" w:rsidRDefault="0095327F">
      <w:pPr>
        <w:pStyle w:val="SingleTxt"/>
        <w:rPr>
          <w:rFonts w:hint="eastAsia"/>
        </w:rPr>
      </w:pPr>
      <w:r>
        <w:rPr>
          <w:rFonts w:ascii="Times New Roman"/>
        </w:rPr>
        <w:br w:type="page"/>
        <w:t>►</w:t>
      </w:r>
      <w:r>
        <w:rPr>
          <w:rFonts w:hint="eastAsia"/>
        </w:rPr>
        <w:tab/>
      </w:r>
      <w:r>
        <w:rPr>
          <w:rFonts w:ascii="KaiTi_GB2312" w:eastAsia="KaiTi_GB2312" w:hint="eastAsia"/>
          <w:b/>
          <w:bCs/>
          <w:color w:val="0000FF"/>
        </w:rPr>
        <w:t>支助多子女家庭的其他措施</w:t>
      </w:r>
    </w:p>
    <w:p w:rsidR="0095327F" w:rsidRDefault="0095327F">
      <w:pPr>
        <w:pStyle w:val="SingleTxt"/>
        <w:rPr>
          <w:rFonts w:hint="eastAsia"/>
        </w:rPr>
      </w:pPr>
      <w:r>
        <w:rPr>
          <w:rFonts w:hint="eastAsia"/>
        </w:rPr>
        <w:tab/>
      </w:r>
      <w:r>
        <w:rPr>
          <w:rFonts w:ascii="KaiTi_GB2312" w:eastAsia="KaiTi_GB2312" w:hint="eastAsia"/>
          <w:b/>
          <w:bCs/>
          <w:color w:val="0000FF"/>
        </w:rPr>
        <w:t>社会援助救济站提供的饭菜</w:t>
      </w:r>
      <w:r>
        <w:rPr>
          <w:rFonts w:hint="eastAsia"/>
        </w:rPr>
        <w:t>——这是根据</w:t>
      </w:r>
      <w:r>
        <w:rPr>
          <w:rFonts w:ascii="KaiTi_GB2312" w:eastAsia="KaiTi_GB2312" w:hint="eastAsia"/>
          <w:b/>
          <w:bCs/>
          <w:color w:val="0000FF"/>
        </w:rPr>
        <w:t>第208/1997号法律</w:t>
      </w:r>
      <w:r>
        <w:rPr>
          <w:rFonts w:hint="eastAsia"/>
        </w:rPr>
        <w:t>规定的举措。抚养子女的家庭、子女、以及其他处境不利的人口可视其收入状况免费或自费获得社会援助救济站提供的服务。社会援助机构通过扩大所提供的服务，可视情况在救济站提供热餐或者以进价提供收费食品。</w:t>
      </w:r>
    </w:p>
    <w:p w:rsidR="0095327F" w:rsidRDefault="0095327F">
      <w:pPr>
        <w:pStyle w:val="SingleTxt"/>
        <w:rPr>
          <w:rFonts w:hint="eastAsia"/>
        </w:rPr>
      </w:pPr>
      <w:r>
        <w:rPr>
          <w:rFonts w:hint="eastAsia"/>
        </w:rPr>
        <w:tab/>
        <w:t>这样，家庭预算将因日常食品开销的减少而得到部分或全部缓解，而且仍然能够</w:t>
      </w:r>
      <w:r>
        <w:rPr>
          <w:rFonts w:hint="eastAsia"/>
          <w:spacing w:val="-2"/>
        </w:rPr>
        <w:t>保证家庭成员维持接近于正常水平的营养。目前，</w:t>
      </w:r>
      <w:r>
        <w:rPr>
          <w:rFonts w:ascii="KaiTi_GB2312" w:eastAsia="KaiTi_GB2312" w:hint="eastAsia"/>
          <w:b/>
          <w:bCs/>
          <w:color w:val="0000FF"/>
          <w:spacing w:val="-2"/>
        </w:rPr>
        <w:t>第1003/2002号政府决定</w:t>
      </w:r>
      <w:r>
        <w:rPr>
          <w:rFonts w:hint="eastAsia"/>
          <w:spacing w:val="-2"/>
        </w:rPr>
        <w:t>确定的社会援助救济站的日补助金额已从每个受益人23 000列伊增至37 000列伊</w:t>
      </w:r>
      <w:r>
        <w:rPr>
          <w:rFonts w:hint="eastAsia"/>
        </w:rPr>
        <w:t>。</w:t>
      </w:r>
    </w:p>
    <w:p w:rsidR="0095327F" w:rsidRDefault="0095327F">
      <w:pPr>
        <w:pStyle w:val="SingleTxt"/>
        <w:rPr>
          <w:rFonts w:hint="eastAsia"/>
        </w:rPr>
      </w:pPr>
      <w:r>
        <w:rPr>
          <w:rFonts w:hint="eastAsia"/>
        </w:rPr>
        <w:tab/>
        <w:t>与非政府组织和地方委员会合作提供的社区服务，视情况为多子女家庭、儿童、青年人、日托中心或在受益人居住地专门开办的中心的其他类别的处境不利者提供社会、医疗和法律援助。</w:t>
      </w:r>
    </w:p>
    <w:p w:rsidR="0095327F" w:rsidRDefault="0095327F">
      <w:pPr>
        <w:pStyle w:val="SingleTxt"/>
        <w:rPr>
          <w:rFonts w:hint="eastAsia"/>
        </w:rPr>
      </w:pPr>
      <w:r>
        <w:rPr>
          <w:rFonts w:hint="eastAsia"/>
        </w:rPr>
        <w:tab/>
        <w:t>合作社会服务的发展和多样性是一个长期问题。为此，通过了</w:t>
      </w:r>
      <w:r>
        <w:rPr>
          <w:rFonts w:ascii="KaiTi_GB2312" w:eastAsia="KaiTi_GB2312" w:hint="eastAsia"/>
          <w:b/>
          <w:bCs/>
          <w:color w:val="0000FF"/>
        </w:rPr>
        <w:t>第34/1998号法律</w:t>
      </w:r>
      <w:r>
        <w:rPr>
          <w:rFonts w:hint="eastAsia"/>
        </w:rPr>
        <w:t>，根据这部法律，具有法人资格的罗马尼亚协会和基金会组建和管理社会援助机构的，可从国家预算提供的补贴中受益，也可视情况从地方预算中受益。</w:t>
      </w:r>
    </w:p>
    <w:p w:rsidR="0095327F" w:rsidRDefault="0095327F">
      <w:pPr>
        <w:pStyle w:val="SingleTxt"/>
        <w:rPr>
          <w:rFonts w:hint="eastAsia"/>
          <w:spacing w:val="-2"/>
        </w:rPr>
      </w:pPr>
      <w:r>
        <w:rPr>
          <w:rFonts w:hint="eastAsia"/>
        </w:rPr>
        <w:tab/>
      </w:r>
      <w:r>
        <w:rPr>
          <w:rFonts w:hint="eastAsia"/>
          <w:spacing w:val="-2"/>
        </w:rPr>
        <w:t>根据这部法律，为非政府组织提供财政援助的目的是提高社会援助服务的质量，并通过使公共管理机构和民间社会之间的伙伴关系实现制度化，增进社会团结。</w:t>
      </w:r>
    </w:p>
    <w:p w:rsidR="0095327F" w:rsidRDefault="0095327F">
      <w:pPr>
        <w:pStyle w:val="SingleTxt"/>
        <w:rPr>
          <w:rFonts w:hint="eastAsia"/>
        </w:rPr>
      </w:pPr>
      <w:r>
        <w:rPr>
          <w:rFonts w:hint="eastAsia"/>
        </w:rPr>
        <w:tab/>
        <w:t>从国家或地方预算中支取的补贴以如下方式发放：</w:t>
      </w:r>
    </w:p>
    <w:p w:rsidR="0095327F" w:rsidRDefault="0095327F">
      <w:pPr>
        <w:pStyle w:val="SingleTxt"/>
        <w:ind w:left="2126" w:hanging="431"/>
        <w:rPr>
          <w:rFonts w:hint="eastAsia"/>
        </w:rPr>
      </w:pPr>
      <w:r>
        <w:rPr>
          <w:rFonts w:hint="eastAsia"/>
        </w:rPr>
        <w:t>a）</w:t>
      </w:r>
      <w:r>
        <w:rPr>
          <w:rFonts w:hint="eastAsia"/>
        </w:rPr>
        <w:tab/>
        <w:t>国家预算提供的补贴，通过为全国人民提供社会援助服务的劳动与社会团结部的预算发放；</w:t>
      </w:r>
    </w:p>
    <w:p w:rsidR="0095327F" w:rsidRDefault="0095327F">
      <w:pPr>
        <w:pStyle w:val="SingleTxt"/>
        <w:ind w:left="2126" w:hanging="431"/>
        <w:rPr>
          <w:rFonts w:hint="eastAsia"/>
        </w:rPr>
      </w:pPr>
      <w:r>
        <w:rPr>
          <w:rFonts w:hint="eastAsia"/>
        </w:rPr>
        <w:t>b）</w:t>
      </w:r>
      <w:r>
        <w:rPr>
          <w:rFonts w:hint="eastAsia"/>
        </w:rPr>
        <w:tab/>
        <w:t>地方预算提供的补贴，通过为某个县的人民提供社会援助服务的地方委员会的预算发放；</w:t>
      </w:r>
    </w:p>
    <w:p w:rsidR="0095327F" w:rsidRDefault="0095327F">
      <w:pPr>
        <w:pStyle w:val="SingleTxt"/>
        <w:rPr>
          <w:rFonts w:hint="eastAsia"/>
        </w:rPr>
      </w:pPr>
      <w:r>
        <w:rPr>
          <w:rFonts w:hint="eastAsia"/>
        </w:rPr>
        <w:tab/>
        <w:t>2002年，6 500人领取了国家预算提供的补贴，详情如下：</w:t>
      </w:r>
    </w:p>
    <w:tbl>
      <w:tblPr>
        <w:tblW w:w="0" w:type="auto"/>
        <w:tblInd w:w="1368" w:type="dxa"/>
        <w:tblLayout w:type="fixed"/>
        <w:tblLook w:val="0000" w:firstRow="0" w:lastRow="0" w:firstColumn="0" w:lastColumn="0" w:noHBand="0" w:noVBand="0"/>
      </w:tblPr>
      <w:tblGrid>
        <w:gridCol w:w="2625"/>
        <w:gridCol w:w="945"/>
        <w:gridCol w:w="945"/>
        <w:gridCol w:w="945"/>
        <w:gridCol w:w="945"/>
        <w:gridCol w:w="945"/>
      </w:tblGrid>
      <w:tr w:rsidR="0095327F">
        <w:tblPrEx>
          <w:tblCellMar>
            <w:top w:w="0" w:type="dxa"/>
            <w:bottom w:w="0" w:type="dxa"/>
          </w:tblCellMar>
        </w:tblPrEx>
        <w:trPr>
          <w:tblHeader/>
        </w:trPr>
        <w:tc>
          <w:tcPr>
            <w:tcW w:w="2625" w:type="dxa"/>
            <w:tcBorders>
              <w:top w:val="single" w:sz="2" w:space="0" w:color="auto"/>
              <w:bottom w:val="single" w:sz="12" w:space="0" w:color="auto"/>
            </w:tcBorders>
            <w:vAlign w:val="bottom"/>
          </w:tcPr>
          <w:p w:rsidR="0095327F" w:rsidRDefault="0095327F">
            <w:pPr>
              <w:spacing w:before="60" w:after="60" w:line="240" w:lineRule="exact"/>
              <w:ind w:right="40"/>
              <w:rPr>
                <w:rFonts w:ascii="Times New Roman" w:eastAsia="KaiTi_GB2312" w:hint="eastAsia"/>
                <w:color w:val="0000FF"/>
                <w:sz w:val="14"/>
              </w:rPr>
            </w:pPr>
          </w:p>
        </w:tc>
        <w:tc>
          <w:tcPr>
            <w:tcW w:w="945" w:type="dxa"/>
            <w:tcBorders>
              <w:top w:val="single" w:sz="2" w:space="0" w:color="auto"/>
              <w:bottom w:val="single" w:sz="12" w:space="0" w:color="auto"/>
            </w:tcBorders>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1998</w:t>
            </w:r>
            <w:r>
              <w:rPr>
                <w:rFonts w:ascii="SimHei" w:eastAsia="KaiTi_GB2312" w:hint="eastAsia"/>
                <w:color w:val="0000FF"/>
                <w:sz w:val="14"/>
              </w:rPr>
              <w:t>年</w:t>
            </w:r>
          </w:p>
        </w:tc>
        <w:tc>
          <w:tcPr>
            <w:tcW w:w="945" w:type="dxa"/>
            <w:tcBorders>
              <w:top w:val="single" w:sz="2" w:space="0" w:color="auto"/>
              <w:bottom w:val="single" w:sz="12" w:space="0" w:color="auto"/>
            </w:tcBorders>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1999</w:t>
            </w:r>
            <w:r>
              <w:rPr>
                <w:rFonts w:ascii="SimHei" w:eastAsia="KaiTi_GB2312" w:hint="eastAsia"/>
                <w:color w:val="0000FF"/>
                <w:sz w:val="14"/>
              </w:rPr>
              <w:t>年</w:t>
            </w:r>
          </w:p>
        </w:tc>
        <w:tc>
          <w:tcPr>
            <w:tcW w:w="945" w:type="dxa"/>
            <w:tcBorders>
              <w:top w:val="single" w:sz="2" w:space="0" w:color="auto"/>
              <w:bottom w:val="single" w:sz="12" w:space="0" w:color="auto"/>
            </w:tcBorders>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2000</w:t>
            </w:r>
            <w:r>
              <w:rPr>
                <w:rFonts w:ascii="SimHei" w:eastAsia="KaiTi_GB2312" w:hint="eastAsia"/>
                <w:color w:val="0000FF"/>
                <w:sz w:val="14"/>
              </w:rPr>
              <w:t>年</w:t>
            </w:r>
          </w:p>
        </w:tc>
        <w:tc>
          <w:tcPr>
            <w:tcW w:w="945" w:type="dxa"/>
            <w:tcBorders>
              <w:top w:val="single" w:sz="2" w:space="0" w:color="auto"/>
              <w:bottom w:val="single" w:sz="12" w:space="0" w:color="auto"/>
            </w:tcBorders>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2001</w:t>
            </w:r>
            <w:r>
              <w:rPr>
                <w:rFonts w:ascii="SimHei" w:eastAsia="KaiTi_GB2312" w:hint="eastAsia"/>
                <w:color w:val="0000FF"/>
                <w:sz w:val="14"/>
              </w:rPr>
              <w:t>年</w:t>
            </w:r>
          </w:p>
        </w:tc>
        <w:tc>
          <w:tcPr>
            <w:tcW w:w="945" w:type="dxa"/>
            <w:tcBorders>
              <w:top w:val="single" w:sz="2" w:space="0" w:color="auto"/>
              <w:bottom w:val="single" w:sz="12" w:space="0" w:color="auto"/>
            </w:tcBorders>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2002</w:t>
            </w:r>
            <w:r>
              <w:rPr>
                <w:rFonts w:ascii="SimHei" w:eastAsia="KaiTi_GB2312" w:hint="eastAsia"/>
                <w:color w:val="0000FF"/>
                <w:sz w:val="14"/>
              </w:rPr>
              <w:t>年</w:t>
            </w:r>
          </w:p>
        </w:tc>
      </w:tr>
      <w:tr w:rsidR="0095327F">
        <w:tblPrEx>
          <w:tblCellMar>
            <w:top w:w="0" w:type="dxa"/>
            <w:bottom w:w="0" w:type="dxa"/>
          </w:tblCellMar>
        </w:tblPrEx>
        <w:trPr>
          <w:trHeight w:hRule="exact" w:val="115"/>
          <w:tblHeader/>
        </w:trPr>
        <w:tc>
          <w:tcPr>
            <w:tcW w:w="2625" w:type="dxa"/>
            <w:tcBorders>
              <w:top w:val="single" w:sz="12" w:space="0" w:color="auto"/>
            </w:tcBorders>
            <w:vAlign w:val="bottom"/>
          </w:tcPr>
          <w:p w:rsidR="0095327F" w:rsidRDefault="0095327F">
            <w:pPr>
              <w:spacing w:after="60" w:line="280" w:lineRule="exact"/>
              <w:ind w:right="40"/>
              <w:rPr>
                <w:rFonts w:ascii="Times New Roman" w:hint="eastAsia"/>
                <w:sz w:val="17"/>
              </w:rPr>
            </w:pPr>
          </w:p>
        </w:tc>
        <w:tc>
          <w:tcPr>
            <w:tcW w:w="945"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hint="eastAsia"/>
                <w:sz w:val="17"/>
              </w:rPr>
            </w:pPr>
          </w:p>
        </w:tc>
        <w:tc>
          <w:tcPr>
            <w:tcW w:w="945"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hint="eastAsia"/>
                <w:sz w:val="17"/>
              </w:rPr>
            </w:pPr>
          </w:p>
        </w:tc>
        <w:tc>
          <w:tcPr>
            <w:tcW w:w="945"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hint="eastAsia"/>
                <w:sz w:val="17"/>
              </w:rPr>
            </w:pPr>
          </w:p>
        </w:tc>
        <w:tc>
          <w:tcPr>
            <w:tcW w:w="945"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hint="eastAsia"/>
                <w:sz w:val="17"/>
              </w:rPr>
            </w:pPr>
          </w:p>
        </w:tc>
        <w:tc>
          <w:tcPr>
            <w:tcW w:w="945" w:type="dxa"/>
            <w:tcBorders>
              <w:top w:val="single" w:sz="12" w:space="0" w:color="auto"/>
            </w:tcBorders>
            <w:vAlign w:val="bottom"/>
          </w:tcPr>
          <w:p w:rsidR="0095327F" w:rsidRDefault="0095327F" w:rsidP="004F22A5">
            <w:pPr>
              <w:spacing w:after="60" w:line="280" w:lineRule="exact"/>
              <w:ind w:rightChars="50" w:right="31680"/>
              <w:jc w:val="right"/>
              <w:rPr>
                <w:rFonts w:ascii="Times New Roman" w:hint="eastAsia"/>
                <w:sz w:val="17"/>
              </w:rPr>
            </w:pPr>
          </w:p>
        </w:tc>
      </w:tr>
      <w:tr w:rsidR="0095327F">
        <w:tblPrEx>
          <w:tblCellMar>
            <w:top w:w="0" w:type="dxa"/>
            <w:bottom w:w="0" w:type="dxa"/>
          </w:tblCellMar>
        </w:tblPrEx>
        <w:tc>
          <w:tcPr>
            <w:tcW w:w="2625" w:type="dxa"/>
            <w:vAlign w:val="bottom"/>
          </w:tcPr>
          <w:p w:rsidR="0095327F" w:rsidRDefault="0095327F">
            <w:pPr>
              <w:tabs>
                <w:tab w:val="left" w:pos="357"/>
                <w:tab w:val="left" w:pos="714"/>
                <w:tab w:val="left" w:pos="1071"/>
                <w:tab w:val="left" w:pos="1429"/>
              </w:tabs>
              <w:spacing w:after="60" w:line="240" w:lineRule="exact"/>
              <w:ind w:right="40"/>
              <w:rPr>
                <w:rFonts w:ascii="Times New Roman" w:hint="eastAsia"/>
                <w:sz w:val="17"/>
              </w:rPr>
            </w:pPr>
            <w:r>
              <w:rPr>
                <w:rFonts w:ascii="Times New Roman" w:hint="eastAsia"/>
                <w:sz w:val="17"/>
              </w:rPr>
              <w:t>申请劳动、社会团结和家庭部补贴的协会和基金会</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40</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46</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56</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70</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84</w:t>
            </w:r>
          </w:p>
        </w:tc>
      </w:tr>
      <w:tr w:rsidR="0095327F">
        <w:tblPrEx>
          <w:tblCellMar>
            <w:top w:w="0" w:type="dxa"/>
            <w:bottom w:w="0" w:type="dxa"/>
          </w:tblCellMar>
        </w:tblPrEx>
        <w:tc>
          <w:tcPr>
            <w:tcW w:w="2625" w:type="dxa"/>
            <w:vAlign w:val="bottom"/>
          </w:tcPr>
          <w:p w:rsidR="0095327F" w:rsidRDefault="0095327F">
            <w:pPr>
              <w:tabs>
                <w:tab w:val="left" w:pos="357"/>
                <w:tab w:val="left" w:pos="714"/>
                <w:tab w:val="left" w:pos="1071"/>
                <w:tab w:val="left" w:pos="1429"/>
              </w:tabs>
              <w:spacing w:after="60" w:line="240" w:lineRule="exact"/>
              <w:ind w:right="40"/>
              <w:rPr>
                <w:rFonts w:ascii="Times New Roman" w:hint="eastAsia"/>
                <w:sz w:val="17"/>
              </w:rPr>
            </w:pPr>
            <w:r>
              <w:rPr>
                <w:rFonts w:ascii="Times New Roman" w:hint="eastAsia"/>
                <w:sz w:val="17"/>
              </w:rPr>
              <w:t>部分协会</w:t>
            </w:r>
            <w:r>
              <w:rPr>
                <w:rFonts w:ascii="Times New Roman" w:hint="eastAsia"/>
                <w:sz w:val="17"/>
              </w:rPr>
              <w:t>/</w:t>
            </w:r>
            <w:r>
              <w:rPr>
                <w:rFonts w:ascii="Times New Roman" w:hint="eastAsia"/>
                <w:sz w:val="17"/>
              </w:rPr>
              <w:t>基金会</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32</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36</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53</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60</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63</w:t>
            </w:r>
          </w:p>
        </w:tc>
      </w:tr>
      <w:tr w:rsidR="0095327F">
        <w:tblPrEx>
          <w:tblCellMar>
            <w:top w:w="0" w:type="dxa"/>
            <w:bottom w:w="0" w:type="dxa"/>
          </w:tblCellMar>
        </w:tblPrEx>
        <w:tc>
          <w:tcPr>
            <w:tcW w:w="2625" w:type="dxa"/>
            <w:vAlign w:val="bottom"/>
          </w:tcPr>
          <w:p w:rsidR="0095327F" w:rsidRDefault="0095327F">
            <w:pPr>
              <w:tabs>
                <w:tab w:val="left" w:pos="357"/>
                <w:tab w:val="left" w:pos="714"/>
                <w:tab w:val="left" w:pos="1071"/>
                <w:tab w:val="left" w:pos="1429"/>
              </w:tabs>
              <w:spacing w:after="60" w:line="240" w:lineRule="exact"/>
              <w:ind w:right="40"/>
              <w:rPr>
                <w:rFonts w:ascii="Times New Roman" w:hint="eastAsia"/>
                <w:sz w:val="17"/>
              </w:rPr>
            </w:pPr>
            <w:r>
              <w:rPr>
                <w:rFonts w:ascii="Times New Roman" w:hint="eastAsia"/>
                <w:sz w:val="17"/>
              </w:rPr>
              <w:t>社会援助机构</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60</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76</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120</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157</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130</w:t>
            </w:r>
          </w:p>
        </w:tc>
      </w:tr>
      <w:tr w:rsidR="0095327F">
        <w:tblPrEx>
          <w:tblCellMar>
            <w:top w:w="0" w:type="dxa"/>
            <w:bottom w:w="0" w:type="dxa"/>
          </w:tblCellMar>
        </w:tblPrEx>
        <w:tc>
          <w:tcPr>
            <w:tcW w:w="2625" w:type="dxa"/>
            <w:vAlign w:val="bottom"/>
          </w:tcPr>
          <w:p w:rsidR="0095327F" w:rsidRDefault="0095327F">
            <w:pPr>
              <w:tabs>
                <w:tab w:val="left" w:pos="357"/>
                <w:tab w:val="left" w:pos="714"/>
                <w:tab w:val="left" w:pos="1071"/>
                <w:tab w:val="left" w:pos="1429"/>
              </w:tabs>
              <w:spacing w:after="60" w:line="240" w:lineRule="exact"/>
              <w:ind w:right="40"/>
              <w:rPr>
                <w:rFonts w:ascii="Times New Roman" w:hint="eastAsia"/>
                <w:sz w:val="17"/>
              </w:rPr>
            </w:pPr>
            <w:r>
              <w:rPr>
                <w:rFonts w:ascii="Times New Roman" w:hint="eastAsia"/>
                <w:sz w:val="17"/>
              </w:rPr>
              <w:t>援助的人数</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2 087</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3 017</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5 471</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7 377</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6 560</w:t>
            </w:r>
          </w:p>
        </w:tc>
      </w:tr>
      <w:tr w:rsidR="0095327F">
        <w:tblPrEx>
          <w:tblCellMar>
            <w:top w:w="0" w:type="dxa"/>
            <w:bottom w:w="0" w:type="dxa"/>
          </w:tblCellMar>
        </w:tblPrEx>
        <w:tc>
          <w:tcPr>
            <w:tcW w:w="2625" w:type="dxa"/>
            <w:vAlign w:val="bottom"/>
          </w:tcPr>
          <w:p w:rsidR="0095327F" w:rsidRDefault="0095327F">
            <w:pPr>
              <w:tabs>
                <w:tab w:val="left" w:pos="357"/>
                <w:tab w:val="left" w:pos="714"/>
                <w:tab w:val="left" w:pos="1071"/>
                <w:tab w:val="left" w:pos="1429"/>
              </w:tabs>
              <w:spacing w:after="60" w:line="240" w:lineRule="exact"/>
              <w:ind w:right="40"/>
              <w:rPr>
                <w:rFonts w:ascii="Times New Roman" w:hint="eastAsia"/>
                <w:sz w:val="17"/>
              </w:rPr>
            </w:pPr>
            <w:r>
              <w:rPr>
                <w:rFonts w:ascii="Times New Roman" w:hint="eastAsia"/>
                <w:sz w:val="17"/>
              </w:rPr>
              <w:t>儿童</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755</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814</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2 177</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3 354</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2 333</w:t>
            </w:r>
          </w:p>
        </w:tc>
      </w:tr>
      <w:tr w:rsidR="0095327F">
        <w:tblPrEx>
          <w:tblCellMar>
            <w:top w:w="0" w:type="dxa"/>
            <w:bottom w:w="0" w:type="dxa"/>
          </w:tblCellMar>
        </w:tblPrEx>
        <w:tc>
          <w:tcPr>
            <w:tcW w:w="2625" w:type="dxa"/>
            <w:vAlign w:val="bottom"/>
          </w:tcPr>
          <w:p w:rsidR="0095327F" w:rsidRDefault="0095327F">
            <w:pPr>
              <w:tabs>
                <w:tab w:val="left" w:pos="357"/>
                <w:tab w:val="left" w:pos="714"/>
                <w:tab w:val="left" w:pos="1071"/>
                <w:tab w:val="left" w:pos="1429"/>
              </w:tabs>
              <w:spacing w:after="60" w:line="240" w:lineRule="exact"/>
              <w:ind w:right="40"/>
              <w:rPr>
                <w:rFonts w:ascii="Times New Roman" w:hint="eastAsia"/>
                <w:sz w:val="17"/>
              </w:rPr>
            </w:pPr>
            <w:r>
              <w:rPr>
                <w:rFonts w:ascii="Times New Roman" w:hint="eastAsia"/>
                <w:sz w:val="17"/>
              </w:rPr>
              <w:t>年老人士</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994</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1 634</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2 146</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2 817</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2 591</w:t>
            </w:r>
          </w:p>
        </w:tc>
      </w:tr>
      <w:tr w:rsidR="0095327F">
        <w:tblPrEx>
          <w:tblCellMar>
            <w:top w:w="0" w:type="dxa"/>
            <w:bottom w:w="0" w:type="dxa"/>
          </w:tblCellMar>
        </w:tblPrEx>
        <w:tc>
          <w:tcPr>
            <w:tcW w:w="2625" w:type="dxa"/>
            <w:vAlign w:val="bottom"/>
          </w:tcPr>
          <w:p w:rsidR="0095327F" w:rsidRDefault="0095327F">
            <w:pPr>
              <w:tabs>
                <w:tab w:val="left" w:pos="357"/>
                <w:tab w:val="left" w:pos="714"/>
                <w:tab w:val="left" w:pos="1071"/>
                <w:tab w:val="left" w:pos="1429"/>
              </w:tabs>
              <w:spacing w:after="60" w:line="240" w:lineRule="exact"/>
              <w:ind w:right="40"/>
              <w:rPr>
                <w:rFonts w:ascii="Times New Roman" w:hint="eastAsia"/>
                <w:sz w:val="17"/>
              </w:rPr>
            </w:pPr>
            <w:r>
              <w:rPr>
                <w:rFonts w:ascii="Times New Roman" w:hint="eastAsia"/>
                <w:sz w:val="17"/>
              </w:rPr>
              <w:t>成年人</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90</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80</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175</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343</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457</w:t>
            </w:r>
          </w:p>
        </w:tc>
      </w:tr>
      <w:tr w:rsidR="0095327F">
        <w:tblPrEx>
          <w:tblCellMar>
            <w:top w:w="0" w:type="dxa"/>
            <w:bottom w:w="0" w:type="dxa"/>
          </w:tblCellMar>
        </w:tblPrEx>
        <w:tc>
          <w:tcPr>
            <w:tcW w:w="2625" w:type="dxa"/>
            <w:vAlign w:val="bottom"/>
          </w:tcPr>
          <w:p w:rsidR="0095327F" w:rsidRDefault="0095327F">
            <w:pPr>
              <w:tabs>
                <w:tab w:val="left" w:pos="357"/>
                <w:tab w:val="left" w:pos="714"/>
                <w:tab w:val="left" w:pos="1071"/>
                <w:tab w:val="left" w:pos="1429"/>
              </w:tabs>
              <w:spacing w:after="60" w:line="240" w:lineRule="exact"/>
              <w:ind w:right="40"/>
              <w:rPr>
                <w:rFonts w:ascii="Times New Roman" w:hint="eastAsia"/>
                <w:sz w:val="17"/>
              </w:rPr>
            </w:pPr>
            <w:r>
              <w:rPr>
                <w:rFonts w:ascii="Times New Roman" w:hint="eastAsia"/>
                <w:sz w:val="17"/>
              </w:rPr>
              <w:t>年轻人</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98</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149</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203</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216</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349</w:t>
            </w:r>
          </w:p>
        </w:tc>
      </w:tr>
      <w:tr w:rsidR="0095327F">
        <w:tblPrEx>
          <w:tblCellMar>
            <w:top w:w="0" w:type="dxa"/>
            <w:bottom w:w="0" w:type="dxa"/>
          </w:tblCellMar>
        </w:tblPrEx>
        <w:tc>
          <w:tcPr>
            <w:tcW w:w="2625" w:type="dxa"/>
            <w:vAlign w:val="bottom"/>
          </w:tcPr>
          <w:p w:rsidR="0095327F" w:rsidRDefault="0095327F">
            <w:pPr>
              <w:tabs>
                <w:tab w:val="left" w:pos="357"/>
                <w:tab w:val="left" w:pos="714"/>
                <w:tab w:val="left" w:pos="1071"/>
                <w:tab w:val="left" w:pos="1429"/>
              </w:tabs>
              <w:spacing w:after="60" w:line="240" w:lineRule="exact"/>
              <w:ind w:right="40"/>
              <w:rPr>
                <w:rFonts w:ascii="Times New Roman" w:hint="eastAsia"/>
                <w:sz w:val="17"/>
              </w:rPr>
            </w:pPr>
            <w:r>
              <w:rPr>
                <w:rFonts w:ascii="Times New Roman" w:hint="eastAsia"/>
                <w:sz w:val="17"/>
              </w:rPr>
              <w:t>妇女</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10</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10</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10</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16</w:t>
            </w:r>
          </w:p>
        </w:tc>
        <w:tc>
          <w:tcPr>
            <w:tcW w:w="945" w:type="dxa"/>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17</w:t>
            </w:r>
          </w:p>
        </w:tc>
      </w:tr>
      <w:tr w:rsidR="0095327F">
        <w:tblPrEx>
          <w:tblCellMar>
            <w:top w:w="0" w:type="dxa"/>
            <w:bottom w:w="0" w:type="dxa"/>
          </w:tblCellMar>
        </w:tblPrEx>
        <w:tc>
          <w:tcPr>
            <w:tcW w:w="2625" w:type="dxa"/>
            <w:tcBorders>
              <w:bottom w:val="single" w:sz="12" w:space="0" w:color="auto"/>
            </w:tcBorders>
            <w:vAlign w:val="bottom"/>
          </w:tcPr>
          <w:p w:rsidR="0095327F" w:rsidRDefault="0095327F">
            <w:pPr>
              <w:tabs>
                <w:tab w:val="left" w:pos="357"/>
                <w:tab w:val="left" w:pos="714"/>
                <w:tab w:val="left" w:pos="1071"/>
                <w:tab w:val="left" w:pos="1429"/>
              </w:tabs>
              <w:spacing w:after="60" w:line="240" w:lineRule="exact"/>
              <w:ind w:right="40"/>
              <w:rPr>
                <w:rFonts w:ascii="Times New Roman" w:hint="eastAsia"/>
                <w:sz w:val="17"/>
              </w:rPr>
            </w:pPr>
            <w:r>
              <w:rPr>
                <w:rFonts w:ascii="Times New Roman" w:hint="eastAsia"/>
                <w:sz w:val="17"/>
              </w:rPr>
              <w:t>艾滋病病毒感染者</w:t>
            </w:r>
          </w:p>
        </w:tc>
        <w:tc>
          <w:tcPr>
            <w:tcW w:w="94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140</w:t>
            </w:r>
          </w:p>
        </w:tc>
        <w:tc>
          <w:tcPr>
            <w:tcW w:w="94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420</w:t>
            </w:r>
          </w:p>
        </w:tc>
        <w:tc>
          <w:tcPr>
            <w:tcW w:w="94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760</w:t>
            </w:r>
          </w:p>
        </w:tc>
        <w:tc>
          <w:tcPr>
            <w:tcW w:w="94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631</w:t>
            </w:r>
          </w:p>
        </w:tc>
        <w:tc>
          <w:tcPr>
            <w:tcW w:w="945"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40" w:lineRule="exact"/>
              <w:ind w:rightChars="50" w:right="31680"/>
              <w:jc w:val="right"/>
              <w:rPr>
                <w:rFonts w:ascii="Times New Roman" w:hint="eastAsia"/>
                <w:sz w:val="17"/>
              </w:rPr>
            </w:pPr>
            <w:r>
              <w:rPr>
                <w:rFonts w:ascii="Times New Roman" w:hint="eastAsia"/>
                <w:sz w:val="17"/>
              </w:rPr>
              <w:t>81</w:t>
            </w:r>
          </w:p>
        </w:tc>
      </w:tr>
    </w:tbl>
    <w:p w:rsidR="0095327F" w:rsidRDefault="0095327F">
      <w:pPr>
        <w:pStyle w:val="SingleTxt"/>
        <w:rPr>
          <w:rFonts w:hint="eastAsia"/>
        </w:rPr>
      </w:pPr>
      <w:r>
        <w:rPr>
          <w:rFonts w:hint="eastAsia"/>
        </w:rPr>
        <w:tab/>
        <w:t>2001年，在劳动、社会团结和家庭部的倡议下，关于批准执行第34/1998号法律的新的方法规范的第1153/2001号政府决定获得通过，目的是改进补贴发放活动。</w:t>
      </w:r>
    </w:p>
    <w:p w:rsidR="0095327F" w:rsidRDefault="0095327F">
      <w:pPr>
        <w:pStyle w:val="SingleTxt"/>
        <w:rPr>
          <w:rFonts w:hint="eastAsia"/>
        </w:rPr>
      </w:pPr>
      <w:r>
        <w:rPr>
          <w:rFonts w:hint="eastAsia"/>
        </w:rPr>
        <w:tab/>
        <w:t>同时，根据本条例，从国家预算中为援助对象发放的月平均补贴从450 000列伊增至600 000列伊。</w:t>
      </w:r>
    </w:p>
    <w:p w:rsidR="0095327F" w:rsidRDefault="0095327F">
      <w:pPr>
        <w:pStyle w:val="SingleTxt"/>
        <w:rPr>
          <w:rFonts w:hint="eastAsia"/>
        </w:rPr>
      </w:pPr>
      <w:r>
        <w:rPr>
          <w:rFonts w:hint="eastAsia"/>
        </w:rPr>
        <w:tab/>
        <w:t>在1998-2002年这一期间，接受国家预算补贴的各种协会和基金会为受益人提供的服务的比例，按受益人类别划分如下：</w:t>
      </w:r>
    </w:p>
    <w:p w:rsidR="0095327F" w:rsidRDefault="0095327F">
      <w:pPr>
        <w:pStyle w:val="SingleTxt"/>
        <w:rPr>
          <w:rFonts w:hint="eastAsia"/>
        </w:rPr>
      </w:pPr>
      <w:r>
        <w:rPr>
          <w:rFonts w:hint="eastAsia"/>
        </w:rPr>
        <w:tab/>
        <w:t>在1998-2002年间接受国家预算补贴的社会援助实体援助的对象按类别划分的比例如下：</w:t>
      </w:r>
    </w:p>
    <w:p w:rsidR="0095327F" w:rsidRDefault="0095327F">
      <w:pPr>
        <w:pStyle w:val="SingleTxt"/>
        <w:spacing w:after="0" w:line="240" w:lineRule="auto"/>
        <w:jc w:val="center"/>
        <w:rPr>
          <w:rFonts w:hint="eastAsia"/>
        </w:rPr>
      </w:pPr>
      <w:r>
        <w:object w:dxaOrig="7290" w:dyaOrig="3540">
          <v:shape id="_x0000_i1029" type="#_x0000_t75" style="width:364.5pt;height:177pt" o:ole="">
            <v:imagedata r:id="rId22" o:title=""/>
          </v:shape>
          <o:OLEObject Type="Embed" ProgID="Excel.Chart.8" ShapeID="_x0000_i1029" DrawAspect="Content" ObjectID="_1395458261" r:id="rId23">
            <o:FieldCodes>\s</o:FieldCodes>
          </o:OLEObject>
        </w:object>
      </w:r>
    </w:p>
    <w:p w:rsidR="0095327F" w:rsidRDefault="0095327F">
      <w:pPr>
        <w:pStyle w:val="SingleTxt"/>
        <w:spacing w:after="0" w:line="240" w:lineRule="auto"/>
        <w:rPr>
          <w:rFonts w:hint="eastAsia"/>
        </w:rPr>
      </w:pPr>
    </w:p>
    <w:tbl>
      <w:tblPr>
        <w:tblW w:w="0" w:type="auto"/>
        <w:tblInd w:w="1368" w:type="dxa"/>
        <w:tblLayout w:type="fixed"/>
        <w:tblLook w:val="0000" w:firstRow="0" w:lastRow="0" w:firstColumn="0" w:lastColumn="0" w:noHBand="0" w:noVBand="0"/>
      </w:tblPr>
      <w:tblGrid>
        <w:gridCol w:w="1800"/>
        <w:gridCol w:w="1110"/>
        <w:gridCol w:w="1110"/>
        <w:gridCol w:w="1110"/>
        <w:gridCol w:w="1110"/>
        <w:gridCol w:w="1110"/>
      </w:tblGrid>
      <w:tr w:rsidR="0095327F">
        <w:tblPrEx>
          <w:tblCellMar>
            <w:top w:w="0" w:type="dxa"/>
            <w:bottom w:w="0" w:type="dxa"/>
          </w:tblCellMar>
        </w:tblPrEx>
        <w:trPr>
          <w:tblHeader/>
        </w:trPr>
        <w:tc>
          <w:tcPr>
            <w:tcW w:w="1800" w:type="dxa"/>
            <w:tcBorders>
              <w:top w:val="single" w:sz="2" w:space="0" w:color="auto"/>
              <w:bottom w:val="single" w:sz="12" w:space="0" w:color="auto"/>
            </w:tcBorders>
            <w:shd w:val="clear" w:color="auto" w:fill="FFFFFF"/>
            <w:vAlign w:val="bottom"/>
          </w:tcPr>
          <w:p w:rsidR="0095327F" w:rsidRDefault="0095327F">
            <w:pPr>
              <w:pStyle w:val="Header"/>
              <w:tabs>
                <w:tab w:val="clear" w:pos="4320"/>
                <w:tab w:val="clear" w:pos="8640"/>
              </w:tabs>
              <w:spacing w:before="60" w:after="60" w:line="240" w:lineRule="exact"/>
              <w:ind w:right="40"/>
              <w:rPr>
                <w:rFonts w:eastAsia="KaiTi_GB2312" w:hint="eastAsia"/>
                <w:noProof w:val="0"/>
                <w:kern w:val="14"/>
                <w:sz w:val="14"/>
              </w:rPr>
            </w:pPr>
          </w:p>
        </w:tc>
        <w:tc>
          <w:tcPr>
            <w:tcW w:w="1110" w:type="dxa"/>
            <w:tcBorders>
              <w:top w:val="single" w:sz="2" w:space="0" w:color="auto"/>
              <w:bottom w:val="single" w:sz="12" w:space="0" w:color="auto"/>
            </w:tcBorders>
            <w:shd w:val="clear" w:color="auto" w:fill="FFFFFF"/>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1998</w:t>
            </w:r>
            <w:r>
              <w:rPr>
                <w:rFonts w:ascii="SimHei" w:eastAsia="KaiTi_GB2312" w:hint="eastAsia"/>
                <w:color w:val="0000FF"/>
                <w:sz w:val="14"/>
              </w:rPr>
              <w:t>年</w:t>
            </w:r>
          </w:p>
        </w:tc>
        <w:tc>
          <w:tcPr>
            <w:tcW w:w="1110" w:type="dxa"/>
            <w:tcBorders>
              <w:top w:val="single" w:sz="2" w:space="0" w:color="auto"/>
              <w:bottom w:val="single" w:sz="12" w:space="0" w:color="auto"/>
            </w:tcBorders>
            <w:shd w:val="clear" w:color="auto" w:fill="FFFFFF"/>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1999</w:t>
            </w:r>
            <w:r>
              <w:rPr>
                <w:rFonts w:ascii="SimHei" w:eastAsia="KaiTi_GB2312" w:hint="eastAsia"/>
                <w:color w:val="0000FF"/>
                <w:sz w:val="14"/>
              </w:rPr>
              <w:t>年</w:t>
            </w:r>
          </w:p>
        </w:tc>
        <w:tc>
          <w:tcPr>
            <w:tcW w:w="1110" w:type="dxa"/>
            <w:tcBorders>
              <w:top w:val="single" w:sz="2" w:space="0" w:color="auto"/>
              <w:bottom w:val="single" w:sz="12" w:space="0" w:color="auto"/>
            </w:tcBorders>
            <w:shd w:val="clear" w:color="auto" w:fill="FFFFFF"/>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2000</w:t>
            </w:r>
            <w:r>
              <w:rPr>
                <w:rFonts w:ascii="SimHei" w:eastAsia="KaiTi_GB2312" w:hint="eastAsia"/>
                <w:color w:val="0000FF"/>
                <w:sz w:val="14"/>
              </w:rPr>
              <w:t>年</w:t>
            </w:r>
          </w:p>
        </w:tc>
        <w:tc>
          <w:tcPr>
            <w:tcW w:w="1110" w:type="dxa"/>
            <w:tcBorders>
              <w:top w:val="single" w:sz="2" w:space="0" w:color="auto"/>
              <w:bottom w:val="single" w:sz="12" w:space="0" w:color="auto"/>
            </w:tcBorders>
            <w:shd w:val="clear" w:color="auto" w:fill="FFFFFF"/>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2001</w:t>
            </w:r>
            <w:r>
              <w:rPr>
                <w:rFonts w:ascii="SimHei" w:eastAsia="KaiTi_GB2312" w:hint="eastAsia"/>
                <w:color w:val="0000FF"/>
                <w:sz w:val="14"/>
              </w:rPr>
              <w:t>年</w:t>
            </w:r>
          </w:p>
        </w:tc>
        <w:tc>
          <w:tcPr>
            <w:tcW w:w="1110" w:type="dxa"/>
            <w:tcBorders>
              <w:top w:val="single" w:sz="2" w:space="0" w:color="auto"/>
              <w:bottom w:val="single" w:sz="12" w:space="0" w:color="auto"/>
            </w:tcBorders>
            <w:shd w:val="clear" w:color="auto" w:fill="FFFFFF"/>
            <w:vAlign w:val="bottom"/>
          </w:tcPr>
          <w:p w:rsidR="0095327F" w:rsidRDefault="0095327F">
            <w:pPr>
              <w:spacing w:before="60" w:after="60" w:line="240" w:lineRule="exact"/>
              <w:ind w:right="40"/>
              <w:jc w:val="right"/>
              <w:rPr>
                <w:rFonts w:ascii="SimHei" w:eastAsia="KaiTi_GB2312" w:hint="eastAsia"/>
                <w:color w:val="0000FF"/>
                <w:sz w:val="14"/>
              </w:rPr>
            </w:pPr>
            <w:r>
              <w:rPr>
                <w:rFonts w:ascii="SimHei" w:eastAsia="KaiTi_GB2312" w:hint="eastAsia"/>
                <w:color w:val="0000FF"/>
                <w:sz w:val="14"/>
              </w:rPr>
              <w:t>2002</w:t>
            </w:r>
            <w:r>
              <w:rPr>
                <w:rFonts w:ascii="SimHei" w:eastAsia="KaiTi_GB2312" w:hint="eastAsia"/>
                <w:color w:val="0000FF"/>
                <w:sz w:val="14"/>
              </w:rPr>
              <w:t>年</w:t>
            </w:r>
          </w:p>
        </w:tc>
      </w:tr>
      <w:tr w:rsidR="0095327F">
        <w:tblPrEx>
          <w:tblCellMar>
            <w:top w:w="0" w:type="dxa"/>
            <w:bottom w:w="0" w:type="dxa"/>
          </w:tblCellMar>
        </w:tblPrEx>
        <w:trPr>
          <w:trHeight w:hRule="exact" w:val="115"/>
          <w:tblHeader/>
        </w:trPr>
        <w:tc>
          <w:tcPr>
            <w:tcW w:w="1800" w:type="dxa"/>
            <w:tcBorders>
              <w:top w:val="single" w:sz="12" w:space="0" w:color="auto"/>
            </w:tcBorders>
            <w:shd w:val="clear" w:color="auto" w:fill="FFFFFF"/>
            <w:vAlign w:val="bottom"/>
          </w:tcPr>
          <w:p w:rsidR="0095327F" w:rsidRDefault="0095327F">
            <w:pPr>
              <w:spacing w:after="60" w:line="280" w:lineRule="exact"/>
              <w:ind w:right="40"/>
              <w:rPr>
                <w:rFonts w:ascii="Times New Roman" w:hint="eastAsia"/>
                <w:sz w:val="17"/>
              </w:rPr>
            </w:pPr>
          </w:p>
        </w:tc>
        <w:tc>
          <w:tcPr>
            <w:tcW w:w="1110" w:type="dxa"/>
            <w:tcBorders>
              <w:top w:val="single" w:sz="12" w:space="0" w:color="auto"/>
            </w:tcBorders>
            <w:vAlign w:val="bottom"/>
          </w:tcPr>
          <w:p w:rsidR="0095327F" w:rsidRDefault="0095327F">
            <w:pPr>
              <w:pStyle w:val="Header"/>
              <w:tabs>
                <w:tab w:val="clear" w:pos="4320"/>
                <w:tab w:val="clear" w:pos="8640"/>
              </w:tabs>
              <w:spacing w:after="60" w:line="280" w:lineRule="exact"/>
              <w:ind w:right="40"/>
              <w:jc w:val="right"/>
              <w:rPr>
                <w:rFonts w:hint="eastAsia"/>
                <w:noProof w:val="0"/>
                <w:kern w:val="14"/>
                <w:sz w:val="17"/>
              </w:rPr>
            </w:pPr>
          </w:p>
        </w:tc>
        <w:tc>
          <w:tcPr>
            <w:tcW w:w="1110" w:type="dxa"/>
            <w:tcBorders>
              <w:top w:val="single" w:sz="12" w:space="0" w:color="auto"/>
            </w:tcBorders>
            <w:vAlign w:val="bottom"/>
          </w:tcPr>
          <w:p w:rsidR="0095327F" w:rsidRDefault="0095327F">
            <w:pPr>
              <w:spacing w:after="60" w:line="280" w:lineRule="exact"/>
              <w:ind w:right="40"/>
              <w:jc w:val="right"/>
              <w:rPr>
                <w:rFonts w:ascii="Times New Roman" w:hint="eastAsia"/>
                <w:sz w:val="17"/>
              </w:rPr>
            </w:pPr>
          </w:p>
        </w:tc>
        <w:tc>
          <w:tcPr>
            <w:tcW w:w="1110" w:type="dxa"/>
            <w:tcBorders>
              <w:top w:val="single" w:sz="12" w:space="0" w:color="auto"/>
            </w:tcBorders>
            <w:vAlign w:val="bottom"/>
          </w:tcPr>
          <w:p w:rsidR="0095327F" w:rsidRDefault="0095327F">
            <w:pPr>
              <w:spacing w:after="60" w:line="280" w:lineRule="exact"/>
              <w:ind w:right="40"/>
              <w:jc w:val="right"/>
              <w:rPr>
                <w:rFonts w:ascii="Times New Roman" w:hint="eastAsia"/>
                <w:sz w:val="17"/>
              </w:rPr>
            </w:pPr>
          </w:p>
        </w:tc>
        <w:tc>
          <w:tcPr>
            <w:tcW w:w="1110" w:type="dxa"/>
            <w:tcBorders>
              <w:top w:val="single" w:sz="12" w:space="0" w:color="auto"/>
            </w:tcBorders>
            <w:vAlign w:val="bottom"/>
          </w:tcPr>
          <w:p w:rsidR="0095327F" w:rsidRDefault="0095327F">
            <w:pPr>
              <w:spacing w:after="60" w:line="280" w:lineRule="exact"/>
              <w:ind w:right="40"/>
              <w:jc w:val="right"/>
              <w:rPr>
                <w:rFonts w:ascii="Times New Roman" w:hint="eastAsia"/>
                <w:sz w:val="17"/>
              </w:rPr>
            </w:pPr>
          </w:p>
        </w:tc>
        <w:tc>
          <w:tcPr>
            <w:tcW w:w="1110" w:type="dxa"/>
            <w:tcBorders>
              <w:top w:val="single" w:sz="12" w:space="0" w:color="auto"/>
            </w:tcBorders>
            <w:vAlign w:val="bottom"/>
          </w:tcPr>
          <w:p w:rsidR="0095327F" w:rsidRDefault="0095327F">
            <w:pPr>
              <w:spacing w:after="60" w:line="280" w:lineRule="exact"/>
              <w:ind w:right="40"/>
              <w:jc w:val="right"/>
              <w:rPr>
                <w:rFonts w:ascii="Times New Roman" w:hint="eastAsia"/>
                <w:sz w:val="17"/>
              </w:rPr>
            </w:pPr>
          </w:p>
        </w:tc>
      </w:tr>
      <w:tr w:rsidR="0095327F">
        <w:tblPrEx>
          <w:tblCellMar>
            <w:top w:w="0" w:type="dxa"/>
            <w:bottom w:w="0" w:type="dxa"/>
          </w:tblCellMar>
        </w:tblPrEx>
        <w:tc>
          <w:tcPr>
            <w:tcW w:w="1800" w:type="dxa"/>
            <w:shd w:val="clear" w:color="auto" w:fill="FFFFFF"/>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儿童</w:t>
            </w:r>
          </w:p>
        </w:tc>
        <w:tc>
          <w:tcPr>
            <w:tcW w:w="1110" w:type="dxa"/>
            <w:vAlign w:val="bottom"/>
          </w:tcPr>
          <w:p w:rsidR="0095327F" w:rsidRDefault="0095327F">
            <w:pPr>
              <w:pStyle w:val="Header"/>
              <w:tabs>
                <w:tab w:val="clear" w:pos="4320"/>
                <w:tab w:val="clear" w:pos="8640"/>
                <w:tab w:val="left" w:pos="357"/>
                <w:tab w:val="left" w:pos="714"/>
                <w:tab w:val="left" w:pos="1071"/>
                <w:tab w:val="left" w:pos="1429"/>
              </w:tabs>
              <w:spacing w:after="60" w:line="280" w:lineRule="exact"/>
              <w:ind w:right="40"/>
              <w:jc w:val="right"/>
              <w:rPr>
                <w:rFonts w:hint="eastAsia"/>
                <w:noProof w:val="0"/>
                <w:kern w:val="14"/>
                <w:sz w:val="17"/>
              </w:rPr>
            </w:pPr>
            <w:r>
              <w:rPr>
                <w:rFonts w:hint="eastAsia"/>
                <w:noProof w:val="0"/>
                <w:kern w:val="14"/>
                <w:sz w:val="17"/>
              </w:rPr>
              <w:t>36%</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26%</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40%</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45%</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36%</w:t>
            </w:r>
          </w:p>
        </w:tc>
      </w:tr>
      <w:tr w:rsidR="0095327F">
        <w:tblPrEx>
          <w:tblCellMar>
            <w:top w:w="0" w:type="dxa"/>
            <w:bottom w:w="0" w:type="dxa"/>
          </w:tblCellMar>
        </w:tblPrEx>
        <w:tc>
          <w:tcPr>
            <w:tcW w:w="1800" w:type="dxa"/>
            <w:shd w:val="clear" w:color="auto" w:fill="FFFFFF"/>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老年人</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48%</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54%</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39%</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38%</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39%</w:t>
            </w:r>
          </w:p>
        </w:tc>
      </w:tr>
      <w:tr w:rsidR="0095327F">
        <w:tblPrEx>
          <w:tblCellMar>
            <w:top w:w="0" w:type="dxa"/>
            <w:bottom w:w="0" w:type="dxa"/>
          </w:tblCellMar>
        </w:tblPrEx>
        <w:tc>
          <w:tcPr>
            <w:tcW w:w="1800" w:type="dxa"/>
            <w:shd w:val="clear" w:color="auto" w:fill="FFFFFF"/>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成年人</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4%</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2%</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3%</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5%</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7%</w:t>
            </w:r>
          </w:p>
        </w:tc>
      </w:tr>
      <w:tr w:rsidR="0095327F">
        <w:tblPrEx>
          <w:tblCellMar>
            <w:top w:w="0" w:type="dxa"/>
            <w:bottom w:w="0" w:type="dxa"/>
          </w:tblCellMar>
        </w:tblPrEx>
        <w:tc>
          <w:tcPr>
            <w:tcW w:w="1800" w:type="dxa"/>
            <w:shd w:val="clear" w:color="auto" w:fill="FFFFFF"/>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年轻人</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4%</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4%</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4%</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3%</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5%</w:t>
            </w:r>
          </w:p>
        </w:tc>
      </w:tr>
      <w:tr w:rsidR="0095327F">
        <w:tblPrEx>
          <w:tblCellMar>
            <w:top w:w="0" w:type="dxa"/>
            <w:bottom w:w="0" w:type="dxa"/>
          </w:tblCellMar>
        </w:tblPrEx>
        <w:tc>
          <w:tcPr>
            <w:tcW w:w="1800" w:type="dxa"/>
            <w:shd w:val="clear" w:color="auto" w:fill="FFFFFF"/>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妇女</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1%</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1%</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1%</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1%</w:t>
            </w:r>
          </w:p>
        </w:tc>
        <w:tc>
          <w:tcPr>
            <w:tcW w:w="1110" w:type="dxa"/>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1%</w:t>
            </w:r>
          </w:p>
        </w:tc>
      </w:tr>
      <w:tr w:rsidR="0095327F">
        <w:tblPrEx>
          <w:tblCellMar>
            <w:top w:w="0" w:type="dxa"/>
            <w:bottom w:w="0" w:type="dxa"/>
          </w:tblCellMar>
        </w:tblPrEx>
        <w:tc>
          <w:tcPr>
            <w:tcW w:w="1800" w:type="dxa"/>
            <w:tcBorders>
              <w:bottom w:val="single" w:sz="12" w:space="0" w:color="auto"/>
            </w:tcBorders>
            <w:shd w:val="clear" w:color="auto" w:fill="FFFFFF"/>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艾滋病病毒感染者</w:t>
            </w:r>
          </w:p>
        </w:tc>
        <w:tc>
          <w:tcPr>
            <w:tcW w:w="1110"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7%</w:t>
            </w:r>
          </w:p>
        </w:tc>
        <w:tc>
          <w:tcPr>
            <w:tcW w:w="1110"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13%</w:t>
            </w:r>
          </w:p>
        </w:tc>
        <w:tc>
          <w:tcPr>
            <w:tcW w:w="1110"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13%</w:t>
            </w:r>
          </w:p>
        </w:tc>
        <w:tc>
          <w:tcPr>
            <w:tcW w:w="1110"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8%</w:t>
            </w:r>
          </w:p>
        </w:tc>
        <w:tc>
          <w:tcPr>
            <w:tcW w:w="1110"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jc w:val="right"/>
              <w:rPr>
                <w:rFonts w:ascii="Times New Roman"/>
                <w:sz w:val="17"/>
              </w:rPr>
            </w:pPr>
            <w:r>
              <w:rPr>
                <w:rFonts w:ascii="Times New Roman" w:hint="eastAsia"/>
                <w:sz w:val="17"/>
              </w:rPr>
              <w:t>12%</w:t>
            </w:r>
          </w:p>
        </w:tc>
      </w:tr>
    </w:tbl>
    <w:p w:rsidR="0095327F" w:rsidRDefault="0095327F">
      <w:pPr>
        <w:pStyle w:val="SingleTxt"/>
        <w:spacing w:after="0" w:line="240" w:lineRule="auto"/>
        <w:rPr>
          <w:rFonts w:hint="eastAsia"/>
        </w:rPr>
      </w:pPr>
    </w:p>
    <w:p w:rsidR="0095327F" w:rsidRDefault="0095327F">
      <w:pPr>
        <w:pStyle w:val="SingleTxt"/>
        <w:rPr>
          <w:rFonts w:hint="eastAsia"/>
          <w:spacing w:val="-4"/>
        </w:rPr>
      </w:pPr>
      <w:r>
        <w:rPr>
          <w:rFonts w:hint="eastAsia"/>
        </w:rPr>
        <w:tab/>
      </w:r>
      <w:r>
        <w:rPr>
          <w:rFonts w:hint="eastAsia"/>
          <w:spacing w:val="-4"/>
        </w:rPr>
        <w:t>2003年，国家预算为此目的拨付给劳动和社会团结部的款额是366.3亿列伊。</w:t>
      </w:r>
    </w:p>
    <w:p w:rsidR="0095327F" w:rsidRDefault="0095327F">
      <w:pPr>
        <w:pStyle w:val="SingleTxt"/>
        <w:rPr>
          <w:rFonts w:hint="eastAsia"/>
        </w:rPr>
      </w:pPr>
      <w:r>
        <w:rPr>
          <w:rFonts w:hint="eastAsia"/>
        </w:rPr>
        <w:tab/>
        <w:t>2003年，协会和基金会提出申请的，登记的数目为83个，在此期间，这些申请由评估和遴选委员会评估和选择。</w:t>
      </w:r>
    </w:p>
    <w:p w:rsidR="0095327F" w:rsidRDefault="0095327F">
      <w:pPr>
        <w:pStyle w:val="SingleTxt"/>
        <w:rPr>
          <w:rFonts w:hint="eastAsia"/>
        </w:rPr>
      </w:pPr>
      <w:r>
        <w:rPr>
          <w:rFonts w:hint="eastAsia"/>
        </w:rPr>
        <w:tab/>
      </w:r>
      <w:r>
        <w:rPr>
          <w:rFonts w:ascii="KaiTi_GB2312" w:eastAsia="KaiTi_GB2312" w:hint="eastAsia"/>
          <w:b/>
          <w:bCs/>
          <w:color w:val="0000FF"/>
        </w:rPr>
        <w:t>社会补助金</w:t>
      </w:r>
      <w:r>
        <w:rPr>
          <w:rFonts w:hint="eastAsia"/>
        </w:rPr>
        <w:t>——根据关于最低收入保障的</w:t>
      </w:r>
      <w:r>
        <w:rPr>
          <w:rFonts w:ascii="KaiTi_GB2312" w:eastAsia="KaiTi_GB2312" w:hint="eastAsia"/>
          <w:b/>
          <w:bCs/>
          <w:color w:val="0000FF"/>
        </w:rPr>
        <w:t>第416/2001号法律</w:t>
      </w:r>
      <w:r>
        <w:rPr>
          <w:rFonts w:hint="eastAsia"/>
        </w:rPr>
        <w:t>建立，是为低收入或没有收入的家庭和单身人士提供支助的一种形式，保障这些人获得最低收入，并确保他们拥有最低生活条件。最低收入保障法确定的收入水平取决于家庭</w:t>
      </w:r>
      <w:r>
        <w:rPr>
          <w:rFonts w:hint="eastAsia"/>
          <w:spacing w:val="-2"/>
        </w:rPr>
        <w:t>结构，范围从两个成员的家庭为1 134 000列伊到五个成员的家庭的2 331 000列伊之间。在这个水平，再为五个以上成员的家庭的其他任何成员另外发放157 000</w:t>
      </w:r>
      <w:r>
        <w:rPr>
          <w:rFonts w:hint="eastAsia"/>
        </w:rPr>
        <w:t>列伊。社会补助金的数额按家庭月纯收入和依法为该类家庭确定的最低保障收入之间的差额计算。</w:t>
      </w:r>
    </w:p>
    <w:p w:rsidR="0095327F" w:rsidRDefault="0095327F">
      <w:pPr>
        <w:pStyle w:val="SingleTxt"/>
        <w:rPr>
          <w:rFonts w:hint="eastAsia"/>
        </w:rPr>
      </w:pPr>
      <w:r>
        <w:rPr>
          <w:rFonts w:hint="eastAsia"/>
        </w:rPr>
        <w:tab/>
        <w:t>2003年，最低月收入保障的金额提高。</w:t>
      </w:r>
    </w:p>
    <w:p w:rsidR="0095327F" w:rsidRDefault="0095327F">
      <w:pPr>
        <w:pStyle w:val="SingleTxt"/>
        <w:rPr>
          <w:rFonts w:hint="eastAsia"/>
        </w:rPr>
      </w:pPr>
      <w:r>
        <w:rPr>
          <w:rFonts w:hint="eastAsia"/>
        </w:rPr>
        <w:t>（列伊）</w:t>
      </w:r>
    </w:p>
    <w:tbl>
      <w:tblPr>
        <w:tblW w:w="0" w:type="auto"/>
        <w:tblInd w:w="1368" w:type="dxa"/>
        <w:tblLook w:val="0000" w:firstRow="0" w:lastRow="0" w:firstColumn="0" w:lastColumn="0" w:noHBand="0" w:noVBand="0"/>
      </w:tblPr>
      <w:tblGrid>
        <w:gridCol w:w="2100"/>
        <w:gridCol w:w="1750"/>
        <w:gridCol w:w="1750"/>
        <w:gridCol w:w="1750"/>
      </w:tblGrid>
      <w:tr w:rsidR="0095327F">
        <w:tblPrEx>
          <w:tblCellMar>
            <w:top w:w="0" w:type="dxa"/>
            <w:bottom w:w="0" w:type="dxa"/>
          </w:tblCellMar>
        </w:tblPrEx>
        <w:trPr>
          <w:cantSplit/>
          <w:tblHeader/>
        </w:trPr>
        <w:tc>
          <w:tcPr>
            <w:tcW w:w="2100" w:type="dxa"/>
            <w:vMerge w:val="restart"/>
            <w:tcBorders>
              <w:top w:val="single" w:sz="2" w:space="0" w:color="auto"/>
            </w:tcBorders>
            <w:vAlign w:val="center"/>
          </w:tcPr>
          <w:p w:rsidR="0095327F" w:rsidRDefault="0095327F">
            <w:pPr>
              <w:spacing w:before="60" w:after="60" w:line="240" w:lineRule="exact"/>
              <w:ind w:right="40"/>
              <w:jc w:val="center"/>
              <w:rPr>
                <w:rFonts w:ascii="Times New Roman" w:eastAsia="KaiTi_GB2312" w:hint="eastAsia"/>
                <w:color w:val="0000FF"/>
                <w:sz w:val="14"/>
              </w:rPr>
            </w:pPr>
            <w:r>
              <w:rPr>
                <w:rFonts w:ascii="Times New Roman" w:eastAsia="KaiTi_GB2312" w:hint="eastAsia"/>
                <w:color w:val="0000FF"/>
                <w:sz w:val="14"/>
              </w:rPr>
              <w:t>家庭成员数量</w:t>
            </w:r>
          </w:p>
        </w:tc>
        <w:tc>
          <w:tcPr>
            <w:tcW w:w="1750" w:type="dxa"/>
            <w:tcBorders>
              <w:top w:val="single" w:sz="2" w:space="0" w:color="auto"/>
              <w:bottom w:val="single" w:sz="4" w:space="0" w:color="auto"/>
            </w:tcBorders>
            <w:vAlign w:val="bottom"/>
          </w:tcPr>
          <w:p w:rsidR="0095327F" w:rsidRDefault="0095327F">
            <w:pPr>
              <w:spacing w:before="60" w:after="60" w:line="240" w:lineRule="exact"/>
              <w:ind w:right="40"/>
              <w:jc w:val="center"/>
              <w:rPr>
                <w:rFonts w:ascii="SimHei" w:eastAsia="KaiTi_GB2312" w:hint="eastAsia"/>
                <w:color w:val="0000FF"/>
                <w:sz w:val="14"/>
              </w:rPr>
            </w:pPr>
            <w:r>
              <w:rPr>
                <w:rFonts w:ascii="SimHei" w:eastAsia="KaiTi_GB2312" w:hint="eastAsia"/>
                <w:color w:val="0000FF"/>
                <w:sz w:val="14"/>
              </w:rPr>
              <w:t>第</w:t>
            </w:r>
            <w:r>
              <w:rPr>
                <w:rFonts w:ascii="SimHei" w:eastAsia="KaiTi_GB2312" w:hint="eastAsia"/>
                <w:color w:val="0000FF"/>
                <w:sz w:val="14"/>
              </w:rPr>
              <w:t>416/2001</w:t>
            </w:r>
            <w:r>
              <w:rPr>
                <w:rFonts w:ascii="SimHei" w:eastAsia="KaiTi_GB2312" w:hint="eastAsia"/>
                <w:color w:val="0000FF"/>
                <w:sz w:val="14"/>
              </w:rPr>
              <w:t>号最低收入保障法规定的收入水平</w:t>
            </w:r>
          </w:p>
        </w:tc>
        <w:tc>
          <w:tcPr>
            <w:tcW w:w="1750" w:type="dxa"/>
            <w:tcBorders>
              <w:top w:val="single" w:sz="2" w:space="0" w:color="auto"/>
              <w:bottom w:val="single" w:sz="4" w:space="0" w:color="auto"/>
            </w:tcBorders>
            <w:vAlign w:val="bottom"/>
          </w:tcPr>
          <w:p w:rsidR="0095327F" w:rsidRDefault="0095327F">
            <w:pPr>
              <w:spacing w:before="60" w:after="60" w:line="240" w:lineRule="exact"/>
              <w:ind w:right="40"/>
              <w:jc w:val="center"/>
              <w:rPr>
                <w:rFonts w:ascii="SimHei" w:eastAsia="KaiTi_GB2312" w:hint="eastAsia"/>
                <w:color w:val="0000FF"/>
                <w:sz w:val="14"/>
              </w:rPr>
            </w:pPr>
            <w:r>
              <w:rPr>
                <w:rFonts w:ascii="SimHei" w:eastAsia="KaiTi_GB2312" w:hint="eastAsia"/>
                <w:color w:val="0000FF"/>
                <w:sz w:val="14"/>
              </w:rPr>
              <w:t>第</w:t>
            </w:r>
            <w:r>
              <w:rPr>
                <w:rFonts w:ascii="SimHei" w:eastAsia="KaiTi_GB2312" w:hint="eastAsia"/>
                <w:color w:val="0000FF"/>
                <w:sz w:val="14"/>
              </w:rPr>
              <w:t>416/2001</w:t>
            </w:r>
            <w:r>
              <w:rPr>
                <w:rFonts w:ascii="SimHei" w:eastAsia="KaiTi_GB2312" w:hint="eastAsia"/>
                <w:color w:val="0000FF"/>
                <w:sz w:val="14"/>
              </w:rPr>
              <w:t>号最低收入保障法规定的收入水平</w:t>
            </w:r>
          </w:p>
        </w:tc>
        <w:tc>
          <w:tcPr>
            <w:tcW w:w="1750" w:type="dxa"/>
            <w:tcBorders>
              <w:top w:val="single" w:sz="2" w:space="0" w:color="auto"/>
              <w:bottom w:val="single" w:sz="4" w:space="0" w:color="auto"/>
            </w:tcBorders>
            <w:vAlign w:val="bottom"/>
          </w:tcPr>
          <w:p w:rsidR="0095327F" w:rsidRDefault="0095327F">
            <w:pPr>
              <w:spacing w:before="60" w:after="60" w:line="240" w:lineRule="exact"/>
              <w:ind w:right="40"/>
              <w:jc w:val="center"/>
              <w:rPr>
                <w:rFonts w:ascii="SimHei" w:eastAsia="KaiTi_GB2312" w:hint="eastAsia"/>
                <w:color w:val="0000FF"/>
                <w:sz w:val="14"/>
              </w:rPr>
            </w:pPr>
            <w:r>
              <w:rPr>
                <w:rFonts w:ascii="SimHei" w:eastAsia="KaiTi_GB2312" w:hint="eastAsia"/>
                <w:color w:val="0000FF"/>
                <w:sz w:val="14"/>
              </w:rPr>
              <w:t>第</w:t>
            </w:r>
            <w:r>
              <w:rPr>
                <w:rFonts w:ascii="SimHei" w:eastAsia="KaiTi_GB2312" w:hint="eastAsia"/>
                <w:color w:val="0000FF"/>
                <w:sz w:val="14"/>
              </w:rPr>
              <w:t>416/2001</w:t>
            </w:r>
            <w:r>
              <w:rPr>
                <w:rFonts w:ascii="SimHei" w:eastAsia="KaiTi_GB2312" w:hint="eastAsia"/>
                <w:color w:val="0000FF"/>
                <w:sz w:val="14"/>
              </w:rPr>
              <w:t>号最低收入保障法规定的收入水平</w:t>
            </w:r>
          </w:p>
        </w:tc>
      </w:tr>
      <w:tr w:rsidR="0095327F">
        <w:tblPrEx>
          <w:tblCellMar>
            <w:top w:w="0" w:type="dxa"/>
            <w:bottom w:w="0" w:type="dxa"/>
          </w:tblCellMar>
        </w:tblPrEx>
        <w:trPr>
          <w:cantSplit/>
          <w:tblHeader/>
        </w:trPr>
        <w:tc>
          <w:tcPr>
            <w:tcW w:w="2100" w:type="dxa"/>
            <w:vMerge/>
            <w:tcBorders>
              <w:bottom w:val="single" w:sz="12" w:space="0" w:color="auto"/>
            </w:tcBorders>
            <w:vAlign w:val="bottom"/>
          </w:tcPr>
          <w:p w:rsidR="0095327F" w:rsidRDefault="0095327F">
            <w:pPr>
              <w:spacing w:after="60" w:line="240" w:lineRule="exact"/>
              <w:ind w:right="40"/>
              <w:rPr>
                <w:rFonts w:ascii="Times New Roman" w:eastAsia="KaiTi_GB2312" w:hint="eastAsia"/>
                <w:color w:val="0000FF"/>
                <w:sz w:val="14"/>
              </w:rPr>
            </w:pPr>
          </w:p>
        </w:tc>
        <w:tc>
          <w:tcPr>
            <w:tcW w:w="1750" w:type="dxa"/>
            <w:tcBorders>
              <w:top w:val="single" w:sz="4" w:space="0" w:color="auto"/>
              <w:bottom w:val="single" w:sz="12" w:space="0" w:color="auto"/>
            </w:tcBorders>
            <w:vAlign w:val="bottom"/>
          </w:tcPr>
          <w:p w:rsidR="0095327F" w:rsidRDefault="0095327F">
            <w:pPr>
              <w:spacing w:after="60" w:line="240" w:lineRule="exact"/>
              <w:ind w:right="40"/>
              <w:jc w:val="center"/>
              <w:rPr>
                <w:rFonts w:ascii="SimHei" w:eastAsia="KaiTi_GB2312" w:hint="eastAsia"/>
                <w:color w:val="0000FF"/>
                <w:sz w:val="14"/>
              </w:rPr>
            </w:pPr>
            <w:r>
              <w:rPr>
                <w:rFonts w:ascii="SimHei" w:eastAsia="KaiTi_GB2312" w:hint="eastAsia"/>
                <w:color w:val="0000FF"/>
                <w:sz w:val="14"/>
              </w:rPr>
              <w:t>2001</w:t>
            </w:r>
            <w:r>
              <w:rPr>
                <w:rFonts w:ascii="SimHei" w:eastAsia="KaiTi_GB2312" w:hint="eastAsia"/>
                <w:color w:val="0000FF"/>
                <w:sz w:val="14"/>
              </w:rPr>
              <w:t>年</w:t>
            </w:r>
          </w:p>
        </w:tc>
        <w:tc>
          <w:tcPr>
            <w:tcW w:w="1750" w:type="dxa"/>
            <w:tcBorders>
              <w:top w:val="single" w:sz="4" w:space="0" w:color="auto"/>
              <w:bottom w:val="single" w:sz="12" w:space="0" w:color="auto"/>
            </w:tcBorders>
            <w:vAlign w:val="bottom"/>
          </w:tcPr>
          <w:p w:rsidR="0095327F" w:rsidRDefault="0095327F">
            <w:pPr>
              <w:spacing w:after="60" w:line="240" w:lineRule="exact"/>
              <w:ind w:right="40"/>
              <w:jc w:val="center"/>
              <w:rPr>
                <w:rFonts w:ascii="SimHei" w:eastAsia="KaiTi_GB2312" w:hint="eastAsia"/>
                <w:color w:val="0000FF"/>
                <w:sz w:val="14"/>
              </w:rPr>
            </w:pPr>
            <w:r>
              <w:rPr>
                <w:rFonts w:ascii="SimHei" w:eastAsia="KaiTi_GB2312" w:hint="eastAsia"/>
                <w:color w:val="0000FF"/>
                <w:sz w:val="14"/>
              </w:rPr>
              <w:t>2002</w:t>
            </w:r>
            <w:r>
              <w:rPr>
                <w:rFonts w:ascii="SimHei" w:eastAsia="KaiTi_GB2312" w:hint="eastAsia"/>
                <w:color w:val="0000FF"/>
                <w:sz w:val="14"/>
              </w:rPr>
              <w:t>年</w:t>
            </w:r>
          </w:p>
        </w:tc>
        <w:tc>
          <w:tcPr>
            <w:tcW w:w="1750" w:type="dxa"/>
            <w:tcBorders>
              <w:top w:val="single" w:sz="4" w:space="0" w:color="auto"/>
              <w:bottom w:val="single" w:sz="12" w:space="0" w:color="auto"/>
            </w:tcBorders>
            <w:vAlign w:val="bottom"/>
          </w:tcPr>
          <w:p w:rsidR="0095327F" w:rsidRDefault="0095327F">
            <w:pPr>
              <w:spacing w:after="60" w:line="240" w:lineRule="exact"/>
              <w:ind w:right="40"/>
              <w:jc w:val="center"/>
              <w:rPr>
                <w:rFonts w:ascii="SimHei" w:eastAsia="KaiTi_GB2312" w:hint="eastAsia"/>
                <w:color w:val="0000FF"/>
                <w:sz w:val="14"/>
              </w:rPr>
            </w:pPr>
            <w:r>
              <w:rPr>
                <w:rFonts w:ascii="SimHei" w:eastAsia="KaiTi_GB2312" w:hint="eastAsia"/>
                <w:color w:val="0000FF"/>
                <w:sz w:val="14"/>
              </w:rPr>
              <w:t>2003</w:t>
            </w:r>
            <w:r>
              <w:rPr>
                <w:rFonts w:ascii="SimHei" w:eastAsia="KaiTi_GB2312" w:hint="eastAsia"/>
                <w:color w:val="0000FF"/>
                <w:sz w:val="14"/>
              </w:rPr>
              <w:t>年</w:t>
            </w:r>
            <w:r>
              <w:rPr>
                <w:rFonts w:ascii="SimHei" w:eastAsia="KaiTi_GB2312" w:hint="eastAsia"/>
                <w:color w:val="0000FF"/>
                <w:sz w:val="14"/>
              </w:rPr>
              <w:t>1</w:t>
            </w:r>
            <w:r>
              <w:rPr>
                <w:rFonts w:ascii="SimHei" w:eastAsia="KaiTi_GB2312" w:hint="eastAsia"/>
                <w:color w:val="0000FF"/>
                <w:sz w:val="14"/>
              </w:rPr>
              <w:t>月</w:t>
            </w:r>
          </w:p>
        </w:tc>
      </w:tr>
      <w:tr w:rsidR="0095327F">
        <w:tblPrEx>
          <w:tblCellMar>
            <w:top w:w="0" w:type="dxa"/>
            <w:bottom w:w="0" w:type="dxa"/>
          </w:tblCellMar>
        </w:tblPrEx>
        <w:trPr>
          <w:trHeight w:hRule="exact" w:val="115"/>
          <w:tblHeader/>
        </w:trPr>
        <w:tc>
          <w:tcPr>
            <w:tcW w:w="2100" w:type="dxa"/>
            <w:tcBorders>
              <w:top w:val="single" w:sz="12" w:space="0" w:color="auto"/>
            </w:tcBorders>
            <w:vAlign w:val="bottom"/>
          </w:tcPr>
          <w:p w:rsidR="0095327F" w:rsidRDefault="0095327F">
            <w:pPr>
              <w:spacing w:after="60" w:line="280" w:lineRule="exact"/>
              <w:ind w:right="40"/>
              <w:rPr>
                <w:rFonts w:ascii="Times New Roman" w:hint="eastAsia"/>
                <w:sz w:val="17"/>
              </w:rPr>
            </w:pPr>
          </w:p>
        </w:tc>
        <w:tc>
          <w:tcPr>
            <w:tcW w:w="1750" w:type="dxa"/>
            <w:tcBorders>
              <w:top w:val="single" w:sz="12" w:space="0" w:color="auto"/>
            </w:tcBorders>
            <w:vAlign w:val="bottom"/>
          </w:tcPr>
          <w:p w:rsidR="0095327F" w:rsidRDefault="0095327F" w:rsidP="004F22A5">
            <w:pPr>
              <w:pStyle w:val="Header"/>
              <w:tabs>
                <w:tab w:val="clear" w:pos="4320"/>
                <w:tab w:val="clear" w:pos="8640"/>
              </w:tabs>
              <w:spacing w:after="60" w:line="280" w:lineRule="exact"/>
              <w:ind w:rightChars="181" w:right="31680"/>
              <w:jc w:val="right"/>
              <w:rPr>
                <w:rFonts w:hint="eastAsia"/>
                <w:noProof w:val="0"/>
                <w:kern w:val="14"/>
                <w:sz w:val="17"/>
              </w:rPr>
            </w:pPr>
          </w:p>
        </w:tc>
        <w:tc>
          <w:tcPr>
            <w:tcW w:w="1750" w:type="dxa"/>
            <w:tcBorders>
              <w:top w:val="single" w:sz="12" w:space="0" w:color="auto"/>
            </w:tcBorders>
            <w:vAlign w:val="bottom"/>
          </w:tcPr>
          <w:p w:rsidR="0095327F" w:rsidRDefault="0095327F" w:rsidP="004F22A5">
            <w:pPr>
              <w:spacing w:after="60" w:line="280" w:lineRule="exact"/>
              <w:ind w:rightChars="181" w:right="31680"/>
              <w:jc w:val="right"/>
              <w:rPr>
                <w:rFonts w:ascii="Times New Roman" w:hint="eastAsia"/>
                <w:sz w:val="17"/>
              </w:rPr>
            </w:pPr>
          </w:p>
        </w:tc>
        <w:tc>
          <w:tcPr>
            <w:tcW w:w="1750" w:type="dxa"/>
            <w:tcBorders>
              <w:top w:val="single" w:sz="12" w:space="0" w:color="auto"/>
            </w:tcBorders>
            <w:vAlign w:val="bottom"/>
          </w:tcPr>
          <w:p w:rsidR="0095327F" w:rsidRDefault="0095327F" w:rsidP="004F22A5">
            <w:pPr>
              <w:spacing w:after="60" w:line="280" w:lineRule="exact"/>
              <w:ind w:rightChars="181" w:right="31680"/>
              <w:jc w:val="right"/>
              <w:rPr>
                <w:rFonts w:ascii="Times New Roman" w:hint="eastAsia"/>
                <w:sz w:val="17"/>
              </w:rPr>
            </w:pPr>
          </w:p>
        </w:tc>
      </w:tr>
      <w:tr w:rsidR="0095327F">
        <w:tblPrEx>
          <w:tblCellMar>
            <w:top w:w="0" w:type="dxa"/>
            <w:bottom w:w="0" w:type="dxa"/>
          </w:tblCellMar>
        </w:tblPrEx>
        <w:tc>
          <w:tcPr>
            <w:tcW w:w="2100" w:type="dxa"/>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一个成员的家庭</w:t>
            </w:r>
          </w:p>
        </w:tc>
        <w:tc>
          <w:tcPr>
            <w:tcW w:w="1750" w:type="dxa"/>
            <w:vAlign w:val="bottom"/>
          </w:tcPr>
          <w:p w:rsidR="0095327F" w:rsidRDefault="0095327F" w:rsidP="004F22A5">
            <w:pPr>
              <w:pStyle w:val="Header"/>
              <w:tabs>
                <w:tab w:val="clear" w:pos="4320"/>
                <w:tab w:val="clear" w:pos="8640"/>
                <w:tab w:val="left" w:pos="357"/>
                <w:tab w:val="left" w:pos="714"/>
                <w:tab w:val="left" w:pos="1071"/>
                <w:tab w:val="left" w:pos="1429"/>
              </w:tabs>
              <w:spacing w:after="60" w:line="280" w:lineRule="exact"/>
              <w:ind w:rightChars="181" w:right="31680"/>
              <w:jc w:val="right"/>
              <w:rPr>
                <w:rFonts w:hint="eastAsia"/>
                <w:noProof w:val="0"/>
                <w:kern w:val="14"/>
                <w:sz w:val="17"/>
              </w:rPr>
            </w:pPr>
            <w:r>
              <w:rPr>
                <w:rFonts w:hint="eastAsia"/>
                <w:noProof w:val="0"/>
                <w:kern w:val="14"/>
                <w:sz w:val="17"/>
              </w:rPr>
              <w:t>166 000</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630 000</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740 000</w:t>
            </w:r>
          </w:p>
        </w:tc>
      </w:tr>
      <w:tr w:rsidR="0095327F">
        <w:tblPrEx>
          <w:tblCellMar>
            <w:top w:w="0" w:type="dxa"/>
            <w:bottom w:w="0" w:type="dxa"/>
          </w:tblCellMar>
        </w:tblPrEx>
        <w:tc>
          <w:tcPr>
            <w:tcW w:w="2100" w:type="dxa"/>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两个成员的家庭</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299 800</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1 134 000</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1 328 000</w:t>
            </w:r>
          </w:p>
        </w:tc>
      </w:tr>
      <w:tr w:rsidR="0095327F">
        <w:tblPrEx>
          <w:tblCellMar>
            <w:top w:w="0" w:type="dxa"/>
            <w:bottom w:w="0" w:type="dxa"/>
          </w:tblCellMar>
        </w:tblPrEx>
        <w:tc>
          <w:tcPr>
            <w:tcW w:w="2100" w:type="dxa"/>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三个成员的家庭</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418 500</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1 575 000</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1 845 000</w:t>
            </w:r>
          </w:p>
        </w:tc>
      </w:tr>
      <w:tr w:rsidR="0095327F">
        <w:tblPrEx>
          <w:tblCellMar>
            <w:top w:w="0" w:type="dxa"/>
            <w:bottom w:w="0" w:type="dxa"/>
          </w:tblCellMar>
        </w:tblPrEx>
        <w:tc>
          <w:tcPr>
            <w:tcW w:w="2100" w:type="dxa"/>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四个成员的家庭</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525 700</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1 953 000</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2 285 000</w:t>
            </w:r>
          </w:p>
        </w:tc>
      </w:tr>
      <w:tr w:rsidR="0095327F">
        <w:tblPrEx>
          <w:tblCellMar>
            <w:top w:w="0" w:type="dxa"/>
            <w:bottom w:w="0" w:type="dxa"/>
          </w:tblCellMar>
        </w:tblPrEx>
        <w:tc>
          <w:tcPr>
            <w:tcW w:w="2100" w:type="dxa"/>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五个成员的家庭</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625 300</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2 331 000</w:t>
            </w:r>
          </w:p>
        </w:tc>
        <w:tc>
          <w:tcPr>
            <w:tcW w:w="1750" w:type="dxa"/>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2 728 000</w:t>
            </w:r>
          </w:p>
        </w:tc>
      </w:tr>
      <w:tr w:rsidR="0095327F">
        <w:tblPrEx>
          <w:tblCellMar>
            <w:top w:w="0" w:type="dxa"/>
            <w:bottom w:w="0" w:type="dxa"/>
          </w:tblCellMar>
        </w:tblPrEx>
        <w:tc>
          <w:tcPr>
            <w:tcW w:w="2100" w:type="dxa"/>
            <w:tcBorders>
              <w:bottom w:val="single" w:sz="12" w:space="0" w:color="auto"/>
            </w:tcBorders>
            <w:vAlign w:val="bottom"/>
          </w:tcPr>
          <w:p w:rsidR="0095327F" w:rsidRDefault="0095327F">
            <w:pPr>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五个成员以外的任何家庭成员</w:t>
            </w:r>
          </w:p>
        </w:tc>
        <w:tc>
          <w:tcPr>
            <w:tcW w:w="1750"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92 700</w:t>
            </w:r>
          </w:p>
        </w:tc>
        <w:tc>
          <w:tcPr>
            <w:tcW w:w="1750"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157 500</w:t>
            </w:r>
          </w:p>
        </w:tc>
        <w:tc>
          <w:tcPr>
            <w:tcW w:w="1750" w:type="dxa"/>
            <w:tcBorders>
              <w:bottom w:val="single" w:sz="12" w:space="0" w:color="auto"/>
            </w:tcBorders>
            <w:vAlign w:val="bottom"/>
          </w:tcPr>
          <w:p w:rsidR="0095327F" w:rsidRDefault="0095327F" w:rsidP="004F22A5">
            <w:pPr>
              <w:tabs>
                <w:tab w:val="left" w:pos="357"/>
                <w:tab w:val="left" w:pos="714"/>
                <w:tab w:val="left" w:pos="1071"/>
                <w:tab w:val="left" w:pos="1429"/>
              </w:tabs>
              <w:spacing w:after="60" w:line="280" w:lineRule="exact"/>
              <w:ind w:rightChars="181" w:right="31680"/>
              <w:jc w:val="right"/>
              <w:rPr>
                <w:rFonts w:ascii="Times New Roman" w:hint="eastAsia"/>
                <w:sz w:val="17"/>
              </w:rPr>
            </w:pPr>
            <w:r>
              <w:rPr>
                <w:rFonts w:ascii="Times New Roman" w:hint="eastAsia"/>
                <w:sz w:val="17"/>
              </w:rPr>
              <w:t>184 000</w:t>
            </w:r>
          </w:p>
        </w:tc>
      </w:tr>
    </w:tbl>
    <w:p w:rsidR="0095327F" w:rsidRDefault="0095327F">
      <w:pPr>
        <w:pStyle w:val="SingleTxt"/>
        <w:spacing w:after="0" w:line="240" w:lineRule="auto"/>
        <w:rPr>
          <w:rFonts w:hint="eastAsia"/>
        </w:rPr>
      </w:pPr>
    </w:p>
    <w:p w:rsidR="0095327F" w:rsidRDefault="0095327F">
      <w:pPr>
        <w:pStyle w:val="SingleTxt"/>
        <w:rPr>
          <w:rFonts w:hint="eastAsia"/>
        </w:rPr>
      </w:pPr>
      <w:r>
        <w:rPr>
          <w:rFonts w:hint="eastAsia"/>
        </w:rPr>
        <w:tab/>
        <w:t>对关于第416/2001号法律执行情况的统计报告的分析结果表明，2002年1-9月期间，在登记的598 734件申请中，通过市长决定，共批准为549 837个家庭和单身人士提供社会补助金。</w:t>
      </w:r>
    </w:p>
    <w:p w:rsidR="0095327F" w:rsidRDefault="0095327F">
      <w:pPr>
        <w:pStyle w:val="SingleTxt"/>
        <w:rPr>
          <w:rFonts w:hint="eastAsia"/>
        </w:rPr>
      </w:pPr>
      <w:r>
        <w:rPr>
          <w:rFonts w:hint="eastAsia"/>
        </w:rPr>
        <w:tab/>
        <w:t>截至2002年9月30日，已发放的社会补助金为21</w:t>
      </w:r>
      <w:r>
        <w:t xml:space="preserve"> </w:t>
      </w:r>
      <w:r>
        <w:rPr>
          <w:rFonts w:hint="eastAsia"/>
        </w:rPr>
        <w:t>220亿列伊。</w:t>
      </w:r>
    </w:p>
    <w:p w:rsidR="0095327F" w:rsidRDefault="0095327F">
      <w:pPr>
        <w:pStyle w:val="SingleTxt"/>
        <w:rPr>
          <w:rFonts w:hint="eastAsia"/>
        </w:rPr>
      </w:pPr>
      <w:r>
        <w:rPr>
          <w:rFonts w:hint="eastAsia"/>
        </w:rPr>
        <w:tab/>
      </w:r>
      <w:r>
        <w:rPr>
          <w:rFonts w:ascii="KaiTi_GB2312" w:eastAsia="KaiTi_GB2312" w:hint="eastAsia"/>
          <w:b/>
          <w:bCs/>
          <w:color w:val="0000FF"/>
        </w:rPr>
        <w:t>室内取暖补助金</w:t>
      </w:r>
      <w:r>
        <w:rPr>
          <w:rFonts w:hint="eastAsia"/>
        </w:rPr>
        <w:t>——第6/2002号政府紧急法令完善了第416/2001号法律，根据这项法令的规定，低收入家庭在1-3月可领取住房取暖补助金，但前提条件是使用了取暖系统。</w:t>
      </w:r>
    </w:p>
    <w:p w:rsidR="0095327F" w:rsidRDefault="0095327F">
      <w:pPr>
        <w:pStyle w:val="SingleTxt"/>
        <w:rPr>
          <w:rFonts w:hint="eastAsia"/>
        </w:rPr>
      </w:pPr>
      <w:r>
        <w:rPr>
          <w:rFonts w:hint="eastAsia"/>
        </w:rPr>
        <w:tab/>
        <w:t>这样，平均每个月有756 067个家庭领取了这项补助金，已经发放的补助金达6 180亿列伊，具体数字如下：</w:t>
      </w:r>
    </w:p>
    <w:p w:rsidR="0095327F" w:rsidRDefault="0095327F">
      <w:pPr>
        <w:pStyle w:val="SingleTxt"/>
        <w:spacing w:after="120" w:line="280" w:lineRule="exact"/>
        <w:ind w:left="1695"/>
        <w:rPr>
          <w:rFonts w:hint="eastAsia"/>
        </w:rPr>
      </w:pPr>
      <w:r>
        <w:rPr>
          <w:rFonts w:hint="eastAsia"/>
        </w:rPr>
        <w:t>1．</w:t>
      </w:r>
      <w:r>
        <w:rPr>
          <w:rFonts w:hint="eastAsia"/>
        </w:rPr>
        <w:tab/>
        <w:t>中央供暖系统的热能：</w:t>
      </w:r>
    </w:p>
    <w:p w:rsidR="0095327F" w:rsidRDefault="0095327F">
      <w:pPr>
        <w:pStyle w:val="SingleTxt"/>
        <w:spacing w:after="120" w:line="280" w:lineRule="exact"/>
        <w:ind w:left="2126"/>
        <w:rPr>
          <w:rFonts w:hint="eastAsia"/>
        </w:rPr>
      </w:pPr>
      <w:r>
        <w:rPr>
          <w:rFonts w:hint="eastAsia"/>
        </w:rPr>
        <w:t>-</w:t>
      </w:r>
      <w:r>
        <w:rPr>
          <w:rFonts w:hint="eastAsia"/>
        </w:rPr>
        <w:tab/>
        <w:t>平均家庭数量——540 000</w:t>
      </w:r>
    </w:p>
    <w:p w:rsidR="0095327F" w:rsidRDefault="0095327F">
      <w:pPr>
        <w:pStyle w:val="SingleTxt"/>
        <w:spacing w:after="120" w:line="280" w:lineRule="exact"/>
        <w:ind w:left="2126"/>
        <w:rPr>
          <w:rFonts w:hint="eastAsia"/>
        </w:rPr>
      </w:pPr>
      <w:r>
        <w:rPr>
          <w:rFonts w:hint="eastAsia"/>
        </w:rPr>
        <w:t>-</w:t>
      </w:r>
      <w:r>
        <w:rPr>
          <w:rFonts w:hint="eastAsia"/>
        </w:rPr>
        <w:tab/>
        <w:t>支付金额——4 610亿列伊</w:t>
      </w:r>
    </w:p>
    <w:p w:rsidR="0095327F" w:rsidRDefault="0095327F">
      <w:pPr>
        <w:pStyle w:val="SingleTxt"/>
        <w:spacing w:after="120" w:line="280" w:lineRule="exact"/>
        <w:ind w:left="1695"/>
        <w:rPr>
          <w:rFonts w:hint="eastAsia"/>
        </w:rPr>
      </w:pPr>
      <w:r>
        <w:rPr>
          <w:rFonts w:hint="eastAsia"/>
        </w:rPr>
        <w:t>2．</w:t>
      </w:r>
      <w:r>
        <w:rPr>
          <w:rFonts w:hint="eastAsia"/>
        </w:rPr>
        <w:tab/>
        <w:t>天然气：</w:t>
      </w:r>
    </w:p>
    <w:p w:rsidR="0095327F" w:rsidRDefault="0095327F">
      <w:pPr>
        <w:pStyle w:val="SingleTxt"/>
        <w:spacing w:after="120" w:line="280" w:lineRule="exact"/>
        <w:ind w:left="2126"/>
        <w:rPr>
          <w:rFonts w:hint="eastAsia"/>
        </w:rPr>
      </w:pPr>
      <w:r>
        <w:rPr>
          <w:rFonts w:hint="eastAsia"/>
        </w:rPr>
        <w:t>-</w:t>
      </w:r>
      <w:r>
        <w:rPr>
          <w:rFonts w:hint="eastAsia"/>
        </w:rPr>
        <w:tab/>
        <w:t>平均家庭数量——61 369</w:t>
      </w:r>
    </w:p>
    <w:p w:rsidR="0095327F" w:rsidRDefault="0095327F">
      <w:pPr>
        <w:pStyle w:val="SingleTxt"/>
        <w:spacing w:after="120" w:line="280" w:lineRule="exact"/>
        <w:ind w:left="2126"/>
        <w:rPr>
          <w:rFonts w:hint="eastAsia"/>
        </w:rPr>
      </w:pPr>
      <w:r>
        <w:rPr>
          <w:rFonts w:hint="eastAsia"/>
        </w:rPr>
        <w:t>-</w:t>
      </w:r>
      <w:r>
        <w:rPr>
          <w:rFonts w:hint="eastAsia"/>
        </w:rPr>
        <w:tab/>
        <w:t>支付金额——430亿列伊</w:t>
      </w:r>
    </w:p>
    <w:p w:rsidR="0095327F" w:rsidRDefault="0095327F">
      <w:pPr>
        <w:pStyle w:val="SingleTxt"/>
        <w:spacing w:after="120" w:line="280" w:lineRule="exact"/>
        <w:ind w:left="1695"/>
        <w:rPr>
          <w:rFonts w:hint="eastAsia"/>
        </w:rPr>
      </w:pPr>
      <w:r>
        <w:rPr>
          <w:rFonts w:hint="eastAsia"/>
        </w:rPr>
        <w:t>3．</w:t>
      </w:r>
      <w:r>
        <w:rPr>
          <w:rFonts w:hint="eastAsia"/>
        </w:rPr>
        <w:tab/>
        <w:t>木材、煤炭、燃料：</w:t>
      </w:r>
    </w:p>
    <w:p w:rsidR="0095327F" w:rsidRDefault="0095327F">
      <w:pPr>
        <w:pStyle w:val="SingleTxt"/>
        <w:spacing w:after="120" w:line="280" w:lineRule="exact"/>
        <w:ind w:left="2126"/>
        <w:rPr>
          <w:rFonts w:hint="eastAsia"/>
        </w:rPr>
      </w:pPr>
      <w:r>
        <w:rPr>
          <w:rFonts w:hint="eastAsia"/>
        </w:rPr>
        <w:t>-</w:t>
      </w:r>
      <w:r>
        <w:rPr>
          <w:rFonts w:hint="eastAsia"/>
        </w:rPr>
        <w:tab/>
        <w:t>平均家庭数量——158 698</w:t>
      </w:r>
    </w:p>
    <w:p w:rsidR="0095327F" w:rsidRDefault="0095327F">
      <w:pPr>
        <w:pStyle w:val="SingleTxt"/>
        <w:ind w:left="2126"/>
        <w:rPr>
          <w:rFonts w:hint="eastAsia"/>
        </w:rPr>
      </w:pPr>
      <w:r>
        <w:rPr>
          <w:rFonts w:hint="eastAsia"/>
        </w:rPr>
        <w:t>-</w:t>
      </w:r>
      <w:r>
        <w:rPr>
          <w:rFonts w:hint="eastAsia"/>
        </w:rPr>
        <w:tab/>
        <w:t>支付金额——1 140亿列伊。</w:t>
      </w:r>
    </w:p>
    <w:p w:rsidR="0095327F" w:rsidRDefault="0095327F">
      <w:pPr>
        <w:pStyle w:val="SingleTxt"/>
        <w:rPr>
          <w:rFonts w:hint="eastAsia"/>
        </w:rPr>
      </w:pPr>
      <w:r>
        <w:tab/>
      </w:r>
      <w:r>
        <w:rPr>
          <w:rFonts w:hint="eastAsia"/>
        </w:rPr>
        <w:t>为了给低收入群体提供社会保护，继能源和燃料价格上涨后，在2002－2003年间将继续为使用中央供暖系统的热能的家庭和使用天然气的家庭发放住房取暖补助金。为此目的，批准了第121/2002号政府紧急法令。</w:t>
      </w:r>
    </w:p>
    <w:p w:rsidR="0095327F" w:rsidRDefault="0095327F">
      <w:pPr>
        <w:pStyle w:val="SingleTxt"/>
        <w:rPr>
          <w:rFonts w:hint="eastAsia"/>
        </w:rPr>
      </w:pPr>
      <w:r>
        <w:tab/>
      </w:r>
      <w:r>
        <w:rPr>
          <w:rFonts w:hint="eastAsia"/>
        </w:rPr>
        <w:t>对于使用木材、煤炭和燃料进行室内取暖的家庭，第811/2002号政府决定批准的“社会方案”决定将取暖补助金从250 000列伊/月增至300 000列伊/月。根据第416/2001号法律的规定，这部分补助金将继续发放给社会补助金的受益者。</w:t>
      </w:r>
    </w:p>
    <w:p w:rsidR="0095327F" w:rsidRDefault="0095327F">
      <w:pPr>
        <w:pStyle w:val="SingleTxt"/>
        <w:rPr>
          <w:rFonts w:hint="eastAsia"/>
        </w:rPr>
      </w:pPr>
      <w:r>
        <w:tab/>
      </w:r>
      <w:r>
        <w:rPr>
          <w:rFonts w:ascii="KaiTi_GB2312" w:eastAsia="KaiTi_GB2312" w:hint="eastAsia"/>
          <w:b/>
          <w:bCs/>
          <w:color w:val="0000FF"/>
        </w:rPr>
        <w:t>紧急补助金</w:t>
      </w:r>
      <w:r>
        <w:rPr>
          <w:rFonts w:hint="eastAsia"/>
        </w:rPr>
        <w:t>——截至2002年9月30日，在劳动与社会团结部的提议下，通过政府决定发放了260笔紧急补助金，总金额达720亿列伊。</w:t>
      </w:r>
    </w:p>
    <w:p w:rsidR="0095327F" w:rsidRDefault="0095327F">
      <w:pPr>
        <w:pStyle w:val="SingleTxt"/>
        <w:rPr>
          <w:rFonts w:hint="eastAsia"/>
        </w:rPr>
      </w:pPr>
      <w:r>
        <w:tab/>
      </w:r>
      <w:r>
        <w:rPr>
          <w:rFonts w:hint="eastAsia"/>
        </w:rPr>
        <w:t>同期，市长从地方预算中发放了5 841笔紧急补助金，累积金额达120亿列伊左右。</w:t>
      </w:r>
    </w:p>
    <w:p w:rsidR="0095327F" w:rsidRDefault="0095327F">
      <w:pPr>
        <w:pStyle w:val="SingleTxt"/>
        <w:rPr>
          <w:rFonts w:hint="eastAsia"/>
        </w:rPr>
      </w:pPr>
      <w:r>
        <w:tab/>
      </w:r>
      <w:r>
        <w:rPr>
          <w:rFonts w:ascii="KaiTi_GB2312" w:eastAsia="KaiTi_GB2312" w:hint="eastAsia"/>
          <w:b/>
          <w:bCs/>
          <w:color w:val="0000FF"/>
        </w:rPr>
        <w:t>按月为现役军人妻子发放的社会补助金</w:t>
      </w:r>
      <w:r>
        <w:rPr>
          <w:rFonts w:hint="eastAsia"/>
        </w:rPr>
        <w:t>——这项福利金根据关于最低收入保障的第416/2001号法律设立，发放的对象是正在服义务兵役以及没有收入或者收入低于全国最低基本工资的军人的妻子，条件是她们符合下列情况之一：</w:t>
      </w:r>
    </w:p>
    <w:p w:rsidR="0095327F" w:rsidRDefault="0095327F">
      <w:pPr>
        <w:pStyle w:val="SingleTxt"/>
        <w:ind w:left="1695"/>
        <w:rPr>
          <w:rFonts w:hint="eastAsia"/>
        </w:rPr>
      </w:pPr>
      <w:r>
        <w:rPr>
          <w:rFonts w:hint="eastAsia"/>
        </w:rPr>
        <w:t>a)</w:t>
      </w:r>
      <w:r>
        <w:tab/>
      </w:r>
      <w:r>
        <w:rPr>
          <w:rFonts w:hint="eastAsia"/>
        </w:rPr>
        <w:t>怀孕，从怀孕第四个月算起；</w:t>
      </w:r>
    </w:p>
    <w:p w:rsidR="0095327F" w:rsidRDefault="0095327F">
      <w:pPr>
        <w:pStyle w:val="SingleTxt"/>
        <w:ind w:left="1695"/>
        <w:rPr>
          <w:rFonts w:hint="eastAsia"/>
        </w:rPr>
      </w:pPr>
      <w:r>
        <w:rPr>
          <w:rFonts w:hint="eastAsia"/>
        </w:rPr>
        <w:t>b)</w:t>
      </w:r>
      <w:r>
        <w:tab/>
      </w:r>
      <w:r>
        <w:rPr>
          <w:rFonts w:hint="eastAsia"/>
        </w:rPr>
        <w:t>照料的子女满7岁；</w:t>
      </w:r>
    </w:p>
    <w:p w:rsidR="0095327F" w:rsidRDefault="0095327F">
      <w:pPr>
        <w:pStyle w:val="SingleTxt"/>
        <w:ind w:left="1695"/>
        <w:rPr>
          <w:rFonts w:hint="eastAsia"/>
        </w:rPr>
      </w:pPr>
      <w:r>
        <w:rPr>
          <w:rFonts w:hint="eastAsia"/>
        </w:rPr>
        <w:t>c)</w:t>
      </w:r>
      <w:r>
        <w:tab/>
      </w:r>
      <w:r>
        <w:rPr>
          <w:rFonts w:hint="eastAsia"/>
        </w:rPr>
        <w:t>有一级或二级伤残；</w:t>
      </w:r>
    </w:p>
    <w:p w:rsidR="0095327F" w:rsidRDefault="0095327F">
      <w:pPr>
        <w:pStyle w:val="SingleTxt"/>
        <w:rPr>
          <w:rFonts w:hint="eastAsia"/>
        </w:rPr>
      </w:pPr>
      <w:r>
        <w:tab/>
      </w:r>
      <w:r>
        <w:rPr>
          <w:rFonts w:hint="eastAsia"/>
        </w:rPr>
        <w:t>为服义务兵役的军人的妻子提供的社会补助金由军事中心设立并支付，国家预算保证提供必要的资金，并由国防部负责管理。这项福利金的数额为1 400 000列伊，并随物价上涨而上调。</w:t>
      </w:r>
    </w:p>
    <w:p w:rsidR="0095327F" w:rsidRDefault="0095327F">
      <w:pPr>
        <w:pStyle w:val="SingleTxt"/>
        <w:rPr>
          <w:rFonts w:hint="eastAsia"/>
        </w:rPr>
      </w:pPr>
      <w:r>
        <w:tab/>
      </w:r>
      <w:r>
        <w:rPr>
          <w:rFonts w:hint="eastAsia"/>
        </w:rPr>
        <w:t>任何家庭，只要每个成员的月纯收入最高为全国最低基本工资的50%，而且无力承担子女开学所需费用以及学校用品、文具或其他必备用品的费用的，为鼓励其子女上学，都将根据批准关于提供学习文具的</w:t>
      </w:r>
      <w:r>
        <w:rPr>
          <w:rFonts w:ascii="KaiTi_GB2312" w:eastAsia="KaiTi_GB2312" w:hint="eastAsia"/>
          <w:b/>
          <w:bCs/>
          <w:color w:val="0000FF"/>
        </w:rPr>
        <w:t>第33/2001号政府法令</w:t>
      </w:r>
      <w:r>
        <w:rPr>
          <w:rFonts w:hint="eastAsia"/>
        </w:rPr>
        <w:t>的第126/2002号法律为这些家庭发放社会补助金。为学生发放相当于学校用品价值的补助金的数额取决于所在年级，并在新学年伊始增加。购买和分发文具所需的资金由拨给教育和研究部的国家预算提供支持。</w:t>
      </w:r>
    </w:p>
    <w:p w:rsidR="0095327F" w:rsidRDefault="0095327F">
      <w:pPr>
        <w:pStyle w:val="SingleTxt"/>
        <w:rPr>
          <w:rFonts w:hint="eastAsia"/>
        </w:rPr>
      </w:pPr>
      <w:r>
        <w:tab/>
      </w:r>
      <w:r>
        <w:rPr>
          <w:rFonts w:hint="eastAsia"/>
        </w:rPr>
        <w:t>根据关于预防和打击社会排斥的</w:t>
      </w:r>
      <w:r>
        <w:rPr>
          <w:rFonts w:ascii="KaiTi_GB2312" w:eastAsia="KaiTi_GB2312" w:hint="eastAsia"/>
          <w:b/>
          <w:bCs/>
          <w:color w:val="0000FF"/>
        </w:rPr>
        <w:t>第116/2002号法律</w:t>
      </w:r>
      <w:r>
        <w:rPr>
          <w:rFonts w:hint="eastAsia"/>
        </w:rPr>
        <w:t>，依照关于最低收入保障的第416/2001号法律领取社会补助金的家庭的在校子女和接受法律规定的义务教育的在校子女，可领取学校补助金。年补助金的数额如下：40%在八月份发放，用于准备开始新学年所需的费用，剩余60%按月或按季发放，条件是必须上课并达到了升级所需的分数。</w:t>
      </w:r>
    </w:p>
    <w:p w:rsidR="0095327F" w:rsidRDefault="0095327F">
      <w:pPr>
        <w:pStyle w:val="SingleTxt"/>
        <w:rPr>
          <w:rFonts w:hint="eastAsia"/>
        </w:rPr>
      </w:pPr>
      <w:r>
        <w:tab/>
      </w:r>
      <w:r>
        <w:rPr>
          <w:rFonts w:hint="eastAsia"/>
        </w:rPr>
        <w:t>尽管目前为多子女家庭提供的支助形式很多，但补助金对家庭预算的补偿率相当低，主要原因是收入的购买力在加速降低。</w:t>
      </w:r>
    </w:p>
    <w:p w:rsidR="0095327F" w:rsidRDefault="0095327F">
      <w:pPr>
        <w:pStyle w:val="SingleTxt"/>
        <w:rPr>
          <w:rFonts w:hint="eastAsia"/>
        </w:rPr>
      </w:pPr>
      <w:r>
        <w:tab/>
      </w:r>
      <w:r>
        <w:rPr>
          <w:rFonts w:hint="eastAsia"/>
        </w:rPr>
        <w:t>家庭补助金制度从根本上说是一种再分配制度。在收入结构内，家庭补助金所占比例对大家庭来说更为重要，尽管这些大家庭的收入最低。</w:t>
      </w:r>
    </w:p>
    <w:p w:rsidR="0095327F" w:rsidRDefault="0095327F">
      <w:pPr>
        <w:pStyle w:val="SingleTxt"/>
        <w:spacing w:after="0" w:line="240" w:lineRule="auto"/>
        <w:rPr>
          <w:sz w:val="10"/>
        </w:rPr>
      </w:pPr>
      <w:r>
        <w:object w:dxaOrig="7350" w:dyaOrig="4155">
          <v:shape id="_x0000_i1030" type="#_x0000_t75" style="width:367.5pt;height:207.75pt" o:ole="">
            <v:imagedata r:id="rId24" o:title=""/>
          </v:shape>
          <o:OLEObject Type="Embed" ProgID="Excel.Chart.8" ShapeID="_x0000_i1030" DrawAspect="Content" ObjectID="_1395458262" r:id="rId25">
            <o:FieldCodes>\s</o:FieldCodes>
          </o:OLEObject>
        </w:object>
      </w:r>
    </w:p>
    <w:p w:rsidR="0095327F" w:rsidRDefault="0095327F">
      <w:pPr>
        <w:pStyle w:val="SingleTxt"/>
        <w:rPr>
          <w:rFonts w:hint="eastAsia"/>
        </w:rPr>
      </w:pPr>
      <w:r>
        <w:tab/>
      </w:r>
      <w:r>
        <w:rPr>
          <w:rFonts w:hint="eastAsia"/>
        </w:rPr>
        <w:t>在罗马尼亚，由于支持社会保护的财政资源大大减少，有必要在个别干预计划的基础上执行一些积极的社会援助措施，以便提供必要的支助，并有效使用现有的人力资源和财政资源。</w:t>
      </w:r>
    </w:p>
    <w:p w:rsidR="0095327F" w:rsidRDefault="0095327F">
      <w:pPr>
        <w:pStyle w:val="SingleTxt"/>
        <w:rPr>
          <w:rFonts w:ascii="SimHei" w:eastAsia="SimHei" w:hint="eastAsia"/>
          <w:color w:val="FF0000"/>
          <w:sz w:val="24"/>
        </w:rPr>
      </w:pPr>
      <w:r>
        <w:rPr>
          <w:rFonts w:ascii="SimHei" w:eastAsia="SimHei" w:hint="eastAsia"/>
          <w:color w:val="FF0000"/>
          <w:sz w:val="24"/>
        </w:rPr>
        <w:t>第14条</w:t>
      </w:r>
    </w:p>
    <w:p w:rsidR="0095327F" w:rsidRDefault="0095327F">
      <w:pPr>
        <w:pStyle w:val="SingleTxt"/>
        <w:rPr>
          <w:rFonts w:hint="eastAsia"/>
        </w:rPr>
      </w:pPr>
      <w:r>
        <w:tab/>
      </w:r>
      <w:r>
        <w:rPr>
          <w:rFonts w:hint="eastAsia"/>
        </w:rPr>
        <w:t>关于农村地区妇女的权利，尚没有特别的法律规定，因为罗马尼亚的一切立法均不歧视任何群体。但中央和地方公共管理当局定期发起活动，以提高生活在农村地区的妇女对其权利的认识。</w:t>
      </w:r>
    </w:p>
    <w:p w:rsidR="0095327F" w:rsidRDefault="0095327F">
      <w:pPr>
        <w:pStyle w:val="SingleTxt"/>
        <w:rPr>
          <w:rFonts w:hint="eastAsia"/>
        </w:rPr>
      </w:pPr>
      <w:r>
        <w:tab/>
      </w:r>
      <w:r>
        <w:rPr>
          <w:rFonts w:hint="eastAsia"/>
        </w:rPr>
        <w:t>联合国开发计划署在罗马尼亚制定了提高农村妇女经济能力的项目，由联合国妇女发展基金和日本政府提供资金。罗马尼亚政府通过与联合国开发计划署驻该国办事处以及农业部和劳动、社会团结和家庭部开展合作，全力支持这个项目。本项目开办了四个经济试验单位，并由受过培训的妇女管理，生产并销售牛奶和蔬菜产品、面包以及小包装食品。在每个单位中均设立了一个妇女协会，第一个设在乡村，并由女性成员担任经济单位的工人和业主。</w:t>
      </w:r>
    </w:p>
    <w:p w:rsidR="0095327F" w:rsidRDefault="0095327F">
      <w:pPr>
        <w:pStyle w:val="SingleTxt"/>
        <w:rPr>
          <w:rFonts w:hint="eastAsia"/>
        </w:rPr>
      </w:pPr>
      <w:r>
        <w:tab/>
      </w:r>
      <w:r>
        <w:rPr>
          <w:rFonts w:hint="eastAsia"/>
        </w:rPr>
        <w:t>本项目出版了题为《农村地区妇女状况》的小册子，首次对罗马尼亚这方面的问题进行了研究。</w:t>
      </w:r>
    </w:p>
    <w:p w:rsidR="0095327F" w:rsidRDefault="0095327F">
      <w:pPr>
        <w:pStyle w:val="SingleTxt"/>
        <w:rPr>
          <w:rFonts w:hint="eastAsia"/>
        </w:rPr>
      </w:pPr>
      <w:r>
        <w:tab/>
      </w:r>
      <w:r>
        <w:rPr>
          <w:rFonts w:hint="eastAsia"/>
        </w:rPr>
        <w:t>东南欧的《稳定条约》也支持“妇女能够胜任”项目，这个项目由罗马尼亚妇女协会SEF管理，并在《稳定条约》的所有10个缔约国取得发展，项目的目标妇女主要是农村妇女。</w:t>
      </w:r>
    </w:p>
    <w:p w:rsidR="0095327F" w:rsidRDefault="0095327F">
      <w:pPr>
        <w:pStyle w:val="SingleTxt"/>
        <w:rPr>
          <w:rFonts w:hint="eastAsia"/>
        </w:rPr>
      </w:pPr>
      <w:r>
        <w:tab/>
      </w:r>
      <w:r>
        <w:rPr>
          <w:rFonts w:hint="eastAsia"/>
        </w:rPr>
        <w:t>另外，另一个《稳定条约》项目旨在支持女市长，协助她们在女市长联系机构内结社。由于妇女主要在乡村或小城镇当选市长，因此，农村地区的妇女也将从本项目中得到益惠。</w:t>
      </w:r>
    </w:p>
    <w:p w:rsidR="0095327F" w:rsidRDefault="0095327F">
      <w:pPr>
        <w:pStyle w:val="SingleTxt"/>
        <w:rPr>
          <w:rFonts w:hint="eastAsia"/>
        </w:rPr>
      </w:pPr>
      <w:r>
        <w:tab/>
      </w:r>
      <w:r>
        <w:rPr>
          <w:rFonts w:hint="eastAsia"/>
        </w:rPr>
        <w:t>另一个例子是卫生部为农村妇女提供保健系统和计划生育设施的运动。地方当局开展各类活动，目的是让农村地区的妇女参与地方社区的所有行动。</w:t>
      </w:r>
    </w:p>
    <w:p w:rsidR="0095327F" w:rsidRDefault="0095327F">
      <w:pPr>
        <w:pStyle w:val="SingleTxt"/>
        <w:rPr>
          <w:rFonts w:ascii="SimHei" w:eastAsia="SimHei" w:hint="eastAsia"/>
          <w:color w:val="FF0000"/>
          <w:sz w:val="24"/>
        </w:rPr>
      </w:pPr>
      <w:r>
        <w:rPr>
          <w:rFonts w:ascii="SimHei" w:eastAsia="SimHei" w:hint="eastAsia"/>
          <w:color w:val="FF0000"/>
          <w:sz w:val="24"/>
        </w:rPr>
        <w:t>第15条</w:t>
      </w:r>
    </w:p>
    <w:p w:rsidR="0095327F" w:rsidRDefault="0095327F">
      <w:pPr>
        <w:pStyle w:val="SingleTxt"/>
        <w:rPr>
          <w:rFonts w:hint="eastAsia"/>
        </w:rPr>
      </w:pPr>
      <w:r>
        <w:tab/>
      </w:r>
      <w:r>
        <w:rPr>
          <w:rFonts w:hint="eastAsia"/>
        </w:rPr>
        <w:t>应当强调，《宪法》规定的法律面前人人平等这一不容置疑的原则具体体现在国内法中。这项原则还载于关于自然人和法人的第31/1954号法令中，措辞是：“性别、种族、民族、文化程度或出身不得影响他们的行为能力。”这里提到的能力指法律行为能力，它确定了享有权利和承担义务的一般能力。</w:t>
      </w:r>
    </w:p>
    <w:p w:rsidR="0095327F" w:rsidRDefault="0095327F">
      <w:pPr>
        <w:pStyle w:val="SingleTxt"/>
        <w:rPr>
          <w:rFonts w:hint="eastAsia"/>
        </w:rPr>
      </w:pPr>
      <w:r>
        <w:tab/>
      </w:r>
      <w:r>
        <w:rPr>
          <w:rFonts w:hint="eastAsia"/>
        </w:rPr>
        <w:t>1974年罗马尼亚缔结的《公民权利及政治权利国际公约》第26条体现了同样的原则。</w:t>
      </w:r>
    </w:p>
    <w:p w:rsidR="0095327F" w:rsidRDefault="0095327F">
      <w:pPr>
        <w:pStyle w:val="SingleTxt"/>
        <w:rPr>
          <w:rFonts w:hint="eastAsia"/>
        </w:rPr>
      </w:pPr>
      <w:r>
        <w:tab/>
      </w:r>
      <w:r>
        <w:rPr>
          <w:rFonts w:hint="eastAsia"/>
        </w:rPr>
        <w:t>法律面前人人平等原则的最新体现是《保护人权和基本自由的欧洲公约》，这项公约禁止一切形式的歧视，特别是基于性别、种族、语言或宗教的歧视，罗马尼亚1994年批准了这项公约，并根据《宪法》第20条规定，该公约成为罗马尼亚的国内法。因此，当罗马尼亚公民认为自己的权利受到侵犯时，他们可以拿起《欧洲人权公约》这一法律武器捍卫自己的权利。</w:t>
      </w:r>
    </w:p>
    <w:p w:rsidR="0095327F" w:rsidRDefault="0095327F">
      <w:pPr>
        <w:pStyle w:val="SingleTxt"/>
        <w:rPr>
          <w:rFonts w:hint="eastAsia"/>
        </w:rPr>
      </w:pPr>
      <w:r>
        <w:rPr>
          <w:rFonts w:ascii="SimHei" w:eastAsia="SimHei" w:hint="eastAsia"/>
          <w:color w:val="FF0000"/>
          <w:sz w:val="24"/>
        </w:rPr>
        <w:t>第16条</w:t>
      </w:r>
    </w:p>
    <w:p w:rsidR="0095327F" w:rsidRDefault="0095327F">
      <w:pPr>
        <w:pStyle w:val="SingleTxt"/>
        <w:rPr>
          <w:rFonts w:hint="eastAsia"/>
        </w:rPr>
      </w:pPr>
      <w:r>
        <w:tab/>
      </w:r>
      <w:r>
        <w:rPr>
          <w:rFonts w:hint="eastAsia"/>
        </w:rPr>
        <w:t>根据宪法规定（第44条第1款），建立家庭的基础是配偶自愿同意结婚。《家庭法典》第3条规定，经婚姻登记官证明后缔结的婚姻赋予配偶该《法典》规定的权利和义务。</w:t>
      </w:r>
    </w:p>
    <w:p w:rsidR="0095327F" w:rsidRDefault="0095327F">
      <w:pPr>
        <w:pStyle w:val="SingleTxt"/>
        <w:rPr>
          <w:rFonts w:hint="eastAsia"/>
        </w:rPr>
      </w:pPr>
      <w:r>
        <w:tab/>
      </w:r>
      <w:r>
        <w:rPr>
          <w:rFonts w:hint="eastAsia"/>
        </w:rPr>
        <w:t>罗马尼亚男子满18岁，女子满16岁的，方可结婚。不过，女子满15岁结婚的，如果动机合理，可准予批准。为了确保自愿结婚，《家庭法典》第16条规定，在未来配偶双方同意后，方可缔结婚姻。配偶双方应在两名证人的陪同下一起到市政厅在婚姻登记官面前公开表示自己愿意结婚。</w:t>
      </w:r>
    </w:p>
    <w:p w:rsidR="0095327F" w:rsidRDefault="0095327F">
      <w:pPr>
        <w:pStyle w:val="SingleTxt"/>
        <w:rPr>
          <w:rFonts w:hint="eastAsia"/>
        </w:rPr>
      </w:pPr>
      <w:r>
        <w:tab/>
      </w:r>
      <w:r>
        <w:rPr>
          <w:rFonts w:hint="eastAsia"/>
        </w:rPr>
        <w:t>男子与妇女有相同的缔婚权利。婚姻缔结后，未来配偶应当着婚姻登记官的面宣布双方在结婚后同意使用的名字。配偶双方均可沿用结婚前的名字，也可使用对方的名字或者使用双方的复合名字。</w:t>
      </w:r>
    </w:p>
    <w:p w:rsidR="0095327F" w:rsidRDefault="0095327F">
      <w:pPr>
        <w:pStyle w:val="SingleTxt"/>
        <w:rPr>
          <w:rFonts w:hint="eastAsia"/>
        </w:rPr>
      </w:pPr>
      <w:r>
        <w:tab/>
      </w:r>
      <w:r>
        <w:rPr>
          <w:rFonts w:hint="eastAsia"/>
        </w:rPr>
        <w:t>父母对其未成年子女拥有同样的权利和义务，不考虑子女生于婚内还是婚外，也不考虑他们是否是收养的子女。父母行使父母的权利必须符合子女的利益。同时，有关子女个人和财产的措施，应在各方共同同意后，由父母采取。</w:t>
      </w:r>
    </w:p>
    <w:p w:rsidR="0095327F" w:rsidRDefault="0095327F">
      <w:pPr>
        <w:pStyle w:val="SingleTxt"/>
        <w:rPr>
          <w:rFonts w:hint="eastAsia"/>
        </w:rPr>
      </w:pPr>
      <w:r>
        <w:tab/>
      </w:r>
      <w:r>
        <w:rPr>
          <w:rFonts w:hint="eastAsia"/>
        </w:rPr>
        <w:t>关于民事行为能力，1954年关于自然人和法人的第31号法令第4款第1段确定人人具有民事行为能力。种族、性别、民族、宗教、文化程度或出身不影响这种能力。</w:t>
      </w:r>
    </w:p>
    <w:p w:rsidR="0095327F" w:rsidRDefault="0095327F">
      <w:pPr>
        <w:pStyle w:val="SingleTxt"/>
        <w:rPr>
          <w:rFonts w:hint="eastAsia"/>
        </w:rPr>
      </w:pPr>
      <w:r>
        <w:tab/>
      </w:r>
      <w:r>
        <w:rPr>
          <w:rFonts w:hint="eastAsia"/>
        </w:rPr>
        <w:t>行使能力指个人通过签署法律文件行使权利和履行义务的能力。充分的行使能力的起始日是行使人年满18岁之日，如果是未成年人，则从其结婚之日算起。</w:t>
      </w:r>
    </w:p>
    <w:p w:rsidR="0095327F" w:rsidRDefault="0095327F">
      <w:pPr>
        <w:pStyle w:val="SingleTxt"/>
        <w:rPr>
          <w:rFonts w:hint="eastAsia"/>
        </w:rPr>
      </w:pPr>
      <w:r>
        <w:tab/>
      </w:r>
      <w:r>
        <w:rPr>
          <w:rFonts w:hint="eastAsia"/>
        </w:rPr>
        <w:t>配偶婚姻破裂的，应享有同等权利，宪法关于法律面前人人平等的规定以及《家庭法典》均保障这种权利。法院在对委托他人抚养和教育的未成年人作出裁决时，也应考虑未成年人的利益。同时，还应听取父母和监护当局的意见。</w:t>
      </w:r>
    </w:p>
    <w:p w:rsidR="0095327F" w:rsidRDefault="0095327F">
      <w:pPr>
        <w:pStyle w:val="SingleTxt"/>
      </w:pPr>
    </w:p>
    <w:p w:rsidR="0095327F" w:rsidRDefault="0095327F">
      <w:pPr>
        <w:pStyle w:val="SingleTxt"/>
        <w:jc w:val="center"/>
        <w:rPr>
          <w:rFonts w:hint="eastAsia"/>
        </w:rPr>
      </w:pPr>
      <w:r>
        <w:rPr>
          <w:rFonts w:hint="eastAsia"/>
        </w:rPr>
        <w:t>——————</w:t>
      </w:r>
    </w:p>
    <w:sectPr w:rsidR="0095327F">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5327F" w:rsidRDefault="0095327F">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NO&gt;&gt;N0366025C&lt;&lt;ODS JOB NO&gt;&gt;</w:t>
      </w:r>
    </w:p>
    <w:p w:rsidR="0095327F" w:rsidRDefault="0095327F">
      <w:pPr>
        <w:pStyle w:val="CommentText"/>
      </w:pPr>
      <w:r>
        <w:t>&lt;&lt;ODS DOC SYMBOL1&gt;&gt;CEDAW/C/ROM/6&lt;&lt;ODS DOC SYMBOL1&gt;&gt;</w:t>
      </w:r>
    </w:p>
    <w:p w:rsidR="0095327F" w:rsidRDefault="009532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F22A5">
      <w:pPr>
        <w:spacing w:line="240" w:lineRule="auto"/>
      </w:pPr>
      <w:r>
        <w:separator/>
      </w:r>
    </w:p>
  </w:endnote>
  <w:endnote w:type="continuationSeparator" w:id="0">
    <w:p w:rsidR="00000000" w:rsidRDefault="004F22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5327F">
      <w:tblPrEx>
        <w:tblCellMar>
          <w:top w:w="0" w:type="dxa"/>
          <w:bottom w:w="0" w:type="dxa"/>
        </w:tblCellMar>
      </w:tblPrEx>
      <w:tc>
        <w:tcPr>
          <w:tcW w:w="5034" w:type="dxa"/>
          <w:vAlign w:val="bottom"/>
        </w:tcPr>
        <w:p w:rsidR="0095327F" w:rsidRDefault="0095327F">
          <w:pPr>
            <w:pStyle w:val="Footer"/>
          </w:pPr>
          <w:r>
            <w:fldChar w:fldCharType="begin"/>
          </w:r>
          <w:r>
            <w:instrText xml:space="preserve"> PAGE  \* MERGEFORMAT </w:instrText>
          </w:r>
          <w:r>
            <w:fldChar w:fldCharType="separate"/>
          </w:r>
          <w:r>
            <w:t>2</w:t>
          </w:r>
          <w:r>
            <w:fldChar w:fldCharType="end"/>
          </w:r>
        </w:p>
      </w:tc>
      <w:tc>
        <w:tcPr>
          <w:tcW w:w="5034" w:type="dxa"/>
          <w:vAlign w:val="bottom"/>
        </w:tcPr>
        <w:p w:rsidR="0095327F" w:rsidRDefault="0095327F">
          <w:pPr>
            <w:pStyle w:val="Footer"/>
            <w:jc w:val="right"/>
          </w:pPr>
        </w:p>
      </w:tc>
    </w:tr>
  </w:tbl>
  <w:p w:rsidR="0095327F" w:rsidRDefault="009532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5327F">
      <w:tblPrEx>
        <w:tblCellMar>
          <w:top w:w="0" w:type="dxa"/>
          <w:bottom w:w="0" w:type="dxa"/>
        </w:tblCellMar>
      </w:tblPrEx>
      <w:tc>
        <w:tcPr>
          <w:tcW w:w="5034" w:type="dxa"/>
          <w:vAlign w:val="bottom"/>
        </w:tcPr>
        <w:p w:rsidR="0095327F" w:rsidRDefault="0095327F">
          <w:pPr>
            <w:pStyle w:val="Footer"/>
          </w:pPr>
        </w:p>
      </w:tc>
      <w:tc>
        <w:tcPr>
          <w:tcW w:w="5034" w:type="dxa"/>
          <w:vAlign w:val="bottom"/>
        </w:tcPr>
        <w:p w:rsidR="0095327F" w:rsidRDefault="0095327F">
          <w:pPr>
            <w:pStyle w:val="Footer"/>
            <w:jc w:val="right"/>
          </w:pPr>
          <w:r>
            <w:fldChar w:fldCharType="begin"/>
          </w:r>
          <w:r>
            <w:instrText xml:space="preserve"> PAGE  \* MERGEFORMAT </w:instrText>
          </w:r>
          <w:r>
            <w:fldChar w:fldCharType="separate"/>
          </w:r>
          <w:r>
            <w:t>5</w:t>
          </w:r>
          <w:r>
            <w:fldChar w:fldCharType="end"/>
          </w:r>
        </w:p>
      </w:tc>
    </w:tr>
  </w:tbl>
  <w:p w:rsidR="0095327F" w:rsidRDefault="009532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27F" w:rsidRDefault="0095327F">
    <w:pPr>
      <w:pStyle w:val="Footer"/>
      <w:rPr>
        <w:b w:val="0"/>
        <w:sz w:val="21"/>
      </w:rPr>
    </w:pPr>
    <w:r>
      <w:rPr>
        <w:b w:val="0"/>
        <w:sz w:val="21"/>
      </w:rPr>
      <w:t>03-66025 (C)    120204    130204</w:t>
    </w:r>
  </w:p>
  <w:p w:rsidR="0095327F" w:rsidRDefault="0095327F">
    <w:pPr>
      <w:spacing w:before="60" w:line="200" w:lineRule="exact"/>
      <w:rPr>
        <w:rFonts w:ascii="Barcode 3 of 9 by request" w:hAnsi="Barcode 3 of 9 by request"/>
        <w:b/>
      </w:rPr>
    </w:pPr>
    <w:r>
      <w:rPr>
        <w:rFonts w:ascii="Barcode 3 of 9 by request" w:hAnsi="Barcode 3 of 9 by request"/>
        <w:b/>
      </w:rPr>
      <w:t>*0366025*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F22A5">
      <w:pPr>
        <w:spacing w:line="240" w:lineRule="auto"/>
      </w:pPr>
      <w:r>
        <w:separator/>
      </w:r>
    </w:p>
  </w:footnote>
  <w:footnote w:type="continuationSeparator" w:id="0">
    <w:p w:rsidR="00000000" w:rsidRDefault="004F22A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27F" w:rsidRDefault="0095327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5327F">
                  <w:tblPrEx>
                    <w:tblCellMar>
                      <w:top w:w="0" w:type="dxa"/>
                      <w:bottom w:w="0" w:type="dxa"/>
                    </w:tblCellMar>
                  </w:tblPrEx>
                  <w:trPr>
                    <w:trHeight w:hRule="exact" w:val="864"/>
                  </w:trPr>
                  <w:tc>
                    <w:tcPr>
                      <w:tcW w:w="4838" w:type="dxa"/>
                      <w:vAlign w:val="bottom"/>
                    </w:tcPr>
                    <w:p w:rsidR="0095327F" w:rsidRDefault="0095327F">
                      <w:pPr>
                        <w:pStyle w:val="Header"/>
                        <w:spacing w:after="80"/>
                        <w:rPr>
                          <w:b/>
                          <w:sz w:val="17"/>
                        </w:rPr>
                      </w:pPr>
                      <w:r>
                        <w:rPr>
                          <w:b/>
                          <w:sz w:val="17"/>
                        </w:rPr>
                        <w:t>CEDAW/C/ROM/6</w:t>
                      </w:r>
                    </w:p>
                  </w:tc>
                  <w:tc>
                    <w:tcPr>
                      <w:tcW w:w="5048" w:type="dxa"/>
                      <w:vAlign w:val="bottom"/>
                    </w:tcPr>
                    <w:p w:rsidR="0095327F" w:rsidRDefault="0095327F">
                      <w:pPr>
                        <w:pStyle w:val="Header"/>
                      </w:pPr>
                    </w:p>
                  </w:tc>
                </w:tr>
              </w:tbl>
              <w:p w:rsidR="0095327F" w:rsidRDefault="0095327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27F" w:rsidRDefault="0095327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5327F">
                  <w:tblPrEx>
                    <w:tblCellMar>
                      <w:top w:w="0" w:type="dxa"/>
                      <w:bottom w:w="0" w:type="dxa"/>
                    </w:tblCellMar>
                  </w:tblPrEx>
                  <w:trPr>
                    <w:trHeight w:hRule="exact" w:val="864"/>
                  </w:trPr>
                  <w:tc>
                    <w:tcPr>
                      <w:tcW w:w="4838" w:type="dxa"/>
                      <w:vAlign w:val="bottom"/>
                    </w:tcPr>
                    <w:p w:rsidR="0095327F" w:rsidRDefault="0095327F">
                      <w:pPr>
                        <w:pStyle w:val="Header"/>
                      </w:pPr>
                    </w:p>
                  </w:tc>
                  <w:tc>
                    <w:tcPr>
                      <w:tcW w:w="5048" w:type="dxa"/>
                      <w:vAlign w:val="bottom"/>
                    </w:tcPr>
                    <w:p w:rsidR="0095327F" w:rsidRDefault="0095327F">
                      <w:pPr>
                        <w:pStyle w:val="Header"/>
                        <w:spacing w:after="80"/>
                        <w:jc w:val="right"/>
                        <w:rPr>
                          <w:b/>
                          <w:sz w:val="17"/>
                        </w:rPr>
                      </w:pPr>
                      <w:r>
                        <w:rPr>
                          <w:b/>
                          <w:sz w:val="17"/>
                        </w:rPr>
                        <w:t>CEDAW/C/ROM/6</w:t>
                      </w:r>
                    </w:p>
                  </w:tc>
                </w:tr>
              </w:tbl>
              <w:p w:rsidR="0095327F" w:rsidRDefault="0095327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5327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5327F" w:rsidRDefault="0095327F">
          <w:pPr>
            <w:pStyle w:val="Header"/>
            <w:spacing w:after="120"/>
          </w:pPr>
        </w:p>
      </w:tc>
      <w:tc>
        <w:tcPr>
          <w:tcW w:w="1872" w:type="dxa"/>
          <w:tcBorders>
            <w:top w:val="nil"/>
            <w:left w:val="nil"/>
            <w:bottom w:val="single" w:sz="4" w:space="0" w:color="auto"/>
            <w:right w:val="nil"/>
          </w:tcBorders>
          <w:vAlign w:val="bottom"/>
        </w:tcPr>
        <w:p w:rsidR="0095327F" w:rsidRDefault="0095327F">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95327F" w:rsidRDefault="0095327F">
          <w:pPr>
            <w:pStyle w:val="Header"/>
            <w:spacing w:after="120"/>
          </w:pPr>
        </w:p>
      </w:tc>
      <w:tc>
        <w:tcPr>
          <w:tcW w:w="6523" w:type="dxa"/>
          <w:gridSpan w:val="3"/>
          <w:tcBorders>
            <w:top w:val="nil"/>
            <w:left w:val="nil"/>
            <w:bottom w:val="single" w:sz="4" w:space="0" w:color="auto"/>
            <w:right w:val="nil"/>
          </w:tcBorders>
          <w:vAlign w:val="bottom"/>
        </w:tcPr>
        <w:p w:rsidR="0095327F" w:rsidRDefault="0095327F">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/C/ROM/6</w:t>
          </w:r>
        </w:p>
      </w:tc>
    </w:tr>
    <w:tr w:rsidR="0095327F">
      <w:tblPrEx>
        <w:tblCellMar>
          <w:top w:w="0" w:type="dxa"/>
          <w:bottom w:w="0" w:type="dxa"/>
        </w:tblCellMar>
      </w:tblPrEx>
      <w:trPr>
        <w:trHeight w:hRule="exact" w:val="2880"/>
      </w:trPr>
      <w:tc>
        <w:tcPr>
          <w:tcW w:w="1267" w:type="dxa"/>
          <w:tcBorders>
            <w:left w:val="nil"/>
            <w:bottom w:val="single" w:sz="12" w:space="0" w:color="auto"/>
            <w:right w:val="nil"/>
          </w:tcBorders>
        </w:tcPr>
        <w:p w:rsidR="0095327F" w:rsidRDefault="0095327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6.25pt;height:47.25pt">
                <v:imagedata r:id="rId1" o:title="_unlogo"/>
              </v:shape>
            </w:pict>
          </w:r>
        </w:p>
        <w:p w:rsidR="0095327F" w:rsidRDefault="0095327F">
          <w:pPr>
            <w:pStyle w:val="Header"/>
            <w:spacing w:before="109"/>
            <w:ind w:left="-72"/>
          </w:pPr>
        </w:p>
      </w:tc>
      <w:tc>
        <w:tcPr>
          <w:tcW w:w="5227" w:type="dxa"/>
          <w:gridSpan w:val="3"/>
          <w:tcBorders>
            <w:left w:val="nil"/>
            <w:bottom w:val="single" w:sz="12" w:space="0" w:color="auto"/>
            <w:right w:val="nil"/>
          </w:tcBorders>
        </w:tcPr>
        <w:p w:rsidR="0095327F" w:rsidRDefault="0095327F">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95327F" w:rsidRDefault="0095327F">
          <w:pPr>
            <w:pStyle w:val="Header"/>
            <w:spacing w:before="109"/>
          </w:pPr>
        </w:p>
      </w:tc>
      <w:tc>
        <w:tcPr>
          <w:tcW w:w="3180" w:type="dxa"/>
          <w:gridSpan w:val="2"/>
          <w:tcBorders>
            <w:left w:val="nil"/>
            <w:bottom w:val="single" w:sz="12" w:space="0" w:color="auto"/>
            <w:right w:val="nil"/>
          </w:tcBorders>
        </w:tcPr>
        <w:p w:rsidR="0095327F" w:rsidRDefault="0095327F">
          <w:pPr>
            <w:spacing w:before="240" w:line="240" w:lineRule="exact"/>
            <w:rPr>
              <w:rFonts w:ascii="Times New Roman"/>
            </w:rPr>
          </w:pPr>
          <w:r>
            <w:rPr>
              <w:rFonts w:ascii="Times New Roman"/>
            </w:rPr>
            <w:t>Distr.: General</w:t>
          </w:r>
        </w:p>
        <w:p w:rsidR="0095327F" w:rsidRDefault="0095327F">
          <w:pPr>
            <w:spacing w:line="240" w:lineRule="exact"/>
            <w:rPr>
              <w:rFonts w:ascii="Times New Roman"/>
            </w:rPr>
          </w:pPr>
          <w:r>
            <w:rPr>
              <w:rFonts w:ascii="Times New Roman"/>
            </w:rPr>
            <w:t>15 December 2003</w:t>
          </w:r>
        </w:p>
        <w:p w:rsidR="0095327F" w:rsidRDefault="0095327F">
          <w:pPr>
            <w:spacing w:line="240" w:lineRule="exact"/>
            <w:rPr>
              <w:rFonts w:ascii="Times New Roman"/>
            </w:rPr>
          </w:pPr>
          <w:r>
            <w:rPr>
              <w:rFonts w:ascii="Times New Roman"/>
            </w:rPr>
            <w:t>Chinese</w:t>
          </w:r>
        </w:p>
        <w:p w:rsidR="0095327F" w:rsidRDefault="0095327F">
          <w:pPr>
            <w:spacing w:line="240" w:lineRule="exact"/>
            <w:rPr>
              <w:rFonts w:ascii="Times New Roman"/>
            </w:rPr>
          </w:pPr>
          <w:r>
            <w:rPr>
              <w:rFonts w:ascii="Times New Roman"/>
            </w:rPr>
            <w:t>Original: English</w:t>
          </w:r>
        </w:p>
      </w:tc>
    </w:tr>
  </w:tbl>
  <w:p w:rsidR="0095327F" w:rsidRDefault="0095327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C1353"/>
    <w:multiLevelType w:val="hybridMultilevel"/>
    <w:tmpl w:val="DD9ADCF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colormenu v:ext="edit" fillcolor="white"/>
    </o:shapedefaults>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2/2004 10:45 AM"/>
    <w:docVar w:name="DocCategory" w:val="Doc"/>
    <w:docVar w:name="DocType" w:val="Final"/>
    <w:docVar w:name="JobNo" w:val="0366025C"/>
    <w:docVar w:name="OandT" w:val=" "/>
    <w:docVar w:name="Symbol1" w:val="CEDAW/C/ROM/6"/>
    <w:docVar w:name="Symbol2" w:val="-"/>
  </w:docVars>
  <w:rsids>
    <w:rsidRoot w:val="0095327F"/>
    <w:rsid w:val="004F22A5"/>
    <w:rsid w:val="009532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whit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95327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Microsoft_Excel_Chart4.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5" Type="http://schemas.openxmlformats.org/officeDocument/2006/relationships/oleObject" Target="embeddings/Microsoft_Excel_Chart6.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oleObject" Target="embeddings/Microsoft_Excel_Chart5.xls"/><Relationship Id="rId10" Type="http://schemas.openxmlformats.org/officeDocument/2006/relationships/footer" Target="footer2.xml"/><Relationship Id="rId19"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3</Pages>
  <Words>5188</Words>
  <Characters>29577</Characters>
  <Application>Microsoft Office Word</Application>
  <DocSecurity>4</DocSecurity>
  <Lines>246</Lines>
  <Paragraphs>69</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34696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DGAACS</cp:lastModifiedBy>
  <cp:revision>13</cp:revision>
  <cp:lastPrinted>2004-02-13T15:32:00Z</cp:lastPrinted>
  <dcterms:created xsi:type="dcterms:W3CDTF">2004-02-13T14:22:00Z</dcterms:created>
  <dcterms:modified xsi:type="dcterms:W3CDTF">2004-02-13T15:39:00Z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0366025</vt:lpwstr>
  </property>
  <property fmtid="{D5CDD505-2E9C-101B-9397-08002B2CF9AE}" pid="3" name="Symbol1">
    <vt:lpwstr>CEDAW/C/ROM/6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