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5CADF3" w14:textId="77777777">
        <w:trPr>
          <w:trHeight w:hRule="exact" w:val="851"/>
        </w:trPr>
        <w:tc>
          <w:tcPr>
            <w:tcW w:w="1280" w:type="dxa"/>
            <w:tcBorders>
              <w:bottom w:val="single" w:sz="4" w:space="0" w:color="auto"/>
            </w:tcBorders>
            <w:shd w:val="clear" w:color="auto" w:fill="auto"/>
          </w:tcPr>
          <w:p w14:paraId="7F5CADF0" w14:textId="77777777" w:rsidR="002D5AAC" w:rsidRDefault="002D5AAC" w:rsidP="00887C91">
            <w:pPr>
              <w:suppressAutoHyphens/>
            </w:pPr>
            <w:bookmarkStart w:id="0" w:name="_GoBack"/>
            <w:bookmarkEnd w:id="0"/>
          </w:p>
        </w:tc>
        <w:tc>
          <w:tcPr>
            <w:tcW w:w="2273" w:type="dxa"/>
            <w:tcBorders>
              <w:bottom w:val="single" w:sz="4" w:space="0" w:color="auto"/>
            </w:tcBorders>
            <w:shd w:val="clear" w:color="auto" w:fill="auto"/>
            <w:vAlign w:val="bottom"/>
          </w:tcPr>
          <w:p w14:paraId="7F5CADF1" w14:textId="77777777" w:rsidR="002D5AAC" w:rsidRPr="00887C91" w:rsidRDefault="00BD33EE" w:rsidP="00887C91">
            <w:pPr>
              <w:suppressAutoHyphens/>
              <w:spacing w:after="80" w:line="300" w:lineRule="exact"/>
              <w:rPr>
                <w:sz w:val="28"/>
              </w:rPr>
            </w:pPr>
            <w:r w:rsidRPr="00887C91">
              <w:rPr>
                <w:sz w:val="28"/>
              </w:rPr>
              <w:t>Naciones Unidas</w:t>
            </w:r>
          </w:p>
        </w:tc>
        <w:tc>
          <w:tcPr>
            <w:tcW w:w="6086" w:type="dxa"/>
            <w:gridSpan w:val="2"/>
            <w:tcBorders>
              <w:bottom w:val="single" w:sz="4" w:space="0" w:color="auto"/>
            </w:tcBorders>
            <w:shd w:val="clear" w:color="auto" w:fill="auto"/>
            <w:vAlign w:val="bottom"/>
          </w:tcPr>
          <w:p w14:paraId="7F5CADF2" w14:textId="1B436512" w:rsidR="002D5AAC" w:rsidRDefault="004F6A18" w:rsidP="00C73A44">
            <w:pPr>
              <w:suppressAutoHyphens/>
              <w:jc w:val="right"/>
            </w:pPr>
            <w:r w:rsidRPr="004F6A18">
              <w:rPr>
                <w:sz w:val="40"/>
              </w:rPr>
              <w:t>E</w:t>
            </w:r>
            <w:r w:rsidR="004966C0">
              <w:t>/C.12/63</w:t>
            </w:r>
            <w:r w:rsidR="00B2003A">
              <w:t>/D</w:t>
            </w:r>
            <w:r w:rsidR="004966C0">
              <w:t>/</w:t>
            </w:r>
            <w:r w:rsidR="00EF6BE5">
              <w:t>7</w:t>
            </w:r>
            <w:r>
              <w:t>/201</w:t>
            </w:r>
            <w:r w:rsidR="004966C0">
              <w:t>5</w:t>
            </w:r>
          </w:p>
        </w:tc>
      </w:tr>
      <w:tr w:rsidR="002D5AAC" w14:paraId="7F5CADFB" w14:textId="77777777">
        <w:trPr>
          <w:trHeight w:hRule="exact" w:val="2835"/>
        </w:trPr>
        <w:tc>
          <w:tcPr>
            <w:tcW w:w="1280" w:type="dxa"/>
            <w:tcBorders>
              <w:top w:val="single" w:sz="4" w:space="0" w:color="auto"/>
              <w:bottom w:val="single" w:sz="12" w:space="0" w:color="auto"/>
            </w:tcBorders>
            <w:shd w:val="clear" w:color="auto" w:fill="auto"/>
          </w:tcPr>
          <w:p w14:paraId="7F5CADF4" w14:textId="77777777" w:rsidR="002D5AAC" w:rsidRDefault="00337055" w:rsidP="00887C91">
            <w:pPr>
              <w:suppressAutoHyphens/>
              <w:spacing w:before="120"/>
              <w:jc w:val="center"/>
            </w:pPr>
            <w:r>
              <w:rPr>
                <w:noProof/>
              </w:rPr>
              <w:drawing>
                <wp:inline distT="0" distB="0" distL="0" distR="0" wp14:anchorId="7F5CAE6B" wp14:editId="7F5CAE6C">
                  <wp:extent cx="715645" cy="592455"/>
                  <wp:effectExtent l="0" t="0" r="825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564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D6CF016" w14:textId="762C46AD" w:rsidR="00C73A44" w:rsidRPr="00C94578" w:rsidRDefault="004B19F2" w:rsidP="0028281B">
            <w:pPr>
              <w:rPr>
                <w:sz w:val="40"/>
                <w:szCs w:val="40"/>
              </w:rPr>
            </w:pPr>
            <w:r w:rsidRPr="00887C91">
              <w:rPr>
                <w:b/>
                <w:sz w:val="40"/>
                <w:szCs w:val="40"/>
              </w:rPr>
              <w:t>Consejo Económico y Social</w:t>
            </w:r>
          </w:p>
        </w:tc>
        <w:tc>
          <w:tcPr>
            <w:tcW w:w="2819" w:type="dxa"/>
            <w:tcBorders>
              <w:top w:val="single" w:sz="4" w:space="0" w:color="auto"/>
              <w:bottom w:val="single" w:sz="12" w:space="0" w:color="auto"/>
            </w:tcBorders>
            <w:shd w:val="clear" w:color="auto" w:fill="auto"/>
          </w:tcPr>
          <w:p w14:paraId="7F5CADF6" w14:textId="7513AD55" w:rsidR="002D5AAC" w:rsidRDefault="004F6A18" w:rsidP="00D227A1">
            <w:pPr>
              <w:suppressAutoHyphens/>
              <w:spacing w:before="240" w:line="240" w:lineRule="exact"/>
            </w:pPr>
            <w:proofErr w:type="spellStart"/>
            <w:r>
              <w:t>Distr</w:t>
            </w:r>
            <w:proofErr w:type="spellEnd"/>
            <w:r>
              <w:t xml:space="preserve">. </w:t>
            </w:r>
            <w:r w:rsidR="00714012">
              <w:t>g</w:t>
            </w:r>
            <w:r w:rsidR="00C73A44">
              <w:t>eneral</w:t>
            </w:r>
          </w:p>
          <w:p w14:paraId="7F5CADF7" w14:textId="447389F6" w:rsidR="004F6A18" w:rsidRDefault="00567EB5" w:rsidP="00AA59F1">
            <w:pPr>
              <w:suppressAutoHyphens/>
              <w:spacing w:line="240" w:lineRule="exact"/>
            </w:pPr>
            <w:r>
              <w:t>1</w:t>
            </w:r>
            <w:r w:rsidR="00AA59F1">
              <w:t>9</w:t>
            </w:r>
            <w:r w:rsidR="00714012">
              <w:t xml:space="preserve"> </w:t>
            </w:r>
            <w:r w:rsidR="002F6C3F">
              <w:t>de</w:t>
            </w:r>
            <w:r w:rsidR="004F6A18">
              <w:t xml:space="preserve"> </w:t>
            </w:r>
            <w:r w:rsidR="00602711">
              <w:t>abril</w:t>
            </w:r>
            <w:r w:rsidR="009E4D7F">
              <w:t xml:space="preserve"> </w:t>
            </w:r>
            <w:r w:rsidR="00714012">
              <w:t xml:space="preserve">de </w:t>
            </w:r>
            <w:r w:rsidR="004F6A18">
              <w:t>201</w:t>
            </w:r>
            <w:r w:rsidR="009E4D7F">
              <w:t>8</w:t>
            </w:r>
          </w:p>
          <w:p w14:paraId="7F5CADF8" w14:textId="77777777" w:rsidR="004F6A18" w:rsidRDefault="004F6A18" w:rsidP="004F6A18">
            <w:pPr>
              <w:suppressAutoHyphens/>
              <w:spacing w:line="240" w:lineRule="exact"/>
            </w:pPr>
          </w:p>
          <w:p w14:paraId="7F5CADF9" w14:textId="77777777" w:rsidR="004F6A18" w:rsidRDefault="004F6A18" w:rsidP="004F6A18">
            <w:pPr>
              <w:suppressAutoHyphens/>
              <w:spacing w:line="240" w:lineRule="exact"/>
            </w:pPr>
            <w:r>
              <w:t>Original: español</w:t>
            </w:r>
          </w:p>
          <w:p w14:paraId="7F5CADFA" w14:textId="1DAB8021" w:rsidR="00E66E60" w:rsidRDefault="00E66E60" w:rsidP="004F6A18">
            <w:pPr>
              <w:suppressAutoHyphens/>
              <w:spacing w:line="240" w:lineRule="exact"/>
            </w:pPr>
          </w:p>
        </w:tc>
      </w:tr>
    </w:tbl>
    <w:p w14:paraId="7F5CADFC" w14:textId="77777777" w:rsidR="004F6A18" w:rsidRPr="00AC5F78" w:rsidRDefault="004F6A18" w:rsidP="004F6A18">
      <w:pPr>
        <w:spacing w:before="120"/>
        <w:rPr>
          <w:b/>
          <w:sz w:val="24"/>
          <w:szCs w:val="24"/>
          <w:lang w:val="es-ES_tradnl"/>
        </w:rPr>
      </w:pPr>
      <w:r w:rsidRPr="00AC5F78">
        <w:rPr>
          <w:b/>
          <w:sz w:val="24"/>
          <w:szCs w:val="24"/>
          <w:lang w:val="es-ES_tradnl"/>
        </w:rPr>
        <w:t>Comité de Derechos Económicos, Sociales y Culturales</w:t>
      </w:r>
    </w:p>
    <w:p w14:paraId="48B8958D" w14:textId="1E9B9BF8" w:rsidR="00C73A44" w:rsidRPr="00AC5F78" w:rsidRDefault="004F6A18">
      <w:pPr>
        <w:pStyle w:val="HChG"/>
        <w:rPr>
          <w:lang w:val="es-ES_tradnl"/>
        </w:rPr>
      </w:pPr>
      <w:r w:rsidRPr="00AC5F78">
        <w:rPr>
          <w:lang w:val="es-ES_tradnl"/>
        </w:rPr>
        <w:tab/>
      </w:r>
      <w:r w:rsidRPr="00AC5F78">
        <w:rPr>
          <w:lang w:val="es-ES_tradnl"/>
        </w:rPr>
        <w:tab/>
      </w:r>
      <w:r w:rsidR="00C73A44" w:rsidRPr="00AC5F78">
        <w:rPr>
          <w:lang w:val="es-ES_tradnl"/>
        </w:rPr>
        <w:t>Dictamen aprobado por el Comité en su 63</w:t>
      </w:r>
      <w:r w:rsidR="008F0C7E" w:rsidRPr="00AC5F78">
        <w:rPr>
          <w:vertAlign w:val="superscript"/>
          <w:lang w:val="es-ES_tradnl"/>
        </w:rPr>
        <w:t>er</w:t>
      </w:r>
      <w:r w:rsidR="00C73A44" w:rsidRPr="00AC5F78">
        <w:rPr>
          <w:lang w:val="es-ES_tradnl"/>
        </w:rPr>
        <w:t xml:space="preserve"> período de sesiones (12 a 29 de marzo de 2018) con</w:t>
      </w:r>
      <w:r w:rsidR="00AA59F1" w:rsidRPr="00AC5F78">
        <w:rPr>
          <w:lang w:val="es-ES_tradnl"/>
        </w:rPr>
        <w:t xml:space="preserve"> </w:t>
      </w:r>
      <w:r w:rsidR="00C73A44" w:rsidRPr="00AC5F78">
        <w:rPr>
          <w:lang w:val="es-ES_tradnl"/>
        </w:rPr>
        <w:t xml:space="preserve">relación </w:t>
      </w:r>
      <w:r w:rsidR="00AA59F1" w:rsidRPr="00AC5F78">
        <w:rPr>
          <w:lang w:val="es-ES_tradnl"/>
        </w:rPr>
        <w:br/>
      </w:r>
      <w:r w:rsidR="00C73A44" w:rsidRPr="00AC5F78">
        <w:rPr>
          <w:lang w:val="es-ES_tradnl"/>
        </w:rPr>
        <w:t>a la comunicación núm. 7/2015</w:t>
      </w:r>
    </w:p>
    <w:tbl>
      <w:tblPr>
        <w:tblStyle w:val="Tablaconcuadrcula"/>
        <w:tblW w:w="11058"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4253"/>
        <w:gridCol w:w="4253"/>
      </w:tblGrid>
      <w:tr w:rsidR="00AA59F1" w:rsidRPr="00525539" w14:paraId="6BE47B96" w14:textId="77777777" w:rsidTr="00AA59F1">
        <w:trPr>
          <w:gridAfter w:val="1"/>
          <w:wAfter w:w="4253" w:type="dxa"/>
        </w:trPr>
        <w:tc>
          <w:tcPr>
            <w:tcW w:w="2552" w:type="dxa"/>
          </w:tcPr>
          <w:p w14:paraId="14F670B8" w14:textId="77777777" w:rsidR="00AA59F1" w:rsidRPr="00AC5F78" w:rsidRDefault="00AA59F1">
            <w:pPr>
              <w:pStyle w:val="SingleTxtG"/>
              <w:ind w:left="0" w:right="0"/>
              <w:jc w:val="left"/>
              <w:rPr>
                <w:i/>
                <w:lang w:val="es-ES_tradnl"/>
              </w:rPr>
            </w:pPr>
            <w:r w:rsidRPr="00AC5F78">
              <w:rPr>
                <w:i/>
                <w:lang w:val="es-ES_tradnl"/>
              </w:rPr>
              <w:t>Presentada por:</w:t>
            </w:r>
          </w:p>
        </w:tc>
        <w:tc>
          <w:tcPr>
            <w:tcW w:w="4253" w:type="dxa"/>
          </w:tcPr>
          <w:p w14:paraId="4D4F07A1" w14:textId="7D913610" w:rsidR="00AA59F1" w:rsidRPr="00AC5F78" w:rsidRDefault="00AA59F1">
            <w:pPr>
              <w:pStyle w:val="SingleTxtG"/>
              <w:ind w:left="0" w:right="0"/>
              <w:jc w:val="left"/>
              <w:rPr>
                <w:lang w:val="es-ES_tradnl"/>
              </w:rPr>
            </w:pPr>
            <w:r w:rsidRPr="00AC5F78">
              <w:rPr>
                <w:lang w:val="es-ES_tradnl"/>
              </w:rPr>
              <w:t xml:space="preserve">Jaime Efraín Arellano Medina (representado por el abogado Pablo Albán </w:t>
            </w:r>
            <w:proofErr w:type="spellStart"/>
            <w:r w:rsidRPr="00AC5F78">
              <w:rPr>
                <w:lang w:val="es-ES_tradnl"/>
              </w:rPr>
              <w:t>Alencastro</w:t>
            </w:r>
            <w:proofErr w:type="spellEnd"/>
            <w:r w:rsidRPr="00AC5F78">
              <w:rPr>
                <w:lang w:val="es-ES_tradnl"/>
              </w:rPr>
              <w:t>)</w:t>
            </w:r>
          </w:p>
        </w:tc>
      </w:tr>
      <w:tr w:rsidR="00AA59F1" w:rsidRPr="00525539" w14:paraId="2148BBE2" w14:textId="77777777" w:rsidTr="00AA59F1">
        <w:trPr>
          <w:gridAfter w:val="1"/>
          <w:wAfter w:w="4253" w:type="dxa"/>
        </w:trPr>
        <w:tc>
          <w:tcPr>
            <w:tcW w:w="2552" w:type="dxa"/>
          </w:tcPr>
          <w:p w14:paraId="37660A00" w14:textId="77777777" w:rsidR="00AA59F1" w:rsidRPr="00AC5F78" w:rsidRDefault="00AA59F1">
            <w:pPr>
              <w:pStyle w:val="SingleTxtG"/>
              <w:ind w:left="0" w:right="0"/>
              <w:jc w:val="left"/>
              <w:rPr>
                <w:i/>
                <w:lang w:val="es-ES_tradnl"/>
              </w:rPr>
            </w:pPr>
            <w:r w:rsidRPr="00AC5F78">
              <w:rPr>
                <w:i/>
                <w:lang w:val="es-ES_tradnl"/>
              </w:rPr>
              <w:t>Presunta víctima:</w:t>
            </w:r>
          </w:p>
        </w:tc>
        <w:tc>
          <w:tcPr>
            <w:tcW w:w="4253" w:type="dxa"/>
          </w:tcPr>
          <w:p w14:paraId="609A7A0A" w14:textId="3105870C" w:rsidR="00AA59F1" w:rsidRPr="00AC5F78" w:rsidRDefault="00AA59F1">
            <w:pPr>
              <w:pStyle w:val="SingleTxtG"/>
              <w:ind w:left="0" w:right="0"/>
              <w:jc w:val="left"/>
              <w:rPr>
                <w:lang w:val="es-ES_tradnl"/>
              </w:rPr>
            </w:pPr>
            <w:r w:rsidRPr="00AC5F78">
              <w:rPr>
                <w:lang w:val="es-ES_tradnl"/>
              </w:rPr>
              <w:t>El autor</w:t>
            </w:r>
          </w:p>
        </w:tc>
      </w:tr>
      <w:tr w:rsidR="00AA59F1" w:rsidRPr="00525539" w14:paraId="1592B95F" w14:textId="77777777" w:rsidTr="00AA59F1">
        <w:trPr>
          <w:gridAfter w:val="1"/>
          <w:wAfter w:w="4253" w:type="dxa"/>
        </w:trPr>
        <w:tc>
          <w:tcPr>
            <w:tcW w:w="2552" w:type="dxa"/>
          </w:tcPr>
          <w:p w14:paraId="7E5C964E" w14:textId="77777777" w:rsidR="00AA59F1" w:rsidRPr="00AC5F78" w:rsidRDefault="00AA59F1">
            <w:pPr>
              <w:pStyle w:val="SingleTxtG"/>
              <w:ind w:left="0" w:right="0"/>
              <w:jc w:val="left"/>
              <w:rPr>
                <w:i/>
                <w:lang w:val="es-ES_tradnl"/>
              </w:rPr>
            </w:pPr>
            <w:r w:rsidRPr="00AC5F78">
              <w:rPr>
                <w:i/>
                <w:lang w:val="es-ES_tradnl"/>
              </w:rPr>
              <w:t>Estado parte:</w:t>
            </w:r>
          </w:p>
        </w:tc>
        <w:tc>
          <w:tcPr>
            <w:tcW w:w="4253" w:type="dxa"/>
          </w:tcPr>
          <w:p w14:paraId="40FF19EF" w14:textId="3409E0DD" w:rsidR="00AA59F1" w:rsidRPr="00AC5F78" w:rsidRDefault="00AA59F1">
            <w:pPr>
              <w:pStyle w:val="SingleTxtG"/>
              <w:ind w:left="0" w:right="0"/>
              <w:jc w:val="left"/>
              <w:rPr>
                <w:lang w:val="es-ES_tradnl"/>
              </w:rPr>
            </w:pPr>
            <w:r w:rsidRPr="00AC5F78">
              <w:rPr>
                <w:lang w:val="es-ES_tradnl"/>
              </w:rPr>
              <w:t>Ecuador</w:t>
            </w:r>
          </w:p>
        </w:tc>
      </w:tr>
      <w:tr w:rsidR="00AA59F1" w:rsidRPr="00525539" w14:paraId="43DB78E3" w14:textId="11AEAE8E" w:rsidTr="00AC5F78">
        <w:tc>
          <w:tcPr>
            <w:tcW w:w="2552" w:type="dxa"/>
          </w:tcPr>
          <w:p w14:paraId="38DE394B" w14:textId="77777777" w:rsidR="00AA59F1" w:rsidRPr="00AC5F78" w:rsidRDefault="00AA59F1" w:rsidP="00AA59F1">
            <w:pPr>
              <w:pStyle w:val="SingleTxtG"/>
              <w:ind w:left="0" w:right="0"/>
              <w:jc w:val="left"/>
              <w:rPr>
                <w:i/>
                <w:lang w:val="es-ES_tradnl"/>
              </w:rPr>
            </w:pPr>
            <w:r w:rsidRPr="00AC5F78">
              <w:rPr>
                <w:i/>
                <w:lang w:val="es-ES_tradnl"/>
              </w:rPr>
              <w:t>Fecha de la comunicación:</w:t>
            </w:r>
          </w:p>
        </w:tc>
        <w:tc>
          <w:tcPr>
            <w:tcW w:w="4253" w:type="dxa"/>
          </w:tcPr>
          <w:p w14:paraId="4048CC89" w14:textId="1F2BFC07" w:rsidR="00AA59F1" w:rsidRPr="00AC5F78" w:rsidRDefault="00AA59F1" w:rsidP="00AA59F1">
            <w:pPr>
              <w:pStyle w:val="SingleTxtG"/>
              <w:ind w:left="0" w:right="0"/>
              <w:jc w:val="left"/>
              <w:rPr>
                <w:iCs/>
                <w:lang w:val="es-ES_tradnl"/>
              </w:rPr>
            </w:pPr>
            <w:r w:rsidRPr="00AC5F78">
              <w:rPr>
                <w:iCs/>
                <w:lang w:val="es-ES_tradnl"/>
              </w:rPr>
              <w:t>24 de abril de 2015</w:t>
            </w:r>
          </w:p>
        </w:tc>
        <w:tc>
          <w:tcPr>
            <w:tcW w:w="4253" w:type="dxa"/>
            <w:vAlign w:val="bottom"/>
          </w:tcPr>
          <w:p w14:paraId="756B48D0" w14:textId="77777777" w:rsidR="00AA59F1" w:rsidRPr="00AC5F78" w:rsidRDefault="00AA59F1" w:rsidP="00AA59F1">
            <w:pPr>
              <w:spacing w:line="240" w:lineRule="auto"/>
              <w:rPr>
                <w:lang w:val="es-ES_tradnl"/>
              </w:rPr>
            </w:pPr>
          </w:p>
        </w:tc>
      </w:tr>
      <w:tr w:rsidR="00AA59F1" w:rsidRPr="00525539" w14:paraId="6A41C2BF" w14:textId="77777777" w:rsidTr="00AA59F1">
        <w:trPr>
          <w:gridAfter w:val="1"/>
          <w:wAfter w:w="4253" w:type="dxa"/>
        </w:trPr>
        <w:tc>
          <w:tcPr>
            <w:tcW w:w="2552" w:type="dxa"/>
          </w:tcPr>
          <w:p w14:paraId="55FA9ECF" w14:textId="237F4488" w:rsidR="00AA59F1" w:rsidRPr="00AC5F78" w:rsidRDefault="00AA59F1">
            <w:pPr>
              <w:pStyle w:val="SingleTxtG"/>
              <w:ind w:left="0" w:right="0"/>
              <w:jc w:val="left"/>
              <w:rPr>
                <w:i/>
                <w:lang w:val="es-ES_tradnl"/>
              </w:rPr>
            </w:pPr>
            <w:r w:rsidRPr="00AC5F78">
              <w:rPr>
                <w:i/>
                <w:lang w:val="es-ES_tradnl"/>
              </w:rPr>
              <w:t>Fecha de adopción</w:t>
            </w:r>
            <w:r w:rsidRPr="00AC5F78">
              <w:rPr>
                <w:i/>
                <w:lang w:val="es-ES_tradnl"/>
              </w:rPr>
              <w:br/>
              <w:t>del dictamen:</w:t>
            </w:r>
          </w:p>
        </w:tc>
        <w:tc>
          <w:tcPr>
            <w:tcW w:w="4253" w:type="dxa"/>
            <w:vAlign w:val="bottom"/>
          </w:tcPr>
          <w:p w14:paraId="0AAB5753" w14:textId="5204F55E" w:rsidR="00AA59F1" w:rsidRPr="00AC5F78" w:rsidRDefault="00AA59F1" w:rsidP="00AA59F1">
            <w:pPr>
              <w:pStyle w:val="SingleTxtG"/>
              <w:ind w:left="0" w:right="0"/>
              <w:jc w:val="left"/>
              <w:rPr>
                <w:lang w:val="es-ES_tradnl"/>
              </w:rPr>
            </w:pPr>
            <w:r w:rsidRPr="00AC5F78">
              <w:rPr>
                <w:lang w:val="es-ES_tradnl"/>
              </w:rPr>
              <w:t>26 de marzo de 2018</w:t>
            </w:r>
          </w:p>
        </w:tc>
      </w:tr>
      <w:tr w:rsidR="00AA59F1" w:rsidRPr="00525539" w14:paraId="267BF7E6" w14:textId="77777777" w:rsidTr="00AA59F1">
        <w:trPr>
          <w:gridAfter w:val="1"/>
          <w:wAfter w:w="4253" w:type="dxa"/>
        </w:trPr>
        <w:tc>
          <w:tcPr>
            <w:tcW w:w="2552" w:type="dxa"/>
          </w:tcPr>
          <w:p w14:paraId="77D9110B" w14:textId="77777777" w:rsidR="00AA59F1" w:rsidRPr="00AC5F78" w:rsidRDefault="00AA59F1" w:rsidP="00AA59F1">
            <w:pPr>
              <w:pStyle w:val="SingleTxtG"/>
              <w:ind w:left="0" w:right="0"/>
              <w:jc w:val="left"/>
              <w:rPr>
                <w:i/>
                <w:lang w:val="es-ES_tradnl"/>
              </w:rPr>
            </w:pPr>
            <w:r w:rsidRPr="00AC5F78">
              <w:rPr>
                <w:i/>
                <w:lang w:val="es-ES_tradnl"/>
              </w:rPr>
              <w:t>Asunto:</w:t>
            </w:r>
          </w:p>
        </w:tc>
        <w:tc>
          <w:tcPr>
            <w:tcW w:w="4253" w:type="dxa"/>
            <w:vAlign w:val="bottom"/>
          </w:tcPr>
          <w:p w14:paraId="5D6FD645" w14:textId="78055B18" w:rsidR="00AA59F1" w:rsidRPr="00AC5F78" w:rsidRDefault="00AA59F1" w:rsidP="00AA59F1">
            <w:pPr>
              <w:pStyle w:val="SingleTxtG"/>
              <w:ind w:left="0" w:right="0"/>
              <w:jc w:val="left"/>
              <w:rPr>
                <w:lang w:val="es-ES_tradnl"/>
              </w:rPr>
            </w:pPr>
            <w:r w:rsidRPr="00AC5F78">
              <w:rPr>
                <w:lang w:val="es-ES_tradnl"/>
              </w:rPr>
              <w:t>Denegación de bonificación laboral establecida en un convenio o contrato colectivo de trabajo; jubilación especial reducida</w:t>
            </w:r>
          </w:p>
        </w:tc>
      </w:tr>
      <w:tr w:rsidR="00AA59F1" w:rsidRPr="00525539" w14:paraId="3E3BBE8A" w14:textId="77777777" w:rsidTr="00AA59F1">
        <w:trPr>
          <w:gridAfter w:val="1"/>
          <w:wAfter w:w="4253" w:type="dxa"/>
        </w:trPr>
        <w:tc>
          <w:tcPr>
            <w:tcW w:w="2552" w:type="dxa"/>
          </w:tcPr>
          <w:p w14:paraId="7CE1FC6E" w14:textId="77777777" w:rsidR="00AA59F1" w:rsidRPr="00AC5F78" w:rsidRDefault="00AA59F1" w:rsidP="00AA59F1">
            <w:pPr>
              <w:pStyle w:val="SingleTxtG"/>
              <w:ind w:left="0" w:right="0"/>
              <w:jc w:val="left"/>
              <w:rPr>
                <w:i/>
                <w:lang w:val="es-ES_tradnl"/>
              </w:rPr>
            </w:pPr>
            <w:r w:rsidRPr="00AC5F78">
              <w:rPr>
                <w:i/>
                <w:lang w:val="es-ES_tradnl"/>
              </w:rPr>
              <w:t>Cuestiones de procedimiento:</w:t>
            </w:r>
          </w:p>
        </w:tc>
        <w:tc>
          <w:tcPr>
            <w:tcW w:w="4253" w:type="dxa"/>
            <w:vAlign w:val="bottom"/>
          </w:tcPr>
          <w:p w14:paraId="049E0BEA" w14:textId="565ACB11" w:rsidR="00AA59F1" w:rsidRPr="00AC5F78" w:rsidRDefault="00AA59F1" w:rsidP="00AA59F1">
            <w:pPr>
              <w:pStyle w:val="SingleTxtG"/>
              <w:ind w:left="0" w:right="0"/>
              <w:jc w:val="left"/>
              <w:rPr>
                <w:lang w:val="es-ES_tradnl"/>
              </w:rPr>
            </w:pPr>
            <w:r w:rsidRPr="00AC5F78">
              <w:rPr>
                <w:lang w:val="es-ES_tradnl"/>
              </w:rPr>
              <w:t xml:space="preserve">Agotamiento de los recursos internos; presentación de la comunicación en el plazo de un año después de agotados los recursos internos; competencia </w:t>
            </w:r>
            <w:proofErr w:type="spellStart"/>
            <w:r w:rsidRPr="00AC5F78">
              <w:rPr>
                <w:i/>
                <w:iCs/>
                <w:lang w:val="es-ES_tradnl"/>
              </w:rPr>
              <w:t>ratione</w:t>
            </w:r>
            <w:proofErr w:type="spellEnd"/>
            <w:r w:rsidRPr="00AC5F78">
              <w:rPr>
                <w:i/>
                <w:iCs/>
                <w:lang w:val="es-ES_tradnl"/>
              </w:rPr>
              <w:t xml:space="preserve"> </w:t>
            </w:r>
            <w:proofErr w:type="spellStart"/>
            <w:r w:rsidRPr="00AC5F78">
              <w:rPr>
                <w:i/>
                <w:iCs/>
                <w:lang w:val="es-ES_tradnl"/>
              </w:rPr>
              <w:t>temporis</w:t>
            </w:r>
            <w:proofErr w:type="spellEnd"/>
            <w:r w:rsidRPr="00AC5F78">
              <w:rPr>
                <w:lang w:val="es-ES_tradnl"/>
              </w:rPr>
              <w:t xml:space="preserve"> del Comité; insuficiente fundamentación de las alegaciones</w:t>
            </w:r>
          </w:p>
        </w:tc>
      </w:tr>
      <w:tr w:rsidR="00AA59F1" w:rsidRPr="00525539" w14:paraId="53983FA3" w14:textId="77777777" w:rsidTr="00AA59F1">
        <w:trPr>
          <w:gridAfter w:val="1"/>
          <w:wAfter w:w="4253" w:type="dxa"/>
        </w:trPr>
        <w:tc>
          <w:tcPr>
            <w:tcW w:w="2552" w:type="dxa"/>
          </w:tcPr>
          <w:p w14:paraId="15098642" w14:textId="77777777" w:rsidR="00AA59F1" w:rsidRPr="00AC5F78" w:rsidRDefault="00AA59F1" w:rsidP="00AA59F1">
            <w:pPr>
              <w:pStyle w:val="SingleTxtG"/>
              <w:ind w:left="0" w:right="0"/>
              <w:jc w:val="left"/>
              <w:rPr>
                <w:i/>
                <w:lang w:val="es-ES_tradnl"/>
              </w:rPr>
            </w:pPr>
            <w:r w:rsidRPr="00AC5F78">
              <w:rPr>
                <w:i/>
                <w:lang w:val="es-ES_tradnl"/>
              </w:rPr>
              <w:t>Cuestiones de fondo:</w:t>
            </w:r>
          </w:p>
        </w:tc>
        <w:tc>
          <w:tcPr>
            <w:tcW w:w="4253" w:type="dxa"/>
            <w:vAlign w:val="bottom"/>
          </w:tcPr>
          <w:p w14:paraId="29704873" w14:textId="405C2C74" w:rsidR="00AA59F1" w:rsidRPr="00AC5F78" w:rsidRDefault="00AA59F1" w:rsidP="00AA59F1">
            <w:pPr>
              <w:pStyle w:val="SingleTxtG"/>
              <w:ind w:left="0" w:right="0"/>
              <w:jc w:val="left"/>
              <w:rPr>
                <w:lang w:val="es-ES_tradnl"/>
              </w:rPr>
            </w:pPr>
            <w:r w:rsidRPr="00AC5F78">
              <w:rPr>
                <w:lang w:val="es-ES_tradnl"/>
              </w:rPr>
              <w:t>Derecho a trabajar; seguridad e higiene en el trabajo; derecho a la salud</w:t>
            </w:r>
          </w:p>
        </w:tc>
      </w:tr>
      <w:tr w:rsidR="00AA59F1" w:rsidRPr="00525539" w14:paraId="72905528" w14:textId="77777777" w:rsidTr="00AA59F1">
        <w:trPr>
          <w:gridAfter w:val="1"/>
          <w:wAfter w:w="4253" w:type="dxa"/>
        </w:trPr>
        <w:tc>
          <w:tcPr>
            <w:tcW w:w="2552" w:type="dxa"/>
          </w:tcPr>
          <w:p w14:paraId="12CE4495" w14:textId="77777777" w:rsidR="00AA59F1" w:rsidRPr="00AC5F78" w:rsidRDefault="00AA59F1" w:rsidP="00AA59F1">
            <w:pPr>
              <w:pStyle w:val="SingleTxtG"/>
              <w:ind w:left="0" w:right="0"/>
              <w:jc w:val="left"/>
              <w:rPr>
                <w:i/>
                <w:lang w:val="es-ES_tradnl"/>
              </w:rPr>
            </w:pPr>
            <w:r w:rsidRPr="00AC5F78">
              <w:rPr>
                <w:i/>
                <w:lang w:val="es-ES_tradnl"/>
              </w:rPr>
              <w:t>Artículos del Pacto:</w:t>
            </w:r>
          </w:p>
        </w:tc>
        <w:tc>
          <w:tcPr>
            <w:tcW w:w="4253" w:type="dxa"/>
            <w:vAlign w:val="bottom"/>
          </w:tcPr>
          <w:p w14:paraId="0E29BEFB" w14:textId="40440893" w:rsidR="00AA59F1" w:rsidRPr="00AC5F78" w:rsidRDefault="00AA59F1" w:rsidP="00AA59F1">
            <w:pPr>
              <w:pStyle w:val="SingleTxtG"/>
              <w:ind w:left="0" w:right="0"/>
              <w:jc w:val="left"/>
              <w:rPr>
                <w:lang w:val="es-ES_tradnl"/>
              </w:rPr>
            </w:pPr>
            <w:r w:rsidRPr="00AC5F78">
              <w:rPr>
                <w:lang w:val="es-ES_tradnl"/>
              </w:rPr>
              <w:t>2, 6, 7 y 12</w:t>
            </w:r>
          </w:p>
        </w:tc>
      </w:tr>
      <w:tr w:rsidR="00AA59F1" w:rsidRPr="00525539" w14:paraId="6E0D7096" w14:textId="77777777" w:rsidTr="00AA59F1">
        <w:trPr>
          <w:gridAfter w:val="1"/>
          <w:wAfter w:w="4253" w:type="dxa"/>
        </w:trPr>
        <w:tc>
          <w:tcPr>
            <w:tcW w:w="2552" w:type="dxa"/>
          </w:tcPr>
          <w:p w14:paraId="261FE5A8" w14:textId="77777777" w:rsidR="00AA59F1" w:rsidRPr="00AC5F78" w:rsidRDefault="00AA59F1" w:rsidP="00AA59F1">
            <w:pPr>
              <w:pStyle w:val="SingleTxtG"/>
              <w:ind w:left="0" w:right="0"/>
              <w:jc w:val="left"/>
              <w:rPr>
                <w:i/>
                <w:lang w:val="es-ES_tradnl"/>
              </w:rPr>
            </w:pPr>
            <w:r w:rsidRPr="00AC5F78">
              <w:rPr>
                <w:i/>
                <w:lang w:val="es-ES_tradnl"/>
              </w:rPr>
              <w:t>Artículos del Protocolo</w:t>
            </w:r>
            <w:r w:rsidRPr="00AC5F78">
              <w:rPr>
                <w:i/>
                <w:lang w:val="es-ES_tradnl"/>
              </w:rPr>
              <w:br/>
              <w:t>Facultativo:</w:t>
            </w:r>
          </w:p>
        </w:tc>
        <w:tc>
          <w:tcPr>
            <w:tcW w:w="4253" w:type="dxa"/>
            <w:vAlign w:val="bottom"/>
          </w:tcPr>
          <w:p w14:paraId="30BA16E7" w14:textId="527F83A5" w:rsidR="00AA59F1" w:rsidRPr="00AC5F78" w:rsidRDefault="00AA59F1" w:rsidP="00AA59F1">
            <w:pPr>
              <w:pStyle w:val="SingleTxtG"/>
              <w:ind w:left="0" w:right="0"/>
              <w:jc w:val="left"/>
              <w:rPr>
                <w:lang w:val="es-ES_tradnl"/>
              </w:rPr>
            </w:pPr>
            <w:r w:rsidRPr="00AC5F78">
              <w:rPr>
                <w:lang w:val="es-ES_tradnl"/>
              </w:rPr>
              <w:t xml:space="preserve">3, </w:t>
            </w:r>
            <w:proofErr w:type="spellStart"/>
            <w:r w:rsidRPr="00AC5F78">
              <w:rPr>
                <w:lang w:val="es-ES_tradnl"/>
              </w:rPr>
              <w:t>párrs</w:t>
            </w:r>
            <w:proofErr w:type="spellEnd"/>
            <w:r w:rsidRPr="00AC5F78">
              <w:rPr>
                <w:lang w:val="es-ES_tradnl"/>
              </w:rPr>
              <w:t xml:space="preserve">. 1 y 2, </w:t>
            </w:r>
            <w:proofErr w:type="spellStart"/>
            <w:r w:rsidRPr="00AC5F78">
              <w:rPr>
                <w:lang w:val="es-ES_tradnl"/>
              </w:rPr>
              <w:t>apdos</w:t>
            </w:r>
            <w:proofErr w:type="spellEnd"/>
            <w:r w:rsidRPr="00AC5F78">
              <w:rPr>
                <w:lang w:val="es-ES_tradnl"/>
              </w:rPr>
              <w:t>. a), b) y e)</w:t>
            </w:r>
          </w:p>
        </w:tc>
      </w:tr>
    </w:tbl>
    <w:p w14:paraId="5E4CA779" w14:textId="7432013F" w:rsidR="00EF6BE5" w:rsidRPr="00AC5F78" w:rsidRDefault="00EF6BE5" w:rsidP="00AC5F78">
      <w:pPr>
        <w:pStyle w:val="SingleTxtG"/>
        <w:spacing w:before="120"/>
        <w:rPr>
          <w:lang w:val="es-ES_tradnl"/>
        </w:rPr>
      </w:pPr>
      <w:r w:rsidRPr="00AC5F78">
        <w:rPr>
          <w:lang w:val="es-ES_tradnl"/>
        </w:rPr>
        <w:t>1.1</w:t>
      </w:r>
      <w:r w:rsidRPr="00AC5F78">
        <w:rPr>
          <w:lang w:val="es-ES_tradnl"/>
        </w:rPr>
        <w:tab/>
        <w:t xml:space="preserve">El autor de la comunicación es Jaime Efraín Arellano Medina, de nacionalidad ecuatoriana. En el momento </w:t>
      </w:r>
      <w:r w:rsidR="005F0A39" w:rsidRPr="00AC5F78">
        <w:rPr>
          <w:lang w:val="es-ES_tradnl"/>
        </w:rPr>
        <w:t xml:space="preserve">en </w:t>
      </w:r>
      <w:r w:rsidRPr="00AC5F78">
        <w:rPr>
          <w:lang w:val="es-ES_tradnl"/>
        </w:rPr>
        <w:t>que la comunicación fue presentada al Comité tenía 75 años de edad. El autor sostiene que fue víctima de una violación de los derechos que le asisten en virtud de los artículos 6, 7 y 12, leídos conjuntamente con el artículo 2, del Pacto Internacional de Derechos Económicos, Sociales y</w:t>
      </w:r>
      <w:r w:rsidR="00E07260" w:rsidRPr="00AC5F78">
        <w:rPr>
          <w:lang w:val="es-ES_tradnl"/>
        </w:rPr>
        <w:t xml:space="preserve"> Culturales por el Estado parte.</w:t>
      </w:r>
      <w:r w:rsidRPr="00AC5F78">
        <w:rPr>
          <w:lang w:val="es-ES_tradnl"/>
        </w:rPr>
        <w:t xml:space="preserve"> </w:t>
      </w:r>
      <w:r w:rsidR="008A71F9" w:rsidRPr="00AC5F78">
        <w:rPr>
          <w:lang w:val="es-ES_tradnl"/>
        </w:rPr>
        <w:t xml:space="preserve">El Protocolo Facultativo entró en vigor para el Estado parte el 5 de mayo de 2013. </w:t>
      </w:r>
      <w:r w:rsidRPr="00AC5F78">
        <w:rPr>
          <w:lang w:val="es-ES_tradnl"/>
        </w:rPr>
        <w:t>El autor está representado por abogado.</w:t>
      </w:r>
    </w:p>
    <w:p w14:paraId="45342896" w14:textId="3E019D59" w:rsidR="00AA60C2" w:rsidRPr="00AC5F78" w:rsidRDefault="00EF6BE5" w:rsidP="000D6D19">
      <w:pPr>
        <w:pStyle w:val="SingleTxtG"/>
        <w:rPr>
          <w:lang w:val="es-ES_tradnl"/>
        </w:rPr>
      </w:pPr>
      <w:r w:rsidRPr="00AC5F78">
        <w:rPr>
          <w:lang w:val="es-ES_tradnl"/>
        </w:rPr>
        <w:t>1.2</w:t>
      </w:r>
      <w:r w:rsidRPr="00AC5F78">
        <w:rPr>
          <w:lang w:val="es-ES_tradnl"/>
        </w:rPr>
        <w:tab/>
        <w:t>En el presente dictamen el Comité resume en primer lugar la información y los alegatos presentados por las partes, sin reflejar las opiniones del Comité</w:t>
      </w:r>
      <w:r w:rsidR="00AA60C2" w:rsidRPr="00AC5F78">
        <w:rPr>
          <w:lang w:val="es-ES_tradnl"/>
        </w:rPr>
        <w:t xml:space="preserve"> y seguidamente examina las cuestiones de admisibilidad.</w:t>
      </w:r>
    </w:p>
    <w:p w14:paraId="7F5CAE15" w14:textId="77777777" w:rsidR="006C1799" w:rsidRPr="00AC5F78" w:rsidRDefault="006C1799" w:rsidP="000D6D19">
      <w:pPr>
        <w:pStyle w:val="H1G"/>
        <w:rPr>
          <w:lang w:val="es-ES_tradnl"/>
        </w:rPr>
      </w:pPr>
      <w:r w:rsidRPr="00AC5F78">
        <w:rPr>
          <w:lang w:val="es-ES_tradnl"/>
        </w:rPr>
        <w:lastRenderedPageBreak/>
        <w:tab/>
        <w:t>A.</w:t>
      </w:r>
      <w:r w:rsidRPr="00AC5F78">
        <w:rPr>
          <w:lang w:val="es-ES_tradnl"/>
        </w:rPr>
        <w:tab/>
        <w:t>Resumen de la información y alegatos de las partes</w:t>
      </w:r>
    </w:p>
    <w:p w14:paraId="7F5CAE16" w14:textId="54BF3371" w:rsidR="006C1799" w:rsidRPr="00AC5F78" w:rsidRDefault="006C1799" w:rsidP="000D6D19">
      <w:pPr>
        <w:pStyle w:val="H23G"/>
        <w:rPr>
          <w:lang w:val="es-ES_tradnl"/>
        </w:rPr>
      </w:pPr>
      <w:r w:rsidRPr="00AC5F78">
        <w:rPr>
          <w:lang w:val="es-ES_tradnl"/>
        </w:rPr>
        <w:tab/>
      </w:r>
      <w:r w:rsidRPr="00AC5F78">
        <w:rPr>
          <w:lang w:val="es-ES_tradnl"/>
        </w:rPr>
        <w:tab/>
        <w:t xml:space="preserve">Los hechos expuestos por </w:t>
      </w:r>
      <w:r w:rsidR="00EF6BE5" w:rsidRPr="00AC5F78">
        <w:rPr>
          <w:lang w:val="es-ES_tradnl"/>
        </w:rPr>
        <w:t>el autor</w:t>
      </w:r>
    </w:p>
    <w:p w14:paraId="1CF5E196" w14:textId="40A28279" w:rsidR="00EF6BE5" w:rsidRPr="00AC5F78" w:rsidRDefault="00C30D4C">
      <w:pPr>
        <w:pStyle w:val="SingleTxtG"/>
        <w:rPr>
          <w:lang w:val="es-ES_tradnl"/>
        </w:rPr>
      </w:pPr>
      <w:r>
        <w:rPr>
          <w:lang w:val="es-ES_tradnl"/>
        </w:rPr>
        <w:t>2.1</w:t>
      </w:r>
      <w:r w:rsidR="00EF6BE5" w:rsidRPr="00AC5F78">
        <w:rPr>
          <w:lang w:val="es-ES_tradnl"/>
        </w:rPr>
        <w:tab/>
        <w:t xml:space="preserve">El autor es </w:t>
      </w:r>
      <w:r w:rsidR="00C73A44" w:rsidRPr="00AC5F78">
        <w:rPr>
          <w:lang w:val="es-ES_tradnl"/>
        </w:rPr>
        <w:t>i</w:t>
      </w:r>
      <w:r w:rsidR="00EF6BE5" w:rsidRPr="00AC5F78">
        <w:rPr>
          <w:lang w:val="es-ES_tradnl"/>
        </w:rPr>
        <w:t xml:space="preserve">ngeniero </w:t>
      </w:r>
      <w:r w:rsidR="00C73A44" w:rsidRPr="00AC5F78">
        <w:rPr>
          <w:lang w:val="es-ES_tradnl"/>
        </w:rPr>
        <w:t>q</w:t>
      </w:r>
      <w:r w:rsidR="00EF6BE5" w:rsidRPr="00AC5F78">
        <w:rPr>
          <w:lang w:val="es-ES_tradnl"/>
        </w:rPr>
        <w:t xml:space="preserve">uímico, ingresó a prestar servicios a la Corporación Estatal Petrolera Ecuatoriana el 1 de octubre de 1975 en la provincia de Esmeraldas. </w:t>
      </w:r>
      <w:r w:rsidR="00C20661" w:rsidRPr="00AC5F78">
        <w:rPr>
          <w:lang w:val="es-ES_tradnl"/>
        </w:rPr>
        <w:t xml:space="preserve">La Corporación </w:t>
      </w:r>
      <w:r w:rsidR="00EF6BE5" w:rsidRPr="00AC5F78">
        <w:rPr>
          <w:lang w:val="es-ES_tradnl"/>
        </w:rPr>
        <w:t>posteriormente pas</w:t>
      </w:r>
      <w:r w:rsidR="00741864" w:rsidRPr="00AC5F78">
        <w:rPr>
          <w:lang w:val="es-ES_tradnl"/>
        </w:rPr>
        <w:t>ó</w:t>
      </w:r>
      <w:r w:rsidR="00EF6BE5" w:rsidRPr="00AC5F78">
        <w:rPr>
          <w:lang w:val="es-ES_tradnl"/>
        </w:rPr>
        <w:t xml:space="preserve"> a denominarse Empresa Estatal de Petróleos del Ecuador (PETROECUADOR)</w:t>
      </w:r>
      <w:r w:rsidR="00EF6BE5" w:rsidRPr="00AC5F78">
        <w:rPr>
          <w:rStyle w:val="Refdenotaalpie"/>
          <w:szCs w:val="18"/>
          <w:lang w:val="es-ES_tradnl"/>
        </w:rPr>
        <w:footnoteReference w:id="1"/>
      </w:r>
      <w:r w:rsidR="00E07260" w:rsidRPr="00AC5F78">
        <w:rPr>
          <w:lang w:val="es-ES_tradnl"/>
        </w:rPr>
        <w:t>.</w:t>
      </w:r>
      <w:r w:rsidR="00D06C71" w:rsidRPr="00AC5F78">
        <w:rPr>
          <w:lang w:val="es-ES_tradnl"/>
        </w:rPr>
        <w:t xml:space="preserve"> Trabajó</w:t>
      </w:r>
      <w:r w:rsidR="00EF6BE5" w:rsidRPr="00AC5F78">
        <w:rPr>
          <w:lang w:val="es-ES_tradnl"/>
        </w:rPr>
        <w:t xml:space="preserve"> como </w:t>
      </w:r>
      <w:r w:rsidR="00C73A44" w:rsidRPr="00AC5F78">
        <w:rPr>
          <w:lang w:val="es-ES_tradnl"/>
        </w:rPr>
        <w:t>e</w:t>
      </w:r>
      <w:r w:rsidR="00EF6BE5" w:rsidRPr="00AC5F78">
        <w:rPr>
          <w:lang w:val="es-ES_tradnl"/>
        </w:rPr>
        <w:t xml:space="preserve">specialista </w:t>
      </w:r>
      <w:r w:rsidR="00C73A44" w:rsidRPr="00AC5F78">
        <w:rPr>
          <w:lang w:val="es-ES_tradnl"/>
        </w:rPr>
        <w:t>a</w:t>
      </w:r>
      <w:r w:rsidR="00EF6BE5" w:rsidRPr="00AC5F78">
        <w:rPr>
          <w:lang w:val="es-ES_tradnl"/>
        </w:rPr>
        <w:t xml:space="preserve">dministrativo II-C en PETROINDUSTRIAL, filial de PETROECUADOR, durante más de </w:t>
      </w:r>
      <w:r w:rsidR="00B4621D" w:rsidRPr="00AC5F78">
        <w:rPr>
          <w:lang w:val="es-ES_tradnl"/>
        </w:rPr>
        <w:t xml:space="preserve">30 </w:t>
      </w:r>
      <w:r w:rsidR="00EF6BE5" w:rsidRPr="00AC5F78">
        <w:rPr>
          <w:lang w:val="es-ES_tradnl"/>
        </w:rPr>
        <w:t>años.</w:t>
      </w:r>
    </w:p>
    <w:p w14:paraId="1FDBFD67" w14:textId="52714E49" w:rsidR="00EF6BE5" w:rsidRPr="00AC5F78" w:rsidRDefault="00C30D4C">
      <w:pPr>
        <w:pStyle w:val="SingleTxtG"/>
        <w:rPr>
          <w:lang w:val="es-ES_tradnl"/>
        </w:rPr>
      </w:pPr>
      <w:r>
        <w:rPr>
          <w:lang w:val="es-ES_tradnl"/>
        </w:rPr>
        <w:t>2.2</w:t>
      </w:r>
      <w:r w:rsidR="00EF6BE5" w:rsidRPr="00AC5F78">
        <w:rPr>
          <w:lang w:val="es-ES_tradnl"/>
        </w:rPr>
        <w:tab/>
        <w:t xml:space="preserve">El 24 de octubre de 2007 el </w:t>
      </w:r>
      <w:r w:rsidR="00D06C71" w:rsidRPr="00AC5F78">
        <w:rPr>
          <w:lang w:val="es-ES_tradnl"/>
        </w:rPr>
        <w:t>autor</w:t>
      </w:r>
      <w:r w:rsidR="00EF6BE5" w:rsidRPr="00AC5F78">
        <w:rPr>
          <w:lang w:val="es-ES_tradnl"/>
        </w:rPr>
        <w:t xml:space="preserve"> presentó ante el </w:t>
      </w:r>
      <w:r w:rsidR="002C2F77" w:rsidRPr="00AC5F78">
        <w:rPr>
          <w:lang w:val="es-ES_tradnl"/>
        </w:rPr>
        <w:t>i</w:t>
      </w:r>
      <w:r w:rsidR="00EF6BE5" w:rsidRPr="00AC5F78">
        <w:rPr>
          <w:lang w:val="es-ES_tradnl"/>
        </w:rPr>
        <w:t>nspector de</w:t>
      </w:r>
      <w:r w:rsidR="00FD6BB3" w:rsidRPr="00AC5F78">
        <w:rPr>
          <w:lang w:val="es-ES_tradnl"/>
        </w:rPr>
        <w:t>l</w:t>
      </w:r>
      <w:r w:rsidR="00EF6BE5" w:rsidRPr="00AC5F78">
        <w:rPr>
          <w:lang w:val="es-ES_tradnl"/>
        </w:rPr>
        <w:t xml:space="preserve"> </w:t>
      </w:r>
      <w:r w:rsidR="002C2F77" w:rsidRPr="00AC5F78">
        <w:rPr>
          <w:lang w:val="es-ES_tradnl"/>
        </w:rPr>
        <w:t>t</w:t>
      </w:r>
      <w:r w:rsidR="00EF6BE5" w:rsidRPr="00AC5F78">
        <w:rPr>
          <w:lang w:val="es-ES_tradnl"/>
        </w:rPr>
        <w:t>rabajo de Esmeraldas una petición de desahucio por la terminación de relaci</w:t>
      </w:r>
      <w:r w:rsidR="00C73A44" w:rsidRPr="00AC5F78">
        <w:rPr>
          <w:lang w:val="es-ES_tradnl"/>
        </w:rPr>
        <w:t>ón</w:t>
      </w:r>
      <w:r w:rsidR="00EF6BE5" w:rsidRPr="00AC5F78">
        <w:rPr>
          <w:lang w:val="es-ES_tradnl"/>
        </w:rPr>
        <w:t xml:space="preserve"> laboral (desahucio laboral) en virtud del artículo 184 d</w:t>
      </w:r>
      <w:r w:rsidR="00E07260" w:rsidRPr="00AC5F78">
        <w:rPr>
          <w:lang w:val="es-ES_tradnl"/>
        </w:rPr>
        <w:t>el Código de</w:t>
      </w:r>
      <w:r w:rsidR="00B66C0C" w:rsidRPr="00AC5F78">
        <w:rPr>
          <w:lang w:val="es-ES_tradnl"/>
        </w:rPr>
        <w:t>l</w:t>
      </w:r>
      <w:r w:rsidR="00E07260" w:rsidRPr="00AC5F78">
        <w:rPr>
          <w:lang w:val="es-ES_tradnl"/>
        </w:rPr>
        <w:t xml:space="preserve"> Trabajo.</w:t>
      </w:r>
      <w:r w:rsidR="00EF6BE5" w:rsidRPr="00AC5F78">
        <w:rPr>
          <w:lang w:val="es-ES_tradnl"/>
        </w:rPr>
        <w:t xml:space="preserve"> El autor alega que presentó esta petición debido a que la empresa no mantenía las condiciones mínimas de limpieza y </w:t>
      </w:r>
      <w:r w:rsidR="00C73A44" w:rsidRPr="00AC5F78">
        <w:rPr>
          <w:lang w:val="es-ES_tradnl"/>
        </w:rPr>
        <w:t xml:space="preserve">medidas adecuadas </w:t>
      </w:r>
      <w:r w:rsidR="00EF6BE5" w:rsidRPr="00AC5F78">
        <w:rPr>
          <w:lang w:val="es-ES_tradnl"/>
        </w:rPr>
        <w:t>para el manejo de sustancias químicas y nocivas</w:t>
      </w:r>
      <w:r w:rsidR="00E07260" w:rsidRPr="00AC5F78">
        <w:rPr>
          <w:lang w:val="es-ES_tradnl"/>
        </w:rPr>
        <w:t>.</w:t>
      </w:r>
    </w:p>
    <w:p w14:paraId="55951DF3" w14:textId="6C5C098A" w:rsidR="00EF6BE5" w:rsidRPr="00AC5F78" w:rsidRDefault="00C30D4C">
      <w:pPr>
        <w:pStyle w:val="SingleTxtG"/>
        <w:rPr>
          <w:lang w:val="es-ES_tradnl"/>
        </w:rPr>
      </w:pPr>
      <w:r>
        <w:rPr>
          <w:lang w:val="es-ES_tradnl"/>
        </w:rPr>
        <w:t>2.3</w:t>
      </w:r>
      <w:r w:rsidR="00EF6BE5" w:rsidRPr="00AC5F78">
        <w:rPr>
          <w:lang w:val="es-ES_tradnl"/>
        </w:rPr>
        <w:tab/>
        <w:t xml:space="preserve">El autor alega que, una vez que el desahucio fue presentado, el empleador debió </w:t>
      </w:r>
      <w:r w:rsidR="00C73A44" w:rsidRPr="00AC5F78">
        <w:rPr>
          <w:lang w:val="es-ES_tradnl"/>
        </w:rPr>
        <w:t>pagarle el monto</w:t>
      </w:r>
      <w:r w:rsidR="00EF6BE5" w:rsidRPr="00AC5F78">
        <w:rPr>
          <w:lang w:val="es-ES_tradnl"/>
        </w:rPr>
        <w:t xml:space="preserve"> que le correspondía por concepto de indemnización laboral, de conformidad con lo previsto en las cláusulas 13 y 14 del </w:t>
      </w:r>
      <w:r w:rsidR="00BE79DF" w:rsidRPr="00AC5F78">
        <w:rPr>
          <w:lang w:val="es-ES_tradnl"/>
        </w:rPr>
        <w:t>s</w:t>
      </w:r>
      <w:r w:rsidR="00EF6BE5" w:rsidRPr="00AC5F78">
        <w:rPr>
          <w:lang w:val="es-ES_tradnl"/>
        </w:rPr>
        <w:t xml:space="preserve">exto </w:t>
      </w:r>
      <w:r w:rsidR="00BE79DF" w:rsidRPr="00AC5F78">
        <w:rPr>
          <w:lang w:val="es-ES_tradnl"/>
        </w:rPr>
        <w:t>c</w:t>
      </w:r>
      <w:r w:rsidR="00EF6BE5" w:rsidRPr="00AC5F78">
        <w:rPr>
          <w:lang w:val="es-ES_tradnl"/>
        </w:rPr>
        <w:t xml:space="preserve">ontrato </w:t>
      </w:r>
      <w:r w:rsidR="00BE79DF" w:rsidRPr="00AC5F78">
        <w:rPr>
          <w:lang w:val="es-ES_tradnl"/>
        </w:rPr>
        <w:t>c</w:t>
      </w:r>
      <w:r w:rsidR="00EF6BE5" w:rsidRPr="00AC5F78">
        <w:rPr>
          <w:lang w:val="es-ES_tradnl"/>
        </w:rPr>
        <w:t xml:space="preserve">olectivo de </w:t>
      </w:r>
      <w:r w:rsidR="00BE79DF" w:rsidRPr="00AC5F78">
        <w:rPr>
          <w:lang w:val="es-ES_tradnl"/>
        </w:rPr>
        <w:t>t</w:t>
      </w:r>
      <w:r w:rsidR="00EF6BE5" w:rsidRPr="00AC5F78">
        <w:rPr>
          <w:lang w:val="es-ES_tradnl"/>
        </w:rPr>
        <w:t xml:space="preserve">rabajo, suscrito entre PETROINDUSTRIAL y el </w:t>
      </w:r>
      <w:r w:rsidR="00BE79DF" w:rsidRPr="00AC5F78">
        <w:rPr>
          <w:lang w:val="es-ES_tradnl"/>
        </w:rPr>
        <w:t>c</w:t>
      </w:r>
      <w:r w:rsidR="00EF6BE5" w:rsidRPr="00AC5F78">
        <w:rPr>
          <w:lang w:val="es-ES_tradnl"/>
        </w:rPr>
        <w:t xml:space="preserve">omité de </w:t>
      </w:r>
      <w:r w:rsidR="00BE79DF" w:rsidRPr="00AC5F78">
        <w:rPr>
          <w:lang w:val="es-ES_tradnl"/>
        </w:rPr>
        <w:t>t</w:t>
      </w:r>
      <w:r w:rsidR="00EF6BE5" w:rsidRPr="00AC5F78">
        <w:rPr>
          <w:lang w:val="es-ES_tradnl"/>
        </w:rPr>
        <w:t>rabajadores CRTRAPIN el 28 de noviembre de 20</w:t>
      </w:r>
      <w:r w:rsidR="00C73A44" w:rsidRPr="00AC5F78">
        <w:rPr>
          <w:lang w:val="es-ES_tradnl"/>
        </w:rPr>
        <w:t>01</w:t>
      </w:r>
      <w:r w:rsidR="00EF6BE5" w:rsidRPr="00AC5F78">
        <w:rPr>
          <w:lang w:val="es-ES_tradnl"/>
        </w:rPr>
        <w:t>.</w:t>
      </w:r>
    </w:p>
    <w:p w14:paraId="54AAE2B2" w14:textId="0AC32616" w:rsidR="00EF6BE5" w:rsidRPr="00AC5F78" w:rsidRDefault="00EF6BE5">
      <w:pPr>
        <w:pStyle w:val="SingleTxtG"/>
        <w:rPr>
          <w:lang w:val="es-ES_tradnl"/>
        </w:rPr>
      </w:pPr>
      <w:r w:rsidRPr="00AC5F78">
        <w:rPr>
          <w:lang w:val="es-ES_tradnl"/>
        </w:rPr>
        <w:t>2.4</w:t>
      </w:r>
      <w:r w:rsidRPr="00AC5F78">
        <w:rPr>
          <w:lang w:val="es-ES_tradnl"/>
        </w:rPr>
        <w:tab/>
        <w:t xml:space="preserve">PETROINDUSTRIAL </w:t>
      </w:r>
      <w:r w:rsidR="00C73A44" w:rsidRPr="00AC5F78">
        <w:rPr>
          <w:lang w:val="es-ES_tradnl"/>
        </w:rPr>
        <w:t xml:space="preserve">pagó </w:t>
      </w:r>
      <w:r w:rsidRPr="00AC5F78">
        <w:rPr>
          <w:lang w:val="es-ES_tradnl"/>
        </w:rPr>
        <w:t xml:space="preserve">al autor, a través de acta de finiquito, la cantidad de 28.589,12 </w:t>
      </w:r>
      <w:r w:rsidR="00B66C0C" w:rsidRPr="00AC5F78">
        <w:rPr>
          <w:lang w:val="es-ES_tradnl"/>
        </w:rPr>
        <w:t xml:space="preserve">dólares de los Estados Unidos </w:t>
      </w:r>
      <w:r w:rsidRPr="00AC5F78">
        <w:rPr>
          <w:lang w:val="es-ES_tradnl"/>
        </w:rPr>
        <w:t xml:space="preserve">correspondiente al bono por desahucio contemplado en el </w:t>
      </w:r>
      <w:r w:rsidR="00B66C0C" w:rsidRPr="00AC5F78">
        <w:rPr>
          <w:lang w:val="es-ES_tradnl"/>
        </w:rPr>
        <w:t>a</w:t>
      </w:r>
      <w:r w:rsidRPr="00AC5F78">
        <w:rPr>
          <w:lang w:val="es-ES_tradnl"/>
        </w:rPr>
        <w:t>rt</w:t>
      </w:r>
      <w:r w:rsidR="00B66C0C" w:rsidRPr="00AC5F78">
        <w:rPr>
          <w:lang w:val="es-ES_tradnl"/>
        </w:rPr>
        <w:t>í</w:t>
      </w:r>
      <w:r w:rsidR="00E07260" w:rsidRPr="00AC5F78">
        <w:rPr>
          <w:lang w:val="es-ES_tradnl"/>
        </w:rPr>
        <w:t>culo 185 del Código del Trabajo.</w:t>
      </w:r>
      <w:r w:rsidRPr="00AC5F78">
        <w:rPr>
          <w:lang w:val="es-ES_tradnl"/>
        </w:rPr>
        <w:t xml:space="preserve"> El autor sostiene que la empresa nunca </w:t>
      </w:r>
      <w:r w:rsidR="00C73A44" w:rsidRPr="00AC5F78">
        <w:rPr>
          <w:lang w:val="es-ES_tradnl"/>
        </w:rPr>
        <w:t>pagó el monto</w:t>
      </w:r>
      <w:r w:rsidRPr="00AC5F78">
        <w:rPr>
          <w:lang w:val="es-ES_tradnl"/>
        </w:rPr>
        <w:t xml:space="preserve"> correspondiente a la totalidad de la indemnización prevista en la cláusula 14 del </w:t>
      </w:r>
      <w:r w:rsidR="00335D28" w:rsidRPr="00AC5F78">
        <w:rPr>
          <w:lang w:val="es-ES_tradnl"/>
        </w:rPr>
        <w:t>s</w:t>
      </w:r>
      <w:r w:rsidRPr="00AC5F78">
        <w:rPr>
          <w:lang w:val="es-ES_tradnl"/>
        </w:rPr>
        <w:t>ext</w:t>
      </w:r>
      <w:r w:rsidR="00E07260" w:rsidRPr="00AC5F78">
        <w:rPr>
          <w:lang w:val="es-ES_tradnl"/>
        </w:rPr>
        <w:t xml:space="preserve">o </w:t>
      </w:r>
      <w:r w:rsidR="00335D28" w:rsidRPr="00AC5F78">
        <w:rPr>
          <w:lang w:val="es-ES_tradnl"/>
        </w:rPr>
        <w:t>c</w:t>
      </w:r>
      <w:r w:rsidR="00E07260" w:rsidRPr="00AC5F78">
        <w:rPr>
          <w:lang w:val="es-ES_tradnl"/>
        </w:rPr>
        <w:t xml:space="preserve">ontrato </w:t>
      </w:r>
      <w:r w:rsidR="00335D28" w:rsidRPr="00AC5F78">
        <w:rPr>
          <w:lang w:val="es-ES_tradnl"/>
        </w:rPr>
        <w:t>c</w:t>
      </w:r>
      <w:r w:rsidR="00E07260" w:rsidRPr="00AC5F78">
        <w:rPr>
          <w:lang w:val="es-ES_tradnl"/>
        </w:rPr>
        <w:t xml:space="preserve">olectivo de </w:t>
      </w:r>
      <w:r w:rsidR="00335D28" w:rsidRPr="00AC5F78">
        <w:rPr>
          <w:lang w:val="es-ES_tradnl"/>
        </w:rPr>
        <w:t>t</w:t>
      </w:r>
      <w:r w:rsidR="00E07260" w:rsidRPr="00AC5F78">
        <w:rPr>
          <w:lang w:val="es-ES_tradnl"/>
        </w:rPr>
        <w:t>rabajo.</w:t>
      </w:r>
    </w:p>
    <w:p w14:paraId="3AC7A453" w14:textId="0789C951" w:rsidR="00EF6BE5" w:rsidRPr="00AC5F78" w:rsidRDefault="00EF6BE5">
      <w:pPr>
        <w:pStyle w:val="SingleTxtG"/>
        <w:rPr>
          <w:lang w:val="es-ES_tradnl"/>
        </w:rPr>
      </w:pPr>
      <w:r w:rsidRPr="00AC5F78">
        <w:rPr>
          <w:lang w:val="es-ES_tradnl"/>
        </w:rPr>
        <w:t>2.5</w:t>
      </w:r>
      <w:r w:rsidRPr="00AC5F78">
        <w:rPr>
          <w:lang w:val="es-ES_tradnl"/>
        </w:rPr>
        <w:tab/>
        <w:t xml:space="preserve">El autor interpuso una demanda ante el Juzgado Primero de Trabajo de Esmeraldas (Juzgado </w:t>
      </w:r>
      <w:r w:rsidR="004F7808" w:rsidRPr="00AC5F78">
        <w:rPr>
          <w:lang w:val="es-ES_tradnl"/>
        </w:rPr>
        <w:t xml:space="preserve">núm. </w:t>
      </w:r>
      <w:r w:rsidRPr="00AC5F78">
        <w:rPr>
          <w:lang w:val="es-ES_tradnl"/>
        </w:rPr>
        <w:t xml:space="preserve">1) </w:t>
      </w:r>
      <w:r w:rsidR="00C73A44" w:rsidRPr="00AC5F78">
        <w:rPr>
          <w:lang w:val="es-ES_tradnl"/>
        </w:rPr>
        <w:t xml:space="preserve">y solicitó </w:t>
      </w:r>
      <w:r w:rsidR="004F7808" w:rsidRPr="00AC5F78">
        <w:rPr>
          <w:lang w:val="es-ES_tradnl"/>
        </w:rPr>
        <w:t xml:space="preserve">entre otros </w:t>
      </w:r>
      <w:r w:rsidRPr="00AC5F78">
        <w:rPr>
          <w:lang w:val="es-ES_tradnl"/>
        </w:rPr>
        <w:t xml:space="preserve">el pago de los valores correspondientes a la totalidad de </w:t>
      </w:r>
      <w:r w:rsidR="00741864" w:rsidRPr="00AC5F78">
        <w:rPr>
          <w:lang w:val="es-ES_tradnl"/>
        </w:rPr>
        <w:t xml:space="preserve">la </w:t>
      </w:r>
      <w:r w:rsidRPr="00AC5F78">
        <w:rPr>
          <w:lang w:val="es-ES_tradnl"/>
        </w:rPr>
        <w:t xml:space="preserve">indemnización prevista en la cláusula 14 del </w:t>
      </w:r>
      <w:r w:rsidR="004F7808" w:rsidRPr="00AC5F78">
        <w:rPr>
          <w:lang w:val="es-ES_tradnl"/>
        </w:rPr>
        <w:t>s</w:t>
      </w:r>
      <w:r w:rsidRPr="00AC5F78">
        <w:rPr>
          <w:lang w:val="es-ES_tradnl"/>
        </w:rPr>
        <w:t xml:space="preserve">exto </w:t>
      </w:r>
      <w:r w:rsidR="004F7808" w:rsidRPr="00AC5F78">
        <w:rPr>
          <w:lang w:val="es-ES_tradnl"/>
        </w:rPr>
        <w:t>c</w:t>
      </w:r>
      <w:r w:rsidRPr="00AC5F78">
        <w:rPr>
          <w:lang w:val="es-ES_tradnl"/>
        </w:rPr>
        <w:t xml:space="preserve">ontrato </w:t>
      </w:r>
      <w:r w:rsidR="004F7808" w:rsidRPr="00AC5F78">
        <w:rPr>
          <w:lang w:val="es-ES_tradnl"/>
        </w:rPr>
        <w:t>c</w:t>
      </w:r>
      <w:r w:rsidRPr="00AC5F78">
        <w:rPr>
          <w:lang w:val="es-ES_tradnl"/>
        </w:rPr>
        <w:t xml:space="preserve">olectivo de </w:t>
      </w:r>
      <w:r w:rsidR="004F7808" w:rsidRPr="00AC5F78">
        <w:rPr>
          <w:lang w:val="es-ES_tradnl"/>
        </w:rPr>
        <w:t>t</w:t>
      </w:r>
      <w:r w:rsidRPr="00AC5F78">
        <w:rPr>
          <w:lang w:val="es-ES_tradnl"/>
        </w:rPr>
        <w:t>rabajo, solicitando e</w:t>
      </w:r>
      <w:r w:rsidR="00E07260" w:rsidRPr="00AC5F78">
        <w:rPr>
          <w:lang w:val="es-ES_tradnl"/>
        </w:rPr>
        <w:t>l pago total de 331.576,54</w:t>
      </w:r>
      <w:r w:rsidR="004F7808" w:rsidRPr="00AC5F78">
        <w:rPr>
          <w:lang w:val="es-ES_tradnl"/>
        </w:rPr>
        <w:t xml:space="preserve"> dólares</w:t>
      </w:r>
      <w:r w:rsidR="00E07260" w:rsidRPr="00AC5F78">
        <w:rPr>
          <w:lang w:val="es-ES_tradnl"/>
        </w:rPr>
        <w:t>.</w:t>
      </w:r>
    </w:p>
    <w:p w14:paraId="17F7DFF1" w14:textId="29378DC8" w:rsidR="00EF6BE5" w:rsidRPr="00AC5F78" w:rsidRDefault="00EF6BE5">
      <w:pPr>
        <w:pStyle w:val="SingleTxtG"/>
        <w:rPr>
          <w:lang w:val="es-ES_tradnl"/>
        </w:rPr>
      </w:pPr>
      <w:r w:rsidRPr="00AC5F78">
        <w:rPr>
          <w:lang w:val="es-ES_tradnl"/>
        </w:rPr>
        <w:t>2.6</w:t>
      </w:r>
      <w:r w:rsidRPr="00AC5F78">
        <w:rPr>
          <w:lang w:val="es-ES_tradnl"/>
        </w:rPr>
        <w:tab/>
        <w:t xml:space="preserve">El 26 de noviembre </w:t>
      </w:r>
      <w:r w:rsidR="00901E5D" w:rsidRPr="00AC5F78">
        <w:rPr>
          <w:lang w:val="es-ES_tradnl"/>
        </w:rPr>
        <w:t xml:space="preserve">de </w:t>
      </w:r>
      <w:r w:rsidRPr="00AC5F78">
        <w:rPr>
          <w:lang w:val="es-ES_tradnl"/>
        </w:rPr>
        <w:t xml:space="preserve">2008, el Juzgado </w:t>
      </w:r>
      <w:r w:rsidR="00901E5D" w:rsidRPr="00AC5F78">
        <w:rPr>
          <w:lang w:val="es-ES_tradnl"/>
        </w:rPr>
        <w:t xml:space="preserve">núm. </w:t>
      </w:r>
      <w:r w:rsidRPr="00AC5F78">
        <w:rPr>
          <w:lang w:val="es-ES_tradnl"/>
        </w:rPr>
        <w:t xml:space="preserve">1 </w:t>
      </w:r>
      <w:r w:rsidR="00983606" w:rsidRPr="00AC5F78">
        <w:rPr>
          <w:lang w:val="es-ES_tradnl"/>
        </w:rPr>
        <w:t xml:space="preserve">declaró fundada parcialmente la demanda del autor toda vez que el acta de finiquito no había establecido valor alguno para el pago de contribución por separación voluntaria, </w:t>
      </w:r>
      <w:r w:rsidRPr="00AC5F78">
        <w:rPr>
          <w:lang w:val="es-ES_tradnl"/>
        </w:rPr>
        <w:t xml:space="preserve">determinó el derecho a la indemnización contemplada en la cláusula 14 del </w:t>
      </w:r>
      <w:r w:rsidR="00901E5D" w:rsidRPr="00AC5F78">
        <w:rPr>
          <w:lang w:val="es-ES_tradnl"/>
        </w:rPr>
        <w:t>c</w:t>
      </w:r>
      <w:r w:rsidRPr="00AC5F78">
        <w:rPr>
          <w:lang w:val="es-ES_tradnl"/>
        </w:rPr>
        <w:t xml:space="preserve">ontrato </w:t>
      </w:r>
      <w:r w:rsidR="00901E5D" w:rsidRPr="00AC5F78">
        <w:rPr>
          <w:lang w:val="es-ES_tradnl"/>
        </w:rPr>
        <w:t>c</w:t>
      </w:r>
      <w:r w:rsidRPr="00AC5F78">
        <w:rPr>
          <w:lang w:val="es-ES_tradnl"/>
        </w:rPr>
        <w:t xml:space="preserve">olectivo de </w:t>
      </w:r>
      <w:r w:rsidR="00901E5D" w:rsidRPr="00AC5F78">
        <w:rPr>
          <w:lang w:val="es-ES_tradnl"/>
        </w:rPr>
        <w:t>t</w:t>
      </w:r>
      <w:r w:rsidRPr="00AC5F78">
        <w:rPr>
          <w:lang w:val="es-ES_tradnl"/>
        </w:rPr>
        <w:t xml:space="preserve">rabajo a favor del autor y dispuso </w:t>
      </w:r>
      <w:r w:rsidR="00C73A44" w:rsidRPr="00AC5F78">
        <w:rPr>
          <w:lang w:val="es-ES_tradnl"/>
        </w:rPr>
        <w:t xml:space="preserve">que </w:t>
      </w:r>
      <w:r w:rsidRPr="00AC5F78">
        <w:rPr>
          <w:lang w:val="es-ES_tradnl"/>
        </w:rPr>
        <w:t xml:space="preserve">PETROINDUSTRIAL </w:t>
      </w:r>
      <w:r w:rsidR="00C73A44" w:rsidRPr="00AC5F78">
        <w:rPr>
          <w:lang w:val="es-ES_tradnl"/>
        </w:rPr>
        <w:t>pagase</w:t>
      </w:r>
      <w:r w:rsidR="00D06C71" w:rsidRPr="00AC5F78">
        <w:rPr>
          <w:lang w:val="es-ES_tradnl"/>
        </w:rPr>
        <w:t xml:space="preserve"> al autor</w:t>
      </w:r>
      <w:r w:rsidRPr="00AC5F78">
        <w:rPr>
          <w:lang w:val="es-ES_tradnl"/>
        </w:rPr>
        <w:t xml:space="preserve"> 262.291</w:t>
      </w:r>
      <w:r w:rsidR="00901E5D" w:rsidRPr="00AC5F78">
        <w:rPr>
          <w:lang w:val="es-ES_tradnl"/>
        </w:rPr>
        <w:t xml:space="preserve"> dólares</w:t>
      </w:r>
      <w:r w:rsidRPr="00AC5F78">
        <w:rPr>
          <w:lang w:val="es-ES_tradnl"/>
        </w:rPr>
        <w:t>.</w:t>
      </w:r>
    </w:p>
    <w:p w14:paraId="1B56E796" w14:textId="5C66A379" w:rsidR="00EF6BE5" w:rsidRPr="00AC5F78" w:rsidRDefault="00EF6BE5">
      <w:pPr>
        <w:pStyle w:val="SingleTxtG"/>
        <w:rPr>
          <w:lang w:val="es-ES_tradnl"/>
        </w:rPr>
      </w:pPr>
      <w:r w:rsidRPr="00AC5F78">
        <w:rPr>
          <w:lang w:val="es-ES_tradnl"/>
        </w:rPr>
        <w:t>2.7</w:t>
      </w:r>
      <w:r w:rsidRPr="00AC5F78">
        <w:rPr>
          <w:lang w:val="es-ES_tradnl"/>
        </w:rPr>
        <w:tab/>
        <w:t>Las partes presentaron recurso de apelación contra la sentencia del Juzgado</w:t>
      </w:r>
      <w:r w:rsidR="002D46A4" w:rsidRPr="00AC5F78">
        <w:rPr>
          <w:lang w:val="es-ES_tradnl"/>
        </w:rPr>
        <w:t xml:space="preserve"> núm</w:t>
      </w:r>
      <w:r w:rsidRPr="00AC5F78">
        <w:rPr>
          <w:lang w:val="es-ES_tradnl"/>
        </w:rPr>
        <w:t>.</w:t>
      </w:r>
      <w:r w:rsidR="00C30D4C">
        <w:rPr>
          <w:lang w:val="es-ES_tradnl"/>
        </w:rPr>
        <w:t> </w:t>
      </w:r>
      <w:r w:rsidRPr="00AC5F78">
        <w:rPr>
          <w:lang w:val="es-ES_tradnl"/>
        </w:rPr>
        <w:t xml:space="preserve">1 ante la Corte Provincial de Justicia de Esmeraldas. El 8 de mayo de 2009, la Corte Provincial confirmó la sentencia de primera instancia y ordenó </w:t>
      </w:r>
      <w:r w:rsidR="00C73A44" w:rsidRPr="00AC5F78">
        <w:rPr>
          <w:lang w:val="es-ES_tradnl"/>
        </w:rPr>
        <w:t>pagar</w:t>
      </w:r>
      <w:r w:rsidRPr="00AC5F78">
        <w:rPr>
          <w:lang w:val="es-ES_tradnl"/>
        </w:rPr>
        <w:t xml:space="preserve"> al autor 262.291</w:t>
      </w:r>
      <w:r w:rsidR="002D46A4" w:rsidRPr="00AC5F78">
        <w:rPr>
          <w:lang w:val="es-ES_tradnl"/>
        </w:rPr>
        <w:t xml:space="preserve"> dólares</w:t>
      </w:r>
      <w:r w:rsidRPr="00AC5F78">
        <w:rPr>
          <w:lang w:val="es-ES_tradnl"/>
        </w:rPr>
        <w:t>.</w:t>
      </w:r>
    </w:p>
    <w:p w14:paraId="6FFF2075" w14:textId="5B750D3E" w:rsidR="00EF6BE5" w:rsidRPr="00AC5F78" w:rsidRDefault="00EF6BE5">
      <w:pPr>
        <w:pStyle w:val="SingleTxtG"/>
        <w:rPr>
          <w:lang w:val="es-ES_tradnl"/>
        </w:rPr>
      </w:pPr>
      <w:r w:rsidRPr="00AC5F78">
        <w:rPr>
          <w:lang w:val="es-ES_tradnl"/>
        </w:rPr>
        <w:t>2.8</w:t>
      </w:r>
      <w:r w:rsidR="00D06C71" w:rsidRPr="00AC5F78">
        <w:rPr>
          <w:lang w:val="es-ES_tradnl"/>
        </w:rPr>
        <w:tab/>
      </w:r>
      <w:r w:rsidRPr="00AC5F78">
        <w:rPr>
          <w:lang w:val="es-ES_tradnl"/>
        </w:rPr>
        <w:t xml:space="preserve">Posteriormente, la Procuraduría General del Estado interpuso recurso de casación contra la sentencia de la Corte Provincial ante la Corte Nacional de Justicia y sostuvo que la Corte había incurrido </w:t>
      </w:r>
      <w:r w:rsidR="00C73A44" w:rsidRPr="00AC5F78">
        <w:rPr>
          <w:lang w:val="es-ES_tradnl"/>
        </w:rPr>
        <w:t xml:space="preserve">en </w:t>
      </w:r>
      <w:r w:rsidRPr="00AC5F78">
        <w:rPr>
          <w:lang w:val="es-ES_tradnl"/>
        </w:rPr>
        <w:t xml:space="preserve">un error de cálculo toda vez que la cantidad que el autor debía recibir era </w:t>
      </w:r>
      <w:r w:rsidR="002B7859" w:rsidRPr="00AC5F78">
        <w:rPr>
          <w:lang w:val="es-ES_tradnl"/>
        </w:rPr>
        <w:t xml:space="preserve">de </w:t>
      </w:r>
      <w:r w:rsidRPr="00AC5F78">
        <w:rPr>
          <w:lang w:val="es-ES_tradnl"/>
        </w:rPr>
        <w:t>255.091</w:t>
      </w:r>
      <w:r w:rsidR="00C77E9F" w:rsidRPr="00AC5F78">
        <w:rPr>
          <w:lang w:val="es-ES_tradnl"/>
        </w:rPr>
        <w:t>,</w:t>
      </w:r>
      <w:r w:rsidRPr="00AC5F78">
        <w:rPr>
          <w:lang w:val="es-ES_tradnl"/>
        </w:rPr>
        <w:t>18</w:t>
      </w:r>
      <w:r w:rsidR="00C77E9F" w:rsidRPr="00AC5F78">
        <w:rPr>
          <w:lang w:val="es-ES_tradnl"/>
        </w:rPr>
        <w:t xml:space="preserve"> dólares</w:t>
      </w:r>
      <w:r w:rsidRPr="00AC5F78">
        <w:rPr>
          <w:lang w:val="es-ES_tradnl"/>
        </w:rPr>
        <w:t>.</w:t>
      </w:r>
    </w:p>
    <w:p w14:paraId="298D26D6" w14:textId="648556B3" w:rsidR="00EF6BE5" w:rsidRPr="00AC5F78" w:rsidRDefault="00EF6BE5">
      <w:pPr>
        <w:pStyle w:val="SingleTxtG"/>
        <w:rPr>
          <w:lang w:val="es-ES_tradnl"/>
        </w:rPr>
      </w:pPr>
      <w:r w:rsidRPr="00AC5F78">
        <w:rPr>
          <w:lang w:val="es-ES_tradnl"/>
        </w:rPr>
        <w:t>2.9</w:t>
      </w:r>
      <w:r w:rsidR="00D06C71" w:rsidRPr="00AC5F78">
        <w:rPr>
          <w:lang w:val="es-ES_tradnl"/>
        </w:rPr>
        <w:tab/>
      </w:r>
      <w:r w:rsidRPr="00AC5F78">
        <w:rPr>
          <w:lang w:val="es-ES_tradnl"/>
        </w:rPr>
        <w:t xml:space="preserve">El 30 de mayo de 2011, la </w:t>
      </w:r>
      <w:r w:rsidR="00490CCF" w:rsidRPr="00AC5F78">
        <w:rPr>
          <w:lang w:val="es-ES_tradnl"/>
        </w:rPr>
        <w:t xml:space="preserve">Corte Nacional de Justicia </w:t>
      </w:r>
      <w:r w:rsidR="00983606" w:rsidRPr="00AC5F78">
        <w:rPr>
          <w:lang w:val="es-ES_tradnl"/>
        </w:rPr>
        <w:t xml:space="preserve">casó la sentencia de la Corte Provincial y </w:t>
      </w:r>
      <w:r w:rsidR="00D06C71" w:rsidRPr="00AC5F78">
        <w:rPr>
          <w:lang w:val="es-ES_tradnl"/>
        </w:rPr>
        <w:t>desestimó la demanda inicial del autor</w:t>
      </w:r>
      <w:r w:rsidRPr="00AC5F78">
        <w:rPr>
          <w:lang w:val="es-ES_tradnl"/>
        </w:rPr>
        <w:t xml:space="preserve">. La </w:t>
      </w:r>
      <w:r w:rsidR="00AA78C7" w:rsidRPr="00AC5F78">
        <w:rPr>
          <w:lang w:val="es-ES_tradnl"/>
        </w:rPr>
        <w:t xml:space="preserve">Corte Nacional de Justicia </w:t>
      </w:r>
      <w:r w:rsidRPr="00AC5F78">
        <w:rPr>
          <w:lang w:val="es-ES_tradnl"/>
        </w:rPr>
        <w:t xml:space="preserve">señaló que la relación laboral entre las </w:t>
      </w:r>
      <w:r w:rsidR="007A60D4" w:rsidRPr="00AC5F78">
        <w:rPr>
          <w:lang w:val="es-ES_tradnl"/>
        </w:rPr>
        <w:t>parte</w:t>
      </w:r>
      <w:r w:rsidR="007611BD" w:rsidRPr="00AC5F78">
        <w:rPr>
          <w:lang w:val="es-ES_tradnl"/>
        </w:rPr>
        <w:t>s</w:t>
      </w:r>
      <w:r w:rsidRPr="00AC5F78">
        <w:rPr>
          <w:lang w:val="es-ES_tradnl"/>
        </w:rPr>
        <w:t xml:space="preserve"> concluyó por desahucio presentado por el autor. Al respecto, la </w:t>
      </w:r>
      <w:r w:rsidR="00AA78C7" w:rsidRPr="00AC5F78">
        <w:rPr>
          <w:lang w:val="es-ES_tradnl"/>
        </w:rPr>
        <w:t xml:space="preserve">Corte Nacional de Justicia </w:t>
      </w:r>
      <w:r w:rsidR="00983606" w:rsidRPr="00AC5F78">
        <w:rPr>
          <w:lang w:val="es-ES_tradnl"/>
        </w:rPr>
        <w:t>señaló</w:t>
      </w:r>
      <w:r w:rsidRPr="00AC5F78">
        <w:rPr>
          <w:lang w:val="es-ES_tradnl"/>
        </w:rPr>
        <w:t xml:space="preserve"> que el desahucio y la separación voluntaria eran dos figuras y conceptos jurídicos diferentes, ya que el primero era el aviso con el que una de las partes hacía saber a la otra su voluntad de dar por te</w:t>
      </w:r>
      <w:r w:rsidR="00983606" w:rsidRPr="00AC5F78">
        <w:rPr>
          <w:lang w:val="es-ES_tradnl"/>
        </w:rPr>
        <w:t xml:space="preserve">rminado el contrato de trabajo, </w:t>
      </w:r>
      <w:r w:rsidRPr="00AC5F78">
        <w:rPr>
          <w:lang w:val="es-ES_tradnl"/>
        </w:rPr>
        <w:t>no siendo necesario invocar ningún motivo que lo justifique</w:t>
      </w:r>
      <w:r w:rsidR="00BA2808" w:rsidRPr="00AC5F78">
        <w:rPr>
          <w:lang w:val="es-ES_tradnl"/>
        </w:rPr>
        <w:t>,</w:t>
      </w:r>
      <w:r w:rsidRPr="00AC5F78">
        <w:rPr>
          <w:lang w:val="es-ES_tradnl"/>
        </w:rPr>
        <w:t xml:space="preserve"> y que el desahucio lleva</w:t>
      </w:r>
      <w:r w:rsidR="00C73A44" w:rsidRPr="00AC5F78">
        <w:rPr>
          <w:lang w:val="es-ES_tradnl"/>
        </w:rPr>
        <w:t>ba</w:t>
      </w:r>
      <w:r w:rsidRPr="00AC5F78">
        <w:rPr>
          <w:lang w:val="es-ES_tradnl"/>
        </w:rPr>
        <w:t xml:space="preserve"> consigo un trámite administrativo en el cual se satisfac</w:t>
      </w:r>
      <w:r w:rsidR="00C73A44" w:rsidRPr="00AC5F78">
        <w:rPr>
          <w:lang w:val="es-ES_tradnl"/>
        </w:rPr>
        <w:t>ía</w:t>
      </w:r>
      <w:r w:rsidRPr="00AC5F78">
        <w:rPr>
          <w:lang w:val="es-ES_tradnl"/>
        </w:rPr>
        <w:t xml:space="preserve"> un pago </w:t>
      </w:r>
      <w:proofErr w:type="spellStart"/>
      <w:r w:rsidRPr="00AC5F78">
        <w:rPr>
          <w:lang w:val="es-ES_tradnl"/>
        </w:rPr>
        <w:t>bonificatorio</w:t>
      </w:r>
      <w:proofErr w:type="spellEnd"/>
      <w:r w:rsidRPr="00AC5F78">
        <w:rPr>
          <w:lang w:val="es-ES_tradnl"/>
        </w:rPr>
        <w:t xml:space="preserve"> </w:t>
      </w:r>
      <w:r w:rsidR="00C73A44" w:rsidRPr="00AC5F78">
        <w:rPr>
          <w:lang w:val="es-ES_tradnl"/>
        </w:rPr>
        <w:t>dentro de los</w:t>
      </w:r>
      <w:r w:rsidRPr="00AC5F78">
        <w:rPr>
          <w:lang w:val="es-ES_tradnl"/>
        </w:rPr>
        <w:t xml:space="preserve"> límites </w:t>
      </w:r>
      <w:r w:rsidR="00C73A44" w:rsidRPr="00AC5F78">
        <w:rPr>
          <w:lang w:val="es-ES_tradnl"/>
        </w:rPr>
        <w:t xml:space="preserve">y </w:t>
      </w:r>
      <w:r w:rsidRPr="00AC5F78">
        <w:rPr>
          <w:lang w:val="es-ES_tradnl"/>
        </w:rPr>
        <w:t>prohibiciones</w:t>
      </w:r>
      <w:r w:rsidR="00C73A44" w:rsidRPr="00AC5F78">
        <w:rPr>
          <w:lang w:val="es-ES_tradnl"/>
        </w:rPr>
        <w:t xml:space="preserve"> establecidos por ley</w:t>
      </w:r>
      <w:r w:rsidRPr="00AC5F78">
        <w:rPr>
          <w:lang w:val="es-ES_tradnl"/>
        </w:rPr>
        <w:t xml:space="preserve">. Por otro lado, la separación voluntaria contenida en la cláusula 14 del </w:t>
      </w:r>
      <w:r w:rsidR="00BA2808" w:rsidRPr="00AC5F78">
        <w:rPr>
          <w:lang w:val="es-ES_tradnl"/>
        </w:rPr>
        <w:t>c</w:t>
      </w:r>
      <w:r w:rsidRPr="00AC5F78">
        <w:rPr>
          <w:lang w:val="es-ES_tradnl"/>
        </w:rPr>
        <w:t xml:space="preserve">ontrato </w:t>
      </w:r>
      <w:r w:rsidR="00BA2808" w:rsidRPr="00AC5F78">
        <w:rPr>
          <w:lang w:val="es-ES_tradnl"/>
        </w:rPr>
        <w:t>c</w:t>
      </w:r>
      <w:r w:rsidRPr="00AC5F78">
        <w:rPr>
          <w:lang w:val="es-ES_tradnl"/>
        </w:rPr>
        <w:t xml:space="preserve">olectivo de </w:t>
      </w:r>
      <w:r w:rsidR="00BA2808" w:rsidRPr="00AC5F78">
        <w:rPr>
          <w:lang w:val="es-ES_tradnl"/>
        </w:rPr>
        <w:t>t</w:t>
      </w:r>
      <w:r w:rsidRPr="00AC5F78">
        <w:rPr>
          <w:lang w:val="es-ES_tradnl"/>
        </w:rPr>
        <w:t xml:space="preserve">rabajo era una forma convenida contractualmente para dar por concluidas las relaciones laborales, sin requerir la intervención del </w:t>
      </w:r>
      <w:r w:rsidR="004838A7" w:rsidRPr="00AC5F78">
        <w:rPr>
          <w:lang w:val="es-ES_tradnl"/>
        </w:rPr>
        <w:t>i</w:t>
      </w:r>
      <w:r w:rsidRPr="00AC5F78">
        <w:rPr>
          <w:lang w:val="es-ES_tradnl"/>
        </w:rPr>
        <w:t>nspector de</w:t>
      </w:r>
      <w:r w:rsidR="00FD6BB3" w:rsidRPr="00AC5F78">
        <w:rPr>
          <w:lang w:val="es-ES_tradnl"/>
        </w:rPr>
        <w:t>l</w:t>
      </w:r>
      <w:r w:rsidRPr="00AC5F78">
        <w:rPr>
          <w:lang w:val="es-ES_tradnl"/>
        </w:rPr>
        <w:t xml:space="preserve"> </w:t>
      </w:r>
      <w:r w:rsidR="004838A7" w:rsidRPr="00AC5F78">
        <w:rPr>
          <w:lang w:val="es-ES_tradnl"/>
        </w:rPr>
        <w:t>t</w:t>
      </w:r>
      <w:r w:rsidRPr="00AC5F78">
        <w:rPr>
          <w:lang w:val="es-ES_tradnl"/>
        </w:rPr>
        <w:t xml:space="preserve">rabajo, al ser una opción voluntaria que podía ser ejercida por el trabajador y con la cual </w:t>
      </w:r>
      <w:r w:rsidR="00771435" w:rsidRPr="00AC5F78">
        <w:rPr>
          <w:lang w:val="es-ES_tradnl"/>
        </w:rPr>
        <w:t>recibía</w:t>
      </w:r>
      <w:r w:rsidRPr="00AC5F78">
        <w:rPr>
          <w:lang w:val="es-ES_tradnl"/>
        </w:rPr>
        <w:t xml:space="preserve"> una contribución calculada de conformidad con la f</w:t>
      </w:r>
      <w:r w:rsidR="00771435" w:rsidRPr="00AC5F78">
        <w:rPr>
          <w:lang w:val="es-ES_tradnl"/>
        </w:rPr>
        <w:t>ó</w:t>
      </w:r>
      <w:r w:rsidRPr="00AC5F78">
        <w:rPr>
          <w:lang w:val="es-ES_tradnl"/>
        </w:rPr>
        <w:t xml:space="preserve">rmula en ella establecida. La </w:t>
      </w:r>
      <w:r w:rsidR="00AA78C7" w:rsidRPr="00AC5F78">
        <w:rPr>
          <w:lang w:val="es-ES_tradnl"/>
        </w:rPr>
        <w:t xml:space="preserve">Corte Nacional de Justicia </w:t>
      </w:r>
      <w:r w:rsidRPr="00AC5F78">
        <w:rPr>
          <w:lang w:val="es-ES_tradnl"/>
        </w:rPr>
        <w:t>concluyó que el autor optó p</w:t>
      </w:r>
      <w:r w:rsidR="004838A7" w:rsidRPr="00AC5F78">
        <w:rPr>
          <w:lang w:val="es-ES_tradnl"/>
        </w:rPr>
        <w:t xml:space="preserve">or </w:t>
      </w:r>
      <w:r w:rsidRPr="00AC5F78">
        <w:rPr>
          <w:lang w:val="es-ES_tradnl"/>
        </w:rPr>
        <w:t>dar por concluida la relación laboral con la empresa a través de desahucio y recibió la bonificación que legalmente le correspondía</w:t>
      </w:r>
      <w:r w:rsidR="00771435" w:rsidRPr="00AC5F78">
        <w:rPr>
          <w:lang w:val="es-ES_tradnl"/>
        </w:rPr>
        <w:t>. N</w:t>
      </w:r>
      <w:r w:rsidRPr="00AC5F78">
        <w:rPr>
          <w:lang w:val="es-ES_tradnl"/>
        </w:rPr>
        <w:t xml:space="preserve">i la ley ni el convenio colectivo establecían el pago </w:t>
      </w:r>
      <w:proofErr w:type="spellStart"/>
      <w:r w:rsidRPr="00AC5F78">
        <w:rPr>
          <w:lang w:val="es-ES_tradnl"/>
        </w:rPr>
        <w:t>bonificatorio</w:t>
      </w:r>
      <w:proofErr w:type="spellEnd"/>
      <w:r w:rsidRPr="00AC5F78">
        <w:rPr>
          <w:lang w:val="es-ES_tradnl"/>
        </w:rPr>
        <w:t xml:space="preserve"> acumulado generado por una misma causa o motivo previsto para la separación voluntaria, pues era</w:t>
      </w:r>
      <w:r w:rsidR="004838A7" w:rsidRPr="00AC5F78">
        <w:rPr>
          <w:lang w:val="es-ES_tradnl"/>
        </w:rPr>
        <w:t>n</w:t>
      </w:r>
      <w:r w:rsidRPr="00AC5F78">
        <w:rPr>
          <w:lang w:val="es-ES_tradnl"/>
        </w:rPr>
        <w:t xml:space="preserve"> dos hechos jurídicos diferentes, por lo que no era posible que el juez, arbitrariamente, haya desconocido la forma de terminación de la relación laboral y haya otorgado un derecho que no correspondía a las circunstancias demostradas en el proceso.</w:t>
      </w:r>
    </w:p>
    <w:p w14:paraId="27179CD0" w14:textId="7F3EF297" w:rsidR="00EF6BE5" w:rsidRPr="00AC5F78" w:rsidRDefault="00490F37">
      <w:pPr>
        <w:pStyle w:val="SingleTxtG"/>
        <w:rPr>
          <w:lang w:val="es-ES_tradnl"/>
        </w:rPr>
      </w:pPr>
      <w:r w:rsidRPr="00AC5F78">
        <w:rPr>
          <w:lang w:val="es-ES_tradnl"/>
        </w:rPr>
        <w:t>2.10</w:t>
      </w:r>
      <w:r w:rsidRPr="00AC5F78">
        <w:rPr>
          <w:lang w:val="es-ES_tradnl"/>
        </w:rPr>
        <w:tab/>
      </w:r>
      <w:r w:rsidR="00EF6BE5" w:rsidRPr="00AC5F78">
        <w:rPr>
          <w:lang w:val="es-ES_tradnl"/>
        </w:rPr>
        <w:t xml:space="preserve">El 14 de junio de 2011, el autor presentó ante la Corte Constitucional una acción extraordinaria de protección contra la sentencia de casación del 30 de mayo de 2011 </w:t>
      </w:r>
      <w:r w:rsidR="004403DA" w:rsidRPr="00AC5F78">
        <w:rPr>
          <w:lang w:val="es-ES_tradnl"/>
        </w:rPr>
        <w:t xml:space="preserve">y solicitó se deje sin efecto la sentencia de casación de la </w:t>
      </w:r>
      <w:r w:rsidR="004838A7" w:rsidRPr="00AC5F78">
        <w:rPr>
          <w:lang w:val="es-ES_tradnl"/>
        </w:rPr>
        <w:t xml:space="preserve">Corte Nacional de Justicia </w:t>
      </w:r>
      <w:r w:rsidR="004403DA" w:rsidRPr="00AC5F78">
        <w:rPr>
          <w:lang w:val="es-ES_tradnl"/>
        </w:rPr>
        <w:t xml:space="preserve">y se ordene que se ejecute lo dispuesto por la Corte Provincial. El autor alegó que la sentencia de la </w:t>
      </w:r>
      <w:r w:rsidR="004838A7" w:rsidRPr="00AC5F78">
        <w:rPr>
          <w:lang w:val="es-ES_tradnl"/>
        </w:rPr>
        <w:t xml:space="preserve">Corte Nacional de Justicia </w:t>
      </w:r>
      <w:r w:rsidR="004403DA" w:rsidRPr="00AC5F78">
        <w:rPr>
          <w:lang w:val="es-ES_tradnl"/>
        </w:rPr>
        <w:t xml:space="preserve">no estaba </w:t>
      </w:r>
      <w:r w:rsidR="00EF6BE5" w:rsidRPr="00AC5F78">
        <w:rPr>
          <w:lang w:val="es-ES_tradnl"/>
        </w:rPr>
        <w:t>motiva</w:t>
      </w:r>
      <w:r w:rsidR="00771435" w:rsidRPr="00AC5F78">
        <w:rPr>
          <w:lang w:val="es-ES_tradnl"/>
        </w:rPr>
        <w:t>da</w:t>
      </w:r>
      <w:r w:rsidR="00EF6BE5" w:rsidRPr="00AC5F78">
        <w:rPr>
          <w:lang w:val="es-ES_tradnl"/>
        </w:rPr>
        <w:t xml:space="preserve"> y </w:t>
      </w:r>
      <w:r w:rsidR="004403DA" w:rsidRPr="00AC5F78">
        <w:rPr>
          <w:lang w:val="es-ES_tradnl"/>
        </w:rPr>
        <w:t>había violado su derecho a la tutela judicial efectiva, ya que la misma</w:t>
      </w:r>
      <w:r w:rsidR="00EF6BE5" w:rsidRPr="00AC5F78">
        <w:rPr>
          <w:lang w:val="es-ES_tradnl"/>
        </w:rPr>
        <w:t xml:space="preserve"> no analizó </w:t>
      </w:r>
      <w:r w:rsidR="007D367F" w:rsidRPr="00AC5F78">
        <w:rPr>
          <w:lang w:val="es-ES_tradnl"/>
        </w:rPr>
        <w:t>“</w:t>
      </w:r>
      <w:r w:rsidR="00EF6BE5" w:rsidRPr="00AC5F78">
        <w:rPr>
          <w:lang w:val="es-ES_tradnl"/>
        </w:rPr>
        <w:t xml:space="preserve">la existencia de la contratación colectiva, su vigencia y superioridad frente al </w:t>
      </w:r>
      <w:r w:rsidR="004838A7" w:rsidRPr="00AC5F78">
        <w:rPr>
          <w:lang w:val="es-ES_tradnl"/>
        </w:rPr>
        <w:t>c</w:t>
      </w:r>
      <w:r w:rsidR="00EF6BE5" w:rsidRPr="00AC5F78">
        <w:rPr>
          <w:lang w:val="es-ES_tradnl"/>
        </w:rPr>
        <w:t xml:space="preserve">ontrato de </w:t>
      </w:r>
      <w:r w:rsidR="004838A7" w:rsidRPr="00AC5F78">
        <w:rPr>
          <w:lang w:val="es-ES_tradnl"/>
        </w:rPr>
        <w:t>t</w:t>
      </w:r>
      <w:r w:rsidR="00EF6BE5" w:rsidRPr="00AC5F78">
        <w:rPr>
          <w:lang w:val="es-ES_tradnl"/>
        </w:rPr>
        <w:t>rabajo. La falta de motivación y de profundización en el estudio del derecho colectivo</w:t>
      </w:r>
      <w:r w:rsidR="004403DA" w:rsidRPr="00AC5F78">
        <w:rPr>
          <w:lang w:val="es-ES_tradnl"/>
        </w:rPr>
        <w:t xml:space="preserve"> de</w:t>
      </w:r>
      <w:r w:rsidR="00EF6BE5" w:rsidRPr="00AC5F78">
        <w:rPr>
          <w:lang w:val="es-ES_tradnl"/>
        </w:rPr>
        <w:t xml:space="preserve"> trabajo, en tanto derecho social y la prevalencia constitucional del contrato colectivo sobre cualquier otra estipulación en contrario, conduce a la Sala a esta violación constitucional al re</w:t>
      </w:r>
      <w:r w:rsidR="00C40B4D" w:rsidRPr="00AC5F78">
        <w:rPr>
          <w:lang w:val="es-ES_tradnl"/>
        </w:rPr>
        <w:t xml:space="preserve">vocar </w:t>
      </w:r>
      <w:r w:rsidR="00EF6BE5" w:rsidRPr="00AC5F78">
        <w:rPr>
          <w:lang w:val="es-ES_tradnl"/>
        </w:rPr>
        <w:t>una sentencia dictada en aplicación estricta de la ley”.</w:t>
      </w:r>
    </w:p>
    <w:p w14:paraId="4FE78C76" w14:textId="24B3006A" w:rsidR="00EF6BE5" w:rsidRPr="00AC5F78" w:rsidRDefault="00490F37" w:rsidP="00AA59F1">
      <w:pPr>
        <w:pStyle w:val="SingleTxtG"/>
        <w:rPr>
          <w:lang w:val="es-ES_tradnl"/>
        </w:rPr>
      </w:pPr>
      <w:r w:rsidRPr="00AC5F78">
        <w:rPr>
          <w:lang w:val="es-ES_tradnl"/>
        </w:rPr>
        <w:t>2.11</w:t>
      </w:r>
      <w:r w:rsidRPr="00AC5F78">
        <w:rPr>
          <w:lang w:val="es-ES_tradnl"/>
        </w:rPr>
        <w:tab/>
      </w:r>
      <w:r w:rsidR="00EF6BE5" w:rsidRPr="00AC5F78">
        <w:rPr>
          <w:lang w:val="es-ES_tradnl"/>
        </w:rPr>
        <w:t xml:space="preserve">El 9 de abril de 2014, la Corte Constitucional declaró que no existía vulneración de derechos constitucionales </w:t>
      </w:r>
      <w:r w:rsidRPr="00AC5F78">
        <w:rPr>
          <w:lang w:val="es-ES_tradnl"/>
        </w:rPr>
        <w:t xml:space="preserve">toda vez que </w:t>
      </w:r>
      <w:r w:rsidR="00EF6BE5" w:rsidRPr="00AC5F78">
        <w:rPr>
          <w:lang w:val="es-ES_tradnl"/>
        </w:rPr>
        <w:t xml:space="preserve">la sentencia de la </w:t>
      </w:r>
      <w:r w:rsidR="00C40B4D" w:rsidRPr="00AC5F78">
        <w:rPr>
          <w:lang w:val="es-ES_tradnl"/>
        </w:rPr>
        <w:t xml:space="preserve">Corte Nacional de Justicia </w:t>
      </w:r>
      <w:r w:rsidRPr="00AC5F78">
        <w:rPr>
          <w:lang w:val="es-ES_tradnl"/>
        </w:rPr>
        <w:t xml:space="preserve">estaba debidamente motivada </w:t>
      </w:r>
      <w:r w:rsidR="00771435" w:rsidRPr="00AC5F78">
        <w:rPr>
          <w:lang w:val="es-ES_tradnl"/>
        </w:rPr>
        <w:t>y había examinado las cuestiones principales y controvertidas durante el proceso</w:t>
      </w:r>
      <w:r w:rsidR="005B1435" w:rsidRPr="00AC5F78">
        <w:rPr>
          <w:lang w:val="es-ES_tradnl"/>
        </w:rPr>
        <w:t xml:space="preserve"> y </w:t>
      </w:r>
      <w:r w:rsidR="00771435" w:rsidRPr="00AC5F78">
        <w:rPr>
          <w:lang w:val="es-ES_tradnl"/>
        </w:rPr>
        <w:t>que no se había vulnerado el principio de tutela judicial efectiva ni</w:t>
      </w:r>
      <w:r w:rsidRPr="00AC5F78">
        <w:rPr>
          <w:lang w:val="es-ES_tradnl"/>
        </w:rPr>
        <w:t xml:space="preserve"> el </w:t>
      </w:r>
      <w:r w:rsidR="00E07260" w:rsidRPr="00AC5F78">
        <w:rPr>
          <w:lang w:val="es-ES_tradnl"/>
        </w:rPr>
        <w:t>derecho al debido proceso.</w:t>
      </w:r>
    </w:p>
    <w:p w14:paraId="01046DDA" w14:textId="32C9321C" w:rsidR="00EF6BE5" w:rsidRPr="00AC5F78" w:rsidRDefault="00490F37" w:rsidP="00AA59F1">
      <w:pPr>
        <w:pStyle w:val="SingleTxtG"/>
        <w:rPr>
          <w:lang w:val="es-ES_tradnl"/>
        </w:rPr>
      </w:pPr>
      <w:r w:rsidRPr="00AC5F78">
        <w:rPr>
          <w:lang w:val="es-ES_tradnl"/>
        </w:rPr>
        <w:t>2.12</w:t>
      </w:r>
      <w:r w:rsidRPr="00AC5F78">
        <w:rPr>
          <w:lang w:val="es-ES_tradnl"/>
        </w:rPr>
        <w:tab/>
      </w:r>
      <w:r w:rsidR="00EF6BE5" w:rsidRPr="00AC5F78">
        <w:rPr>
          <w:lang w:val="es-ES_tradnl"/>
        </w:rPr>
        <w:t xml:space="preserve">El autor alega que </w:t>
      </w:r>
      <w:r w:rsidRPr="00AC5F78">
        <w:rPr>
          <w:lang w:val="es-ES_tradnl"/>
        </w:rPr>
        <w:t xml:space="preserve">su comunicación </w:t>
      </w:r>
      <w:r w:rsidR="00EF6BE5" w:rsidRPr="00AC5F78">
        <w:rPr>
          <w:lang w:val="es-ES_tradnl"/>
        </w:rPr>
        <w:t>reúne los requisitos de admisibilidad establecidos en el Protocolo Facultativo.</w:t>
      </w:r>
    </w:p>
    <w:p w14:paraId="7F5CAE2D" w14:textId="77777777" w:rsidR="006C1799" w:rsidRPr="00AC5F78" w:rsidRDefault="006C1799" w:rsidP="000D6D19">
      <w:pPr>
        <w:pStyle w:val="H23G"/>
        <w:rPr>
          <w:lang w:val="es-ES_tradnl"/>
        </w:rPr>
      </w:pPr>
      <w:r w:rsidRPr="00AC5F78">
        <w:rPr>
          <w:lang w:val="es-ES_tradnl"/>
        </w:rPr>
        <w:tab/>
      </w:r>
      <w:r w:rsidRPr="00AC5F78">
        <w:rPr>
          <w:lang w:val="es-ES_tradnl"/>
        </w:rPr>
        <w:tab/>
        <w:t>La denuncia</w:t>
      </w:r>
    </w:p>
    <w:p w14:paraId="2096B99E" w14:textId="118A56DA" w:rsidR="00EF6BE5" w:rsidRPr="00AC5F78" w:rsidRDefault="00EF6BE5" w:rsidP="000D6D19">
      <w:pPr>
        <w:pStyle w:val="SingleTxtG"/>
        <w:rPr>
          <w:lang w:val="es-ES_tradnl"/>
        </w:rPr>
      </w:pPr>
      <w:r w:rsidRPr="00AC5F78">
        <w:rPr>
          <w:lang w:val="es-ES_tradnl"/>
        </w:rPr>
        <w:t>3.1</w:t>
      </w:r>
      <w:r w:rsidRPr="00AC5F78">
        <w:rPr>
          <w:lang w:val="es-ES_tradnl"/>
        </w:rPr>
        <w:tab/>
        <w:t>El autor sostiene que el Estado parte violó los derechos que le asisten en virtud de los artículos 6, 7 y 12, leídos conjuntamente con el artículo 2, del Pacto.</w:t>
      </w:r>
    </w:p>
    <w:p w14:paraId="265A9A92" w14:textId="78809895" w:rsidR="00DF1E98" w:rsidRPr="00AC5F78" w:rsidRDefault="00EF6BE5">
      <w:pPr>
        <w:pStyle w:val="SingleTxtG"/>
        <w:rPr>
          <w:lang w:val="es-ES_tradnl"/>
        </w:rPr>
      </w:pPr>
      <w:r w:rsidRPr="00AC5F78">
        <w:rPr>
          <w:lang w:val="es-ES_tradnl"/>
        </w:rPr>
        <w:t>3.2</w:t>
      </w:r>
      <w:r w:rsidRPr="00AC5F78">
        <w:rPr>
          <w:lang w:val="es-ES_tradnl"/>
        </w:rPr>
        <w:tab/>
      </w:r>
      <w:r w:rsidR="00C07826" w:rsidRPr="00AC5F78">
        <w:rPr>
          <w:lang w:val="es-ES_tradnl"/>
        </w:rPr>
        <w:t>Con relación a la violación de sus derechos en virtud de los a</w:t>
      </w:r>
      <w:r w:rsidR="0022295E" w:rsidRPr="00AC5F78">
        <w:rPr>
          <w:lang w:val="es-ES_tradnl"/>
        </w:rPr>
        <w:t>rtículos 6 y 7, e</w:t>
      </w:r>
      <w:r w:rsidRPr="00AC5F78">
        <w:rPr>
          <w:lang w:val="es-ES_tradnl"/>
        </w:rPr>
        <w:t xml:space="preserve">l autor alega que tras haber presentado su solicitud de desahucio ante el </w:t>
      </w:r>
      <w:r w:rsidR="009F72B0" w:rsidRPr="00AC5F78">
        <w:rPr>
          <w:lang w:val="es-ES_tradnl"/>
        </w:rPr>
        <w:t>i</w:t>
      </w:r>
      <w:r w:rsidRPr="00AC5F78">
        <w:rPr>
          <w:lang w:val="es-ES_tradnl"/>
        </w:rPr>
        <w:t xml:space="preserve">nspector </w:t>
      </w:r>
      <w:r w:rsidR="009F72B0" w:rsidRPr="00AC5F78">
        <w:rPr>
          <w:lang w:val="es-ES_tradnl"/>
        </w:rPr>
        <w:t>p</w:t>
      </w:r>
      <w:r w:rsidRPr="00AC5F78">
        <w:rPr>
          <w:lang w:val="es-ES_tradnl"/>
        </w:rPr>
        <w:t xml:space="preserve">rovincial del </w:t>
      </w:r>
      <w:r w:rsidR="009F72B0" w:rsidRPr="00AC5F78">
        <w:rPr>
          <w:lang w:val="es-ES_tradnl"/>
        </w:rPr>
        <w:t>t</w:t>
      </w:r>
      <w:r w:rsidRPr="00AC5F78">
        <w:rPr>
          <w:lang w:val="es-ES_tradnl"/>
        </w:rPr>
        <w:t xml:space="preserve">rabajo de Esmeraldas el 24 de octubre 2007, tenía el derecho de recibir una contribución especial secundaria </w:t>
      </w:r>
      <w:r w:rsidR="0022295E" w:rsidRPr="00AC5F78">
        <w:rPr>
          <w:lang w:val="es-ES_tradnl"/>
        </w:rPr>
        <w:t xml:space="preserve">(bonificación) en virtud al contrato colectivo, ya que se había separado </w:t>
      </w:r>
      <w:r w:rsidRPr="00AC5F78">
        <w:rPr>
          <w:lang w:val="es-ES_tradnl"/>
        </w:rPr>
        <w:t>voluntariamente de PETROINDUSTRIAL</w:t>
      </w:r>
      <w:r w:rsidR="005B1435" w:rsidRPr="00AC5F78">
        <w:rPr>
          <w:lang w:val="es-ES_tradnl"/>
        </w:rPr>
        <w:t>,</w:t>
      </w:r>
      <w:r w:rsidR="0022295E" w:rsidRPr="00AC5F78">
        <w:rPr>
          <w:lang w:val="es-ES_tradnl"/>
        </w:rPr>
        <w:t xml:space="preserve"> y que e</w:t>
      </w:r>
      <w:r w:rsidRPr="00AC5F78">
        <w:rPr>
          <w:lang w:val="es-ES_tradnl"/>
        </w:rPr>
        <w:t>l artículo 185</w:t>
      </w:r>
      <w:r w:rsidR="0022295E" w:rsidRPr="00AC5F78">
        <w:rPr>
          <w:lang w:val="es-ES_tradnl"/>
        </w:rPr>
        <w:t xml:space="preserve"> del Código de</w:t>
      </w:r>
      <w:r w:rsidR="00EF09B8" w:rsidRPr="00AC5F78">
        <w:rPr>
          <w:lang w:val="es-ES_tradnl"/>
        </w:rPr>
        <w:t>l</w:t>
      </w:r>
      <w:r w:rsidR="0022295E" w:rsidRPr="00AC5F78">
        <w:rPr>
          <w:lang w:val="es-ES_tradnl"/>
        </w:rPr>
        <w:t xml:space="preserve"> Trabajo establecía</w:t>
      </w:r>
      <w:r w:rsidRPr="00AC5F78">
        <w:rPr>
          <w:lang w:val="es-ES_tradnl"/>
        </w:rPr>
        <w:t xml:space="preserve"> que las bonificaciones por desahucio no exclu</w:t>
      </w:r>
      <w:r w:rsidR="0022295E" w:rsidRPr="00AC5F78">
        <w:rPr>
          <w:lang w:val="es-ES_tradnl"/>
        </w:rPr>
        <w:t>ían</w:t>
      </w:r>
      <w:r w:rsidRPr="00AC5F78">
        <w:rPr>
          <w:lang w:val="es-ES_tradnl"/>
        </w:rPr>
        <w:t xml:space="preserve"> el derecho a percibir las indemnizaciones por otras disposiciones que corresponden al trabajador. Sin embargo, en su caso, el empleador, al </w:t>
      </w:r>
      <w:r w:rsidR="00771435" w:rsidRPr="00AC5F78">
        <w:rPr>
          <w:lang w:val="es-ES_tradnl"/>
        </w:rPr>
        <w:t xml:space="preserve">pagar </w:t>
      </w:r>
      <w:r w:rsidRPr="00AC5F78">
        <w:rPr>
          <w:lang w:val="es-ES_tradnl"/>
        </w:rPr>
        <w:t>mediante el ac</w:t>
      </w:r>
      <w:r w:rsidR="0022295E" w:rsidRPr="00AC5F78">
        <w:rPr>
          <w:lang w:val="es-ES_tradnl"/>
        </w:rPr>
        <w:t>ta de finiquito</w:t>
      </w:r>
      <w:r w:rsidRPr="00AC5F78">
        <w:rPr>
          <w:lang w:val="es-ES_tradnl"/>
        </w:rPr>
        <w:t xml:space="preserve"> solo tomó en cuenta los valores correspondientes a la bonificación de desahucio, omitiendo el pago de la contribución especial secundaria. Posteriormente, los procesos judiciales seguidos por el autor</w:t>
      </w:r>
      <w:r w:rsidR="0022295E" w:rsidRPr="00AC5F78">
        <w:rPr>
          <w:lang w:val="es-ES_tradnl"/>
        </w:rPr>
        <w:t xml:space="preserve"> no repararon la violación </w:t>
      </w:r>
      <w:r w:rsidR="005B1435" w:rsidRPr="00AC5F78">
        <w:rPr>
          <w:lang w:val="es-ES_tradnl"/>
        </w:rPr>
        <w:t xml:space="preserve">de </w:t>
      </w:r>
      <w:r w:rsidR="007A60D4" w:rsidRPr="00AC5F78">
        <w:rPr>
          <w:lang w:val="es-ES_tradnl"/>
        </w:rPr>
        <w:t>l</w:t>
      </w:r>
      <w:r w:rsidR="005B1435" w:rsidRPr="00AC5F78">
        <w:rPr>
          <w:lang w:val="es-ES_tradnl"/>
        </w:rPr>
        <w:t>a</w:t>
      </w:r>
      <w:r w:rsidR="00DF1E98" w:rsidRPr="00AC5F78">
        <w:rPr>
          <w:lang w:val="es-ES_tradnl"/>
        </w:rPr>
        <w:t xml:space="preserve"> que fue víctima,</w:t>
      </w:r>
      <w:r w:rsidRPr="00AC5F78">
        <w:rPr>
          <w:lang w:val="es-ES_tradnl"/>
        </w:rPr>
        <w:t xml:space="preserve"> negándole la </w:t>
      </w:r>
      <w:r w:rsidR="0022295E" w:rsidRPr="00AC5F78">
        <w:rPr>
          <w:lang w:val="es-ES_tradnl"/>
        </w:rPr>
        <w:t>bonificación</w:t>
      </w:r>
      <w:r w:rsidRPr="00AC5F78">
        <w:rPr>
          <w:lang w:val="es-ES_tradnl"/>
        </w:rPr>
        <w:t xml:space="preserve"> establecida en la cláusula 14 del </w:t>
      </w:r>
      <w:r w:rsidR="0022295E" w:rsidRPr="00AC5F78">
        <w:rPr>
          <w:lang w:val="es-ES_tradnl"/>
        </w:rPr>
        <w:t>c</w:t>
      </w:r>
      <w:r w:rsidRPr="00AC5F78">
        <w:rPr>
          <w:lang w:val="es-ES_tradnl"/>
        </w:rPr>
        <w:t xml:space="preserve">ontrato </w:t>
      </w:r>
      <w:r w:rsidR="0022295E" w:rsidRPr="00AC5F78">
        <w:rPr>
          <w:lang w:val="es-ES_tradnl"/>
        </w:rPr>
        <w:t>c</w:t>
      </w:r>
      <w:r w:rsidRPr="00AC5F78">
        <w:rPr>
          <w:lang w:val="es-ES_tradnl"/>
        </w:rPr>
        <w:t>olectivo</w:t>
      </w:r>
      <w:r w:rsidR="0022295E" w:rsidRPr="00AC5F78">
        <w:rPr>
          <w:lang w:val="es-ES_tradnl"/>
        </w:rPr>
        <w:t>,</w:t>
      </w:r>
      <w:r w:rsidRPr="00AC5F78">
        <w:rPr>
          <w:lang w:val="es-ES_tradnl"/>
        </w:rPr>
        <w:t xml:space="preserve"> correspondiente a su relación laboral de más de 30 años con PETROINDUSTRIAL.</w:t>
      </w:r>
      <w:r w:rsidR="00DF1E98" w:rsidRPr="00AC5F78">
        <w:rPr>
          <w:lang w:val="es-ES_tradnl"/>
        </w:rPr>
        <w:t xml:space="preserve"> </w:t>
      </w:r>
      <w:r w:rsidR="0022295E" w:rsidRPr="00AC5F78">
        <w:rPr>
          <w:lang w:val="es-ES_tradnl"/>
        </w:rPr>
        <w:t>El autor sostiene que otros trabajadores en similar situación, que solicitaron el desahucio laboral, s</w:t>
      </w:r>
      <w:r w:rsidR="00771435" w:rsidRPr="00AC5F78">
        <w:rPr>
          <w:lang w:val="es-ES_tradnl"/>
        </w:rPr>
        <w:t>í</w:t>
      </w:r>
      <w:r w:rsidR="0022295E" w:rsidRPr="00AC5F78">
        <w:rPr>
          <w:lang w:val="es-ES_tradnl"/>
        </w:rPr>
        <w:t xml:space="preserve"> recibieron </w:t>
      </w:r>
      <w:r w:rsidR="0062168A" w:rsidRPr="00AC5F78">
        <w:rPr>
          <w:lang w:val="es-ES_tradnl"/>
        </w:rPr>
        <w:t>la bonificación por salida voluntaria, ya sea por pago directo del emplea</w:t>
      </w:r>
      <w:r w:rsidR="00C30D4C">
        <w:rPr>
          <w:lang w:val="es-ES_tradnl"/>
        </w:rPr>
        <w:t>dor o por disposición judicial.</w:t>
      </w:r>
    </w:p>
    <w:p w14:paraId="71E9E16C" w14:textId="7412129D" w:rsidR="00C97D4A" w:rsidRPr="00AC5F78" w:rsidRDefault="00EF6BE5" w:rsidP="000D6D19">
      <w:pPr>
        <w:pStyle w:val="SingleTxtG"/>
        <w:rPr>
          <w:lang w:val="es-ES_tradnl"/>
        </w:rPr>
      </w:pPr>
      <w:r w:rsidRPr="00AC5F78">
        <w:rPr>
          <w:lang w:val="es-ES_tradnl"/>
        </w:rPr>
        <w:t>3.3</w:t>
      </w:r>
      <w:r w:rsidR="00DF1E98" w:rsidRPr="00AC5F78">
        <w:rPr>
          <w:lang w:val="es-ES_tradnl"/>
        </w:rPr>
        <w:tab/>
      </w:r>
      <w:r w:rsidRPr="00AC5F78">
        <w:rPr>
          <w:lang w:val="es-ES_tradnl"/>
        </w:rPr>
        <w:t xml:space="preserve">El autor alega que su derecho a condiciones de trabajo seguras y sanas y a la salud fueron vulnerados toda vez que durante los años que trabajó en PETROECUADOR, la empresa no </w:t>
      </w:r>
      <w:r w:rsidR="005B1435" w:rsidRPr="00AC5F78">
        <w:rPr>
          <w:lang w:val="es-ES_tradnl"/>
        </w:rPr>
        <w:t>man</w:t>
      </w:r>
      <w:r w:rsidR="00771435" w:rsidRPr="00AC5F78">
        <w:rPr>
          <w:lang w:val="es-ES_tradnl"/>
        </w:rPr>
        <w:t>tuvo</w:t>
      </w:r>
      <w:r w:rsidR="005B1435" w:rsidRPr="00AC5F78">
        <w:rPr>
          <w:lang w:val="es-ES_tradnl"/>
        </w:rPr>
        <w:t xml:space="preserve"> </w:t>
      </w:r>
      <w:r w:rsidRPr="00AC5F78">
        <w:rPr>
          <w:lang w:val="es-ES_tradnl"/>
        </w:rPr>
        <w:t xml:space="preserve">condiciones mínimas de limpieza y </w:t>
      </w:r>
      <w:r w:rsidR="00771435" w:rsidRPr="00AC5F78">
        <w:rPr>
          <w:lang w:val="es-ES_tradnl"/>
        </w:rPr>
        <w:t xml:space="preserve">no adoptó medidas </w:t>
      </w:r>
      <w:r w:rsidRPr="00AC5F78">
        <w:rPr>
          <w:lang w:val="es-ES_tradnl"/>
        </w:rPr>
        <w:t>para el manejo de sustancias químicas y nocivas. Como resultado, a la edad de 67 años, el autor comenzó a tener temblores en las manos y fue diagnosticado con</w:t>
      </w:r>
      <w:r w:rsidR="00E07260" w:rsidRPr="00AC5F78">
        <w:rPr>
          <w:lang w:val="es-ES_tradnl"/>
        </w:rPr>
        <w:t xml:space="preserve"> Parkinson e hipoacusia en 2013.</w:t>
      </w:r>
    </w:p>
    <w:p w14:paraId="7F5CAE33" w14:textId="42DA8ACE" w:rsidR="006C1799" w:rsidRPr="00AC5F78" w:rsidRDefault="0062168A" w:rsidP="000D6D19">
      <w:pPr>
        <w:pStyle w:val="H23G"/>
        <w:rPr>
          <w:b w:val="0"/>
          <w:lang w:val="es-ES_tradnl"/>
        </w:rPr>
      </w:pPr>
      <w:r w:rsidRPr="00AC5F78">
        <w:rPr>
          <w:lang w:val="es-ES_tradnl"/>
        </w:rPr>
        <w:tab/>
      </w:r>
      <w:r w:rsidRPr="00AC5F78">
        <w:rPr>
          <w:lang w:val="es-ES_tradnl"/>
        </w:rPr>
        <w:tab/>
      </w:r>
      <w:r w:rsidR="006C1799" w:rsidRPr="00AC5F78">
        <w:rPr>
          <w:lang w:val="es-ES_tradnl"/>
        </w:rPr>
        <w:t xml:space="preserve">Observaciones del Estado parte sobre la admisibilidad </w:t>
      </w:r>
      <w:r w:rsidR="00BE563E" w:rsidRPr="00AC5F78">
        <w:rPr>
          <w:lang w:val="es-ES_tradnl"/>
        </w:rPr>
        <w:t>y el fondo de la comunicación</w:t>
      </w:r>
    </w:p>
    <w:p w14:paraId="6E30347C" w14:textId="6AB2B2A6" w:rsidR="00880844" w:rsidRPr="00AC5F78" w:rsidRDefault="006C1799">
      <w:pPr>
        <w:pStyle w:val="SingleTxtG"/>
        <w:rPr>
          <w:lang w:val="es-ES_tradnl"/>
        </w:rPr>
      </w:pPr>
      <w:r w:rsidRPr="00AC5F78">
        <w:rPr>
          <w:lang w:val="es-ES_tradnl"/>
        </w:rPr>
        <w:t>4.1</w:t>
      </w:r>
      <w:r w:rsidRPr="00AC5F78">
        <w:rPr>
          <w:lang w:val="es-ES_tradnl"/>
        </w:rPr>
        <w:tab/>
      </w:r>
      <w:r w:rsidR="006D7BBC" w:rsidRPr="00AC5F78">
        <w:rPr>
          <w:lang w:val="es-ES_tradnl"/>
        </w:rPr>
        <w:t xml:space="preserve">Los días </w:t>
      </w:r>
      <w:r w:rsidR="00EF6BE5" w:rsidRPr="00AC5F78">
        <w:rPr>
          <w:lang w:val="es-ES_tradnl"/>
        </w:rPr>
        <w:t>5 de mayo y 6 de septiembre de 2016 el Estado parte presentó sus observaciones</w:t>
      </w:r>
      <w:r w:rsidR="00880844" w:rsidRPr="00AC5F78">
        <w:rPr>
          <w:lang w:val="es-ES_tradnl"/>
        </w:rPr>
        <w:t xml:space="preserve"> sobre la admisibilidad y </w:t>
      </w:r>
      <w:r w:rsidR="006D7BBC" w:rsidRPr="00AC5F78">
        <w:rPr>
          <w:lang w:val="es-ES_tradnl"/>
        </w:rPr>
        <w:t xml:space="preserve">el </w:t>
      </w:r>
      <w:r w:rsidR="00880844" w:rsidRPr="00AC5F78">
        <w:rPr>
          <w:lang w:val="es-ES_tradnl"/>
        </w:rPr>
        <w:t xml:space="preserve">fondo, </w:t>
      </w:r>
      <w:r w:rsidR="00D808F9" w:rsidRPr="00AC5F78">
        <w:rPr>
          <w:lang w:val="es-ES_tradnl"/>
        </w:rPr>
        <w:t xml:space="preserve">respectivamente, </w:t>
      </w:r>
      <w:r w:rsidR="00880844" w:rsidRPr="00AC5F78">
        <w:rPr>
          <w:lang w:val="es-ES_tradnl"/>
        </w:rPr>
        <w:t xml:space="preserve">y sostuvo que la comunicación no cumplía con los criterios de admisibilidad del Protocolo Facultativo. Si el Comité considera que la comunicación es admisible, </w:t>
      </w:r>
      <w:r w:rsidR="006D7BBC" w:rsidRPr="00AC5F78">
        <w:rPr>
          <w:lang w:val="es-ES_tradnl"/>
        </w:rPr>
        <w:t>e</w:t>
      </w:r>
      <w:r w:rsidR="00880844" w:rsidRPr="00AC5F78">
        <w:rPr>
          <w:lang w:val="es-ES_tradnl"/>
        </w:rPr>
        <w:t xml:space="preserve">sta no revela ninguna violación de los derechos </w:t>
      </w:r>
      <w:r w:rsidR="00771435" w:rsidRPr="00AC5F78">
        <w:rPr>
          <w:lang w:val="es-ES_tradnl"/>
        </w:rPr>
        <w:t>del autor</w:t>
      </w:r>
      <w:r w:rsidR="00C30D4C">
        <w:rPr>
          <w:lang w:val="es-ES_tradnl"/>
        </w:rPr>
        <w:t xml:space="preserve"> en virtud del Pacto.</w:t>
      </w:r>
    </w:p>
    <w:p w14:paraId="4D0ED379" w14:textId="653E9413" w:rsidR="002A7F87" w:rsidRPr="00AC5F78" w:rsidRDefault="00880844">
      <w:pPr>
        <w:pStyle w:val="SingleTxtG"/>
        <w:rPr>
          <w:color w:val="000000"/>
          <w:lang w:val="es-ES_tradnl"/>
        </w:rPr>
      </w:pPr>
      <w:r w:rsidRPr="00AC5F78">
        <w:rPr>
          <w:lang w:val="es-ES_tradnl"/>
        </w:rPr>
        <w:t>4.2</w:t>
      </w:r>
      <w:r w:rsidRPr="00AC5F78">
        <w:rPr>
          <w:lang w:val="es-ES_tradnl"/>
        </w:rPr>
        <w:tab/>
        <w:t xml:space="preserve">El Estado parte </w:t>
      </w:r>
      <w:r w:rsidR="00F436A8" w:rsidRPr="00AC5F78">
        <w:rPr>
          <w:lang w:val="es-ES_tradnl"/>
        </w:rPr>
        <w:t xml:space="preserve">señala </w:t>
      </w:r>
      <w:r w:rsidRPr="00AC5F78">
        <w:rPr>
          <w:lang w:val="es-ES_tradnl"/>
        </w:rPr>
        <w:t>que los hecho</w:t>
      </w:r>
      <w:r w:rsidR="006D7BBC" w:rsidRPr="00AC5F78">
        <w:rPr>
          <w:lang w:val="es-ES_tradnl"/>
        </w:rPr>
        <w:t>s</w:t>
      </w:r>
      <w:r w:rsidRPr="00AC5F78">
        <w:rPr>
          <w:lang w:val="es-ES_tradnl"/>
        </w:rPr>
        <w:t xml:space="preserve"> materia de la comunicación sucedieron antes del 5 de mayo de 2013, fecha de entrada en vigor del Protocolo Facultativo para </w:t>
      </w:r>
      <w:r w:rsidR="008F5CDE" w:rsidRPr="00AC5F78">
        <w:rPr>
          <w:lang w:val="es-ES_tradnl"/>
        </w:rPr>
        <w:t xml:space="preserve">el </w:t>
      </w:r>
      <w:r w:rsidRPr="00AC5F78">
        <w:rPr>
          <w:lang w:val="es-ES_tradnl"/>
        </w:rPr>
        <w:t>Ecuador</w:t>
      </w:r>
      <w:r w:rsidR="006D7BBC" w:rsidRPr="00AC5F78">
        <w:rPr>
          <w:lang w:val="es-ES_tradnl"/>
        </w:rPr>
        <w:t>,</w:t>
      </w:r>
      <w:r w:rsidRPr="00AC5F78">
        <w:rPr>
          <w:lang w:val="es-ES_tradnl"/>
        </w:rPr>
        <w:t xml:space="preserve"> y q</w:t>
      </w:r>
      <w:r w:rsidR="00D808F9" w:rsidRPr="00AC5F78">
        <w:rPr>
          <w:lang w:val="es-ES_tradnl"/>
        </w:rPr>
        <w:t>ue, por tanto, el Comité carece</w:t>
      </w:r>
      <w:r w:rsidRPr="00AC5F78">
        <w:rPr>
          <w:lang w:val="es-ES_tradnl"/>
        </w:rPr>
        <w:t xml:space="preserve"> de competencia </w:t>
      </w:r>
      <w:proofErr w:type="spellStart"/>
      <w:r w:rsidRPr="00AC5F78">
        <w:rPr>
          <w:i/>
          <w:lang w:val="es-ES_tradnl"/>
        </w:rPr>
        <w:t>ratione</w:t>
      </w:r>
      <w:proofErr w:type="spellEnd"/>
      <w:r w:rsidRPr="00AC5F78">
        <w:rPr>
          <w:i/>
          <w:lang w:val="es-ES_tradnl"/>
        </w:rPr>
        <w:t xml:space="preserve"> </w:t>
      </w:r>
      <w:proofErr w:type="spellStart"/>
      <w:r w:rsidRPr="00AC5F78">
        <w:rPr>
          <w:i/>
          <w:lang w:val="es-ES_tradnl"/>
        </w:rPr>
        <w:t>temporis</w:t>
      </w:r>
      <w:proofErr w:type="spellEnd"/>
      <w:r w:rsidRPr="00AC5F78">
        <w:rPr>
          <w:lang w:val="es-ES_tradnl"/>
        </w:rPr>
        <w:t xml:space="preserve"> para examinar la comunicación con arreglo al artículo 3</w:t>
      </w:r>
      <w:r w:rsidR="006D7BBC" w:rsidRPr="00AC5F78">
        <w:rPr>
          <w:lang w:val="es-ES_tradnl"/>
        </w:rPr>
        <w:t xml:space="preserve">, párr. </w:t>
      </w:r>
      <w:r w:rsidRPr="00AC5F78">
        <w:rPr>
          <w:lang w:val="es-ES_tradnl"/>
        </w:rPr>
        <w:t>2</w:t>
      </w:r>
      <w:r w:rsidR="006D7BBC" w:rsidRPr="00AC5F78">
        <w:rPr>
          <w:lang w:val="es-ES_tradnl"/>
        </w:rPr>
        <w:t xml:space="preserve">, apdo. </w:t>
      </w:r>
      <w:r w:rsidRPr="00AC5F78">
        <w:rPr>
          <w:lang w:val="es-ES_tradnl"/>
        </w:rPr>
        <w:t>b)</w:t>
      </w:r>
      <w:r w:rsidR="006D7BBC" w:rsidRPr="00AC5F78">
        <w:rPr>
          <w:lang w:val="es-ES_tradnl"/>
        </w:rPr>
        <w:t>,</w:t>
      </w:r>
      <w:r w:rsidRPr="00AC5F78">
        <w:rPr>
          <w:lang w:val="es-ES_tradnl"/>
        </w:rPr>
        <w:t xml:space="preserve"> del Protocolo Facultativo. Resalta que la comunicación tiene relación directa con hechos </w:t>
      </w:r>
      <w:r w:rsidR="00A618BA" w:rsidRPr="00AC5F78">
        <w:rPr>
          <w:lang w:val="es-ES_tradnl"/>
        </w:rPr>
        <w:t xml:space="preserve">ocurridos </w:t>
      </w:r>
      <w:r w:rsidRPr="00AC5F78">
        <w:rPr>
          <w:lang w:val="es-ES_tradnl"/>
        </w:rPr>
        <w:t>en octubre de 2007, cuando el autor presentó su petición de desahucio a fin de dar por</w:t>
      </w:r>
      <w:r w:rsidR="002A7F87" w:rsidRPr="00AC5F78">
        <w:rPr>
          <w:lang w:val="es-ES_tradnl"/>
        </w:rPr>
        <w:t xml:space="preserve"> terminada su relación laboral y el empleador </w:t>
      </w:r>
      <w:r w:rsidR="00771435" w:rsidRPr="00AC5F78">
        <w:rPr>
          <w:lang w:val="es-ES_tradnl"/>
        </w:rPr>
        <w:t xml:space="preserve">pagó </w:t>
      </w:r>
      <w:r w:rsidRPr="00AC5F78">
        <w:rPr>
          <w:lang w:val="es-ES_tradnl"/>
        </w:rPr>
        <w:t xml:space="preserve">a través de un acta de finiquito </w:t>
      </w:r>
      <w:r w:rsidR="002A7F87" w:rsidRPr="00AC5F78">
        <w:rPr>
          <w:lang w:val="es-ES_tradnl"/>
        </w:rPr>
        <w:t xml:space="preserve">solamente </w:t>
      </w:r>
      <w:r w:rsidRPr="00AC5F78">
        <w:rPr>
          <w:lang w:val="es-ES_tradnl"/>
        </w:rPr>
        <w:t>el valor correspondiente a la bonificación por desahucio establecida en el artículo 185 del Código de</w:t>
      </w:r>
      <w:r w:rsidR="00A618BA" w:rsidRPr="00AC5F78">
        <w:rPr>
          <w:lang w:val="es-ES_tradnl"/>
        </w:rPr>
        <w:t>l</w:t>
      </w:r>
      <w:r w:rsidRPr="00AC5F78">
        <w:rPr>
          <w:lang w:val="es-ES_tradnl"/>
        </w:rPr>
        <w:t xml:space="preserve"> Trabajo.</w:t>
      </w:r>
      <w:r w:rsidR="002A7F87" w:rsidRPr="00AC5F78">
        <w:rPr>
          <w:lang w:val="es-ES_tradnl"/>
        </w:rPr>
        <w:t xml:space="preserve"> </w:t>
      </w:r>
      <w:r w:rsidR="00D5519F" w:rsidRPr="00AC5F78">
        <w:rPr>
          <w:lang w:val="es-ES_tradnl"/>
        </w:rPr>
        <w:t>L</w:t>
      </w:r>
      <w:r w:rsidR="002A7F87" w:rsidRPr="00AC5F78">
        <w:rPr>
          <w:lang w:val="es-ES_tradnl"/>
        </w:rPr>
        <w:t xml:space="preserve">as decisiones judiciales </w:t>
      </w:r>
      <w:r w:rsidR="00D5519F" w:rsidRPr="00AC5F78">
        <w:rPr>
          <w:lang w:val="es-ES_tradnl"/>
        </w:rPr>
        <w:t xml:space="preserve">posteriores no pueden ser tomadas en cuenta a efectos de determinar la competencia </w:t>
      </w:r>
      <w:proofErr w:type="spellStart"/>
      <w:r w:rsidR="002A7F87" w:rsidRPr="00AC5F78">
        <w:rPr>
          <w:i/>
          <w:lang w:val="es-ES_tradnl"/>
        </w:rPr>
        <w:t>ratione</w:t>
      </w:r>
      <w:proofErr w:type="spellEnd"/>
      <w:r w:rsidR="002A7F87" w:rsidRPr="00AC5F78">
        <w:rPr>
          <w:i/>
          <w:lang w:val="es-ES_tradnl"/>
        </w:rPr>
        <w:t xml:space="preserve"> </w:t>
      </w:r>
      <w:proofErr w:type="spellStart"/>
      <w:r w:rsidR="002A7F87" w:rsidRPr="00AC5F78">
        <w:rPr>
          <w:i/>
          <w:lang w:val="es-ES_tradnl"/>
        </w:rPr>
        <w:t>temporis</w:t>
      </w:r>
      <w:proofErr w:type="spellEnd"/>
      <w:r w:rsidR="002A7F87" w:rsidRPr="00AC5F78">
        <w:rPr>
          <w:lang w:val="es-ES_tradnl"/>
        </w:rPr>
        <w:t xml:space="preserve"> del Comité</w:t>
      </w:r>
      <w:r w:rsidR="00D5519F" w:rsidRPr="00AC5F78">
        <w:rPr>
          <w:lang w:val="es-ES_tradnl"/>
        </w:rPr>
        <w:t xml:space="preserve">. Sin embargo, aun en ese supuesto, la sentencia relevante es la acordada por la </w:t>
      </w:r>
      <w:r w:rsidR="00A618BA" w:rsidRPr="00AC5F78">
        <w:rPr>
          <w:lang w:val="es-ES_tradnl"/>
        </w:rPr>
        <w:t xml:space="preserve">Corte Nacional de Justicia </w:t>
      </w:r>
      <w:r w:rsidR="00D5519F" w:rsidRPr="00AC5F78">
        <w:rPr>
          <w:lang w:val="es-ES_tradnl"/>
        </w:rPr>
        <w:t xml:space="preserve">el 30 de mayo de 2011, que puso fin al proceso judicial en materia laboral. Al respecto el Estado parte </w:t>
      </w:r>
      <w:r w:rsidR="00D808F9" w:rsidRPr="00AC5F78">
        <w:rPr>
          <w:lang w:val="es-ES_tradnl"/>
        </w:rPr>
        <w:t xml:space="preserve">señala </w:t>
      </w:r>
      <w:r w:rsidR="00D5519F" w:rsidRPr="00AC5F78">
        <w:rPr>
          <w:lang w:val="es-ES_tradnl"/>
        </w:rPr>
        <w:t xml:space="preserve">que </w:t>
      </w:r>
      <w:r w:rsidR="002A7F87" w:rsidRPr="00AC5F78">
        <w:rPr>
          <w:lang w:val="es-ES_tradnl"/>
        </w:rPr>
        <w:t xml:space="preserve">el autor impugnó el acta de finiquito judicialmente y este proceso concluyó con la sentencia de casación de la </w:t>
      </w:r>
      <w:r w:rsidR="00A618BA" w:rsidRPr="00AC5F78">
        <w:rPr>
          <w:lang w:val="es-ES_tradnl"/>
        </w:rPr>
        <w:t xml:space="preserve">Corte Nacional de Justicia </w:t>
      </w:r>
      <w:r w:rsidR="002A7F87" w:rsidRPr="00AC5F78">
        <w:rPr>
          <w:lang w:val="es-ES_tradnl"/>
        </w:rPr>
        <w:t xml:space="preserve">de 30 de mayo de 2011. </w:t>
      </w:r>
      <w:r w:rsidR="00D5519F" w:rsidRPr="00AC5F78">
        <w:rPr>
          <w:lang w:val="es-ES_tradnl"/>
        </w:rPr>
        <w:t>Posteriormente</w:t>
      </w:r>
      <w:r w:rsidR="002A7F87" w:rsidRPr="00AC5F78">
        <w:rPr>
          <w:lang w:val="es-ES_tradnl"/>
        </w:rPr>
        <w:t>, el autor presentó una acción extraordinaria de protección ante la Corte Constitucional</w:t>
      </w:r>
      <w:r w:rsidR="00D5519F" w:rsidRPr="00AC5F78">
        <w:rPr>
          <w:lang w:val="es-ES_tradnl"/>
        </w:rPr>
        <w:t>,</w:t>
      </w:r>
      <w:r w:rsidR="002A7F87" w:rsidRPr="00AC5F78">
        <w:rPr>
          <w:lang w:val="es-ES_tradnl"/>
        </w:rPr>
        <w:t xml:space="preserve"> </w:t>
      </w:r>
      <w:r w:rsidR="00D808F9" w:rsidRPr="00AC5F78">
        <w:rPr>
          <w:lang w:val="es-ES_tradnl"/>
        </w:rPr>
        <w:t xml:space="preserve">pero en ella </w:t>
      </w:r>
      <w:r w:rsidR="002A7F87" w:rsidRPr="00AC5F78">
        <w:rPr>
          <w:lang w:val="es-ES_tradnl"/>
        </w:rPr>
        <w:t xml:space="preserve">el autor alegó </w:t>
      </w:r>
      <w:r w:rsidR="002A7F87" w:rsidRPr="00AC5F78">
        <w:rPr>
          <w:color w:val="000000"/>
          <w:lang w:val="es-ES_tradnl"/>
        </w:rPr>
        <w:t xml:space="preserve">presuntas vulneraciones al derecho al debido proceso por la falta de motivación y al derecho a la tutela judicial </w:t>
      </w:r>
      <w:r w:rsidR="00F436A8" w:rsidRPr="00AC5F78">
        <w:rPr>
          <w:color w:val="000000"/>
          <w:lang w:val="es-ES_tradnl"/>
        </w:rPr>
        <w:t>efectiva</w:t>
      </w:r>
      <w:r w:rsidR="00A618BA" w:rsidRPr="00AC5F78">
        <w:rPr>
          <w:color w:val="000000"/>
          <w:lang w:val="es-ES_tradnl"/>
        </w:rPr>
        <w:t>,</w:t>
      </w:r>
      <w:r w:rsidR="002A7F87" w:rsidRPr="00AC5F78">
        <w:rPr>
          <w:color w:val="000000"/>
          <w:lang w:val="es-ES_tradnl"/>
        </w:rPr>
        <w:t xml:space="preserve"> y que, por tanto, al presentar esta acción, el fin no estuvo dirigido a cuestionar una transgresión al derecho al trabajo o a la salud, sino a las garantías del derecho al debido proce</w:t>
      </w:r>
      <w:r w:rsidR="00C30D4C">
        <w:rPr>
          <w:color w:val="000000"/>
          <w:lang w:val="es-ES_tradnl"/>
        </w:rPr>
        <w:t>so en la sentencia de casación.</w:t>
      </w:r>
    </w:p>
    <w:p w14:paraId="2FAA31D7" w14:textId="6A5BECF6" w:rsidR="00C32EC1" w:rsidRPr="00AC5F78" w:rsidRDefault="009C4FA5" w:rsidP="000D6D19">
      <w:pPr>
        <w:pStyle w:val="SingleTxtG"/>
        <w:rPr>
          <w:lang w:val="es-ES_tradnl"/>
        </w:rPr>
      </w:pPr>
      <w:r w:rsidRPr="00AC5F78">
        <w:rPr>
          <w:lang w:val="es-ES_tradnl"/>
        </w:rPr>
        <w:t>4.3</w:t>
      </w:r>
      <w:r w:rsidRPr="00AC5F78">
        <w:rPr>
          <w:lang w:val="es-ES_tradnl"/>
        </w:rPr>
        <w:tab/>
      </w:r>
      <w:r w:rsidR="00F436A8" w:rsidRPr="00AC5F78">
        <w:rPr>
          <w:lang w:val="es-ES_tradnl"/>
        </w:rPr>
        <w:t>El Estado parte resalta que l</w:t>
      </w:r>
      <w:r w:rsidRPr="00AC5F78">
        <w:rPr>
          <w:lang w:val="es-ES_tradnl"/>
        </w:rPr>
        <w:t>a acción extraordinaria de protección tiene por objeto la protección de los derechos constitucionales y debido proceso en sentencias, autos definitivos, resoluciones con fuerza de sentencia, en los que se hayan violado por acción u omisión derechos reconocidos en la Constitución; que la Corte Constitucional ha expresado que la acción extraordinaria de protección no se concibe co</w:t>
      </w:r>
      <w:r w:rsidR="001A1E4B" w:rsidRPr="00AC5F78">
        <w:rPr>
          <w:lang w:val="es-ES_tradnl"/>
        </w:rPr>
        <w:t>mo una nueva instancia procesal;</w:t>
      </w:r>
      <w:r w:rsidRPr="00AC5F78">
        <w:rPr>
          <w:lang w:val="es-ES_tradnl"/>
        </w:rPr>
        <w:t xml:space="preserve"> y que toda vez que su campo de acción y especialización son asuntos exclusivamente constitucionales, resulta imposible usar esta garantía jurisdiccional para el análisis de asuntos de mera legalidad que ya fueron juzgados por la justicia ordinaria.</w:t>
      </w:r>
    </w:p>
    <w:p w14:paraId="0927F102" w14:textId="1AD7C9AA" w:rsidR="00AF49C7" w:rsidRPr="00AC5F78" w:rsidRDefault="00C30D4C">
      <w:pPr>
        <w:pStyle w:val="SingleTxtG"/>
        <w:rPr>
          <w:lang w:val="es-ES_tradnl"/>
        </w:rPr>
      </w:pPr>
      <w:r>
        <w:rPr>
          <w:lang w:val="es-ES_tradnl"/>
        </w:rPr>
        <w:t>4.4</w:t>
      </w:r>
      <w:r>
        <w:rPr>
          <w:lang w:val="es-ES_tradnl"/>
        </w:rPr>
        <w:tab/>
      </w:r>
      <w:r w:rsidR="000E46A4" w:rsidRPr="00AC5F78">
        <w:rPr>
          <w:lang w:val="es-ES_tradnl"/>
        </w:rPr>
        <w:t>Con relación al requisito de admisibilidad establecido en el artículo 3</w:t>
      </w:r>
      <w:r w:rsidR="00A618BA" w:rsidRPr="00AC5F78">
        <w:rPr>
          <w:lang w:val="es-ES_tradnl"/>
        </w:rPr>
        <w:t xml:space="preserve">, párr. </w:t>
      </w:r>
      <w:r w:rsidR="000E46A4" w:rsidRPr="00AC5F78">
        <w:rPr>
          <w:lang w:val="es-ES_tradnl"/>
        </w:rPr>
        <w:t>2</w:t>
      </w:r>
      <w:r w:rsidR="00A618BA" w:rsidRPr="00AC5F78">
        <w:rPr>
          <w:lang w:val="es-ES_tradnl"/>
        </w:rPr>
        <w:t>, apdo.</w:t>
      </w:r>
      <w:r w:rsidR="008F0C7E" w:rsidRPr="00AC5F78">
        <w:rPr>
          <w:lang w:val="es-ES_tradnl"/>
        </w:rPr>
        <w:t> </w:t>
      </w:r>
      <w:r w:rsidR="000E46A4" w:rsidRPr="00AC5F78">
        <w:rPr>
          <w:lang w:val="es-ES_tradnl"/>
        </w:rPr>
        <w:t>a)</w:t>
      </w:r>
      <w:r w:rsidR="00A618BA" w:rsidRPr="00AC5F78">
        <w:rPr>
          <w:lang w:val="es-ES_tradnl"/>
        </w:rPr>
        <w:t>,</w:t>
      </w:r>
      <w:r w:rsidR="000E46A4" w:rsidRPr="00AC5F78">
        <w:rPr>
          <w:lang w:val="es-ES_tradnl"/>
        </w:rPr>
        <w:t xml:space="preserve"> del Protocolo Facultativo, el Estado parte afirma que l</w:t>
      </w:r>
      <w:r w:rsidR="00AF49C7" w:rsidRPr="00AC5F78">
        <w:rPr>
          <w:lang w:val="es-ES_tradnl"/>
        </w:rPr>
        <w:t>a comunicación no fue presentada dentro del plazo de un año después de</w:t>
      </w:r>
      <w:r w:rsidR="00F436A8" w:rsidRPr="00AC5F78">
        <w:rPr>
          <w:lang w:val="es-ES_tradnl"/>
        </w:rPr>
        <w:t xml:space="preserve"> agotados los recursos internos, toda vez que</w:t>
      </w:r>
      <w:r w:rsidR="00AF49C7" w:rsidRPr="00AC5F78">
        <w:rPr>
          <w:lang w:val="es-ES_tradnl"/>
        </w:rPr>
        <w:t xml:space="preserve"> la sentencia relevante para determinar la admisibilidad de la comunicación es la sentencia de casación de la </w:t>
      </w:r>
      <w:r w:rsidR="00A618BA" w:rsidRPr="00AC5F78">
        <w:rPr>
          <w:lang w:val="es-ES_tradnl"/>
        </w:rPr>
        <w:t xml:space="preserve">Corte Nacional de Justicia </w:t>
      </w:r>
      <w:r w:rsidR="00AF49C7" w:rsidRPr="00AC5F78">
        <w:rPr>
          <w:lang w:val="es-ES_tradnl"/>
        </w:rPr>
        <w:t>de 30 de mayo de 2011, con la que se puso fin a la demanda en materia laboral mediante la cual el autor impugnó el acta de finiquito. Agrega que</w:t>
      </w:r>
      <w:r w:rsidR="00A618BA" w:rsidRPr="00AC5F78">
        <w:rPr>
          <w:lang w:val="es-ES_tradnl"/>
        </w:rPr>
        <w:t>,</w:t>
      </w:r>
      <w:r w:rsidR="00AF49C7" w:rsidRPr="00AC5F78">
        <w:rPr>
          <w:lang w:val="es-ES_tradnl"/>
        </w:rPr>
        <w:t xml:space="preserve"> si bien el autor presentó posteriormente </w:t>
      </w:r>
      <w:r w:rsidR="009B0FCA" w:rsidRPr="00AC5F78">
        <w:rPr>
          <w:lang w:val="es-ES_tradnl"/>
        </w:rPr>
        <w:t>una acción extraordinaria de protección ante la Corte Constitucional, que fue desestimada el 9 de abril de 2014, y notificada al autor el 24 de abril de 2014, esta acción no tenía como fin que se repare una transgresión al derecho al trabajo o a la salud, sino a las garantías del debido proceso (véa</w:t>
      </w:r>
      <w:r w:rsidR="00E0019F" w:rsidRPr="00AC5F78">
        <w:rPr>
          <w:lang w:val="es-ES_tradnl"/>
        </w:rPr>
        <w:t>n</w:t>
      </w:r>
      <w:r w:rsidR="009B0FCA" w:rsidRPr="00AC5F78">
        <w:rPr>
          <w:lang w:val="es-ES_tradnl"/>
        </w:rPr>
        <w:t xml:space="preserve">se </w:t>
      </w:r>
      <w:r w:rsidR="00E0019F" w:rsidRPr="00AC5F78">
        <w:rPr>
          <w:lang w:val="es-ES_tradnl"/>
        </w:rPr>
        <w:t xml:space="preserve">los párrafos </w:t>
      </w:r>
      <w:r w:rsidR="009B0FCA" w:rsidRPr="00AC5F78">
        <w:rPr>
          <w:lang w:val="es-ES_tradnl"/>
        </w:rPr>
        <w:t>4.2</w:t>
      </w:r>
      <w:r w:rsidR="00E0019F" w:rsidRPr="00AC5F78">
        <w:rPr>
          <w:lang w:val="es-ES_tradnl"/>
        </w:rPr>
        <w:t xml:space="preserve"> y </w:t>
      </w:r>
      <w:r w:rsidR="009B0FCA" w:rsidRPr="00AC5F78">
        <w:rPr>
          <w:lang w:val="es-ES_tradnl"/>
        </w:rPr>
        <w:t>4.3). Por tanto, toda vez que el</w:t>
      </w:r>
      <w:r w:rsidR="00AF49C7" w:rsidRPr="00AC5F78">
        <w:rPr>
          <w:lang w:val="es-ES_tradnl"/>
        </w:rPr>
        <w:t xml:space="preserve"> autor presentó su comunicación ante el Comité el 24 de abril de 2015, </w:t>
      </w:r>
      <w:r w:rsidR="009B0FCA" w:rsidRPr="00AC5F78">
        <w:rPr>
          <w:lang w:val="es-ES_tradnl"/>
        </w:rPr>
        <w:t xml:space="preserve">esto resultaría en una demora de </w:t>
      </w:r>
      <w:r w:rsidR="00AF49C7" w:rsidRPr="00AC5F78">
        <w:rPr>
          <w:lang w:val="es-ES_tradnl"/>
        </w:rPr>
        <w:t xml:space="preserve">3 años </w:t>
      </w:r>
      <w:r w:rsidR="009B0FCA" w:rsidRPr="00AC5F78">
        <w:rPr>
          <w:lang w:val="es-ES_tradnl"/>
        </w:rPr>
        <w:t xml:space="preserve">y 11 meses desde que se </w:t>
      </w:r>
      <w:r>
        <w:rPr>
          <w:lang w:val="es-ES_tradnl"/>
        </w:rPr>
        <w:t>agotaron los recursos internos.</w:t>
      </w:r>
    </w:p>
    <w:p w14:paraId="38A6E279" w14:textId="1B7017F5" w:rsidR="002D5E87" w:rsidRPr="00AC5F78" w:rsidRDefault="002D5E87">
      <w:pPr>
        <w:pStyle w:val="SingleTxtG"/>
        <w:rPr>
          <w:lang w:val="es-ES_tradnl"/>
        </w:rPr>
      </w:pPr>
      <w:r w:rsidRPr="00AC5F78">
        <w:rPr>
          <w:lang w:val="es-ES_tradnl"/>
        </w:rPr>
        <w:t>4.5</w:t>
      </w:r>
      <w:r w:rsidRPr="00AC5F78">
        <w:rPr>
          <w:lang w:val="es-ES_tradnl"/>
        </w:rPr>
        <w:tab/>
        <w:t>El autor no ha presentado ningún recurso disponible en la jurisdicción interna respecto a los hechos que presuntamente ocasionaron violación a su derecho a la salud, debido a las condiciones de trabajo en las que prestaba sus servicios y que le habrían ocasionado una discapacidad física</w:t>
      </w:r>
      <w:r w:rsidR="009173F5" w:rsidRPr="00AC5F78">
        <w:rPr>
          <w:lang w:val="es-ES_tradnl"/>
        </w:rPr>
        <w:t>, p</w:t>
      </w:r>
      <w:r w:rsidRPr="00AC5F78">
        <w:rPr>
          <w:lang w:val="es-ES_tradnl"/>
        </w:rPr>
        <w:t>or lo que, este extremo de la comunicación es inadmisible por falta de agotamiento de recursos internos con arreglo al artículo 3</w:t>
      </w:r>
      <w:r w:rsidR="009173F5" w:rsidRPr="00AC5F78">
        <w:rPr>
          <w:lang w:val="es-ES_tradnl"/>
        </w:rPr>
        <w:t xml:space="preserve">, párr. </w:t>
      </w:r>
      <w:r w:rsidRPr="00AC5F78">
        <w:rPr>
          <w:lang w:val="es-ES_tradnl"/>
        </w:rPr>
        <w:t>1</w:t>
      </w:r>
      <w:r w:rsidR="009173F5" w:rsidRPr="00AC5F78">
        <w:rPr>
          <w:lang w:val="es-ES_tradnl"/>
        </w:rPr>
        <w:t>,</w:t>
      </w:r>
      <w:r w:rsidRPr="00AC5F78">
        <w:rPr>
          <w:lang w:val="es-ES_tradnl"/>
        </w:rPr>
        <w:t xml:space="preserve"> del Protocolo Facultativo.</w:t>
      </w:r>
      <w:r w:rsidR="00073A4D" w:rsidRPr="00AC5F78">
        <w:rPr>
          <w:lang w:val="es-ES_tradnl"/>
        </w:rPr>
        <w:t xml:space="preserve"> </w:t>
      </w:r>
      <w:r w:rsidRPr="00AC5F78">
        <w:rPr>
          <w:lang w:val="es-ES_tradnl"/>
        </w:rPr>
        <w:t xml:space="preserve">El artículo 102 de la Ley de Seguridad Social establece que el </w:t>
      </w:r>
      <w:r w:rsidR="009173F5" w:rsidRPr="00AC5F78">
        <w:rPr>
          <w:lang w:val="es-ES_tradnl"/>
        </w:rPr>
        <w:t>s</w:t>
      </w:r>
      <w:r w:rsidRPr="00AC5F78">
        <w:rPr>
          <w:lang w:val="es-ES_tradnl"/>
        </w:rPr>
        <w:t xml:space="preserve">eguro </w:t>
      </w:r>
      <w:r w:rsidR="009173F5" w:rsidRPr="00AC5F78">
        <w:rPr>
          <w:lang w:val="es-ES_tradnl"/>
        </w:rPr>
        <w:t>g</w:t>
      </w:r>
      <w:r w:rsidRPr="00AC5F78">
        <w:rPr>
          <w:lang w:val="es-ES_tradnl"/>
        </w:rPr>
        <w:t xml:space="preserve">eneral de </w:t>
      </w:r>
      <w:r w:rsidR="009173F5" w:rsidRPr="00AC5F78">
        <w:rPr>
          <w:lang w:val="es-ES_tradnl"/>
        </w:rPr>
        <w:t>s</w:t>
      </w:r>
      <w:r w:rsidRPr="00AC5F78">
        <w:rPr>
          <w:lang w:val="es-ES_tradnl"/>
        </w:rPr>
        <w:t xml:space="preserve">alud protegerá al asegurado contra las contingencias de enfermedad y que la prevención de accidentes de trabajo y enfermedades profesionales estará a cargo del </w:t>
      </w:r>
      <w:r w:rsidR="00AC76ED" w:rsidRPr="00AC5F78">
        <w:rPr>
          <w:lang w:val="es-ES_tradnl"/>
        </w:rPr>
        <w:t>s</w:t>
      </w:r>
      <w:r w:rsidRPr="00AC5F78">
        <w:rPr>
          <w:lang w:val="es-ES_tradnl"/>
        </w:rPr>
        <w:t xml:space="preserve">eguro </w:t>
      </w:r>
      <w:r w:rsidR="00AC76ED" w:rsidRPr="00AC5F78">
        <w:rPr>
          <w:lang w:val="es-ES_tradnl"/>
        </w:rPr>
        <w:t>g</w:t>
      </w:r>
      <w:r w:rsidRPr="00AC5F78">
        <w:rPr>
          <w:lang w:val="es-ES_tradnl"/>
        </w:rPr>
        <w:t xml:space="preserve">eneral de </w:t>
      </w:r>
      <w:r w:rsidR="00AC76ED" w:rsidRPr="00AC5F78">
        <w:rPr>
          <w:lang w:val="es-ES_tradnl"/>
        </w:rPr>
        <w:t>r</w:t>
      </w:r>
      <w:r w:rsidRPr="00AC5F78">
        <w:rPr>
          <w:lang w:val="es-ES_tradnl"/>
        </w:rPr>
        <w:t xml:space="preserve">iesgos del </w:t>
      </w:r>
      <w:r w:rsidR="00AC76ED" w:rsidRPr="00AC5F78">
        <w:rPr>
          <w:lang w:val="es-ES_tradnl"/>
        </w:rPr>
        <w:t>t</w:t>
      </w:r>
      <w:r w:rsidRPr="00AC5F78">
        <w:rPr>
          <w:lang w:val="es-ES_tradnl"/>
        </w:rPr>
        <w:t xml:space="preserve">rabajo. Por otro lado, el </w:t>
      </w:r>
      <w:r w:rsidR="006E596A" w:rsidRPr="00AC5F78">
        <w:rPr>
          <w:lang w:val="es-ES_tradnl"/>
        </w:rPr>
        <w:t>r</w:t>
      </w:r>
      <w:r w:rsidRPr="00AC5F78">
        <w:rPr>
          <w:lang w:val="es-ES_tradnl"/>
        </w:rPr>
        <w:t xml:space="preserve">eglamento del </w:t>
      </w:r>
      <w:r w:rsidR="006E596A" w:rsidRPr="00AC5F78">
        <w:rPr>
          <w:lang w:val="es-ES_tradnl"/>
        </w:rPr>
        <w:t>s</w:t>
      </w:r>
      <w:r w:rsidRPr="00AC5F78">
        <w:rPr>
          <w:lang w:val="es-ES_tradnl"/>
        </w:rPr>
        <w:t>eguro</w:t>
      </w:r>
      <w:r w:rsidR="00B9172A" w:rsidRPr="00AC5F78">
        <w:rPr>
          <w:lang w:val="es-ES_tradnl"/>
        </w:rPr>
        <w:t xml:space="preserve"> </w:t>
      </w:r>
      <w:r w:rsidR="006E596A" w:rsidRPr="00AC5F78">
        <w:rPr>
          <w:lang w:val="es-ES_tradnl"/>
        </w:rPr>
        <w:t>g</w:t>
      </w:r>
      <w:r w:rsidR="00B9172A" w:rsidRPr="00AC5F78">
        <w:rPr>
          <w:lang w:val="es-ES_tradnl"/>
        </w:rPr>
        <w:t xml:space="preserve">eneral de </w:t>
      </w:r>
      <w:r w:rsidR="006E596A" w:rsidRPr="00AC5F78">
        <w:rPr>
          <w:lang w:val="es-ES_tradnl"/>
        </w:rPr>
        <w:t>r</w:t>
      </w:r>
      <w:r w:rsidR="00B9172A" w:rsidRPr="00AC5F78">
        <w:rPr>
          <w:lang w:val="es-ES_tradnl"/>
        </w:rPr>
        <w:t xml:space="preserve">iesgos del </w:t>
      </w:r>
      <w:r w:rsidR="006E596A" w:rsidRPr="00AC5F78">
        <w:rPr>
          <w:lang w:val="es-ES_tradnl"/>
        </w:rPr>
        <w:t>t</w:t>
      </w:r>
      <w:r w:rsidR="00B9172A" w:rsidRPr="00AC5F78">
        <w:rPr>
          <w:lang w:val="es-ES_tradnl"/>
        </w:rPr>
        <w:t>rabajo</w:t>
      </w:r>
      <w:r w:rsidRPr="00AC5F78">
        <w:rPr>
          <w:lang w:val="es-ES_tradnl"/>
        </w:rPr>
        <w:t xml:space="preserve"> dispone que en los casos en que se advierta</w:t>
      </w:r>
      <w:r w:rsidR="00B017FF" w:rsidRPr="00AC5F78">
        <w:rPr>
          <w:lang w:val="es-ES_tradnl"/>
        </w:rPr>
        <w:t>n</w:t>
      </w:r>
      <w:r w:rsidRPr="00AC5F78">
        <w:rPr>
          <w:lang w:val="es-ES_tradnl"/>
        </w:rPr>
        <w:t xml:space="preserve"> indicios de una enfermedad profesional u ocupacional, el empleador </w:t>
      </w:r>
      <w:r w:rsidR="00B017FF" w:rsidRPr="00AC5F78">
        <w:rPr>
          <w:lang w:val="es-ES_tradnl"/>
        </w:rPr>
        <w:t>o</w:t>
      </w:r>
      <w:r w:rsidRPr="00AC5F78">
        <w:rPr>
          <w:lang w:val="es-ES_tradnl"/>
        </w:rPr>
        <w:t xml:space="preserve"> trabajador </w:t>
      </w:r>
      <w:r w:rsidR="00B017FF" w:rsidRPr="00AC5F78">
        <w:rPr>
          <w:lang w:val="es-ES_tradnl"/>
        </w:rPr>
        <w:t xml:space="preserve">lo </w:t>
      </w:r>
      <w:r w:rsidRPr="00AC5F78">
        <w:rPr>
          <w:lang w:val="es-ES_tradnl"/>
        </w:rPr>
        <w:t xml:space="preserve">comunicará a las unidades del </w:t>
      </w:r>
      <w:r w:rsidR="006E596A" w:rsidRPr="00AC5F78">
        <w:rPr>
          <w:lang w:val="es-ES_tradnl"/>
        </w:rPr>
        <w:t>s</w:t>
      </w:r>
      <w:r w:rsidRPr="00AC5F78">
        <w:rPr>
          <w:lang w:val="es-ES_tradnl"/>
        </w:rPr>
        <w:t xml:space="preserve">eguro </w:t>
      </w:r>
      <w:r w:rsidR="006E596A" w:rsidRPr="00AC5F78">
        <w:rPr>
          <w:lang w:val="es-ES_tradnl"/>
        </w:rPr>
        <w:t>g</w:t>
      </w:r>
      <w:r w:rsidRPr="00AC5F78">
        <w:rPr>
          <w:lang w:val="es-ES_tradnl"/>
        </w:rPr>
        <w:t xml:space="preserve">eneral de </w:t>
      </w:r>
      <w:r w:rsidR="006E596A" w:rsidRPr="00AC5F78">
        <w:rPr>
          <w:lang w:val="es-ES_tradnl"/>
        </w:rPr>
        <w:t>r</w:t>
      </w:r>
      <w:r w:rsidRPr="00AC5F78">
        <w:rPr>
          <w:lang w:val="es-ES_tradnl"/>
        </w:rPr>
        <w:t xml:space="preserve">iesgos del </w:t>
      </w:r>
      <w:r w:rsidR="006E596A" w:rsidRPr="00AC5F78">
        <w:rPr>
          <w:lang w:val="es-ES_tradnl"/>
        </w:rPr>
        <w:t>t</w:t>
      </w:r>
      <w:r w:rsidRPr="00AC5F78">
        <w:rPr>
          <w:lang w:val="es-ES_tradnl"/>
        </w:rPr>
        <w:t>rabajo</w:t>
      </w:r>
      <w:r w:rsidR="00F436A8" w:rsidRPr="00AC5F78">
        <w:rPr>
          <w:lang w:val="es-ES_tradnl"/>
        </w:rPr>
        <w:t>. Por tanto</w:t>
      </w:r>
      <w:r w:rsidRPr="00AC5F78">
        <w:rPr>
          <w:lang w:val="es-ES_tradnl"/>
        </w:rPr>
        <w:t xml:space="preserve">, si el autor supuso que adquirió una enfermedad profesional por las condiciones a las que estaba expuesto mientras cumplía su trabajo, debió comunicar esta situación al </w:t>
      </w:r>
      <w:r w:rsidR="0053348C" w:rsidRPr="00AC5F78">
        <w:rPr>
          <w:lang w:val="es-ES_tradnl"/>
        </w:rPr>
        <w:t>s</w:t>
      </w:r>
      <w:r w:rsidRPr="00AC5F78">
        <w:rPr>
          <w:lang w:val="es-ES_tradnl"/>
        </w:rPr>
        <w:t xml:space="preserve">eguro </w:t>
      </w:r>
      <w:r w:rsidR="0053348C" w:rsidRPr="00AC5F78">
        <w:rPr>
          <w:lang w:val="es-ES_tradnl"/>
        </w:rPr>
        <w:t>s</w:t>
      </w:r>
      <w:r w:rsidRPr="00AC5F78">
        <w:rPr>
          <w:lang w:val="es-ES_tradnl"/>
        </w:rPr>
        <w:t>ocial a fin de que se proced</w:t>
      </w:r>
      <w:r w:rsidR="006E596A" w:rsidRPr="00AC5F78">
        <w:rPr>
          <w:lang w:val="es-ES_tradnl"/>
        </w:rPr>
        <w:t>ier</w:t>
      </w:r>
      <w:r w:rsidRPr="00AC5F78">
        <w:rPr>
          <w:lang w:val="es-ES_tradnl"/>
        </w:rPr>
        <w:t>a a realizar el trámite para acceder al seguro general de riesgos de trabajo, en donde se le realizaba una evaluación médica y luego de los informes médicos y técnicos respectivos, se dictaminaba la existencia de una enfermedad profesional y se podía</w:t>
      </w:r>
      <w:r w:rsidR="006E596A" w:rsidRPr="00AC5F78">
        <w:rPr>
          <w:lang w:val="es-ES_tradnl"/>
        </w:rPr>
        <w:t>n</w:t>
      </w:r>
      <w:r w:rsidRPr="00AC5F78">
        <w:rPr>
          <w:lang w:val="es-ES_tradnl"/>
        </w:rPr>
        <w:t xml:space="preserve"> recomendar medidas como la separación del afiliado de su puesto de trabajo y evitar el contacto con sustancias nocivas de potencial efecto perjudicial para su salud, así como proporcionarle las prestaciones económicas y asistenciales correspondientes.</w:t>
      </w:r>
    </w:p>
    <w:p w14:paraId="5DB65413" w14:textId="3F6AB736" w:rsidR="00DF590A" w:rsidRPr="00AC5F78" w:rsidRDefault="000947E2">
      <w:pPr>
        <w:pStyle w:val="SingleTxtG"/>
        <w:rPr>
          <w:lang w:val="es-ES_tradnl"/>
        </w:rPr>
      </w:pPr>
      <w:r w:rsidRPr="00AC5F78">
        <w:rPr>
          <w:lang w:val="es-ES_tradnl"/>
        </w:rPr>
        <w:t>4</w:t>
      </w:r>
      <w:r w:rsidR="00B9172A" w:rsidRPr="00AC5F78">
        <w:rPr>
          <w:lang w:val="es-ES_tradnl"/>
        </w:rPr>
        <w:t>.6</w:t>
      </w:r>
      <w:r w:rsidRPr="00AC5F78">
        <w:rPr>
          <w:lang w:val="es-ES_tradnl"/>
        </w:rPr>
        <w:tab/>
        <w:t xml:space="preserve">La comunicación </w:t>
      </w:r>
      <w:r w:rsidR="00C32EC1" w:rsidRPr="00AC5F78">
        <w:rPr>
          <w:lang w:val="es-ES_tradnl"/>
        </w:rPr>
        <w:t>no cumple con el criterio de admisibilidad establecido en el</w:t>
      </w:r>
      <w:r w:rsidR="00C30D4C">
        <w:rPr>
          <w:lang w:val="es-ES_tradnl"/>
        </w:rPr>
        <w:t xml:space="preserve"> artículo </w:t>
      </w:r>
      <w:r w:rsidR="00C32EC1" w:rsidRPr="00AC5F78">
        <w:rPr>
          <w:lang w:val="es-ES_tradnl"/>
        </w:rPr>
        <w:t>3</w:t>
      </w:r>
      <w:r w:rsidR="009C3C13" w:rsidRPr="00AC5F78">
        <w:rPr>
          <w:lang w:val="es-ES_tradnl"/>
        </w:rPr>
        <w:t xml:space="preserve">, párr. </w:t>
      </w:r>
      <w:r w:rsidR="00C32EC1" w:rsidRPr="00AC5F78">
        <w:rPr>
          <w:lang w:val="es-ES_tradnl"/>
        </w:rPr>
        <w:t>2</w:t>
      </w:r>
      <w:r w:rsidR="009C3C13" w:rsidRPr="00AC5F78">
        <w:rPr>
          <w:lang w:val="es-ES_tradnl"/>
        </w:rPr>
        <w:t xml:space="preserve">, apdo. </w:t>
      </w:r>
      <w:r w:rsidR="00C32EC1" w:rsidRPr="00AC5F78">
        <w:rPr>
          <w:lang w:val="es-ES_tradnl"/>
        </w:rPr>
        <w:t>e)</w:t>
      </w:r>
      <w:r w:rsidR="009C3C13" w:rsidRPr="00AC5F78">
        <w:rPr>
          <w:lang w:val="es-ES_tradnl"/>
        </w:rPr>
        <w:t>,</w:t>
      </w:r>
      <w:r w:rsidR="00C32EC1" w:rsidRPr="00AC5F78">
        <w:rPr>
          <w:lang w:val="es-ES_tradnl"/>
        </w:rPr>
        <w:t xml:space="preserve"> del Protocolo Facultativo, toda vez que </w:t>
      </w:r>
      <w:r w:rsidRPr="00AC5F78">
        <w:rPr>
          <w:lang w:val="es-ES_tradnl"/>
        </w:rPr>
        <w:t xml:space="preserve">es manifiestamente infundada y no </w:t>
      </w:r>
      <w:r w:rsidR="00C32EC1" w:rsidRPr="00AC5F78">
        <w:rPr>
          <w:lang w:val="es-ES_tradnl"/>
        </w:rPr>
        <w:t>demuestra</w:t>
      </w:r>
      <w:r w:rsidRPr="00AC5F78">
        <w:rPr>
          <w:lang w:val="es-ES_tradnl"/>
        </w:rPr>
        <w:t xml:space="preserve"> una violación a los derechos del Pacto. </w:t>
      </w:r>
      <w:r w:rsidR="00C32EC1" w:rsidRPr="00AC5F78">
        <w:rPr>
          <w:lang w:val="es-ES_tradnl"/>
        </w:rPr>
        <w:t xml:space="preserve">La información presentada en la comunicación no indica que las autoridades judiciales que </w:t>
      </w:r>
      <w:r w:rsidR="00771435" w:rsidRPr="00AC5F78">
        <w:rPr>
          <w:lang w:val="es-ES_tradnl"/>
        </w:rPr>
        <w:t>denegaron</w:t>
      </w:r>
      <w:r w:rsidR="00C32EC1" w:rsidRPr="00AC5F78">
        <w:rPr>
          <w:lang w:val="es-ES_tradnl"/>
        </w:rPr>
        <w:t xml:space="preserve"> la pretensión del autor hayan actuado deliberadamente para transgredir sus derechos pues los jueces en la sentencia de casación analizaron jurídicamente la forma de terminación de la relación laboral y la procedencia del pago de una contribución establecida al amparo de un contrato colectivo de trabajo, beneficio que no le correspondía recibir </w:t>
      </w:r>
      <w:r w:rsidR="00AF49C7" w:rsidRPr="00AC5F78">
        <w:rPr>
          <w:lang w:val="es-ES_tradnl"/>
        </w:rPr>
        <w:t>al autor</w:t>
      </w:r>
      <w:r w:rsidR="00C32EC1" w:rsidRPr="00AC5F78">
        <w:rPr>
          <w:lang w:val="es-ES_tradnl"/>
        </w:rPr>
        <w:t xml:space="preserve">. </w:t>
      </w:r>
      <w:r w:rsidR="00A4516A" w:rsidRPr="00AC5F78">
        <w:rPr>
          <w:lang w:val="es-ES_tradnl"/>
        </w:rPr>
        <w:t xml:space="preserve">La comunicación </w:t>
      </w:r>
      <w:r w:rsidR="00DF590A" w:rsidRPr="00AC5F78">
        <w:rPr>
          <w:lang w:val="es-ES_tradnl"/>
        </w:rPr>
        <w:t xml:space="preserve">se limita a expresar su disconformidad con la sentencia de la </w:t>
      </w:r>
      <w:r w:rsidR="003F5C6F" w:rsidRPr="00AC5F78">
        <w:rPr>
          <w:lang w:val="es-ES_tradnl"/>
        </w:rPr>
        <w:t xml:space="preserve">Corte Nacional de Justicia </w:t>
      </w:r>
      <w:r w:rsidR="00DF590A" w:rsidRPr="00AC5F78">
        <w:rPr>
          <w:lang w:val="es-ES_tradnl"/>
        </w:rPr>
        <w:t xml:space="preserve">que desestimó su pretensión, sin fundamentar sus alegaciones de violaciones del Pacto, con </w:t>
      </w:r>
      <w:r w:rsidR="00091FEC" w:rsidRPr="00AC5F78">
        <w:rPr>
          <w:lang w:val="es-ES_tradnl"/>
        </w:rPr>
        <w:t xml:space="preserve">el propósito </w:t>
      </w:r>
      <w:r w:rsidR="00CF0B68" w:rsidRPr="00AC5F78">
        <w:rPr>
          <w:lang w:val="es-ES_tradnl"/>
        </w:rPr>
        <w:t xml:space="preserve">de </w:t>
      </w:r>
      <w:r w:rsidR="00DF590A" w:rsidRPr="00AC5F78">
        <w:rPr>
          <w:lang w:val="es-ES_tradnl"/>
        </w:rPr>
        <w:t xml:space="preserve">que el Comité revoque esta sentencia. </w:t>
      </w:r>
      <w:r w:rsidR="00091FEC" w:rsidRPr="00AC5F78">
        <w:rPr>
          <w:lang w:val="es-ES_tradnl"/>
        </w:rPr>
        <w:t>Sin embargo, el Comité no puede actuar como una cuarta instancia.</w:t>
      </w:r>
      <w:r w:rsidR="00DF590A" w:rsidRPr="00AC5F78">
        <w:rPr>
          <w:lang w:val="es-ES_tradnl"/>
        </w:rPr>
        <w:t xml:space="preserve"> Agrega que la demanda presentada por el autor con relación la </w:t>
      </w:r>
      <w:r w:rsidR="00F436A8" w:rsidRPr="00AC5F78">
        <w:rPr>
          <w:lang w:val="es-ES_tradnl"/>
        </w:rPr>
        <w:t>bonificación</w:t>
      </w:r>
      <w:r w:rsidR="00DF590A" w:rsidRPr="00AC5F78">
        <w:rPr>
          <w:lang w:val="es-ES_tradnl"/>
        </w:rPr>
        <w:t xml:space="preserve"> prevista en </w:t>
      </w:r>
      <w:r w:rsidR="00F436A8" w:rsidRPr="00AC5F78">
        <w:rPr>
          <w:lang w:val="es-ES_tradnl"/>
        </w:rPr>
        <w:t xml:space="preserve">el </w:t>
      </w:r>
      <w:r w:rsidR="007B3C2C" w:rsidRPr="00AC5F78">
        <w:rPr>
          <w:lang w:val="es-ES_tradnl"/>
        </w:rPr>
        <w:t>c</w:t>
      </w:r>
      <w:r w:rsidR="00DF590A" w:rsidRPr="00AC5F78">
        <w:rPr>
          <w:lang w:val="es-ES_tradnl"/>
        </w:rPr>
        <w:t xml:space="preserve">ontrato </w:t>
      </w:r>
      <w:r w:rsidR="007B3C2C" w:rsidRPr="00AC5F78">
        <w:rPr>
          <w:lang w:val="es-ES_tradnl"/>
        </w:rPr>
        <w:t>c</w:t>
      </w:r>
      <w:r w:rsidR="00DF590A" w:rsidRPr="00AC5F78">
        <w:rPr>
          <w:lang w:val="es-ES_tradnl"/>
        </w:rPr>
        <w:t xml:space="preserve">olectivo fue examinada por tres instancias judiciales distintas y que tanto la decisión de primera como de segunda instancia aceptaron las pretensiones del autor. </w:t>
      </w:r>
      <w:r w:rsidR="00DF590A" w:rsidRPr="00AC5F78">
        <w:rPr>
          <w:color w:val="000000"/>
          <w:lang w:val="es-ES_tradnl"/>
        </w:rPr>
        <w:t>Este proceso judicial se desarrolló con respeto del debido proceso y acorde al marco constitucional y legal vigentes</w:t>
      </w:r>
      <w:r w:rsidR="008F0C7E" w:rsidRPr="00AC5F78">
        <w:rPr>
          <w:color w:val="000000"/>
          <w:lang w:val="es-ES_tradnl"/>
        </w:rPr>
        <w:t>.</w:t>
      </w:r>
    </w:p>
    <w:p w14:paraId="1CB5D5DB" w14:textId="1636B782" w:rsidR="00233A4C" w:rsidRPr="00AC5F78" w:rsidRDefault="0082428A">
      <w:pPr>
        <w:pStyle w:val="SingleTxtG"/>
        <w:rPr>
          <w:lang w:val="es-ES_tradnl"/>
        </w:rPr>
      </w:pPr>
      <w:r w:rsidRPr="00AC5F78">
        <w:rPr>
          <w:lang w:val="es-ES_tradnl"/>
        </w:rPr>
        <w:t>4.7</w:t>
      </w:r>
      <w:r w:rsidR="0008512D" w:rsidRPr="00AC5F78">
        <w:rPr>
          <w:lang w:val="es-ES_tradnl"/>
        </w:rPr>
        <w:tab/>
        <w:t xml:space="preserve">Si la comunicación es declarada admisible por el Comité, el Estado parte sostiene que esta no revela ninguna violación de los derechos </w:t>
      </w:r>
      <w:r w:rsidR="00771435" w:rsidRPr="00AC5F78">
        <w:rPr>
          <w:lang w:val="es-ES_tradnl"/>
        </w:rPr>
        <w:t>del autor</w:t>
      </w:r>
      <w:r w:rsidR="0008512D" w:rsidRPr="00AC5F78">
        <w:rPr>
          <w:lang w:val="es-ES_tradnl"/>
        </w:rPr>
        <w:t xml:space="preserve"> en virtud del Pacto. Con relación a las alegaciones del autor de violación del artículo 6 del Pacto, el Estado parte señala </w:t>
      </w:r>
      <w:r w:rsidR="00B01E28" w:rsidRPr="00AC5F78">
        <w:rPr>
          <w:lang w:val="es-ES_tradnl"/>
        </w:rPr>
        <w:t xml:space="preserve">que </w:t>
      </w:r>
      <w:r w:rsidR="00387FC0" w:rsidRPr="00AC5F78">
        <w:rPr>
          <w:lang w:val="es-ES_tradnl"/>
        </w:rPr>
        <w:t xml:space="preserve">la comunicación </w:t>
      </w:r>
      <w:r w:rsidR="00233A4C" w:rsidRPr="00AC5F78">
        <w:rPr>
          <w:lang w:val="es-ES_tradnl" w:eastAsia="es-EC"/>
        </w:rPr>
        <w:t>no expone argumentos que permitan deducir una vulneración a</w:t>
      </w:r>
      <w:r w:rsidR="00387FC0" w:rsidRPr="00AC5F78">
        <w:rPr>
          <w:lang w:val="es-ES_tradnl" w:eastAsia="es-EC"/>
        </w:rPr>
        <w:t>l</w:t>
      </w:r>
      <w:r w:rsidR="00233A4C" w:rsidRPr="00AC5F78">
        <w:rPr>
          <w:lang w:val="es-ES_tradnl" w:eastAsia="es-EC"/>
        </w:rPr>
        <w:t xml:space="preserve"> derecho a trabajar, pues este fue siempre reconocido y lo ejerció sin ningún inconveniente antes, después y durante todo el tiempo que lab</w:t>
      </w:r>
      <w:r w:rsidR="00C30D4C">
        <w:rPr>
          <w:lang w:val="es-ES_tradnl" w:eastAsia="es-EC"/>
        </w:rPr>
        <w:t>oró en la empresa PETROECUADOR.</w:t>
      </w:r>
    </w:p>
    <w:p w14:paraId="06D9FFD0" w14:textId="1F730DB6" w:rsidR="00233A4C" w:rsidRPr="00AC5F78" w:rsidRDefault="00B86F85">
      <w:pPr>
        <w:pStyle w:val="SingleTxtG"/>
        <w:rPr>
          <w:lang w:val="es-ES_tradnl" w:eastAsia="es-EC"/>
        </w:rPr>
      </w:pPr>
      <w:r w:rsidRPr="00AC5F78">
        <w:rPr>
          <w:lang w:val="es-ES_tradnl"/>
        </w:rPr>
        <w:t>4</w:t>
      </w:r>
      <w:r w:rsidR="00387FC0" w:rsidRPr="00AC5F78">
        <w:rPr>
          <w:lang w:val="es-ES_tradnl"/>
        </w:rPr>
        <w:t>.8</w:t>
      </w:r>
      <w:r w:rsidRPr="00AC5F78">
        <w:rPr>
          <w:lang w:val="es-ES_tradnl"/>
        </w:rPr>
        <w:tab/>
        <w:t xml:space="preserve">La comunicación no presenta ninguna información o argumento del que se desprenda una violación del artículo 7 del Pacto. </w:t>
      </w:r>
      <w:r w:rsidR="00722B66" w:rsidRPr="00AC5F78">
        <w:rPr>
          <w:lang w:val="es-ES_tradnl"/>
        </w:rPr>
        <w:t xml:space="preserve">El Estado parte se refiere a medidas tomadas por PETROECUADOR de seguridad y salud ocupacional y sostiene que </w:t>
      </w:r>
      <w:r w:rsidR="00722B66" w:rsidRPr="00AC5F78">
        <w:rPr>
          <w:lang w:val="es-ES_tradnl" w:eastAsia="es-EC"/>
        </w:rPr>
        <w:t xml:space="preserve">se garantizó el derecho del autor al goce de condiciones equitativas y </w:t>
      </w:r>
      <w:r w:rsidR="00722B66" w:rsidRPr="00AC5F78">
        <w:rPr>
          <w:lang w:val="es-ES_tradnl"/>
        </w:rPr>
        <w:t>satisfactorias</w:t>
      </w:r>
      <w:r w:rsidR="00722B66" w:rsidRPr="00AC5F78">
        <w:rPr>
          <w:lang w:val="es-ES_tradnl" w:eastAsia="es-EC"/>
        </w:rPr>
        <w:t xml:space="preserve"> en el trabajo, especialmente su derecho a </w:t>
      </w:r>
      <w:r w:rsidR="00722B66" w:rsidRPr="00AC5F78">
        <w:rPr>
          <w:lang w:val="es-ES_tradnl"/>
        </w:rPr>
        <w:t xml:space="preserve">desarrollar sus labores en un ambiente adecuado y propicio, que garantice su salud, integridad y seguridad. Agrega que el autor alega </w:t>
      </w:r>
      <w:r w:rsidR="00387FC0" w:rsidRPr="00AC5F78">
        <w:rPr>
          <w:lang w:val="es-ES_tradnl"/>
        </w:rPr>
        <w:t xml:space="preserve">que </w:t>
      </w:r>
      <w:r w:rsidR="00722B66" w:rsidRPr="00AC5F78">
        <w:rPr>
          <w:lang w:val="es-ES_tradnl"/>
        </w:rPr>
        <w:t>este derecho fue violado</w:t>
      </w:r>
      <w:r w:rsidR="00387FC0" w:rsidRPr="00AC5F78">
        <w:rPr>
          <w:lang w:val="es-ES_tradnl"/>
        </w:rPr>
        <w:t xml:space="preserve"> por PETROECUADOR</w:t>
      </w:r>
      <w:r w:rsidR="00722B66" w:rsidRPr="00AC5F78">
        <w:rPr>
          <w:lang w:val="es-ES_tradnl"/>
        </w:rPr>
        <w:t xml:space="preserve"> al </w:t>
      </w:r>
      <w:r w:rsidR="00387FC0" w:rsidRPr="00AC5F78">
        <w:rPr>
          <w:lang w:val="es-ES_tradnl"/>
        </w:rPr>
        <w:t xml:space="preserve">no </w:t>
      </w:r>
      <w:r w:rsidR="00722B66" w:rsidRPr="00AC5F78">
        <w:rPr>
          <w:lang w:val="es-ES_tradnl"/>
        </w:rPr>
        <w:t xml:space="preserve">otorgarle la </w:t>
      </w:r>
      <w:r w:rsidR="007B3C2C" w:rsidRPr="00AC5F78">
        <w:rPr>
          <w:lang w:val="es-ES_tradnl"/>
        </w:rPr>
        <w:t>bonificación</w:t>
      </w:r>
      <w:r w:rsidR="00722B66" w:rsidRPr="00AC5F78">
        <w:rPr>
          <w:lang w:val="es-ES_tradnl"/>
        </w:rPr>
        <w:t xml:space="preserve"> por separación voluntaria prevista en el contrato colectivo</w:t>
      </w:r>
      <w:r w:rsidR="007B3C2C" w:rsidRPr="00AC5F78">
        <w:rPr>
          <w:lang w:val="es-ES_tradnl"/>
        </w:rPr>
        <w:t>.</w:t>
      </w:r>
      <w:r w:rsidR="00722B66" w:rsidRPr="00AC5F78">
        <w:rPr>
          <w:lang w:val="es-ES_tradnl"/>
        </w:rPr>
        <w:t xml:space="preserve"> Sin embargo, la </w:t>
      </w:r>
      <w:r w:rsidR="008B21D5" w:rsidRPr="00AC5F78">
        <w:rPr>
          <w:lang w:val="es-ES_tradnl"/>
        </w:rPr>
        <w:t xml:space="preserve">Corte Nacional de Justicia </w:t>
      </w:r>
      <w:r w:rsidR="00722B66" w:rsidRPr="00AC5F78">
        <w:rPr>
          <w:lang w:val="es-ES_tradnl"/>
        </w:rPr>
        <w:t>estableció que debido a la utilización de la figura del desahucio por parte del autor para dar por finalizada su relaci</w:t>
      </w:r>
      <w:r w:rsidR="00771435" w:rsidRPr="00AC5F78">
        <w:rPr>
          <w:lang w:val="es-ES_tradnl"/>
        </w:rPr>
        <w:t>ón</w:t>
      </w:r>
      <w:r w:rsidR="00722B66" w:rsidRPr="00AC5F78">
        <w:rPr>
          <w:lang w:val="es-ES_tradnl"/>
        </w:rPr>
        <w:t xml:space="preserve"> laboral, no le correspondía obtener una bonificación adicional que era aplicable a la figura de la separación v</w:t>
      </w:r>
      <w:r w:rsidR="00C30D4C">
        <w:rPr>
          <w:lang w:val="es-ES_tradnl"/>
        </w:rPr>
        <w:t>oluntaria, no utilizada por él.</w:t>
      </w:r>
    </w:p>
    <w:p w14:paraId="21813383" w14:textId="7D49E9D3" w:rsidR="001605F0" w:rsidRPr="00AC5F78" w:rsidRDefault="00A82B83">
      <w:pPr>
        <w:pStyle w:val="SingleTxtG"/>
        <w:rPr>
          <w:lang w:val="es-ES_tradnl"/>
        </w:rPr>
      </w:pPr>
      <w:r w:rsidRPr="00AC5F78">
        <w:rPr>
          <w:lang w:val="es-ES_tradnl"/>
        </w:rPr>
        <w:t>4.</w:t>
      </w:r>
      <w:r w:rsidR="00387FC0" w:rsidRPr="00AC5F78">
        <w:rPr>
          <w:lang w:val="es-ES_tradnl"/>
        </w:rPr>
        <w:t>9</w:t>
      </w:r>
      <w:r w:rsidRPr="00AC5F78">
        <w:rPr>
          <w:lang w:val="es-ES_tradnl"/>
        </w:rPr>
        <w:tab/>
      </w:r>
      <w:r w:rsidR="001B01B9" w:rsidRPr="00AC5F78">
        <w:rPr>
          <w:lang w:val="es-ES_tradnl"/>
        </w:rPr>
        <w:t>Con relación a las alegaciones del autor en virtud del artículo 12 del Pacto, el Estado parte señala que, a través del PETROECUADOR</w:t>
      </w:r>
      <w:r w:rsidR="007B3C2C" w:rsidRPr="00AC5F78">
        <w:rPr>
          <w:rStyle w:val="Refdenotaalpie"/>
          <w:szCs w:val="18"/>
          <w:lang w:val="es-ES_tradnl"/>
        </w:rPr>
        <w:footnoteReference w:id="2"/>
      </w:r>
      <w:r w:rsidR="00E07260" w:rsidRPr="00AC5F78">
        <w:rPr>
          <w:lang w:val="es-ES_tradnl"/>
        </w:rPr>
        <w:t>,</w:t>
      </w:r>
      <w:r w:rsidR="001B01B9" w:rsidRPr="00AC5F78">
        <w:rPr>
          <w:lang w:val="es-ES_tradnl"/>
        </w:rPr>
        <w:t xml:space="preserve"> siempre garantizó condiciones adecuadas de seguridad y salud en el trabajo y, por tanto, </w:t>
      </w:r>
      <w:r w:rsidR="007B3C2C" w:rsidRPr="00AC5F78">
        <w:rPr>
          <w:lang w:val="es-ES_tradnl"/>
        </w:rPr>
        <w:t>e</w:t>
      </w:r>
      <w:r w:rsidR="001B01B9" w:rsidRPr="00AC5F78">
        <w:rPr>
          <w:lang w:val="es-ES_tradnl"/>
        </w:rPr>
        <w:t>l derecho del autor al disfrute más alto posible de salud física y mental. Al respecto, resalta que</w:t>
      </w:r>
      <w:r w:rsidR="00666600" w:rsidRPr="00AC5F78">
        <w:rPr>
          <w:lang w:val="es-ES_tradnl"/>
        </w:rPr>
        <w:t xml:space="preserve"> m</w:t>
      </w:r>
      <w:r w:rsidR="001605F0" w:rsidRPr="00AC5F78">
        <w:rPr>
          <w:lang w:val="es-ES_tradnl"/>
        </w:rPr>
        <w:t xml:space="preserve">ientras el autor trabajó en PETROECUADOR, fue sujeto de continuas evaluaciones médicas </w:t>
      </w:r>
      <w:r w:rsidR="00E8236B" w:rsidRPr="00AC5F78">
        <w:rPr>
          <w:lang w:val="es-ES_tradnl"/>
        </w:rPr>
        <w:t xml:space="preserve">entre </w:t>
      </w:r>
      <w:r w:rsidR="001605F0" w:rsidRPr="00AC5F78">
        <w:rPr>
          <w:lang w:val="es-ES_tradnl"/>
        </w:rPr>
        <w:t xml:space="preserve">1977 </w:t>
      </w:r>
      <w:r w:rsidR="00E8236B" w:rsidRPr="00AC5F78">
        <w:rPr>
          <w:lang w:val="es-ES_tradnl"/>
        </w:rPr>
        <w:t xml:space="preserve">y </w:t>
      </w:r>
      <w:r w:rsidR="001605F0" w:rsidRPr="00AC5F78">
        <w:rPr>
          <w:lang w:val="es-ES_tradnl"/>
        </w:rPr>
        <w:t>2005, al igu</w:t>
      </w:r>
      <w:r w:rsidR="00E07260" w:rsidRPr="00AC5F78">
        <w:rPr>
          <w:lang w:val="es-ES_tradnl"/>
        </w:rPr>
        <w:t>al que el resto de trabajadores.</w:t>
      </w:r>
    </w:p>
    <w:p w14:paraId="15F85981" w14:textId="347785C8" w:rsidR="001605F0" w:rsidRPr="00AC5F78" w:rsidRDefault="001605F0">
      <w:pPr>
        <w:pStyle w:val="SingleTxtG"/>
        <w:rPr>
          <w:lang w:val="es-ES_tradnl"/>
        </w:rPr>
      </w:pPr>
      <w:r w:rsidRPr="00AC5F78">
        <w:rPr>
          <w:lang w:val="es-ES_tradnl"/>
        </w:rPr>
        <w:t>4.1</w:t>
      </w:r>
      <w:r w:rsidR="00387FC0" w:rsidRPr="00AC5F78">
        <w:rPr>
          <w:lang w:val="es-ES_tradnl"/>
        </w:rPr>
        <w:t>0</w:t>
      </w:r>
      <w:r w:rsidRPr="00AC5F78">
        <w:rPr>
          <w:lang w:val="es-ES_tradnl"/>
        </w:rPr>
        <w:tab/>
        <w:t>C</w:t>
      </w:r>
      <w:r w:rsidR="00C51299" w:rsidRPr="00AC5F78">
        <w:rPr>
          <w:lang w:val="es-ES_tradnl"/>
        </w:rPr>
        <w:t>on relación a la alegación del autor de que estuvo expuesto a sustancias nocivas, el Estado parte señala que</w:t>
      </w:r>
      <w:r w:rsidR="001A095E" w:rsidRPr="00AC5F78">
        <w:rPr>
          <w:lang w:val="es-ES_tradnl"/>
        </w:rPr>
        <w:t>,</w:t>
      </w:r>
      <w:r w:rsidR="00C51299" w:rsidRPr="00AC5F78">
        <w:rPr>
          <w:lang w:val="es-ES_tradnl"/>
        </w:rPr>
        <w:t xml:space="preserve"> durante su trabajo en PETROECUADOR, en particular en la </w:t>
      </w:r>
      <w:r w:rsidR="00DD1084" w:rsidRPr="00AC5F78">
        <w:rPr>
          <w:lang w:val="es-ES_tradnl"/>
        </w:rPr>
        <w:t>r</w:t>
      </w:r>
      <w:r w:rsidR="00C51299" w:rsidRPr="00AC5F78">
        <w:rPr>
          <w:lang w:val="es-ES_tradnl"/>
        </w:rPr>
        <w:t>efinería de Esmeraldas, el autor desarrolló actividad</w:t>
      </w:r>
      <w:r w:rsidR="000875B9">
        <w:rPr>
          <w:lang w:val="es-ES_tradnl"/>
        </w:rPr>
        <w:t>es</w:t>
      </w:r>
      <w:r w:rsidR="00C51299" w:rsidRPr="00AC5F78">
        <w:rPr>
          <w:lang w:val="es-ES_tradnl"/>
        </w:rPr>
        <w:t xml:space="preserve"> laborales en las que predomina</w:t>
      </w:r>
      <w:r w:rsidR="00771435" w:rsidRPr="00AC5F78">
        <w:rPr>
          <w:lang w:val="es-ES_tradnl"/>
        </w:rPr>
        <w:t>ro</w:t>
      </w:r>
      <w:r w:rsidR="00C51299" w:rsidRPr="00AC5F78">
        <w:rPr>
          <w:lang w:val="es-ES_tradnl"/>
        </w:rPr>
        <w:t>n funciones de tipo administrativo, principalmente en el área de recursos humanos y capacitaciones al personal.</w:t>
      </w:r>
      <w:r w:rsidRPr="00AC5F78">
        <w:rPr>
          <w:lang w:val="es-ES_tradnl"/>
        </w:rPr>
        <w:t xml:space="preserve"> </w:t>
      </w:r>
      <w:r w:rsidR="00666600" w:rsidRPr="00AC5F78">
        <w:rPr>
          <w:lang w:val="es-ES_tradnl"/>
        </w:rPr>
        <w:t>R</w:t>
      </w:r>
      <w:r w:rsidR="007C138C" w:rsidRPr="00AC5F78">
        <w:rPr>
          <w:lang w:val="es-ES_tradnl"/>
        </w:rPr>
        <w:t xml:space="preserve">esalta que </w:t>
      </w:r>
      <w:r w:rsidRPr="00AC5F78">
        <w:rPr>
          <w:lang w:val="es-ES_tradnl"/>
        </w:rPr>
        <w:t>el propio autor afirma que empezó a evidenciar síntomas de la enfermedad de Parkinson a</w:t>
      </w:r>
      <w:r w:rsidR="00C51299" w:rsidRPr="00AC5F78">
        <w:rPr>
          <w:lang w:val="es-ES_tradnl"/>
        </w:rPr>
        <w:t xml:space="preserve"> los 74 años de edad, es decir, siete años después de su salida de </w:t>
      </w:r>
      <w:r w:rsidRPr="00AC5F78">
        <w:rPr>
          <w:lang w:val="es-ES_tradnl"/>
        </w:rPr>
        <w:t>PETROECUADOR</w:t>
      </w:r>
      <w:r w:rsidR="00CB15A7" w:rsidRPr="00AC5F78">
        <w:rPr>
          <w:lang w:val="es-ES_tradnl"/>
        </w:rPr>
        <w:t>,</w:t>
      </w:r>
      <w:r w:rsidR="007C138C" w:rsidRPr="00AC5F78">
        <w:rPr>
          <w:lang w:val="es-ES_tradnl"/>
        </w:rPr>
        <w:t xml:space="preserve"> y que en su caso </w:t>
      </w:r>
      <w:r w:rsidRPr="00AC5F78">
        <w:rPr>
          <w:lang w:val="es-ES_tradnl"/>
        </w:rPr>
        <w:t xml:space="preserve">no se puede vincular la aparición de esta enfermedad a las actividades laborales que desempeñaba, ya que </w:t>
      </w:r>
      <w:r w:rsidR="00CB15A7" w:rsidRPr="00AC5F78">
        <w:rPr>
          <w:lang w:val="es-ES_tradnl"/>
        </w:rPr>
        <w:t>e</w:t>
      </w:r>
      <w:r w:rsidR="007C138C" w:rsidRPr="00AC5F78">
        <w:rPr>
          <w:lang w:val="es-ES_tradnl"/>
        </w:rPr>
        <w:t xml:space="preserve">stas </w:t>
      </w:r>
      <w:r w:rsidRPr="00AC5F78">
        <w:rPr>
          <w:lang w:val="es-ES_tradnl"/>
        </w:rPr>
        <w:t xml:space="preserve">eran de tipo administrativo, </w:t>
      </w:r>
      <w:r w:rsidR="00387FC0" w:rsidRPr="00AC5F78">
        <w:rPr>
          <w:lang w:val="es-ES_tradnl"/>
        </w:rPr>
        <w:t xml:space="preserve">y </w:t>
      </w:r>
      <w:r w:rsidRPr="00AC5F78">
        <w:rPr>
          <w:lang w:val="es-ES_tradnl"/>
        </w:rPr>
        <w:t>no estuvo expuesto a sustancias que potencialmente podrían influir para la aparición de esa enfermedad</w:t>
      </w:r>
      <w:r w:rsidR="007C138C" w:rsidRPr="00AC5F78">
        <w:rPr>
          <w:rStyle w:val="Refdenotaalpie"/>
          <w:szCs w:val="18"/>
          <w:lang w:val="es-ES_tradnl"/>
        </w:rPr>
        <w:footnoteReference w:id="3"/>
      </w:r>
      <w:r w:rsidR="00E07260" w:rsidRPr="00AC5F78">
        <w:rPr>
          <w:lang w:val="es-ES_tradnl"/>
        </w:rPr>
        <w:t>.</w:t>
      </w:r>
      <w:r w:rsidR="00387FC0" w:rsidRPr="00AC5F78">
        <w:rPr>
          <w:lang w:val="es-ES_tradnl"/>
        </w:rPr>
        <w:t xml:space="preserve"> E</w:t>
      </w:r>
      <w:r w:rsidRPr="00AC5F78">
        <w:rPr>
          <w:lang w:val="es-ES_tradnl"/>
        </w:rPr>
        <w:t xml:space="preserve">n relación a la hipoacusia que presenta el </w:t>
      </w:r>
      <w:r w:rsidR="007C138C" w:rsidRPr="00AC5F78">
        <w:rPr>
          <w:lang w:val="es-ES_tradnl"/>
        </w:rPr>
        <w:t>autor, el Estado parte se refiere a</w:t>
      </w:r>
      <w:r w:rsidRPr="00AC5F78">
        <w:rPr>
          <w:lang w:val="es-ES_tradnl"/>
        </w:rPr>
        <w:t xml:space="preserve"> los resultados de las audiometrías </w:t>
      </w:r>
      <w:r w:rsidR="007C138C" w:rsidRPr="00AC5F78">
        <w:rPr>
          <w:lang w:val="es-ES_tradnl"/>
        </w:rPr>
        <w:t xml:space="preserve">que le realizaron en las que </w:t>
      </w:r>
      <w:r w:rsidRPr="00AC5F78">
        <w:rPr>
          <w:lang w:val="es-ES_tradnl"/>
        </w:rPr>
        <w:t xml:space="preserve">se estableció una </w:t>
      </w:r>
      <w:proofErr w:type="spellStart"/>
      <w:r w:rsidRPr="00AC5F78">
        <w:rPr>
          <w:lang w:val="es-ES_tradnl"/>
        </w:rPr>
        <w:t>presbiacusia</w:t>
      </w:r>
      <w:proofErr w:type="spellEnd"/>
      <w:r w:rsidRPr="00AC5F78">
        <w:rPr>
          <w:lang w:val="es-ES_tradnl"/>
        </w:rPr>
        <w:t xml:space="preserve"> o pérdida auditiva relacionada con la edad,</w:t>
      </w:r>
      <w:r w:rsidR="007C138C" w:rsidRPr="00AC5F78">
        <w:rPr>
          <w:lang w:val="es-ES_tradnl"/>
        </w:rPr>
        <w:t xml:space="preserve"> y que esta era una </w:t>
      </w:r>
      <w:r w:rsidRPr="00AC5F78">
        <w:rPr>
          <w:lang w:val="es-ES_tradnl"/>
        </w:rPr>
        <w:t>enfermedad neurodegenerativa, predominante en la población mayor de 55 años en adelante, debido a factores genéticos y hereditarios.</w:t>
      </w:r>
    </w:p>
    <w:p w14:paraId="2A57B7B7" w14:textId="6D61FD7E" w:rsidR="003C4E72" w:rsidRPr="00AC5F78" w:rsidRDefault="003C4E72" w:rsidP="000D6D19">
      <w:pPr>
        <w:pStyle w:val="H23G"/>
        <w:rPr>
          <w:lang w:val="es-ES_tradnl"/>
        </w:rPr>
      </w:pPr>
      <w:r w:rsidRPr="00AC5F78">
        <w:rPr>
          <w:lang w:val="es-ES_tradnl"/>
        </w:rPr>
        <w:tab/>
      </w:r>
      <w:r w:rsidR="00341FC2" w:rsidRPr="00AC5F78">
        <w:rPr>
          <w:lang w:val="es-ES_tradnl"/>
        </w:rPr>
        <w:tab/>
      </w:r>
      <w:r w:rsidR="000E23A3" w:rsidRPr="00AC5F78">
        <w:rPr>
          <w:lang w:val="es-ES_tradnl"/>
        </w:rPr>
        <w:t xml:space="preserve">Comentarios </w:t>
      </w:r>
      <w:r w:rsidR="00771435" w:rsidRPr="00AC5F78">
        <w:rPr>
          <w:lang w:val="es-ES_tradnl"/>
        </w:rPr>
        <w:t>del autor</w:t>
      </w:r>
      <w:r w:rsidR="006C1799" w:rsidRPr="00AC5F78">
        <w:rPr>
          <w:lang w:val="es-ES_tradnl"/>
        </w:rPr>
        <w:t xml:space="preserve"> sobre las observaciones del Estado parte </w:t>
      </w:r>
    </w:p>
    <w:p w14:paraId="51E5F95F" w14:textId="2BA9A43B" w:rsidR="00D02FF8" w:rsidRPr="00AC5F78" w:rsidRDefault="00D02FF8">
      <w:pPr>
        <w:pStyle w:val="SingleTxtG"/>
        <w:rPr>
          <w:lang w:val="es-ES_tradnl"/>
        </w:rPr>
      </w:pPr>
      <w:r w:rsidRPr="00AC5F78">
        <w:rPr>
          <w:lang w:val="es-ES_tradnl"/>
        </w:rPr>
        <w:t>5.1</w:t>
      </w:r>
      <w:r w:rsidR="00234F09" w:rsidRPr="00AC5F78">
        <w:rPr>
          <w:lang w:val="es-ES_tradnl"/>
        </w:rPr>
        <w:tab/>
      </w:r>
      <w:r w:rsidRPr="00AC5F78">
        <w:rPr>
          <w:lang w:val="es-ES_tradnl"/>
        </w:rPr>
        <w:t xml:space="preserve">Mediante correspondencia de 11 de julio de 2016 y 23 de enero de 2017, el autor presentó sus comentarios a las </w:t>
      </w:r>
      <w:r w:rsidR="00234F09" w:rsidRPr="00AC5F78">
        <w:rPr>
          <w:lang w:val="es-ES_tradnl"/>
        </w:rPr>
        <w:t xml:space="preserve">observaciones del Estado parte, </w:t>
      </w:r>
      <w:r w:rsidRPr="00AC5F78">
        <w:rPr>
          <w:lang w:val="es-ES_tradnl"/>
        </w:rPr>
        <w:t xml:space="preserve">reiteró sus alegaciones </w:t>
      </w:r>
      <w:r w:rsidR="00234F09" w:rsidRPr="00AC5F78">
        <w:rPr>
          <w:lang w:val="es-ES_tradnl"/>
        </w:rPr>
        <w:t xml:space="preserve">de violación del Pacto </w:t>
      </w:r>
      <w:r w:rsidRPr="00AC5F78">
        <w:rPr>
          <w:lang w:val="es-ES_tradnl"/>
        </w:rPr>
        <w:t xml:space="preserve">y sostuvo que la comunicación cumplía con todos los requisitos de admisibilidad establecidos </w:t>
      </w:r>
      <w:r w:rsidR="009E14EC" w:rsidRPr="00AC5F78">
        <w:rPr>
          <w:lang w:val="es-ES_tradnl"/>
        </w:rPr>
        <w:t xml:space="preserve">en </w:t>
      </w:r>
      <w:r w:rsidRPr="00AC5F78">
        <w:rPr>
          <w:lang w:val="es-ES_tradnl"/>
        </w:rPr>
        <w:t>el Protocolo Facultativo.</w:t>
      </w:r>
    </w:p>
    <w:p w14:paraId="7E9C9B75" w14:textId="61689BEC" w:rsidR="00D02FF8" w:rsidRPr="00AC5F78" w:rsidRDefault="00D02FF8" w:rsidP="00AA59F1">
      <w:pPr>
        <w:pStyle w:val="SingleTxtG"/>
        <w:rPr>
          <w:lang w:val="es-ES_tradnl"/>
        </w:rPr>
      </w:pPr>
      <w:r w:rsidRPr="00AC5F78">
        <w:rPr>
          <w:lang w:val="es-ES_tradnl"/>
        </w:rPr>
        <w:t>5.2</w:t>
      </w:r>
      <w:r w:rsidR="00234F09" w:rsidRPr="00AC5F78">
        <w:rPr>
          <w:lang w:val="es-ES_tradnl"/>
        </w:rPr>
        <w:tab/>
      </w:r>
      <w:r w:rsidRPr="00AC5F78">
        <w:rPr>
          <w:lang w:val="es-ES_tradnl"/>
        </w:rPr>
        <w:t xml:space="preserve">El autor sostiene que, dentro de la legislación ecuatoriana, el desahucio </w:t>
      </w:r>
      <w:r w:rsidR="00234F09" w:rsidRPr="00AC5F78">
        <w:rPr>
          <w:lang w:val="es-ES_tradnl"/>
        </w:rPr>
        <w:t xml:space="preserve">laboral </w:t>
      </w:r>
      <w:r w:rsidRPr="00AC5F78">
        <w:rPr>
          <w:lang w:val="es-ES_tradnl"/>
        </w:rPr>
        <w:t>es una decisión unilateral y voluntaria de terminar la relación l</w:t>
      </w:r>
      <w:r w:rsidR="00234F09" w:rsidRPr="00AC5F78">
        <w:rPr>
          <w:lang w:val="es-ES_tradnl"/>
        </w:rPr>
        <w:t>aboral por parte del trabajado</w:t>
      </w:r>
      <w:r w:rsidR="00E07260" w:rsidRPr="00AC5F78">
        <w:rPr>
          <w:lang w:val="es-ES_tradnl"/>
        </w:rPr>
        <w:t>r</w:t>
      </w:r>
      <w:r w:rsidRPr="00AC5F78">
        <w:rPr>
          <w:rStyle w:val="Refdenotaalpie"/>
          <w:szCs w:val="18"/>
          <w:lang w:val="es-ES_tradnl"/>
        </w:rPr>
        <w:footnoteReference w:id="4"/>
      </w:r>
      <w:r w:rsidR="00987F5B" w:rsidRPr="00AC5F78">
        <w:rPr>
          <w:lang w:val="es-ES_tradnl"/>
        </w:rPr>
        <w:t>,</w:t>
      </w:r>
      <w:r w:rsidRPr="00AC5F78">
        <w:rPr>
          <w:lang w:val="es-ES_tradnl"/>
        </w:rPr>
        <w:t xml:space="preserve"> </w:t>
      </w:r>
      <w:r w:rsidR="00234F09" w:rsidRPr="00AC5F78">
        <w:rPr>
          <w:lang w:val="es-ES_tradnl"/>
        </w:rPr>
        <w:t xml:space="preserve">y que </w:t>
      </w:r>
      <w:r w:rsidRPr="00AC5F78">
        <w:rPr>
          <w:lang w:val="es-ES_tradnl"/>
        </w:rPr>
        <w:t xml:space="preserve">en conformidad con la </w:t>
      </w:r>
      <w:r w:rsidR="00234F09" w:rsidRPr="00AC5F78">
        <w:rPr>
          <w:lang w:val="es-ES_tradnl"/>
        </w:rPr>
        <w:t>c</w:t>
      </w:r>
      <w:r w:rsidRPr="00AC5F78">
        <w:rPr>
          <w:lang w:val="es-ES_tradnl"/>
        </w:rPr>
        <w:t xml:space="preserve">láusula 14 del </w:t>
      </w:r>
      <w:r w:rsidR="00234F09" w:rsidRPr="00AC5F78">
        <w:rPr>
          <w:lang w:val="es-ES_tradnl"/>
        </w:rPr>
        <w:t>c</w:t>
      </w:r>
      <w:r w:rsidRPr="00AC5F78">
        <w:rPr>
          <w:lang w:val="es-ES_tradnl"/>
        </w:rPr>
        <w:t xml:space="preserve">ontrato </w:t>
      </w:r>
      <w:r w:rsidR="00234F09" w:rsidRPr="00AC5F78">
        <w:rPr>
          <w:lang w:val="es-ES_tradnl"/>
        </w:rPr>
        <w:t>c</w:t>
      </w:r>
      <w:r w:rsidRPr="00AC5F78">
        <w:rPr>
          <w:lang w:val="es-ES_tradnl"/>
        </w:rPr>
        <w:t>olectivo “el trabajador que se separe voluntariamente de la empresa recibirá una contribución”</w:t>
      </w:r>
      <w:r w:rsidR="00987F5B" w:rsidRPr="00AC5F78">
        <w:rPr>
          <w:lang w:val="es-ES_tradnl"/>
        </w:rPr>
        <w:t>.</w:t>
      </w:r>
      <w:r w:rsidRPr="00AC5F78">
        <w:rPr>
          <w:lang w:val="es-ES_tradnl"/>
        </w:rPr>
        <w:t xml:space="preserve"> Por lo tanto, el desahucio</w:t>
      </w:r>
      <w:r w:rsidR="00234F09" w:rsidRPr="00AC5F78">
        <w:rPr>
          <w:lang w:val="es-ES_tradnl"/>
        </w:rPr>
        <w:t xml:space="preserve"> laboral</w:t>
      </w:r>
      <w:r w:rsidRPr="00AC5F78">
        <w:rPr>
          <w:lang w:val="es-ES_tradnl"/>
        </w:rPr>
        <w:t xml:space="preserve"> y la separación voluntaria</w:t>
      </w:r>
      <w:r w:rsidR="00234F09" w:rsidRPr="00AC5F78">
        <w:rPr>
          <w:lang w:val="es-ES_tradnl"/>
        </w:rPr>
        <w:t xml:space="preserve"> no son exclusivas ni excluyentes</w:t>
      </w:r>
      <w:r w:rsidRPr="00AC5F78">
        <w:rPr>
          <w:lang w:val="es-ES_tradnl"/>
        </w:rPr>
        <w:t>, pues ambas tienen como elemento fundamental la declaración voluntaria e unil</w:t>
      </w:r>
      <w:r w:rsidR="007A60D4" w:rsidRPr="00AC5F78">
        <w:rPr>
          <w:lang w:val="es-ES_tradnl"/>
        </w:rPr>
        <w:t>ateral por parte del trabajador</w:t>
      </w:r>
      <w:r w:rsidR="00AB7D38" w:rsidRPr="00AC5F78">
        <w:rPr>
          <w:rStyle w:val="Refdenotaalpie"/>
          <w:szCs w:val="18"/>
          <w:lang w:val="es-ES_tradnl"/>
        </w:rPr>
        <w:footnoteReference w:id="5"/>
      </w:r>
      <w:r w:rsidR="007A60D4" w:rsidRPr="00AC5F78">
        <w:rPr>
          <w:lang w:val="es-ES_tradnl"/>
        </w:rPr>
        <w:t>.</w:t>
      </w:r>
      <w:r w:rsidRPr="00AC5F78">
        <w:rPr>
          <w:lang w:val="es-ES_tradnl"/>
        </w:rPr>
        <w:t xml:space="preserve"> En consecuencia, el autor sostiene que tenía derecho a la bonificación por desahucio en virtud de artículo 184 del Código de</w:t>
      </w:r>
      <w:r w:rsidR="00975177" w:rsidRPr="00AC5F78">
        <w:rPr>
          <w:lang w:val="es-ES_tradnl"/>
        </w:rPr>
        <w:t>l</w:t>
      </w:r>
      <w:r w:rsidRPr="00AC5F78">
        <w:rPr>
          <w:lang w:val="es-ES_tradnl"/>
        </w:rPr>
        <w:t xml:space="preserve"> Trabajo, y a la vez a la </w:t>
      </w:r>
      <w:r w:rsidR="00234F09" w:rsidRPr="00AC5F78">
        <w:rPr>
          <w:lang w:val="es-ES_tradnl"/>
        </w:rPr>
        <w:t xml:space="preserve">bonificación por </w:t>
      </w:r>
      <w:r w:rsidRPr="00AC5F78">
        <w:rPr>
          <w:lang w:val="es-ES_tradnl"/>
        </w:rPr>
        <w:t>separación voluntaria en virtud del</w:t>
      </w:r>
      <w:r w:rsidR="00234F09" w:rsidRPr="00AC5F78">
        <w:rPr>
          <w:lang w:val="es-ES_tradnl"/>
        </w:rPr>
        <w:t xml:space="preserve"> c</w:t>
      </w:r>
      <w:r w:rsidRPr="00AC5F78">
        <w:rPr>
          <w:lang w:val="es-ES_tradnl"/>
        </w:rPr>
        <w:t xml:space="preserve">ontrato </w:t>
      </w:r>
      <w:r w:rsidR="00234F09" w:rsidRPr="00AC5F78">
        <w:rPr>
          <w:lang w:val="es-ES_tradnl"/>
        </w:rPr>
        <w:t>c</w:t>
      </w:r>
      <w:r w:rsidRPr="00AC5F78">
        <w:rPr>
          <w:lang w:val="es-ES_tradnl"/>
        </w:rPr>
        <w:t xml:space="preserve">olectivo. </w:t>
      </w:r>
      <w:r w:rsidR="00234F09" w:rsidRPr="00AC5F78">
        <w:rPr>
          <w:lang w:val="es-ES_tradnl"/>
        </w:rPr>
        <w:t>E</w:t>
      </w:r>
      <w:r w:rsidRPr="00AC5F78">
        <w:rPr>
          <w:lang w:val="es-ES_tradnl"/>
        </w:rPr>
        <w:t xml:space="preserve">n caso de alguna duda respecto al alcance de la cláusula 14 del </w:t>
      </w:r>
      <w:r w:rsidR="00234F09" w:rsidRPr="00AC5F78">
        <w:rPr>
          <w:lang w:val="es-ES_tradnl"/>
        </w:rPr>
        <w:t>c</w:t>
      </w:r>
      <w:r w:rsidRPr="00AC5F78">
        <w:rPr>
          <w:lang w:val="es-ES_tradnl"/>
        </w:rPr>
        <w:t xml:space="preserve">ontrato </w:t>
      </w:r>
      <w:r w:rsidR="00234F09" w:rsidRPr="00AC5F78">
        <w:rPr>
          <w:lang w:val="es-ES_tradnl"/>
        </w:rPr>
        <w:t>c</w:t>
      </w:r>
      <w:r w:rsidRPr="00AC5F78">
        <w:rPr>
          <w:lang w:val="es-ES_tradnl"/>
        </w:rPr>
        <w:t xml:space="preserve">olectivo, </w:t>
      </w:r>
      <w:r w:rsidR="00975177" w:rsidRPr="00AC5F78">
        <w:rPr>
          <w:lang w:val="es-ES_tradnl"/>
        </w:rPr>
        <w:t>e</w:t>
      </w:r>
      <w:r w:rsidRPr="00AC5F78">
        <w:rPr>
          <w:lang w:val="es-ES_tradnl"/>
        </w:rPr>
        <w:t xml:space="preserve">sta debe ser interpretada en el sentido que favorezca los derechos del </w:t>
      </w:r>
      <w:r w:rsidR="00234F09" w:rsidRPr="00AC5F78">
        <w:rPr>
          <w:lang w:val="es-ES_tradnl"/>
        </w:rPr>
        <w:t>trabajador</w:t>
      </w:r>
      <w:r w:rsidRPr="00AC5F78">
        <w:rPr>
          <w:rStyle w:val="Refdenotaalpie"/>
          <w:szCs w:val="18"/>
          <w:lang w:val="es-ES_tradnl"/>
        </w:rPr>
        <w:footnoteReference w:id="6"/>
      </w:r>
      <w:r w:rsidR="00E07260" w:rsidRPr="00AC5F78">
        <w:rPr>
          <w:lang w:val="es-ES_tradnl"/>
        </w:rPr>
        <w:t>.</w:t>
      </w:r>
    </w:p>
    <w:p w14:paraId="20988B1B" w14:textId="415B7689" w:rsidR="004B30F4" w:rsidRPr="00C30D4C" w:rsidRDefault="00AE7372">
      <w:pPr>
        <w:pStyle w:val="SingleTxtG"/>
        <w:rPr>
          <w:spacing w:val="-1"/>
          <w:lang w:val="es-ES_tradnl"/>
        </w:rPr>
      </w:pPr>
      <w:r w:rsidRPr="00C30D4C">
        <w:rPr>
          <w:spacing w:val="-1"/>
          <w:lang w:val="es-ES_tradnl"/>
        </w:rPr>
        <w:t>5.3</w:t>
      </w:r>
      <w:r w:rsidRPr="00C30D4C">
        <w:rPr>
          <w:spacing w:val="-1"/>
          <w:lang w:val="es-ES_tradnl"/>
        </w:rPr>
        <w:tab/>
        <w:t>Con relación a las observaciones del Estado parte de que el autor no invoc</w:t>
      </w:r>
      <w:r w:rsidR="007852A2" w:rsidRPr="00C30D4C">
        <w:rPr>
          <w:spacing w:val="-1"/>
          <w:lang w:val="es-ES_tradnl"/>
        </w:rPr>
        <w:t xml:space="preserve">ó </w:t>
      </w:r>
      <w:r w:rsidRPr="00C30D4C">
        <w:rPr>
          <w:spacing w:val="-1"/>
          <w:lang w:val="es-ES_tradnl"/>
        </w:rPr>
        <w:t>expresamente una violación a su derecho al trabajo y a la salud en la acción extraordinaria de protección que presentó a la Corte Constitucional, el autor alega que su recurso tenía por objeto fundamental que se declare la falta de motivación de la sentencia de casación de la C</w:t>
      </w:r>
      <w:r w:rsidR="007852A2" w:rsidRPr="00C30D4C">
        <w:rPr>
          <w:spacing w:val="-1"/>
          <w:lang w:val="es-ES_tradnl"/>
        </w:rPr>
        <w:t>orte Nacional de Justicia</w:t>
      </w:r>
      <w:r w:rsidRPr="00C30D4C">
        <w:rPr>
          <w:spacing w:val="-1"/>
          <w:lang w:val="es-ES_tradnl"/>
        </w:rPr>
        <w:t xml:space="preserve"> y, como consecuencia directa, se genere una tutela conexa al derecho al trabajo. </w:t>
      </w:r>
      <w:r w:rsidR="0075738F" w:rsidRPr="00C30D4C">
        <w:rPr>
          <w:spacing w:val="-1"/>
          <w:lang w:val="es-ES_tradnl"/>
        </w:rPr>
        <w:t xml:space="preserve">El debido proceso se encuentra directamente ligado a la protección del derecho al trabajo y la salud y por lo tanto no era necesario mencionar expresamente la vulneración al derecho a la salud y al trabajo dentro de la acción extraordinaria. </w:t>
      </w:r>
      <w:r w:rsidRPr="00C30D4C">
        <w:rPr>
          <w:spacing w:val="-1"/>
          <w:lang w:val="es-ES_tradnl"/>
        </w:rPr>
        <w:t>Además, con arreglo a la Constitución y al artículo 4 de la Ley Orgánica de Garantías Jurisdicci</w:t>
      </w:r>
      <w:r w:rsidR="00E07260" w:rsidRPr="00C30D4C">
        <w:rPr>
          <w:spacing w:val="-1"/>
          <w:lang w:val="es-ES_tradnl"/>
        </w:rPr>
        <w:t>onales y Control Constitucional,</w:t>
      </w:r>
      <w:r w:rsidRPr="00C30D4C">
        <w:rPr>
          <w:spacing w:val="-1"/>
          <w:lang w:val="es-ES_tradnl"/>
        </w:rPr>
        <w:t xml:space="preserve"> en los procesos constitucionales los jueces tienen la obligación de pronunciarse sobre violaciones a derechos constitucionales sin perjuicio de que estos no fueren expresamente alegados. </w:t>
      </w:r>
      <w:r w:rsidR="004B30F4" w:rsidRPr="00C30D4C">
        <w:rPr>
          <w:spacing w:val="-1"/>
          <w:lang w:val="es-ES_tradnl"/>
        </w:rPr>
        <w:t xml:space="preserve">Por tanto, la acción extraordinaria de </w:t>
      </w:r>
      <w:r w:rsidR="00151C39" w:rsidRPr="00C30D4C">
        <w:rPr>
          <w:spacing w:val="-1"/>
          <w:lang w:val="es-ES_tradnl"/>
        </w:rPr>
        <w:t>protección fue</w:t>
      </w:r>
      <w:r w:rsidR="004B30F4" w:rsidRPr="00C30D4C">
        <w:rPr>
          <w:spacing w:val="-1"/>
          <w:lang w:val="es-ES_tradnl"/>
        </w:rPr>
        <w:t xml:space="preserve"> el último recurso idóneo y disponible que fue agotado por el autor.</w:t>
      </w:r>
      <w:r w:rsidR="003B4DA7" w:rsidRPr="00C30D4C">
        <w:rPr>
          <w:spacing w:val="-1"/>
          <w:lang w:val="es-ES_tradnl"/>
        </w:rPr>
        <w:t xml:space="preserve"> Agrega</w:t>
      </w:r>
      <w:r w:rsidR="004B30F4" w:rsidRPr="00C30D4C">
        <w:rPr>
          <w:spacing w:val="-1"/>
          <w:lang w:val="es-ES_tradnl"/>
        </w:rPr>
        <w:t xml:space="preserve"> que en virtud al principio de interdependencia de derecho</w:t>
      </w:r>
      <w:r w:rsidR="00151C39" w:rsidRPr="00C30D4C">
        <w:rPr>
          <w:spacing w:val="-1"/>
          <w:lang w:val="es-ES_tradnl"/>
        </w:rPr>
        <w:t>s</w:t>
      </w:r>
      <w:r w:rsidR="004B30F4" w:rsidRPr="00C30D4C">
        <w:rPr>
          <w:spacing w:val="-1"/>
          <w:lang w:val="es-ES_tradnl"/>
        </w:rPr>
        <w:t xml:space="preserve"> debe entenderse que agotó los recursos internos en relación a sus alegaciones de violación al derecho a la salud. A este respecto, sostiene que el derecho a la salud está estrechamente vinculado con el ejercicio de otros derechos humanos y depende de estos, entre otros, al derecho al tr</w:t>
      </w:r>
      <w:r w:rsidR="00E07260" w:rsidRPr="00C30D4C">
        <w:rPr>
          <w:spacing w:val="-1"/>
          <w:lang w:val="es-ES_tradnl"/>
        </w:rPr>
        <w:t>abajo</w:t>
      </w:r>
      <w:r w:rsidR="004B30F4" w:rsidRPr="00C30D4C">
        <w:rPr>
          <w:rStyle w:val="Refdenotaalpie"/>
          <w:spacing w:val="-1"/>
          <w:szCs w:val="18"/>
          <w:lang w:val="es-ES_tradnl"/>
        </w:rPr>
        <w:footnoteReference w:id="7"/>
      </w:r>
      <w:r w:rsidR="00C832E2" w:rsidRPr="00C30D4C">
        <w:rPr>
          <w:spacing w:val="-1"/>
          <w:lang w:val="es-ES_tradnl"/>
        </w:rPr>
        <w:t>,</w:t>
      </w:r>
      <w:r w:rsidR="004B30F4" w:rsidRPr="00C30D4C">
        <w:rPr>
          <w:spacing w:val="-1"/>
          <w:lang w:val="es-ES_tradnl"/>
        </w:rPr>
        <w:t xml:space="preserve"> y que un componente del derecho del trabajo es la garantía de condiciones adecuadas para que las personas pueda</w:t>
      </w:r>
      <w:r w:rsidR="00C30D4C" w:rsidRPr="00C30D4C">
        <w:rPr>
          <w:spacing w:val="-1"/>
          <w:lang w:val="es-ES_tradnl"/>
        </w:rPr>
        <w:t>n trabajar de una forma segura.</w:t>
      </w:r>
    </w:p>
    <w:p w14:paraId="2A9CD502" w14:textId="4C8F4B40" w:rsidR="004B30F4" w:rsidRPr="00AC5F78" w:rsidRDefault="004B30F4" w:rsidP="000D6D19">
      <w:pPr>
        <w:pStyle w:val="SingleTxtG"/>
        <w:rPr>
          <w:lang w:val="es-ES_tradnl"/>
        </w:rPr>
      </w:pPr>
      <w:r w:rsidRPr="00AC5F78">
        <w:rPr>
          <w:lang w:val="es-ES_tradnl"/>
        </w:rPr>
        <w:t>5.</w:t>
      </w:r>
      <w:r w:rsidR="003B4DA7" w:rsidRPr="00AC5F78">
        <w:rPr>
          <w:lang w:val="es-ES_tradnl"/>
        </w:rPr>
        <w:t>4</w:t>
      </w:r>
      <w:r w:rsidRPr="00AC5F78">
        <w:rPr>
          <w:lang w:val="es-ES_tradnl"/>
        </w:rPr>
        <w:tab/>
        <w:t xml:space="preserve">El Comité es competente </w:t>
      </w:r>
      <w:proofErr w:type="spellStart"/>
      <w:r w:rsidRPr="00AC5F78">
        <w:rPr>
          <w:i/>
          <w:lang w:val="es-ES_tradnl"/>
        </w:rPr>
        <w:t>ratione</w:t>
      </w:r>
      <w:proofErr w:type="spellEnd"/>
      <w:r w:rsidRPr="00AC5F78">
        <w:rPr>
          <w:i/>
          <w:lang w:val="es-ES_tradnl"/>
        </w:rPr>
        <w:t xml:space="preserve"> </w:t>
      </w:r>
      <w:proofErr w:type="spellStart"/>
      <w:r w:rsidRPr="00AC5F78">
        <w:rPr>
          <w:i/>
          <w:lang w:val="es-ES_tradnl"/>
        </w:rPr>
        <w:t>temporis</w:t>
      </w:r>
      <w:proofErr w:type="spellEnd"/>
      <w:r w:rsidRPr="00AC5F78">
        <w:rPr>
          <w:lang w:val="es-ES_tradnl"/>
        </w:rPr>
        <w:t xml:space="preserve"> para conocer la presente comunicación </w:t>
      </w:r>
      <w:r w:rsidR="00906653" w:rsidRPr="00AC5F78">
        <w:rPr>
          <w:lang w:val="es-ES_tradnl"/>
        </w:rPr>
        <w:t xml:space="preserve">toda vez que el último acto donde se consumó la vulneración al derecho al trabajo y a la salud del autor fue la sentencia de la Corte Constitucional de 9 de abril de 2014, posterior a la entrada en vigor del Protocolo Facultativo para el Estado </w:t>
      </w:r>
      <w:r w:rsidR="00C30D4C">
        <w:rPr>
          <w:lang w:val="es-ES_tradnl"/>
        </w:rPr>
        <w:t>parte.</w:t>
      </w:r>
    </w:p>
    <w:p w14:paraId="35B2D6C1" w14:textId="5C4D49C8" w:rsidR="006E671C" w:rsidRPr="00AC5F78" w:rsidRDefault="00151C39" w:rsidP="000D6D19">
      <w:pPr>
        <w:pStyle w:val="SingleTxtG"/>
        <w:rPr>
          <w:lang w:val="es-ES_tradnl"/>
        </w:rPr>
      </w:pPr>
      <w:r w:rsidRPr="00AC5F78">
        <w:rPr>
          <w:lang w:val="es-ES_tradnl"/>
        </w:rPr>
        <w:t>5.</w:t>
      </w:r>
      <w:r w:rsidR="003B4DA7" w:rsidRPr="00AC5F78">
        <w:rPr>
          <w:lang w:val="es-ES_tradnl"/>
        </w:rPr>
        <w:t>5</w:t>
      </w:r>
      <w:r w:rsidRPr="00AC5F78">
        <w:rPr>
          <w:lang w:val="es-ES_tradnl"/>
        </w:rPr>
        <w:tab/>
        <w:t>Con relación a sus alegaciones bajo el artículo 6 del Pacto, el autor señala que las obligaciones que se desprenden del derecho al trabajo no se limitan a una actitud pasiva de los Estados partes respecto del acceso</w:t>
      </w:r>
      <w:r w:rsidR="002F5C7B" w:rsidRPr="00AC5F78">
        <w:rPr>
          <w:lang w:val="es-ES_tradnl"/>
        </w:rPr>
        <w:t xml:space="preserve"> al trabajo</w:t>
      </w:r>
      <w:r w:rsidRPr="00AC5F78">
        <w:rPr>
          <w:lang w:val="es-ES_tradnl"/>
        </w:rPr>
        <w:t xml:space="preserve">, sino que integran una serie de garantías una vez </w:t>
      </w:r>
      <w:r w:rsidR="00472A04" w:rsidRPr="00AC5F78">
        <w:rPr>
          <w:lang w:val="es-ES_tradnl"/>
        </w:rPr>
        <w:t xml:space="preserve">que </w:t>
      </w:r>
      <w:r w:rsidRPr="00AC5F78">
        <w:rPr>
          <w:lang w:val="es-ES_tradnl"/>
        </w:rPr>
        <w:t>la persona tiene la calidad de empleado. Así, por ejemplo, el artículo 7 del Pacto establece el derecho de toda persona a condiciones de trabajo equitativas y satisfactorias, en especial la seguridad de las condiciones</w:t>
      </w:r>
      <w:r w:rsidR="00C30D4C">
        <w:rPr>
          <w:lang w:val="es-ES_tradnl"/>
        </w:rPr>
        <w:t xml:space="preserve"> de trabajo.</w:t>
      </w:r>
    </w:p>
    <w:p w14:paraId="5904D190" w14:textId="086BE548" w:rsidR="00D02FF8" w:rsidRPr="00AC5F78" w:rsidRDefault="0075738F">
      <w:pPr>
        <w:pStyle w:val="SingleTxtG"/>
        <w:rPr>
          <w:lang w:val="es-ES_tradnl"/>
        </w:rPr>
      </w:pPr>
      <w:r w:rsidRPr="00AC5F78">
        <w:rPr>
          <w:lang w:val="es-ES_tradnl"/>
        </w:rPr>
        <w:t>5.</w:t>
      </w:r>
      <w:r w:rsidR="003B4DA7" w:rsidRPr="00AC5F78">
        <w:rPr>
          <w:lang w:val="es-ES_tradnl"/>
        </w:rPr>
        <w:t>6</w:t>
      </w:r>
      <w:r w:rsidR="006E671C" w:rsidRPr="00AC5F78">
        <w:rPr>
          <w:lang w:val="es-ES_tradnl"/>
        </w:rPr>
        <w:tab/>
        <w:t>En el presente caso, el autor era</w:t>
      </w:r>
      <w:r w:rsidR="00D02FF8" w:rsidRPr="00AC5F78">
        <w:rPr>
          <w:lang w:val="es-ES_tradnl"/>
        </w:rPr>
        <w:t xml:space="preserve"> parte de un </w:t>
      </w:r>
      <w:r w:rsidR="00234F09" w:rsidRPr="00AC5F78">
        <w:rPr>
          <w:lang w:val="es-ES_tradnl"/>
        </w:rPr>
        <w:t>c</w:t>
      </w:r>
      <w:r w:rsidR="00D02FF8" w:rsidRPr="00AC5F78">
        <w:rPr>
          <w:lang w:val="es-ES_tradnl"/>
        </w:rPr>
        <w:t xml:space="preserve">ontrato </w:t>
      </w:r>
      <w:r w:rsidR="00234F09" w:rsidRPr="00AC5F78">
        <w:rPr>
          <w:lang w:val="es-ES_tradnl"/>
        </w:rPr>
        <w:t>c</w:t>
      </w:r>
      <w:r w:rsidR="00D02FF8" w:rsidRPr="00AC5F78">
        <w:rPr>
          <w:lang w:val="es-ES_tradnl"/>
        </w:rPr>
        <w:t xml:space="preserve">olectivo de </w:t>
      </w:r>
      <w:r w:rsidR="00234F09" w:rsidRPr="00AC5F78">
        <w:rPr>
          <w:lang w:val="es-ES_tradnl"/>
        </w:rPr>
        <w:t>t</w:t>
      </w:r>
      <w:r w:rsidR="00D02FF8" w:rsidRPr="00AC5F78">
        <w:rPr>
          <w:lang w:val="es-ES_tradnl"/>
        </w:rPr>
        <w:t xml:space="preserve">rabajo, </w:t>
      </w:r>
      <w:r w:rsidR="006E671C" w:rsidRPr="00AC5F78">
        <w:rPr>
          <w:lang w:val="es-ES_tradnl"/>
        </w:rPr>
        <w:t xml:space="preserve">en consecuencia, sus derechos laborales estaban establecidos en </w:t>
      </w:r>
      <w:r w:rsidR="00D02FF8" w:rsidRPr="00AC5F78">
        <w:rPr>
          <w:lang w:val="es-ES_tradnl"/>
        </w:rPr>
        <w:t>el Código de</w:t>
      </w:r>
      <w:r w:rsidR="00965D1D" w:rsidRPr="00AC5F78">
        <w:rPr>
          <w:lang w:val="es-ES_tradnl"/>
        </w:rPr>
        <w:t>l</w:t>
      </w:r>
      <w:r w:rsidR="00D02FF8" w:rsidRPr="00AC5F78">
        <w:rPr>
          <w:lang w:val="es-ES_tradnl"/>
        </w:rPr>
        <w:t xml:space="preserve"> Trabajo y del </w:t>
      </w:r>
      <w:r w:rsidR="00965D1D" w:rsidRPr="00AC5F78">
        <w:rPr>
          <w:lang w:val="es-ES_tradnl"/>
        </w:rPr>
        <w:t>c</w:t>
      </w:r>
      <w:r w:rsidR="00D02FF8" w:rsidRPr="00AC5F78">
        <w:rPr>
          <w:lang w:val="es-ES_tradnl"/>
        </w:rPr>
        <w:t xml:space="preserve">ontrato </w:t>
      </w:r>
      <w:r w:rsidR="00965D1D" w:rsidRPr="00AC5F78">
        <w:rPr>
          <w:lang w:val="es-ES_tradnl"/>
        </w:rPr>
        <w:t>c</w:t>
      </w:r>
      <w:r w:rsidR="00D02FF8" w:rsidRPr="00AC5F78">
        <w:rPr>
          <w:lang w:val="es-ES_tradnl"/>
        </w:rPr>
        <w:t xml:space="preserve">olectivo. El derecho a la </w:t>
      </w:r>
      <w:r w:rsidR="00234F09" w:rsidRPr="00AC5F78">
        <w:rPr>
          <w:lang w:val="es-ES_tradnl"/>
        </w:rPr>
        <w:t>bonificación</w:t>
      </w:r>
      <w:r w:rsidR="00D02FF8" w:rsidRPr="00AC5F78">
        <w:rPr>
          <w:lang w:val="es-ES_tradnl"/>
        </w:rPr>
        <w:t xml:space="preserve"> por separación voluntaria se encontraba </w:t>
      </w:r>
      <w:r w:rsidR="00234F09" w:rsidRPr="00AC5F78">
        <w:rPr>
          <w:lang w:val="es-ES_tradnl"/>
        </w:rPr>
        <w:t xml:space="preserve">regulado </w:t>
      </w:r>
      <w:r w:rsidR="00D02FF8" w:rsidRPr="00AC5F78">
        <w:rPr>
          <w:lang w:val="es-ES_tradnl"/>
        </w:rPr>
        <w:t xml:space="preserve">expresamente dentro del referido </w:t>
      </w:r>
      <w:r w:rsidR="00234F09" w:rsidRPr="00AC5F78">
        <w:rPr>
          <w:lang w:val="es-ES_tradnl"/>
        </w:rPr>
        <w:t>c</w:t>
      </w:r>
      <w:r w:rsidR="006E671C" w:rsidRPr="00AC5F78">
        <w:rPr>
          <w:lang w:val="es-ES_tradnl"/>
        </w:rPr>
        <w:t>ontrato y suponía un derecho laboral del autor. Por tanto,</w:t>
      </w:r>
      <w:r w:rsidR="00D02FF8" w:rsidRPr="00AC5F78">
        <w:rPr>
          <w:lang w:val="es-ES_tradnl"/>
        </w:rPr>
        <w:t xml:space="preserve"> la </w:t>
      </w:r>
      <w:r w:rsidR="00234F09" w:rsidRPr="00AC5F78">
        <w:rPr>
          <w:lang w:val="es-ES_tradnl"/>
        </w:rPr>
        <w:t>de</w:t>
      </w:r>
      <w:r w:rsidR="00D02FF8" w:rsidRPr="00AC5F78">
        <w:rPr>
          <w:lang w:val="es-ES_tradnl"/>
        </w:rPr>
        <w:t xml:space="preserve">negación de </w:t>
      </w:r>
      <w:r w:rsidR="00234F09" w:rsidRPr="00AC5F78">
        <w:rPr>
          <w:lang w:val="es-ES_tradnl"/>
        </w:rPr>
        <w:t>este derecho</w:t>
      </w:r>
      <w:r w:rsidR="00D02FF8" w:rsidRPr="00AC5F78">
        <w:rPr>
          <w:lang w:val="es-ES_tradnl"/>
        </w:rPr>
        <w:t xml:space="preserve"> por parte del Estado parte </w:t>
      </w:r>
      <w:r w:rsidR="006E671C" w:rsidRPr="00AC5F78">
        <w:rPr>
          <w:lang w:val="es-ES_tradnl"/>
        </w:rPr>
        <w:t>constituye</w:t>
      </w:r>
      <w:r w:rsidR="00D02FF8" w:rsidRPr="00AC5F78">
        <w:rPr>
          <w:lang w:val="es-ES_tradnl"/>
        </w:rPr>
        <w:t xml:space="preserve"> un incumplimiento a la obligación de garantizar </w:t>
      </w:r>
      <w:r w:rsidR="006E671C" w:rsidRPr="00AC5F78">
        <w:rPr>
          <w:lang w:val="es-ES_tradnl"/>
        </w:rPr>
        <w:t>el acceso al derecho a trabajar</w:t>
      </w:r>
      <w:r w:rsidR="00D02FF8" w:rsidRPr="00AC5F78">
        <w:rPr>
          <w:lang w:val="es-ES_tradnl"/>
        </w:rPr>
        <w:t xml:space="preserve"> establecido en el </w:t>
      </w:r>
      <w:r w:rsidR="00234F09" w:rsidRPr="00AC5F78">
        <w:rPr>
          <w:lang w:val="es-ES_tradnl"/>
        </w:rPr>
        <w:t xml:space="preserve">artículo 6 del </w:t>
      </w:r>
      <w:r w:rsidR="00D02FF8" w:rsidRPr="00AC5F78">
        <w:rPr>
          <w:lang w:val="es-ES_tradnl"/>
        </w:rPr>
        <w:t>P</w:t>
      </w:r>
      <w:r w:rsidR="00234F09" w:rsidRPr="00AC5F78">
        <w:rPr>
          <w:lang w:val="es-ES_tradnl"/>
        </w:rPr>
        <w:t>acto</w:t>
      </w:r>
      <w:r w:rsidR="00D02FF8" w:rsidRPr="00AC5F78">
        <w:rPr>
          <w:rStyle w:val="Refdenotaalpie"/>
          <w:szCs w:val="18"/>
          <w:lang w:val="es-ES_tradnl"/>
        </w:rPr>
        <w:footnoteReference w:id="8"/>
      </w:r>
      <w:r w:rsidR="00E07260" w:rsidRPr="00AC5F78">
        <w:rPr>
          <w:lang w:val="es-ES_tradnl"/>
        </w:rPr>
        <w:t>.</w:t>
      </w:r>
      <w:r w:rsidR="00D02FF8" w:rsidRPr="00AC5F78">
        <w:rPr>
          <w:lang w:val="es-ES_tradnl"/>
        </w:rPr>
        <w:t xml:space="preserve"> </w:t>
      </w:r>
      <w:r w:rsidR="00234F09" w:rsidRPr="00AC5F78">
        <w:rPr>
          <w:lang w:val="es-ES_tradnl"/>
        </w:rPr>
        <w:t>T</w:t>
      </w:r>
      <w:r w:rsidR="00D02FF8" w:rsidRPr="00AC5F78">
        <w:rPr>
          <w:lang w:val="es-ES_tradnl"/>
        </w:rPr>
        <w:t xml:space="preserve">oda vez que los derechos </w:t>
      </w:r>
      <w:r w:rsidR="00234F09" w:rsidRPr="00AC5F78">
        <w:rPr>
          <w:lang w:val="es-ES_tradnl"/>
        </w:rPr>
        <w:t>establecidos en el c</w:t>
      </w:r>
      <w:r w:rsidR="00D02FF8" w:rsidRPr="00AC5F78">
        <w:rPr>
          <w:lang w:val="es-ES_tradnl"/>
        </w:rPr>
        <w:t xml:space="preserve">ontrato </w:t>
      </w:r>
      <w:r w:rsidR="00234F09" w:rsidRPr="00AC5F78">
        <w:rPr>
          <w:lang w:val="es-ES_tradnl"/>
        </w:rPr>
        <w:t>c</w:t>
      </w:r>
      <w:r w:rsidR="00D02FF8" w:rsidRPr="00AC5F78">
        <w:rPr>
          <w:lang w:val="es-ES_tradnl"/>
        </w:rPr>
        <w:t>olectivo se encontraban directamente vinculados al derecho del trabajo</w:t>
      </w:r>
      <w:r w:rsidR="00AB7D38" w:rsidRPr="00AC5F78">
        <w:rPr>
          <w:lang w:val="es-ES_tradnl"/>
        </w:rPr>
        <w:t>, debe entenderse que el</w:t>
      </w:r>
      <w:r w:rsidR="00D02FF8" w:rsidRPr="00AC5F78">
        <w:rPr>
          <w:lang w:val="es-ES_tradnl"/>
        </w:rPr>
        <w:t xml:space="preserve"> </w:t>
      </w:r>
      <w:r w:rsidR="00AB7D38" w:rsidRPr="00AC5F78">
        <w:rPr>
          <w:lang w:val="es-ES_tradnl"/>
        </w:rPr>
        <w:t xml:space="preserve">Estado parte no cumplió con su obligación de protección y aplicación de los derechos derivados del Pacto. </w:t>
      </w:r>
      <w:r w:rsidRPr="00AC5F78">
        <w:rPr>
          <w:lang w:val="es-ES_tradnl"/>
        </w:rPr>
        <w:t>El autor agrega que e</w:t>
      </w:r>
      <w:r w:rsidR="00AB7D38" w:rsidRPr="00AC5F78">
        <w:rPr>
          <w:lang w:val="es-ES_tradnl"/>
        </w:rPr>
        <w:t>l a</w:t>
      </w:r>
      <w:r w:rsidR="00D02FF8" w:rsidRPr="00AC5F78">
        <w:rPr>
          <w:lang w:val="es-ES_tradnl"/>
        </w:rPr>
        <w:t>rtículo 8 del Código del Trabajo</w:t>
      </w:r>
      <w:r w:rsidR="00AB7D38" w:rsidRPr="00AC5F78">
        <w:rPr>
          <w:lang w:val="es-ES_tradnl"/>
        </w:rPr>
        <w:t xml:space="preserve"> establec</w:t>
      </w:r>
      <w:r w:rsidR="00705261" w:rsidRPr="00AC5F78">
        <w:rPr>
          <w:lang w:val="es-ES_tradnl"/>
        </w:rPr>
        <w:t>e cu</w:t>
      </w:r>
      <w:r w:rsidR="00C477F5" w:rsidRPr="00AC5F78">
        <w:rPr>
          <w:lang w:val="es-ES_tradnl"/>
        </w:rPr>
        <w:t>á</w:t>
      </w:r>
      <w:r w:rsidR="00705261" w:rsidRPr="00AC5F78">
        <w:rPr>
          <w:lang w:val="es-ES_tradnl"/>
        </w:rPr>
        <w:t xml:space="preserve">les son los elementos de una relación laboral y dentro de ellos incluye la remuneración, que es además un derecho del trabajador. </w:t>
      </w:r>
      <w:r w:rsidRPr="00AC5F78">
        <w:rPr>
          <w:lang w:val="es-ES_tradnl"/>
        </w:rPr>
        <w:t xml:space="preserve">El </w:t>
      </w:r>
      <w:r w:rsidR="00D02FF8" w:rsidRPr="00AC5F78">
        <w:rPr>
          <w:lang w:val="es-ES_tradnl"/>
        </w:rPr>
        <w:t>concepto de remuneración no puede ser entendido en sentido estricto como el salario, sino también como un derecho del trabajador a las indemnizaciones o bonificaciones.</w:t>
      </w:r>
    </w:p>
    <w:p w14:paraId="6CF9907C" w14:textId="703F7BAC" w:rsidR="00D02FF8" w:rsidRPr="00AC5F78" w:rsidRDefault="00D02FF8">
      <w:pPr>
        <w:pStyle w:val="SingleTxtG"/>
        <w:rPr>
          <w:lang w:val="es-ES_tradnl"/>
        </w:rPr>
      </w:pPr>
      <w:r w:rsidRPr="00AC5F78">
        <w:rPr>
          <w:lang w:val="es-ES_tradnl"/>
        </w:rPr>
        <w:t>5.</w:t>
      </w:r>
      <w:r w:rsidR="003B4DA7" w:rsidRPr="00AC5F78">
        <w:rPr>
          <w:lang w:val="es-ES_tradnl"/>
        </w:rPr>
        <w:t>7</w:t>
      </w:r>
      <w:r w:rsidR="0075738F" w:rsidRPr="00AC5F78">
        <w:rPr>
          <w:lang w:val="es-ES_tradnl"/>
        </w:rPr>
        <w:tab/>
      </w:r>
      <w:r w:rsidR="003B4DA7" w:rsidRPr="00AC5F78">
        <w:rPr>
          <w:lang w:val="es-ES_tradnl"/>
        </w:rPr>
        <w:t>El autor reitera sus alegaciones de violación del artículo 12 del Pacto. E</w:t>
      </w:r>
      <w:r w:rsidRPr="00AC5F78">
        <w:rPr>
          <w:lang w:val="es-ES_tradnl"/>
        </w:rPr>
        <w:t xml:space="preserve">l derecho a la salud no puede entenderse solamente como derecho de una persona a estar sano, sino que los Estados </w:t>
      </w:r>
      <w:r w:rsidR="003B4DA7" w:rsidRPr="00AC5F78">
        <w:rPr>
          <w:lang w:val="es-ES_tradnl"/>
        </w:rPr>
        <w:t xml:space="preserve">partes </w:t>
      </w:r>
      <w:r w:rsidRPr="00AC5F78">
        <w:rPr>
          <w:lang w:val="es-ES_tradnl"/>
        </w:rPr>
        <w:t>tienen la obligación positiva de garantizar condiciones sanas en el trabajo en v</w:t>
      </w:r>
      <w:r w:rsidR="00E07260" w:rsidRPr="00AC5F78">
        <w:rPr>
          <w:lang w:val="es-ES_tradnl"/>
        </w:rPr>
        <w:t>irtud de artículo 12 del P</w:t>
      </w:r>
      <w:r w:rsidR="00C477F5" w:rsidRPr="00AC5F78">
        <w:rPr>
          <w:lang w:val="es-ES_tradnl"/>
        </w:rPr>
        <w:t>acto</w:t>
      </w:r>
      <w:r w:rsidRPr="00AC5F78">
        <w:rPr>
          <w:rStyle w:val="Refdenotaalpie"/>
          <w:szCs w:val="18"/>
          <w:lang w:val="es-ES_tradnl"/>
        </w:rPr>
        <w:footnoteReference w:id="9"/>
      </w:r>
      <w:r w:rsidR="00E07260" w:rsidRPr="00AC5F78">
        <w:rPr>
          <w:lang w:val="es-ES_tradnl"/>
        </w:rPr>
        <w:t>.</w:t>
      </w:r>
      <w:r w:rsidRPr="00AC5F78">
        <w:rPr>
          <w:lang w:val="es-ES_tradnl"/>
        </w:rPr>
        <w:t xml:space="preserve"> </w:t>
      </w:r>
      <w:r w:rsidR="003B4DA7" w:rsidRPr="00AC5F78">
        <w:rPr>
          <w:lang w:val="es-ES_tradnl"/>
        </w:rPr>
        <w:t xml:space="preserve">En el presente caso, </w:t>
      </w:r>
      <w:r w:rsidRPr="00AC5F78">
        <w:rPr>
          <w:lang w:val="es-ES_tradnl"/>
        </w:rPr>
        <w:t xml:space="preserve">a través de PETROECUADOR, </w:t>
      </w:r>
      <w:r w:rsidR="003B4DA7" w:rsidRPr="00AC5F78">
        <w:rPr>
          <w:lang w:val="es-ES_tradnl"/>
        </w:rPr>
        <w:t>el Estado parte incumplió sus</w:t>
      </w:r>
      <w:r w:rsidRPr="00AC5F78">
        <w:rPr>
          <w:lang w:val="es-ES_tradnl"/>
        </w:rPr>
        <w:t xml:space="preserve"> obligaciones de garantizar </w:t>
      </w:r>
      <w:r w:rsidR="003B4DA7" w:rsidRPr="00AC5F78">
        <w:rPr>
          <w:lang w:val="es-ES_tradnl"/>
        </w:rPr>
        <w:t>el</w:t>
      </w:r>
      <w:r w:rsidRPr="00AC5F78">
        <w:rPr>
          <w:lang w:val="es-ES_tradnl"/>
        </w:rPr>
        <w:t xml:space="preserve"> </w:t>
      </w:r>
      <w:r w:rsidR="002C006A" w:rsidRPr="00AC5F78">
        <w:rPr>
          <w:lang w:val="es-ES_tradnl"/>
        </w:rPr>
        <w:t xml:space="preserve">derecho del autor al </w:t>
      </w:r>
      <w:r w:rsidRPr="00AC5F78">
        <w:rPr>
          <w:lang w:val="es-ES_tradnl"/>
        </w:rPr>
        <w:t xml:space="preserve">disfrute del </w:t>
      </w:r>
      <w:r w:rsidR="003B4DA7" w:rsidRPr="00AC5F78">
        <w:rPr>
          <w:lang w:val="es-ES_tradnl"/>
        </w:rPr>
        <w:t xml:space="preserve">más alto </w:t>
      </w:r>
      <w:r w:rsidR="002C006A" w:rsidRPr="00AC5F78">
        <w:rPr>
          <w:lang w:val="es-ES_tradnl"/>
        </w:rPr>
        <w:t xml:space="preserve">nivel </w:t>
      </w:r>
      <w:r w:rsidR="003B4DA7" w:rsidRPr="00AC5F78">
        <w:rPr>
          <w:lang w:val="es-ES_tradnl"/>
        </w:rPr>
        <w:t xml:space="preserve">posible </w:t>
      </w:r>
      <w:r w:rsidR="002C006A" w:rsidRPr="00AC5F78">
        <w:rPr>
          <w:lang w:val="es-ES_tradnl"/>
        </w:rPr>
        <w:t>de salud</w:t>
      </w:r>
      <w:r w:rsidRPr="00AC5F78">
        <w:rPr>
          <w:lang w:val="es-ES_tradnl"/>
        </w:rPr>
        <w:t>. El autor reitera que</w:t>
      </w:r>
      <w:r w:rsidR="00FC2E1D" w:rsidRPr="00AC5F78">
        <w:rPr>
          <w:lang w:val="es-ES_tradnl"/>
        </w:rPr>
        <w:t>,</w:t>
      </w:r>
      <w:r w:rsidRPr="00AC5F78">
        <w:rPr>
          <w:lang w:val="es-ES_tradnl"/>
        </w:rPr>
        <w:t xml:space="preserve"> </w:t>
      </w:r>
      <w:r w:rsidR="002C006A" w:rsidRPr="00AC5F78">
        <w:rPr>
          <w:lang w:val="es-ES_tradnl"/>
        </w:rPr>
        <w:t xml:space="preserve">como resultado de </w:t>
      </w:r>
      <w:r w:rsidRPr="00AC5F78">
        <w:rPr>
          <w:lang w:val="es-ES_tradnl"/>
        </w:rPr>
        <w:t>la falta de condiciones adecuadas y seguras de trabajo</w:t>
      </w:r>
      <w:r w:rsidR="002C006A" w:rsidRPr="00AC5F78">
        <w:rPr>
          <w:lang w:val="es-ES_tradnl"/>
        </w:rPr>
        <w:t xml:space="preserve"> en PETROECUADOR, en la actualidad tiene</w:t>
      </w:r>
      <w:r w:rsidR="00E07260" w:rsidRPr="00AC5F78">
        <w:rPr>
          <w:lang w:val="es-ES_tradnl"/>
        </w:rPr>
        <w:t xml:space="preserve"> Parkinson e hipoacusia</w:t>
      </w:r>
      <w:r w:rsidRPr="00AC5F78">
        <w:rPr>
          <w:rStyle w:val="Refdenotaalpie"/>
          <w:szCs w:val="18"/>
          <w:lang w:val="es-ES_tradnl"/>
        </w:rPr>
        <w:footnoteReference w:id="10"/>
      </w:r>
      <w:r w:rsidR="00E07260" w:rsidRPr="00AC5F78">
        <w:rPr>
          <w:lang w:val="es-ES_tradnl"/>
        </w:rPr>
        <w:t>.</w:t>
      </w:r>
      <w:r w:rsidRPr="00AC5F78">
        <w:rPr>
          <w:lang w:val="es-ES_tradnl"/>
        </w:rPr>
        <w:t xml:space="preserve"> </w:t>
      </w:r>
      <w:r w:rsidR="002C006A" w:rsidRPr="00AC5F78">
        <w:rPr>
          <w:lang w:val="es-ES_tradnl"/>
        </w:rPr>
        <w:t xml:space="preserve">El autor añade que </w:t>
      </w:r>
      <w:r w:rsidRPr="00AC5F78">
        <w:rPr>
          <w:lang w:val="es-ES_tradnl"/>
        </w:rPr>
        <w:t>el Estado parte no fue efectivo en la ayuda al tratamiento de</w:t>
      </w:r>
      <w:r w:rsidR="002C006A" w:rsidRPr="00AC5F78">
        <w:rPr>
          <w:lang w:val="es-ES_tradnl"/>
        </w:rPr>
        <w:t xml:space="preserve"> su</w:t>
      </w:r>
      <w:r w:rsidRPr="00AC5F78">
        <w:rPr>
          <w:lang w:val="es-ES_tradnl"/>
        </w:rPr>
        <w:t xml:space="preserve"> enfermedad debido a que acudió al Instituto Ecuatoriano de Seguridad Social, pero al no tener el medicament</w:t>
      </w:r>
      <w:r w:rsidR="002C006A" w:rsidRPr="00AC5F78">
        <w:rPr>
          <w:lang w:val="es-ES_tradnl"/>
        </w:rPr>
        <w:t>o</w:t>
      </w:r>
      <w:r w:rsidRPr="00AC5F78">
        <w:rPr>
          <w:lang w:val="es-ES_tradnl"/>
        </w:rPr>
        <w:t xml:space="preserve"> correspondiente al tratamiento </w:t>
      </w:r>
      <w:r w:rsidR="002C006A" w:rsidRPr="00AC5F78">
        <w:rPr>
          <w:lang w:val="es-ES_tradnl"/>
        </w:rPr>
        <w:t>que requiere</w:t>
      </w:r>
      <w:r w:rsidRPr="00AC5F78">
        <w:rPr>
          <w:lang w:val="es-ES_tradnl"/>
        </w:rPr>
        <w:t>, se vio obligado a acudir a proveedores privados.</w:t>
      </w:r>
    </w:p>
    <w:p w14:paraId="7BE7E052" w14:textId="1740658D" w:rsidR="00ED2773" w:rsidRPr="00AC5F78" w:rsidRDefault="00ED2773" w:rsidP="000D6D19">
      <w:pPr>
        <w:pStyle w:val="H23G"/>
        <w:rPr>
          <w:lang w:val="es-ES_tradnl"/>
        </w:rPr>
      </w:pPr>
      <w:r w:rsidRPr="00AC5F78">
        <w:rPr>
          <w:lang w:val="es-ES_tradnl"/>
        </w:rPr>
        <w:tab/>
      </w:r>
      <w:r w:rsidRPr="00AC5F78">
        <w:rPr>
          <w:lang w:val="es-ES_tradnl"/>
        </w:rPr>
        <w:tab/>
      </w:r>
      <w:r w:rsidR="00027BC8" w:rsidRPr="00AC5F78">
        <w:rPr>
          <w:lang w:val="es-ES_tradnl"/>
        </w:rPr>
        <w:t>Información adicional presentada por las partes</w:t>
      </w:r>
    </w:p>
    <w:p w14:paraId="5F2C214F" w14:textId="1542C145" w:rsidR="00027BC8" w:rsidRPr="00AC5F78" w:rsidRDefault="005C69FD" w:rsidP="00AC5F78">
      <w:pPr>
        <w:pStyle w:val="H4G"/>
        <w:rPr>
          <w:lang w:val="es-ES_tradnl"/>
        </w:rPr>
      </w:pPr>
      <w:r w:rsidRPr="00AC5F78">
        <w:rPr>
          <w:lang w:val="es-ES_tradnl"/>
        </w:rPr>
        <w:tab/>
      </w:r>
      <w:r w:rsidR="008F0C7E" w:rsidRPr="00AC5F78">
        <w:rPr>
          <w:lang w:val="es-ES_tradnl"/>
        </w:rPr>
        <w:tab/>
      </w:r>
      <w:r w:rsidR="00027BC8" w:rsidRPr="00AC5F78">
        <w:rPr>
          <w:lang w:val="es-ES_tradnl"/>
        </w:rPr>
        <w:t>Estado parte</w:t>
      </w:r>
    </w:p>
    <w:p w14:paraId="04DB28C4" w14:textId="2091917D" w:rsidR="00164EF5" w:rsidRPr="00AC5F78" w:rsidRDefault="00330E17" w:rsidP="000D6D19">
      <w:pPr>
        <w:pStyle w:val="SingleTxtG"/>
        <w:rPr>
          <w:lang w:val="es-ES_tradnl"/>
        </w:rPr>
      </w:pPr>
      <w:r w:rsidRPr="00AC5F78">
        <w:rPr>
          <w:lang w:val="es-ES_tradnl"/>
        </w:rPr>
        <w:t>6</w:t>
      </w:r>
      <w:r w:rsidR="004C0E8D" w:rsidRPr="00AC5F78">
        <w:rPr>
          <w:lang w:val="es-ES_tradnl"/>
        </w:rPr>
        <w:t>.</w:t>
      </w:r>
      <w:r w:rsidR="00164EF5" w:rsidRPr="00AC5F78">
        <w:rPr>
          <w:lang w:val="es-ES_tradnl"/>
        </w:rPr>
        <w:t>1</w:t>
      </w:r>
      <w:r w:rsidR="00ED2773" w:rsidRPr="00AC5F78">
        <w:rPr>
          <w:lang w:val="es-ES_tradnl"/>
        </w:rPr>
        <w:tab/>
        <w:t xml:space="preserve">El 3 de marzo de 2017, el Estado parte presentó observaciones adicionales y reiteró </w:t>
      </w:r>
      <w:r w:rsidR="00AC4F55" w:rsidRPr="00AC5F78">
        <w:rPr>
          <w:lang w:val="es-ES_tradnl"/>
        </w:rPr>
        <w:t>sus observaciones sobre la a</w:t>
      </w:r>
      <w:r w:rsidR="002E5D3A" w:rsidRPr="00AC5F78">
        <w:rPr>
          <w:lang w:val="es-ES_tradnl"/>
        </w:rPr>
        <w:t>dmisibilidad y el fondo de la comunicación.</w:t>
      </w:r>
      <w:r w:rsidR="009D4F9C" w:rsidRPr="00AC5F78">
        <w:rPr>
          <w:lang w:val="es-ES_tradnl"/>
        </w:rPr>
        <w:t xml:space="preserve"> Resalta que los comentarios del autor no presentan información </w:t>
      </w:r>
      <w:r w:rsidR="00A50BFD" w:rsidRPr="00AC5F78">
        <w:rPr>
          <w:lang w:val="es-ES_tradnl"/>
        </w:rPr>
        <w:t xml:space="preserve">nueva </w:t>
      </w:r>
      <w:r w:rsidR="009D4F9C" w:rsidRPr="00AC5F78">
        <w:rPr>
          <w:lang w:val="es-ES_tradnl"/>
        </w:rPr>
        <w:t>de la que se desprenda una violación de sus de</w:t>
      </w:r>
      <w:r w:rsidR="00C30D4C">
        <w:rPr>
          <w:lang w:val="es-ES_tradnl"/>
        </w:rPr>
        <w:t>rechos reconocidos en el Pacto.</w:t>
      </w:r>
    </w:p>
    <w:p w14:paraId="48F7D9F7" w14:textId="33000250" w:rsidR="0046551A" w:rsidRPr="00AC5F78" w:rsidRDefault="00164EF5" w:rsidP="000D6D19">
      <w:pPr>
        <w:pStyle w:val="SingleTxtG"/>
        <w:rPr>
          <w:lang w:val="es-ES_tradnl"/>
        </w:rPr>
      </w:pPr>
      <w:r w:rsidRPr="00AC5F78">
        <w:rPr>
          <w:lang w:val="es-ES_tradnl"/>
        </w:rPr>
        <w:t>6.2</w:t>
      </w:r>
      <w:r w:rsidRPr="00AC5F78">
        <w:rPr>
          <w:lang w:val="es-ES_tradnl"/>
        </w:rPr>
        <w:tab/>
      </w:r>
      <w:r w:rsidR="00A50BFD" w:rsidRPr="00AC5F78">
        <w:rPr>
          <w:lang w:val="es-ES_tradnl"/>
        </w:rPr>
        <w:t>L</w:t>
      </w:r>
      <w:r w:rsidR="0046551A" w:rsidRPr="00AC5F78">
        <w:rPr>
          <w:lang w:val="es-ES_tradnl"/>
        </w:rPr>
        <w:t>a acción extraordinaria de protección del autor ante la Corte Constitucional no estuvo dirigida a cuestionar una violación a su derecho a recibir indemnizaciones o compensaciones de índole laboral en sí o una vulneración a su derecho a la salud derivada de las condiciones de trabajo, sino a una presunta transgresión a las garantías del derecho al debido proceso emanadas del fallo de casación. Por tanto, el autor demandó ante la justicia ordinaria la presunta vulneración de su derecho a percibir una bonificación laboral derivada de un contrato colectivo de trabajo, a través de un proceso jurisdiccional laboral, que era el único mecanismo idóneo y efectivo para tal fin, finalizando con una sentencia de casación que no acogió sus pretensiones jurídicas. De ninguna forma la acción extraordinaria de protección se constituía en un recurso adicional o una cuarta instancia para resolver acerca de esas presuntas violaciones de tipo laboral, pues no corresponde a la naturaleza jurídica de esta acción.</w:t>
      </w:r>
    </w:p>
    <w:p w14:paraId="72E8E8AD" w14:textId="553D2304" w:rsidR="0046551A" w:rsidRPr="00AC5F78" w:rsidRDefault="00EF19FE">
      <w:pPr>
        <w:pStyle w:val="SingleTxtG"/>
        <w:rPr>
          <w:lang w:val="es-ES_tradnl"/>
        </w:rPr>
      </w:pPr>
      <w:r w:rsidRPr="00AC5F78">
        <w:rPr>
          <w:lang w:val="es-ES_tradnl"/>
        </w:rPr>
        <w:t>6.3</w:t>
      </w:r>
      <w:r w:rsidRPr="00AC5F78">
        <w:rPr>
          <w:lang w:val="es-ES_tradnl"/>
        </w:rPr>
        <w:tab/>
      </w:r>
      <w:r w:rsidR="00260759" w:rsidRPr="00AC5F78">
        <w:rPr>
          <w:lang w:val="es-ES_tradnl"/>
        </w:rPr>
        <w:t>El</w:t>
      </w:r>
      <w:r w:rsidR="00164EF5" w:rsidRPr="00AC5F78">
        <w:rPr>
          <w:lang w:val="es-ES_tradnl"/>
        </w:rPr>
        <w:t xml:space="preserve"> Estado parte resalta que </w:t>
      </w:r>
      <w:r w:rsidR="00260759" w:rsidRPr="00AC5F78">
        <w:rPr>
          <w:lang w:val="es-ES_tradnl"/>
        </w:rPr>
        <w:t>la</w:t>
      </w:r>
      <w:r w:rsidR="00164EF5" w:rsidRPr="00AC5F78">
        <w:rPr>
          <w:lang w:val="es-ES_tradnl"/>
        </w:rPr>
        <w:t xml:space="preserve"> casación </w:t>
      </w:r>
      <w:r w:rsidR="002E5D3A" w:rsidRPr="00AC5F78">
        <w:rPr>
          <w:lang w:val="es-ES_tradnl"/>
        </w:rPr>
        <w:t xml:space="preserve">es un recurso extraordinario por el que se pide </w:t>
      </w:r>
      <w:r w:rsidR="00260759" w:rsidRPr="00AC5F78">
        <w:rPr>
          <w:lang w:val="es-ES_tradnl"/>
        </w:rPr>
        <w:t>se</w:t>
      </w:r>
      <w:r w:rsidR="002E5D3A" w:rsidRPr="00AC5F78">
        <w:rPr>
          <w:lang w:val="es-ES_tradnl"/>
        </w:rPr>
        <w:t xml:space="preserve"> deje sin efecto una sentencia dictada por cuanto la misma adolece de</w:t>
      </w:r>
      <w:r w:rsidR="00260759" w:rsidRPr="00AC5F78">
        <w:rPr>
          <w:lang w:val="es-ES_tradnl"/>
        </w:rPr>
        <w:t xml:space="preserve"> </w:t>
      </w:r>
      <w:r w:rsidR="002E5D3A" w:rsidRPr="00AC5F78">
        <w:rPr>
          <w:lang w:val="es-ES_tradnl"/>
        </w:rPr>
        <w:t>un err</w:t>
      </w:r>
      <w:r w:rsidRPr="00AC5F78">
        <w:rPr>
          <w:lang w:val="es-ES_tradnl"/>
        </w:rPr>
        <w:t xml:space="preserve">or sustancial en la aplicación o </w:t>
      </w:r>
      <w:r w:rsidR="002E5D3A" w:rsidRPr="00AC5F78">
        <w:rPr>
          <w:lang w:val="es-ES_tradnl"/>
        </w:rPr>
        <w:t>interpretación de una norma</w:t>
      </w:r>
      <w:r w:rsidRPr="00AC5F78">
        <w:rPr>
          <w:lang w:val="es-ES_tradnl"/>
        </w:rPr>
        <w:t xml:space="preserve"> jurídica, que</w:t>
      </w:r>
      <w:r w:rsidR="002E5D3A" w:rsidRPr="00AC5F78">
        <w:rPr>
          <w:lang w:val="es-ES_tradnl" w:eastAsia="es-EC"/>
        </w:rPr>
        <w:t xml:space="preserve"> el artículo 2 de la Ley de </w:t>
      </w:r>
      <w:r w:rsidRPr="00AC5F78">
        <w:rPr>
          <w:lang w:val="es-ES_tradnl" w:eastAsia="es-EC"/>
        </w:rPr>
        <w:t xml:space="preserve">Casación, vigente en el momento de los hechos, establecía que este </w:t>
      </w:r>
      <w:r w:rsidR="002E5D3A" w:rsidRPr="00AC5F78">
        <w:rPr>
          <w:lang w:val="es-ES_tradnl"/>
        </w:rPr>
        <w:t xml:space="preserve">recurso procedía contra “las sentencias y autos que pongan fin a los procesos de conocimiento, dictados por las cortes superiores (ahora </w:t>
      </w:r>
      <w:r w:rsidR="00076548" w:rsidRPr="00AC5F78">
        <w:rPr>
          <w:lang w:val="es-ES_tradnl"/>
        </w:rPr>
        <w:t>c</w:t>
      </w:r>
      <w:r w:rsidR="002E5D3A" w:rsidRPr="00AC5F78">
        <w:rPr>
          <w:lang w:val="es-ES_tradnl"/>
        </w:rPr>
        <w:t xml:space="preserve">ortes </w:t>
      </w:r>
      <w:r w:rsidR="00076548" w:rsidRPr="00AC5F78">
        <w:rPr>
          <w:lang w:val="es-ES_tradnl"/>
        </w:rPr>
        <w:t>p</w:t>
      </w:r>
      <w:r w:rsidR="002E5D3A" w:rsidRPr="00AC5F78">
        <w:rPr>
          <w:lang w:val="es-ES_tradnl"/>
        </w:rPr>
        <w:t>rovinciales), por los tribunales distritales de lo fiscal y de lo contencioso administrativo (</w:t>
      </w:r>
      <w:r w:rsidR="002E5D3A" w:rsidRPr="00AC5F78">
        <w:rPr>
          <w:lang w:val="es-ES_tradnl" w:eastAsia="es-EC"/>
        </w:rPr>
        <w:t xml:space="preserve">ahora </w:t>
      </w:r>
      <w:r w:rsidR="00076548" w:rsidRPr="00AC5F78">
        <w:rPr>
          <w:lang w:val="es-ES_tradnl" w:eastAsia="es-EC"/>
        </w:rPr>
        <w:t>t</w:t>
      </w:r>
      <w:r w:rsidR="002E5D3A" w:rsidRPr="00AC5F78">
        <w:rPr>
          <w:lang w:val="es-ES_tradnl" w:eastAsia="es-EC"/>
        </w:rPr>
        <w:t xml:space="preserve">ribunales </w:t>
      </w:r>
      <w:r w:rsidR="00076548" w:rsidRPr="00AC5F78">
        <w:rPr>
          <w:lang w:val="es-ES_tradnl" w:eastAsia="es-EC"/>
        </w:rPr>
        <w:t>d</w:t>
      </w:r>
      <w:r w:rsidR="002E5D3A" w:rsidRPr="00AC5F78">
        <w:rPr>
          <w:lang w:val="es-ES_tradnl" w:eastAsia="es-EC"/>
        </w:rPr>
        <w:t xml:space="preserve">istritales de lo </w:t>
      </w:r>
      <w:r w:rsidR="00076548" w:rsidRPr="00AC5F78">
        <w:rPr>
          <w:lang w:val="es-ES_tradnl" w:eastAsia="es-EC"/>
        </w:rPr>
        <w:t>c</w:t>
      </w:r>
      <w:r w:rsidR="002E5D3A" w:rsidRPr="00AC5F78">
        <w:rPr>
          <w:lang w:val="es-ES_tradnl" w:eastAsia="es-EC"/>
        </w:rPr>
        <w:t xml:space="preserve">ontencioso </w:t>
      </w:r>
      <w:r w:rsidR="00076548" w:rsidRPr="00AC5F78">
        <w:rPr>
          <w:lang w:val="es-ES_tradnl" w:eastAsia="es-EC"/>
        </w:rPr>
        <w:t>t</w:t>
      </w:r>
      <w:r w:rsidR="002E5D3A" w:rsidRPr="00AC5F78">
        <w:rPr>
          <w:lang w:val="es-ES_tradnl" w:eastAsia="es-EC"/>
        </w:rPr>
        <w:t xml:space="preserve">ributario y </w:t>
      </w:r>
      <w:r w:rsidR="00076548" w:rsidRPr="00AC5F78">
        <w:rPr>
          <w:lang w:val="es-ES_tradnl" w:eastAsia="es-EC"/>
        </w:rPr>
        <w:t>c</w:t>
      </w:r>
      <w:r w:rsidR="002E5D3A" w:rsidRPr="00AC5F78">
        <w:rPr>
          <w:lang w:val="es-ES_tradnl" w:eastAsia="es-EC"/>
        </w:rPr>
        <w:t xml:space="preserve">ontencioso </w:t>
      </w:r>
      <w:r w:rsidR="00076548" w:rsidRPr="00AC5F78">
        <w:rPr>
          <w:lang w:val="es-ES_tradnl" w:eastAsia="es-EC"/>
        </w:rPr>
        <w:t>a</w:t>
      </w:r>
      <w:r w:rsidR="002E5D3A" w:rsidRPr="00AC5F78">
        <w:rPr>
          <w:lang w:val="es-ES_tradnl" w:eastAsia="es-EC"/>
        </w:rPr>
        <w:t>dministrativo)</w:t>
      </w:r>
      <w:r w:rsidRPr="00AC5F78">
        <w:rPr>
          <w:lang w:val="es-ES_tradnl" w:eastAsia="es-EC"/>
        </w:rPr>
        <w:t>”</w:t>
      </w:r>
      <w:r w:rsidR="00076548" w:rsidRPr="00AC5F78">
        <w:rPr>
          <w:lang w:val="es-ES_tradnl" w:eastAsia="es-EC"/>
        </w:rPr>
        <w:t>,</w:t>
      </w:r>
      <w:r w:rsidRPr="00AC5F78">
        <w:rPr>
          <w:lang w:val="es-ES_tradnl" w:eastAsia="es-EC"/>
        </w:rPr>
        <w:t xml:space="preserve"> y que l</w:t>
      </w:r>
      <w:r w:rsidR="002E5D3A" w:rsidRPr="00AC5F78">
        <w:rPr>
          <w:lang w:val="es-ES_tradnl"/>
        </w:rPr>
        <w:t xml:space="preserve">a posibilidad de interponer este recurso en materia de litigios laborales, se encontraba determinada en </w:t>
      </w:r>
      <w:r w:rsidRPr="00AC5F78">
        <w:rPr>
          <w:lang w:val="es-ES_tradnl"/>
        </w:rPr>
        <w:t>el artículo 613 d</w:t>
      </w:r>
      <w:r w:rsidR="002E5D3A" w:rsidRPr="00AC5F78">
        <w:rPr>
          <w:lang w:val="es-ES_tradnl"/>
        </w:rPr>
        <w:t>el Código de</w:t>
      </w:r>
      <w:r w:rsidR="00964C62" w:rsidRPr="00AC5F78">
        <w:rPr>
          <w:lang w:val="es-ES_tradnl"/>
        </w:rPr>
        <w:t>l</w:t>
      </w:r>
      <w:r w:rsidR="002E5D3A" w:rsidRPr="00AC5F78">
        <w:rPr>
          <w:lang w:val="es-ES_tradnl"/>
        </w:rPr>
        <w:t xml:space="preserve"> Trabajo, vigente a la época de los</w:t>
      </w:r>
      <w:r w:rsidRPr="00AC5F78">
        <w:rPr>
          <w:lang w:val="es-ES_tradnl"/>
        </w:rPr>
        <w:t xml:space="preserve"> hechos. Agrega que el recurso de casación tiene como objetivo que se</w:t>
      </w:r>
      <w:r w:rsidRPr="00AC5F78">
        <w:rPr>
          <w:b/>
          <w:lang w:val="es-ES_tradnl"/>
        </w:rPr>
        <w:t xml:space="preserve"> </w:t>
      </w:r>
      <w:r w:rsidRPr="00AC5F78">
        <w:rPr>
          <w:lang w:val="es-ES_tradnl"/>
        </w:rPr>
        <w:t>reforme el fallo recurrido y se dicte otro en su lugar, situación que deja sin valor jurídico de ninguna especie la totalidad de la sentencia subida en casación, tal como si nunca se la h</w:t>
      </w:r>
      <w:r w:rsidR="00C6138E" w:rsidRPr="00AC5F78">
        <w:rPr>
          <w:lang w:val="es-ES_tradnl"/>
        </w:rPr>
        <w:t>ubiera</w:t>
      </w:r>
      <w:r w:rsidRPr="00AC5F78">
        <w:rPr>
          <w:lang w:val="es-ES_tradnl"/>
        </w:rPr>
        <w:t xml:space="preserve"> dictado. Por tanto, la casación es el último recurso a ser empleado dentro de un proceso de tipo laboral antes de que la sentencia adquiera la característica de cosa juzgada, en consecuencia, el recurso de casación pone fin al proceso laboral.</w:t>
      </w:r>
    </w:p>
    <w:p w14:paraId="252E11F5" w14:textId="6C21882B" w:rsidR="0046551A" w:rsidRPr="00AC5F78" w:rsidRDefault="00EF19FE" w:rsidP="000D6D19">
      <w:pPr>
        <w:pStyle w:val="SingleTxtG"/>
        <w:rPr>
          <w:lang w:val="es-ES_tradnl"/>
        </w:rPr>
      </w:pPr>
      <w:r w:rsidRPr="00AC5F78">
        <w:rPr>
          <w:lang w:val="es-ES_tradnl"/>
        </w:rPr>
        <w:t>6.4</w:t>
      </w:r>
      <w:r w:rsidRPr="00AC5F78">
        <w:rPr>
          <w:lang w:val="es-ES_tradnl"/>
        </w:rPr>
        <w:tab/>
      </w:r>
      <w:r w:rsidR="002934E2" w:rsidRPr="00AC5F78">
        <w:rPr>
          <w:lang w:val="es-ES_tradnl"/>
        </w:rPr>
        <w:t xml:space="preserve">El Estado parte reitera sus observaciones sobre </w:t>
      </w:r>
      <w:r w:rsidRPr="00AC5F78">
        <w:rPr>
          <w:lang w:val="es-ES_tradnl"/>
        </w:rPr>
        <w:t>la acción extraordinaria de protección</w:t>
      </w:r>
      <w:r w:rsidR="002934E2" w:rsidRPr="00AC5F78">
        <w:rPr>
          <w:lang w:val="es-ES_tradnl"/>
        </w:rPr>
        <w:t xml:space="preserve"> y su alcance (véase </w:t>
      </w:r>
      <w:r w:rsidR="00484DE6" w:rsidRPr="00AC5F78">
        <w:rPr>
          <w:lang w:val="es-ES_tradnl"/>
        </w:rPr>
        <w:t xml:space="preserve">el párrafo </w:t>
      </w:r>
      <w:r w:rsidR="002934E2" w:rsidRPr="00AC5F78">
        <w:rPr>
          <w:lang w:val="es-ES_tradnl"/>
        </w:rPr>
        <w:t xml:space="preserve">4.3) y resalta que la Corte Constitucional ha señalado que la acción extraordinaria de protección no es una instancia adicional, tampoco puede ser confundida con un recurso adicional y menos aún puede entrar a revisar un proceso de valoración probatoria cuando la decisión objeto de la acción extraordinaria de protección provenga de la justicia </w:t>
      </w:r>
      <w:r w:rsidR="00E07260" w:rsidRPr="00AC5F78">
        <w:rPr>
          <w:lang w:val="es-ES_tradnl"/>
        </w:rPr>
        <w:t>ordinaria</w:t>
      </w:r>
      <w:r w:rsidRPr="00AC5F78">
        <w:rPr>
          <w:rStyle w:val="Refdenotaalpie"/>
          <w:szCs w:val="18"/>
          <w:lang w:val="es-ES_tradnl"/>
        </w:rPr>
        <w:footnoteReference w:id="11"/>
      </w:r>
      <w:r w:rsidR="00E07260" w:rsidRPr="00AC5F78">
        <w:rPr>
          <w:lang w:val="es-ES_tradnl"/>
        </w:rPr>
        <w:t>.</w:t>
      </w:r>
    </w:p>
    <w:p w14:paraId="7CCC919C" w14:textId="710C046D" w:rsidR="004029D0" w:rsidRPr="00AC5F78" w:rsidRDefault="007C0BD6">
      <w:pPr>
        <w:pStyle w:val="SingleTxtG"/>
        <w:rPr>
          <w:lang w:val="es-ES_tradnl"/>
        </w:rPr>
      </w:pPr>
      <w:r w:rsidRPr="00AC5F78">
        <w:rPr>
          <w:lang w:val="es-ES_tradnl"/>
        </w:rPr>
        <w:t>6.5</w:t>
      </w:r>
      <w:r w:rsidRPr="00AC5F78">
        <w:rPr>
          <w:lang w:val="es-ES_tradnl"/>
        </w:rPr>
        <w:tab/>
        <w:t>Con relación a</w:t>
      </w:r>
      <w:r w:rsidR="003E0B4D" w:rsidRPr="00AC5F78">
        <w:rPr>
          <w:lang w:val="es-ES_tradnl"/>
        </w:rPr>
        <w:t>l</w:t>
      </w:r>
      <w:r w:rsidRPr="00AC5F78">
        <w:rPr>
          <w:lang w:val="es-ES_tradnl"/>
        </w:rPr>
        <w:t xml:space="preserve"> artículo 3</w:t>
      </w:r>
      <w:r w:rsidR="00C41BA9" w:rsidRPr="00AC5F78">
        <w:rPr>
          <w:lang w:val="es-ES_tradnl"/>
        </w:rPr>
        <w:t xml:space="preserve">, párr. </w:t>
      </w:r>
      <w:r w:rsidRPr="00AC5F78">
        <w:rPr>
          <w:lang w:val="es-ES_tradnl"/>
        </w:rPr>
        <w:t>1</w:t>
      </w:r>
      <w:r w:rsidR="00C41BA9" w:rsidRPr="00AC5F78">
        <w:rPr>
          <w:lang w:val="es-ES_tradnl"/>
        </w:rPr>
        <w:t>,</w:t>
      </w:r>
      <w:r w:rsidRPr="00AC5F78">
        <w:rPr>
          <w:lang w:val="es-ES_tradnl"/>
        </w:rPr>
        <w:t xml:space="preserve"> del Protocolo Facultativo, </w:t>
      </w:r>
      <w:r w:rsidR="003E0B4D" w:rsidRPr="00AC5F78">
        <w:rPr>
          <w:lang w:val="es-ES_tradnl"/>
        </w:rPr>
        <w:t xml:space="preserve">el Estado parte señala que </w:t>
      </w:r>
      <w:r w:rsidRPr="00AC5F78">
        <w:rPr>
          <w:lang w:val="es-ES_tradnl"/>
        </w:rPr>
        <w:t>el autor no agotó los recursos internos respecto a sus alegaciones sobre las supuestas precarias condiciones de trabajo y su derecho a la salud</w:t>
      </w:r>
      <w:r w:rsidR="004826BF" w:rsidRPr="00AC5F78">
        <w:rPr>
          <w:lang w:val="es-ES_tradnl"/>
        </w:rPr>
        <w:t>. En e</w:t>
      </w:r>
      <w:r w:rsidRPr="00AC5F78">
        <w:rPr>
          <w:lang w:val="es-ES_tradnl"/>
        </w:rPr>
        <w:t xml:space="preserve">l momento en que las observaciones del Estado </w:t>
      </w:r>
      <w:r w:rsidR="004029D0" w:rsidRPr="00AC5F78">
        <w:rPr>
          <w:lang w:val="es-ES_tradnl"/>
        </w:rPr>
        <w:t xml:space="preserve">parte </w:t>
      </w:r>
      <w:r w:rsidRPr="00AC5F78">
        <w:rPr>
          <w:lang w:val="es-ES_tradnl"/>
        </w:rPr>
        <w:t>fueron presentadas al Comité</w:t>
      </w:r>
      <w:r w:rsidR="004826BF" w:rsidRPr="00AC5F78">
        <w:rPr>
          <w:lang w:val="es-ES_tradnl"/>
        </w:rPr>
        <w:t>,</w:t>
      </w:r>
      <w:r w:rsidRPr="00AC5F78">
        <w:rPr>
          <w:lang w:val="es-ES_tradnl"/>
        </w:rPr>
        <w:t xml:space="preserve"> el autor no había </w:t>
      </w:r>
      <w:r w:rsidR="004029D0" w:rsidRPr="00AC5F78">
        <w:rPr>
          <w:lang w:val="es-ES_tradnl"/>
        </w:rPr>
        <w:t>interpuesto</w:t>
      </w:r>
      <w:r w:rsidRPr="00AC5F78">
        <w:rPr>
          <w:lang w:val="es-ES_tradnl"/>
        </w:rPr>
        <w:t xml:space="preserve"> ninguna acción administrativa o judicial en contra de su </w:t>
      </w:r>
      <w:proofErr w:type="spellStart"/>
      <w:r w:rsidRPr="00AC5F78">
        <w:rPr>
          <w:lang w:val="es-ES_tradnl"/>
        </w:rPr>
        <w:t>exempleador</w:t>
      </w:r>
      <w:proofErr w:type="spellEnd"/>
      <w:r w:rsidRPr="00AC5F78">
        <w:rPr>
          <w:lang w:val="es-ES_tradnl"/>
        </w:rPr>
        <w:t xml:space="preserve"> o del seguro social en relación a la presunta vulneración al derecho a la salud por las inadecuadas condiciones de trabajo a las que habría estado sometido, </w:t>
      </w:r>
      <w:r w:rsidR="004826BF" w:rsidRPr="00AC5F78">
        <w:rPr>
          <w:lang w:val="es-ES_tradnl"/>
        </w:rPr>
        <w:t>como</w:t>
      </w:r>
      <w:r w:rsidRPr="00AC5F78">
        <w:rPr>
          <w:lang w:val="es-ES_tradnl"/>
        </w:rPr>
        <w:t xml:space="preserve"> denuncias ante la </w:t>
      </w:r>
      <w:r w:rsidR="00DC60F6" w:rsidRPr="00AC5F78">
        <w:rPr>
          <w:lang w:val="es-ES_tradnl"/>
        </w:rPr>
        <w:t>i</w:t>
      </w:r>
      <w:r w:rsidRPr="00AC5F78">
        <w:rPr>
          <w:lang w:val="es-ES_tradnl"/>
        </w:rPr>
        <w:t>nspectoría de</w:t>
      </w:r>
      <w:r w:rsidR="00FD6BB3" w:rsidRPr="00AC5F78">
        <w:rPr>
          <w:lang w:val="es-ES_tradnl"/>
        </w:rPr>
        <w:t>l</w:t>
      </w:r>
      <w:r w:rsidRPr="00AC5F78">
        <w:rPr>
          <w:lang w:val="es-ES_tradnl"/>
        </w:rPr>
        <w:t xml:space="preserve"> </w:t>
      </w:r>
      <w:r w:rsidR="00DC60F6" w:rsidRPr="00AC5F78">
        <w:rPr>
          <w:lang w:val="es-ES_tradnl"/>
        </w:rPr>
        <w:t>t</w:t>
      </w:r>
      <w:r w:rsidRPr="00AC5F78">
        <w:rPr>
          <w:lang w:val="es-ES_tradnl"/>
        </w:rPr>
        <w:t>rabajo o la presentación de demandas laborales para el pago de indemnizaciones por enfermedad profesional.</w:t>
      </w:r>
    </w:p>
    <w:p w14:paraId="61D88775" w14:textId="4EBA4F1A" w:rsidR="009D4F9C" w:rsidRPr="00AC5F78" w:rsidRDefault="004029D0">
      <w:pPr>
        <w:pStyle w:val="SingleTxtG"/>
        <w:rPr>
          <w:lang w:val="es-ES_tradnl"/>
        </w:rPr>
      </w:pPr>
      <w:r w:rsidRPr="00AC5F78">
        <w:rPr>
          <w:lang w:val="es-ES_tradnl"/>
        </w:rPr>
        <w:t>6.6</w:t>
      </w:r>
      <w:r w:rsidRPr="00AC5F78">
        <w:rPr>
          <w:lang w:val="es-ES_tradnl"/>
        </w:rPr>
        <w:tab/>
        <w:t xml:space="preserve">El Estado parte reitera que de acuerdo a la jurisprudencia ecuatoriana, el desahucio y la separación voluntaria constituyen dos figuras jurídicas de naturaleza distinta y que, en el caso del autor la </w:t>
      </w:r>
      <w:r w:rsidR="00F078C2" w:rsidRPr="00AC5F78">
        <w:rPr>
          <w:lang w:val="es-ES_tradnl"/>
        </w:rPr>
        <w:t xml:space="preserve">Corte Nacional de Justicia </w:t>
      </w:r>
      <w:r w:rsidRPr="00AC5F78">
        <w:rPr>
          <w:lang w:val="es-ES_tradnl"/>
        </w:rPr>
        <w:t>determinó que existe una clara diferenciación entre la figura del desahucio y la separación voluntaria, pues mientras el desahucio se constituye en un procedimiento legal de “aviso” de terminación de contrato de trabajo</w:t>
      </w:r>
      <w:r w:rsidR="001707BC" w:rsidRPr="00AC5F78">
        <w:rPr>
          <w:lang w:val="es-ES_tradnl"/>
        </w:rPr>
        <w:t>,</w:t>
      </w:r>
      <w:r w:rsidRPr="00AC5F78">
        <w:rPr>
          <w:lang w:val="es-ES_tradnl"/>
        </w:rPr>
        <w:t xml:space="preserve"> la “separación voluntaria” se consagra como un “beneficio” económico contractual, al que puede acogerse el trabajador para hacerse beneficiario de la contribución creada para este efecto, cuyos trámites inician en dos campos diferentes: el uno administrativo, ante el </w:t>
      </w:r>
      <w:r w:rsidR="00FD6BB3" w:rsidRPr="00AC5F78">
        <w:rPr>
          <w:lang w:val="es-ES_tradnl"/>
        </w:rPr>
        <w:t>i</w:t>
      </w:r>
      <w:r w:rsidRPr="00AC5F78">
        <w:rPr>
          <w:lang w:val="es-ES_tradnl"/>
        </w:rPr>
        <w:t xml:space="preserve">nspector del </w:t>
      </w:r>
      <w:r w:rsidR="00FD6BB3" w:rsidRPr="00AC5F78">
        <w:rPr>
          <w:lang w:val="es-ES_tradnl"/>
        </w:rPr>
        <w:t>t</w:t>
      </w:r>
      <w:r w:rsidRPr="00AC5F78">
        <w:rPr>
          <w:lang w:val="es-ES_tradnl"/>
        </w:rPr>
        <w:t>rabajo y, el otro, convencional, directo entre el trabajador y el empleador</w:t>
      </w:r>
      <w:r w:rsidR="002F5C7B" w:rsidRPr="00AC5F78">
        <w:rPr>
          <w:lang w:val="es-ES_tradnl"/>
        </w:rPr>
        <w:t>.</w:t>
      </w:r>
      <w:r w:rsidRPr="00AC5F78">
        <w:rPr>
          <w:lang w:val="es-ES_tradnl"/>
        </w:rPr>
        <w:t xml:space="preserve"> </w:t>
      </w:r>
      <w:r w:rsidR="002F5C7B" w:rsidRPr="00AC5F78">
        <w:rPr>
          <w:lang w:val="es-ES_tradnl"/>
        </w:rPr>
        <w:t>P</w:t>
      </w:r>
      <w:r w:rsidRPr="00AC5F78">
        <w:rPr>
          <w:lang w:val="es-ES_tradnl"/>
        </w:rPr>
        <w:t xml:space="preserve">or tanto, ninguna persona puede beneficiarse dos veces por un mismo acto, o pretender acogerse a un doble derecho que ni la </w:t>
      </w:r>
      <w:r w:rsidR="002F5C7B" w:rsidRPr="00AC5F78">
        <w:rPr>
          <w:lang w:val="es-ES_tradnl"/>
        </w:rPr>
        <w:t>l</w:t>
      </w:r>
      <w:r w:rsidRPr="00AC5F78">
        <w:rPr>
          <w:lang w:val="es-ES_tradnl"/>
        </w:rPr>
        <w:t xml:space="preserve">ey ni la contratación colectiva ha establecido. A este respecto, el Estado parte señala que, en el marco de procesos judiciales similares, la </w:t>
      </w:r>
      <w:r w:rsidR="00FD6BB3" w:rsidRPr="00AC5F78">
        <w:rPr>
          <w:lang w:val="es-ES_tradnl"/>
        </w:rPr>
        <w:t xml:space="preserve">Corte Nacional de Justicia </w:t>
      </w:r>
      <w:r w:rsidR="009759C0" w:rsidRPr="00AC5F78">
        <w:rPr>
          <w:lang w:val="es-ES_tradnl"/>
        </w:rPr>
        <w:t xml:space="preserve">aplicó el mismo </w:t>
      </w:r>
      <w:r w:rsidR="00FB130E" w:rsidRPr="00AC5F78">
        <w:rPr>
          <w:lang w:val="es-ES_tradnl"/>
        </w:rPr>
        <w:t xml:space="preserve">criterio </w:t>
      </w:r>
      <w:r w:rsidRPr="00AC5F78">
        <w:rPr>
          <w:lang w:val="es-ES_tradnl"/>
        </w:rPr>
        <w:t xml:space="preserve">constituyéndose en precedente jurisprudencial obligatorio. </w:t>
      </w:r>
      <w:r w:rsidR="00027BC8" w:rsidRPr="00AC5F78">
        <w:rPr>
          <w:lang w:val="es-ES_tradnl"/>
        </w:rPr>
        <w:t xml:space="preserve">A este respecto el Estado parte sostiene que corresponde exclusivamente a sus </w:t>
      </w:r>
      <w:r w:rsidR="00BE2138" w:rsidRPr="00AC5F78">
        <w:rPr>
          <w:lang w:val="es-ES_tradnl"/>
        </w:rPr>
        <w:t>autoridades</w:t>
      </w:r>
      <w:r w:rsidR="00027BC8" w:rsidRPr="00AC5F78">
        <w:rPr>
          <w:lang w:val="es-ES_tradnl"/>
        </w:rPr>
        <w:t xml:space="preserve"> judiciales </w:t>
      </w:r>
      <w:r w:rsidRPr="00AC5F78">
        <w:rPr>
          <w:lang w:val="es-ES_tradnl"/>
        </w:rPr>
        <w:t>interpretar y determinar el alcance de dichas figuras jurídicas al momento de resolver una controversia sometida a su conocimiento.</w:t>
      </w:r>
    </w:p>
    <w:p w14:paraId="66908BD0" w14:textId="1EA12A31" w:rsidR="00027BC8" w:rsidRPr="00AC5F78" w:rsidRDefault="008F0C7E" w:rsidP="00AC5F78">
      <w:pPr>
        <w:pStyle w:val="H4G"/>
        <w:rPr>
          <w:lang w:val="es-ES_tradnl"/>
        </w:rPr>
      </w:pPr>
      <w:r w:rsidRPr="00AC5F78">
        <w:rPr>
          <w:lang w:val="es-ES_tradnl"/>
        </w:rPr>
        <w:tab/>
      </w:r>
      <w:r w:rsidRPr="00AC5F78">
        <w:rPr>
          <w:lang w:val="es-ES_tradnl"/>
        </w:rPr>
        <w:tab/>
      </w:r>
      <w:r w:rsidR="00027BC8" w:rsidRPr="00AC5F78">
        <w:rPr>
          <w:lang w:val="es-ES_tradnl"/>
        </w:rPr>
        <w:t>Autor</w:t>
      </w:r>
    </w:p>
    <w:p w14:paraId="52508E37" w14:textId="4CD4B146" w:rsidR="00027BC8" w:rsidRPr="00AC5F78" w:rsidRDefault="00027BC8">
      <w:pPr>
        <w:pStyle w:val="SingleTxtG"/>
        <w:rPr>
          <w:lang w:val="es-ES_tradnl"/>
        </w:rPr>
      </w:pPr>
      <w:r w:rsidRPr="00AC5F78">
        <w:rPr>
          <w:lang w:val="es-ES_tradnl"/>
        </w:rPr>
        <w:t>7.</w:t>
      </w:r>
      <w:r w:rsidRPr="00AC5F78">
        <w:rPr>
          <w:lang w:val="es-ES_tradnl"/>
        </w:rPr>
        <w:tab/>
        <w:t xml:space="preserve">Mediante correspondencia de 28 </w:t>
      </w:r>
      <w:r w:rsidR="007A60D4" w:rsidRPr="00AC5F78">
        <w:rPr>
          <w:lang w:val="es-ES_tradnl"/>
        </w:rPr>
        <w:t>d</w:t>
      </w:r>
      <w:r w:rsidR="00701AED" w:rsidRPr="00AC5F78">
        <w:rPr>
          <w:lang w:val="es-ES_tradnl"/>
        </w:rPr>
        <w:t xml:space="preserve">e </w:t>
      </w:r>
      <w:r w:rsidR="007A60D4" w:rsidRPr="00AC5F78">
        <w:rPr>
          <w:lang w:val="es-ES_tradnl"/>
        </w:rPr>
        <w:t>abril</w:t>
      </w:r>
      <w:r w:rsidRPr="00AC5F78">
        <w:rPr>
          <w:lang w:val="es-ES_tradnl"/>
        </w:rPr>
        <w:t xml:space="preserve"> </w:t>
      </w:r>
      <w:r w:rsidR="00351CBA" w:rsidRPr="00AC5F78">
        <w:rPr>
          <w:lang w:val="es-ES_tradnl"/>
        </w:rPr>
        <w:t xml:space="preserve">de </w:t>
      </w:r>
      <w:r w:rsidRPr="00AC5F78">
        <w:rPr>
          <w:lang w:val="es-ES_tradnl"/>
        </w:rPr>
        <w:t xml:space="preserve">2017, el autor reiteró que la comunicación cumple con todos los requisitos </w:t>
      </w:r>
      <w:r w:rsidR="007A60D4" w:rsidRPr="00AC5F78">
        <w:rPr>
          <w:lang w:val="es-ES_tradnl"/>
        </w:rPr>
        <w:t>d</w:t>
      </w:r>
      <w:r w:rsidR="00701AED" w:rsidRPr="00AC5F78">
        <w:rPr>
          <w:lang w:val="es-ES_tradnl"/>
        </w:rPr>
        <w:t xml:space="preserve">e </w:t>
      </w:r>
      <w:r w:rsidR="007A60D4" w:rsidRPr="00AC5F78">
        <w:rPr>
          <w:lang w:val="es-ES_tradnl"/>
        </w:rPr>
        <w:t>admisibilidad</w:t>
      </w:r>
      <w:r w:rsidRPr="00AC5F78">
        <w:rPr>
          <w:lang w:val="es-ES_tradnl"/>
        </w:rPr>
        <w:t xml:space="preserve"> establecidos en el Protocolo Facultativo.</w:t>
      </w:r>
    </w:p>
    <w:p w14:paraId="7F5CAE57" w14:textId="77777777" w:rsidR="0099015D" w:rsidRPr="00AC5F78" w:rsidRDefault="006C1799" w:rsidP="000D6D19">
      <w:pPr>
        <w:pStyle w:val="H1G"/>
        <w:rPr>
          <w:lang w:val="es-ES_tradnl"/>
        </w:rPr>
      </w:pPr>
      <w:r w:rsidRPr="00AC5F78">
        <w:rPr>
          <w:lang w:val="es-ES_tradnl"/>
        </w:rPr>
        <w:tab/>
        <w:t>B.</w:t>
      </w:r>
      <w:r w:rsidRPr="00AC5F78">
        <w:rPr>
          <w:lang w:val="es-ES_tradnl"/>
        </w:rPr>
        <w:tab/>
        <w:t>Consideraciones del Comité s</w:t>
      </w:r>
      <w:r w:rsidR="00540439" w:rsidRPr="00AC5F78">
        <w:rPr>
          <w:lang w:val="es-ES_tradnl"/>
        </w:rPr>
        <w:t>obre la admisibilidad</w:t>
      </w:r>
    </w:p>
    <w:p w14:paraId="5B88C09E" w14:textId="684DC1A8" w:rsidR="00B405EB" w:rsidRPr="00AC5F78" w:rsidRDefault="006C1799" w:rsidP="000D6D19">
      <w:pPr>
        <w:pStyle w:val="SingleTxtG"/>
        <w:rPr>
          <w:lang w:val="es-ES_tradnl"/>
        </w:rPr>
      </w:pPr>
      <w:r w:rsidRPr="00AC5F78">
        <w:rPr>
          <w:lang w:val="es-ES_tradnl"/>
        </w:rPr>
        <w:tab/>
      </w:r>
      <w:r w:rsidR="00320584" w:rsidRPr="00AC5F78">
        <w:rPr>
          <w:bCs/>
          <w:lang w:val="es-ES_tradnl"/>
        </w:rPr>
        <w:t>8</w:t>
      </w:r>
      <w:r w:rsidR="00725436" w:rsidRPr="00AC5F78">
        <w:rPr>
          <w:bCs/>
          <w:lang w:val="es-ES_tradnl"/>
        </w:rPr>
        <w:t>.1</w:t>
      </w:r>
      <w:r w:rsidR="00725436" w:rsidRPr="00AC5F78">
        <w:rPr>
          <w:bCs/>
          <w:lang w:val="es-ES_tradnl"/>
        </w:rPr>
        <w:tab/>
      </w:r>
      <w:r w:rsidR="00725436" w:rsidRPr="00AC5F78">
        <w:rPr>
          <w:lang w:val="es-ES_tradnl"/>
        </w:rPr>
        <w:t>Antes de examinar cualquier reclamación formulada en una comunicación, el Comité debe decidir, de conformidad con el Protocolo Facultativo, si el caso e</w:t>
      </w:r>
      <w:r w:rsidR="006B053F" w:rsidRPr="00AC5F78">
        <w:rPr>
          <w:lang w:val="es-ES_tradnl"/>
        </w:rPr>
        <w:t>s admisible.</w:t>
      </w:r>
    </w:p>
    <w:p w14:paraId="3615B27B" w14:textId="12C9079E" w:rsidR="005A0B7C" w:rsidRPr="00AC5F78" w:rsidRDefault="00320584" w:rsidP="00C30D4C">
      <w:pPr>
        <w:pStyle w:val="SingleTxtG"/>
        <w:keepNext/>
        <w:keepLines/>
        <w:rPr>
          <w:lang w:val="es-ES_tradnl"/>
        </w:rPr>
      </w:pPr>
      <w:r w:rsidRPr="00AC5F78">
        <w:rPr>
          <w:lang w:val="es-ES_tradnl"/>
        </w:rPr>
        <w:t>8</w:t>
      </w:r>
      <w:r w:rsidR="00B405EB" w:rsidRPr="00AC5F78">
        <w:rPr>
          <w:lang w:val="es-ES_tradnl"/>
        </w:rPr>
        <w:t>.2</w:t>
      </w:r>
      <w:r w:rsidR="00B405EB" w:rsidRPr="00AC5F78">
        <w:rPr>
          <w:lang w:val="es-ES_tradnl"/>
        </w:rPr>
        <w:tab/>
      </w:r>
      <w:r w:rsidR="00F6148B" w:rsidRPr="00AC5F78">
        <w:rPr>
          <w:lang w:val="es-ES_tradnl" w:bidi="es-ES"/>
        </w:rPr>
        <w:t>El Comité toma nota del</w:t>
      </w:r>
      <w:r w:rsidR="00F6148B" w:rsidRPr="00AC5F78">
        <w:rPr>
          <w:lang w:val="es-ES_tradnl"/>
        </w:rPr>
        <w:t xml:space="preserve"> argumento del Estado parte de que el Comité no tiene competencia </w:t>
      </w:r>
      <w:proofErr w:type="spellStart"/>
      <w:r w:rsidR="00F6148B" w:rsidRPr="00AC5F78">
        <w:rPr>
          <w:i/>
          <w:lang w:val="es-ES_tradnl"/>
        </w:rPr>
        <w:t>ratione</w:t>
      </w:r>
      <w:proofErr w:type="spellEnd"/>
      <w:r w:rsidR="00F6148B" w:rsidRPr="00AC5F78">
        <w:rPr>
          <w:i/>
          <w:lang w:val="es-ES_tradnl"/>
        </w:rPr>
        <w:t xml:space="preserve"> </w:t>
      </w:r>
      <w:proofErr w:type="spellStart"/>
      <w:r w:rsidR="00F6148B" w:rsidRPr="00AC5F78">
        <w:rPr>
          <w:i/>
          <w:lang w:val="es-ES_tradnl"/>
        </w:rPr>
        <w:t>temporis</w:t>
      </w:r>
      <w:proofErr w:type="spellEnd"/>
      <w:r w:rsidR="00F6148B" w:rsidRPr="00AC5F78">
        <w:rPr>
          <w:lang w:val="es-ES_tradnl"/>
        </w:rPr>
        <w:t xml:space="preserve"> para examinar la presente comunicación, toda vez que los hechos que dieron origen a las violaciones alegadas ocurrieron</w:t>
      </w:r>
      <w:r w:rsidRPr="00AC5F78">
        <w:rPr>
          <w:lang w:val="es-ES_tradnl"/>
        </w:rPr>
        <w:t xml:space="preserve"> en octubre de 2007</w:t>
      </w:r>
      <w:r w:rsidR="00876A97" w:rsidRPr="00AC5F78">
        <w:rPr>
          <w:lang w:val="es-ES_tradnl"/>
        </w:rPr>
        <w:t>,</w:t>
      </w:r>
      <w:r w:rsidR="00F6148B" w:rsidRPr="00AC5F78">
        <w:rPr>
          <w:lang w:val="es-ES_tradnl"/>
        </w:rPr>
        <w:t xml:space="preserve"> antes </w:t>
      </w:r>
      <w:r w:rsidR="00F109F2" w:rsidRPr="00AC5F78">
        <w:rPr>
          <w:lang w:val="es-ES_tradnl"/>
        </w:rPr>
        <w:t xml:space="preserve">de la </w:t>
      </w:r>
      <w:r w:rsidR="00F6148B" w:rsidRPr="00AC5F78">
        <w:rPr>
          <w:lang w:val="es-ES_tradnl"/>
        </w:rPr>
        <w:t xml:space="preserve">fecha de entrada en vigor del Protocolo </w:t>
      </w:r>
      <w:r w:rsidRPr="00AC5F78">
        <w:rPr>
          <w:lang w:val="es-ES_tradnl"/>
        </w:rPr>
        <w:t xml:space="preserve">Facultativo para </w:t>
      </w:r>
      <w:r w:rsidR="008F5CDE" w:rsidRPr="00AC5F78">
        <w:rPr>
          <w:lang w:val="es-ES_tradnl"/>
        </w:rPr>
        <w:t xml:space="preserve">el </w:t>
      </w:r>
      <w:r w:rsidRPr="00AC5F78">
        <w:rPr>
          <w:lang w:val="es-ES_tradnl"/>
        </w:rPr>
        <w:t>Ecuador</w:t>
      </w:r>
      <w:r w:rsidR="00F109F2" w:rsidRPr="00AC5F78">
        <w:rPr>
          <w:lang w:val="es-ES_tradnl"/>
        </w:rPr>
        <w:t>, es decir del 5 de mayo de 2013</w:t>
      </w:r>
      <w:r w:rsidRPr="00AC5F78">
        <w:rPr>
          <w:lang w:val="es-ES_tradnl"/>
        </w:rPr>
        <w:t xml:space="preserve">; </w:t>
      </w:r>
      <w:r w:rsidR="005A0B7C" w:rsidRPr="00AC5F78">
        <w:rPr>
          <w:lang w:val="es-ES_tradnl"/>
        </w:rPr>
        <w:t xml:space="preserve">y </w:t>
      </w:r>
      <w:r w:rsidRPr="00AC5F78">
        <w:rPr>
          <w:lang w:val="es-ES_tradnl"/>
        </w:rPr>
        <w:t xml:space="preserve">que las decisiones judiciales posteriores a esta fecha no pueden ser tomadas en cuenta a efectos de determinar la competencia </w:t>
      </w:r>
      <w:proofErr w:type="spellStart"/>
      <w:r w:rsidRPr="00AC5F78">
        <w:rPr>
          <w:i/>
          <w:lang w:val="es-ES_tradnl"/>
        </w:rPr>
        <w:t>ratione</w:t>
      </w:r>
      <w:proofErr w:type="spellEnd"/>
      <w:r w:rsidRPr="00AC5F78">
        <w:rPr>
          <w:i/>
          <w:lang w:val="es-ES_tradnl"/>
        </w:rPr>
        <w:t xml:space="preserve"> </w:t>
      </w:r>
      <w:proofErr w:type="spellStart"/>
      <w:r w:rsidRPr="00AC5F78">
        <w:rPr>
          <w:i/>
          <w:lang w:val="es-ES_tradnl"/>
        </w:rPr>
        <w:t>temporis</w:t>
      </w:r>
      <w:proofErr w:type="spellEnd"/>
      <w:r w:rsidRPr="00AC5F78">
        <w:rPr>
          <w:lang w:val="es-ES_tradnl"/>
        </w:rPr>
        <w:t xml:space="preserve"> del Comité</w:t>
      </w:r>
      <w:r w:rsidR="005A0B7C" w:rsidRPr="00AC5F78">
        <w:rPr>
          <w:lang w:val="es-ES_tradnl"/>
        </w:rPr>
        <w:t>.</w:t>
      </w:r>
    </w:p>
    <w:p w14:paraId="43C00889" w14:textId="200AA8F6" w:rsidR="005A0B7C" w:rsidRPr="00AC5F78" w:rsidRDefault="005A0B7C">
      <w:pPr>
        <w:pStyle w:val="SingleTxtG"/>
        <w:rPr>
          <w:lang w:val="es-ES_tradnl"/>
        </w:rPr>
      </w:pPr>
      <w:r w:rsidRPr="00AC5F78">
        <w:rPr>
          <w:lang w:val="es-ES_tradnl"/>
        </w:rPr>
        <w:t>8.3</w:t>
      </w:r>
      <w:r w:rsidRPr="00AC5F78">
        <w:rPr>
          <w:lang w:val="es-ES_tradnl"/>
        </w:rPr>
        <w:tab/>
        <w:t>El Comité recuerda que de acuerdo al artículo 3</w:t>
      </w:r>
      <w:r w:rsidR="004F49A1" w:rsidRPr="00AC5F78">
        <w:rPr>
          <w:lang w:val="es-ES_tradnl"/>
        </w:rPr>
        <w:t xml:space="preserve">, párr. 2, apdo. b), </w:t>
      </w:r>
      <w:r w:rsidRPr="00AC5F78">
        <w:rPr>
          <w:lang w:val="es-ES_tradnl"/>
        </w:rPr>
        <w:t>del Protocolo Facultativo el Comité debe declara toda comunicación inadmisible si se refiere a hechos sucedidos antes de la fecha de entrada en vigor del Protocolo Facultativo para el Estado parte interesado, “salvo que esos hechos hayan continuado después de esa fecha”, y su jurisprudencia, según la cual, las decisiones judiciales o administrativas de las autoridades nacionales también son consideradas parte de “los hechos” con arreglo al artículo 3</w:t>
      </w:r>
      <w:r w:rsidR="004F49A1" w:rsidRPr="00AC5F78">
        <w:rPr>
          <w:lang w:val="es-ES_tradnl"/>
        </w:rPr>
        <w:t xml:space="preserve">, párr. 2, apdo. b), </w:t>
      </w:r>
      <w:r w:rsidRPr="00AC5F78">
        <w:rPr>
          <w:lang w:val="es-ES_tradnl"/>
        </w:rPr>
        <w:t xml:space="preserve">del Protocolo Facultativo, cuando son el resultado de procesos relacionados directamente con los eventos iniciales, actos u omisiones, que dieron origen a la violación; y siempre que puedan reparar la violación alegada, de acuerdo a </w:t>
      </w:r>
      <w:r w:rsidR="002F5C7B" w:rsidRPr="00AC5F78">
        <w:rPr>
          <w:lang w:val="es-ES_tradnl"/>
        </w:rPr>
        <w:t xml:space="preserve">la </w:t>
      </w:r>
      <w:r w:rsidRPr="00AC5F78">
        <w:rPr>
          <w:lang w:val="es-ES_tradnl"/>
        </w:rPr>
        <w:t>ley aplicable en aquel momento.</w:t>
      </w:r>
      <w:r w:rsidR="00247CD0" w:rsidRPr="00AC5F78">
        <w:rPr>
          <w:lang w:val="es-ES_tradnl"/>
        </w:rPr>
        <w:t xml:space="preserve"> Cuando estos procesos ocurren después de que el Protocolo Facultativo entró en vigor para el Estado parte concernido, el requisito establecido en el artículo 3</w:t>
      </w:r>
      <w:r w:rsidR="004F49A1" w:rsidRPr="00AC5F78">
        <w:rPr>
          <w:lang w:val="es-ES_tradnl"/>
        </w:rPr>
        <w:t>, párr. 2, apdo.</w:t>
      </w:r>
      <w:r w:rsidR="008F0C7E" w:rsidRPr="00AC5F78">
        <w:rPr>
          <w:lang w:val="es-ES_tradnl"/>
        </w:rPr>
        <w:t> </w:t>
      </w:r>
      <w:r w:rsidR="004F49A1" w:rsidRPr="00AC5F78">
        <w:rPr>
          <w:lang w:val="es-ES_tradnl"/>
        </w:rPr>
        <w:t xml:space="preserve">b), </w:t>
      </w:r>
      <w:r w:rsidR="00247CD0" w:rsidRPr="00AC5F78">
        <w:rPr>
          <w:lang w:val="es-ES_tradnl"/>
        </w:rPr>
        <w:t>no es obstáculo para decl</w:t>
      </w:r>
      <w:r w:rsidR="00E07260" w:rsidRPr="00AC5F78">
        <w:rPr>
          <w:lang w:val="es-ES_tradnl"/>
        </w:rPr>
        <w:t>arar una comunicación admisible</w:t>
      </w:r>
      <w:r w:rsidRPr="00AC5F78">
        <w:rPr>
          <w:rStyle w:val="Refdenotaalpie"/>
          <w:szCs w:val="18"/>
          <w:lang w:val="es-ES_tradnl"/>
        </w:rPr>
        <w:footnoteReference w:id="12"/>
      </w:r>
      <w:r w:rsidR="00E07260" w:rsidRPr="00AC5F78">
        <w:rPr>
          <w:lang w:val="es-ES_tradnl"/>
        </w:rPr>
        <w:t>.</w:t>
      </w:r>
      <w:r w:rsidR="005B2441" w:rsidRPr="00AC5F78">
        <w:rPr>
          <w:lang w:val="es-ES_tradnl"/>
        </w:rPr>
        <w:t xml:space="preserve"> Por tanto, el Comité debe determinar si la sentencia de la Corte Constitucional de 9 de abril de 2014, que desestimó la acción extraordinaria de protección del aut</w:t>
      </w:r>
      <w:r w:rsidR="00C30D4C">
        <w:rPr>
          <w:lang w:val="es-ES_tradnl"/>
        </w:rPr>
        <w:t>or, cumple con estos criterios.</w:t>
      </w:r>
    </w:p>
    <w:p w14:paraId="5A5A0260" w14:textId="5FB3AEBC" w:rsidR="00E334E1" w:rsidRPr="00AC5F78" w:rsidRDefault="005B2441">
      <w:pPr>
        <w:pStyle w:val="SingleTxtG"/>
        <w:rPr>
          <w:color w:val="000000"/>
          <w:lang w:val="es-ES_tradnl"/>
        </w:rPr>
      </w:pPr>
      <w:r w:rsidRPr="00AC5F78">
        <w:rPr>
          <w:lang w:val="es-ES_tradnl"/>
        </w:rPr>
        <w:t>8.4</w:t>
      </w:r>
      <w:r w:rsidRPr="00AC5F78">
        <w:rPr>
          <w:lang w:val="es-ES_tradnl"/>
        </w:rPr>
        <w:tab/>
        <w:t xml:space="preserve">El Estado parte sostiene que </w:t>
      </w:r>
      <w:r w:rsidR="00320584" w:rsidRPr="00AC5F78">
        <w:rPr>
          <w:lang w:val="es-ES_tradnl"/>
        </w:rPr>
        <w:t xml:space="preserve">la sentencia relevante para determinar la competencia de Comité es la acordada por la </w:t>
      </w:r>
      <w:r w:rsidR="006D4B80" w:rsidRPr="00AC5F78">
        <w:rPr>
          <w:lang w:val="es-ES_tradnl"/>
        </w:rPr>
        <w:t xml:space="preserve">Corte Nacional de Justicia </w:t>
      </w:r>
      <w:r w:rsidR="00320584" w:rsidRPr="00AC5F78">
        <w:rPr>
          <w:lang w:val="es-ES_tradnl"/>
        </w:rPr>
        <w:t>el 30 de mayo de 2011, que puso fin al proceso judicial en materia laboral</w:t>
      </w:r>
      <w:r w:rsidRPr="00AC5F78">
        <w:rPr>
          <w:lang w:val="es-ES_tradnl"/>
        </w:rPr>
        <w:t xml:space="preserve">; que </w:t>
      </w:r>
      <w:r w:rsidR="00B470FA" w:rsidRPr="00AC5F78">
        <w:rPr>
          <w:lang w:val="es-ES_tradnl"/>
        </w:rPr>
        <w:t>la sentencia de la Corte</w:t>
      </w:r>
      <w:r w:rsidR="00320584" w:rsidRPr="00AC5F78">
        <w:rPr>
          <w:lang w:val="es-ES_tradnl"/>
        </w:rPr>
        <w:t xml:space="preserve"> Constitucional </w:t>
      </w:r>
      <w:r w:rsidR="00B470FA" w:rsidRPr="00AC5F78">
        <w:rPr>
          <w:lang w:val="es-ES_tradnl"/>
        </w:rPr>
        <w:t>de</w:t>
      </w:r>
      <w:r w:rsidR="00E25E08" w:rsidRPr="00AC5F78">
        <w:rPr>
          <w:lang w:val="es-ES_tradnl"/>
        </w:rPr>
        <w:t xml:space="preserve"> 9 de abril de 2014</w:t>
      </w:r>
      <w:r w:rsidR="00B470FA" w:rsidRPr="00AC5F78">
        <w:rPr>
          <w:lang w:val="es-ES_tradnl"/>
        </w:rPr>
        <w:t xml:space="preserve"> </w:t>
      </w:r>
      <w:r w:rsidR="00066EFF" w:rsidRPr="00AC5F78">
        <w:rPr>
          <w:lang w:val="es-ES_tradnl"/>
        </w:rPr>
        <w:t xml:space="preserve">no debe ser tomada en cuanta </w:t>
      </w:r>
      <w:r w:rsidR="00B470FA" w:rsidRPr="00AC5F78">
        <w:rPr>
          <w:lang w:val="es-ES_tradnl"/>
        </w:rPr>
        <w:t xml:space="preserve">debido a </w:t>
      </w:r>
      <w:r w:rsidR="001F0C54" w:rsidRPr="00AC5F78">
        <w:rPr>
          <w:color w:val="000000"/>
          <w:lang w:val="es-ES_tradnl"/>
        </w:rPr>
        <w:t xml:space="preserve">que la acción </w:t>
      </w:r>
      <w:r w:rsidR="001235D6" w:rsidRPr="00AC5F78">
        <w:rPr>
          <w:color w:val="000000"/>
          <w:lang w:val="es-ES_tradnl"/>
        </w:rPr>
        <w:t xml:space="preserve">extraordinaria </w:t>
      </w:r>
      <w:r w:rsidR="001F0C54" w:rsidRPr="00AC5F78">
        <w:rPr>
          <w:color w:val="000000"/>
          <w:lang w:val="es-ES_tradnl"/>
        </w:rPr>
        <w:t xml:space="preserve">de protección no es una instancia adicional o de revisión de la justicia </w:t>
      </w:r>
      <w:r w:rsidR="001F0C54" w:rsidRPr="00AC5F78">
        <w:rPr>
          <w:lang w:val="es-ES_tradnl"/>
        </w:rPr>
        <w:t>ordinaria</w:t>
      </w:r>
      <w:r w:rsidR="001F0C54" w:rsidRPr="00AC5F78">
        <w:rPr>
          <w:color w:val="000000"/>
          <w:lang w:val="es-ES_tradnl"/>
        </w:rPr>
        <w:t xml:space="preserve"> laboral; </w:t>
      </w:r>
      <w:r w:rsidR="00876A97" w:rsidRPr="00AC5F78">
        <w:rPr>
          <w:color w:val="000000"/>
          <w:lang w:val="es-ES_tradnl"/>
        </w:rPr>
        <w:t xml:space="preserve">y </w:t>
      </w:r>
      <w:r w:rsidR="00B470FA" w:rsidRPr="00AC5F78">
        <w:rPr>
          <w:lang w:val="es-ES_tradnl"/>
        </w:rPr>
        <w:t>que</w:t>
      </w:r>
      <w:r w:rsidR="00E25E08" w:rsidRPr="00AC5F78">
        <w:rPr>
          <w:lang w:val="es-ES_tradnl"/>
        </w:rPr>
        <w:t xml:space="preserve"> </w:t>
      </w:r>
      <w:r w:rsidR="001235D6" w:rsidRPr="00AC5F78">
        <w:rPr>
          <w:lang w:val="es-ES_tradnl"/>
        </w:rPr>
        <w:t>la acción del autor</w:t>
      </w:r>
      <w:r w:rsidR="00E25E08" w:rsidRPr="00AC5F78">
        <w:rPr>
          <w:lang w:val="es-ES_tradnl"/>
        </w:rPr>
        <w:t xml:space="preserve"> </w:t>
      </w:r>
      <w:r w:rsidR="00066EFF" w:rsidRPr="00AC5F78">
        <w:rPr>
          <w:color w:val="000000"/>
          <w:lang w:val="es-ES_tradnl"/>
        </w:rPr>
        <w:t>no estuvo dirigida a cuestionar una violación a su derecho al trabajo, a recibir indemnizaciones o compensaciones de índole laboral en sí o una vulneración a su derecho a la salud derivada de las condiciones de trabajo</w:t>
      </w:r>
      <w:r w:rsidR="001F0C54" w:rsidRPr="00AC5F78">
        <w:rPr>
          <w:color w:val="000000"/>
          <w:lang w:val="es-ES_tradnl"/>
        </w:rPr>
        <w:t>.</w:t>
      </w:r>
    </w:p>
    <w:p w14:paraId="7953B53A" w14:textId="2B256041" w:rsidR="00E12AD1" w:rsidRPr="00AC5F78" w:rsidRDefault="00E334E1">
      <w:pPr>
        <w:pStyle w:val="SingleTxtG"/>
        <w:rPr>
          <w:lang w:val="es-ES_tradnl"/>
        </w:rPr>
      </w:pPr>
      <w:r w:rsidRPr="00AC5F78">
        <w:rPr>
          <w:lang w:val="es-ES_tradnl"/>
        </w:rPr>
        <w:t>8.5</w:t>
      </w:r>
      <w:r w:rsidRPr="00AC5F78">
        <w:rPr>
          <w:lang w:val="es-ES_tradnl"/>
        </w:rPr>
        <w:tab/>
        <w:t xml:space="preserve">No obstante </w:t>
      </w:r>
      <w:r w:rsidR="000B414D" w:rsidRPr="00AC5F78">
        <w:rPr>
          <w:lang w:val="es-ES_tradnl"/>
        </w:rPr>
        <w:t xml:space="preserve">que </w:t>
      </w:r>
      <w:r w:rsidRPr="00AC5F78">
        <w:rPr>
          <w:lang w:val="es-ES_tradnl"/>
        </w:rPr>
        <w:t>la acción extraordinaria de protección del autor s</w:t>
      </w:r>
      <w:r w:rsidR="00FE22E6" w:rsidRPr="00AC5F78">
        <w:rPr>
          <w:lang w:val="es-ES_tradnl"/>
        </w:rPr>
        <w:t>o</w:t>
      </w:r>
      <w:r w:rsidRPr="00AC5F78">
        <w:rPr>
          <w:lang w:val="es-ES_tradnl"/>
        </w:rPr>
        <w:t xml:space="preserve">lo alegó presuntas vulneraciones al derecho al debido proceso y al derecho a la tutela judicial efectiva, el Comité observa que la misma buscaba que se declare la falta de motivación de la sentencia de casación de la </w:t>
      </w:r>
      <w:r w:rsidR="00FE22E6" w:rsidRPr="00AC5F78">
        <w:rPr>
          <w:lang w:val="es-ES_tradnl"/>
        </w:rPr>
        <w:t xml:space="preserve">Corte Nacional de Justicia </w:t>
      </w:r>
      <w:r w:rsidR="00050E91" w:rsidRPr="00AC5F78">
        <w:rPr>
          <w:lang w:val="es-ES_tradnl"/>
        </w:rPr>
        <w:t>con relación</w:t>
      </w:r>
      <w:r w:rsidR="00D37BD6" w:rsidRPr="00AC5F78">
        <w:rPr>
          <w:lang w:val="es-ES_tradnl"/>
        </w:rPr>
        <w:t xml:space="preserve"> a los criterios por los que concluyó que el autor no tenía derecho a la bonificación establecida en el contrato colectivo</w:t>
      </w:r>
      <w:r w:rsidR="00050E91" w:rsidRPr="00AC5F78">
        <w:rPr>
          <w:lang w:val="es-ES_tradnl"/>
        </w:rPr>
        <w:t xml:space="preserve"> </w:t>
      </w:r>
      <w:r w:rsidR="0079743F" w:rsidRPr="00AC5F78">
        <w:rPr>
          <w:lang w:val="es-ES_tradnl"/>
        </w:rPr>
        <w:t>,</w:t>
      </w:r>
      <w:r w:rsidR="00050E91" w:rsidRPr="00AC5F78">
        <w:rPr>
          <w:lang w:val="es-ES_tradnl"/>
        </w:rPr>
        <w:t xml:space="preserve"> y que además</w:t>
      </w:r>
      <w:r w:rsidRPr="00AC5F78">
        <w:rPr>
          <w:lang w:val="es-ES_tradnl"/>
        </w:rPr>
        <w:t xml:space="preserve"> </w:t>
      </w:r>
      <w:r w:rsidR="0079743F" w:rsidRPr="00AC5F78">
        <w:rPr>
          <w:lang w:val="es-ES_tradnl"/>
        </w:rPr>
        <w:t xml:space="preserve">Corte Nacional de Justicia </w:t>
      </w:r>
      <w:r w:rsidR="00050E91" w:rsidRPr="00AC5F78">
        <w:rPr>
          <w:lang w:val="es-ES_tradnl"/>
        </w:rPr>
        <w:t xml:space="preserve">es </w:t>
      </w:r>
      <w:r w:rsidRPr="00AC5F78">
        <w:rPr>
          <w:lang w:val="es-ES_tradnl"/>
        </w:rPr>
        <w:t xml:space="preserve">la única instancia judicial que </w:t>
      </w:r>
      <w:r w:rsidR="00050E91" w:rsidRPr="00AC5F78">
        <w:rPr>
          <w:lang w:val="es-ES_tradnl"/>
        </w:rPr>
        <w:t>desestimó</w:t>
      </w:r>
      <w:r w:rsidRPr="00AC5F78">
        <w:rPr>
          <w:lang w:val="es-ES_tradnl"/>
        </w:rPr>
        <w:t xml:space="preserve"> la demanda laboral del autor.</w:t>
      </w:r>
      <w:r w:rsidR="00D37BD6" w:rsidRPr="00AC5F78">
        <w:rPr>
          <w:lang w:val="es-ES_tradnl"/>
        </w:rPr>
        <w:t xml:space="preserve"> </w:t>
      </w:r>
      <w:r w:rsidR="001235D6" w:rsidRPr="00AC5F78">
        <w:rPr>
          <w:lang w:val="es-ES_tradnl"/>
        </w:rPr>
        <w:t>Así pues, en las particulares circunstancias del presente caso</w:t>
      </w:r>
      <w:r w:rsidR="00D37BD6" w:rsidRPr="00AC5F78">
        <w:rPr>
          <w:lang w:val="es-ES_tradnl"/>
        </w:rPr>
        <w:t>, este proceso constituyó una oportunidad para que la Corte Constitucional reparase las supuestas violaciones de los derechos fundamentales del autor relacionad</w:t>
      </w:r>
      <w:r w:rsidR="00E07260" w:rsidRPr="00AC5F78">
        <w:rPr>
          <w:lang w:val="es-ES_tradnl"/>
        </w:rPr>
        <w:t>os con la presente comunicación</w:t>
      </w:r>
      <w:r w:rsidR="00D37BD6" w:rsidRPr="00AC5F78">
        <w:rPr>
          <w:rStyle w:val="Refdenotaalpie"/>
          <w:szCs w:val="18"/>
          <w:lang w:val="es-ES_tradnl"/>
        </w:rPr>
        <w:footnoteReference w:id="13"/>
      </w:r>
      <w:r w:rsidR="00E07260" w:rsidRPr="00AC5F78">
        <w:rPr>
          <w:lang w:val="es-ES_tradnl"/>
        </w:rPr>
        <w:t>.</w:t>
      </w:r>
      <w:r w:rsidR="00D37BD6" w:rsidRPr="00AC5F78">
        <w:rPr>
          <w:lang w:val="es-ES_tradnl"/>
        </w:rPr>
        <w:t xml:space="preserve"> Por tanto, el Comité considera que </w:t>
      </w:r>
      <w:r w:rsidR="00E12AD1" w:rsidRPr="00AC5F78">
        <w:rPr>
          <w:lang w:val="es-ES_tradnl"/>
        </w:rPr>
        <w:t>la comunicación cumple con el requisito de admisibilidad establecido en el artículo 3</w:t>
      </w:r>
      <w:r w:rsidR="0079743F" w:rsidRPr="00AC5F78">
        <w:rPr>
          <w:lang w:val="es-ES_tradnl"/>
        </w:rPr>
        <w:t xml:space="preserve">, párr. 2, apdo. b), </w:t>
      </w:r>
      <w:r w:rsidR="00E12AD1" w:rsidRPr="00AC5F78">
        <w:rPr>
          <w:lang w:val="es-ES_tradnl"/>
        </w:rPr>
        <w:t>del Protocolo Facultativo.</w:t>
      </w:r>
    </w:p>
    <w:p w14:paraId="2297CC2E" w14:textId="13C504E8" w:rsidR="00CF0055" w:rsidRPr="00AC5F78" w:rsidRDefault="00E12AD1">
      <w:pPr>
        <w:pStyle w:val="SingleTxtG"/>
        <w:rPr>
          <w:lang w:val="es-ES_tradnl"/>
        </w:rPr>
      </w:pPr>
      <w:r w:rsidRPr="00AC5F78">
        <w:rPr>
          <w:lang w:val="es-ES_tradnl"/>
        </w:rPr>
        <w:t>8.6</w:t>
      </w:r>
      <w:r w:rsidRPr="00AC5F78">
        <w:rPr>
          <w:lang w:val="es-ES_tradnl"/>
        </w:rPr>
        <w:tab/>
        <w:t>E</w:t>
      </w:r>
      <w:r w:rsidR="001235D6" w:rsidRPr="00AC5F78">
        <w:rPr>
          <w:lang w:val="es-ES_tradnl"/>
        </w:rPr>
        <w:t>l</w:t>
      </w:r>
      <w:r w:rsidRPr="00AC5F78">
        <w:rPr>
          <w:lang w:val="es-ES_tradnl"/>
        </w:rPr>
        <w:t xml:space="preserve"> Comité toma not</w:t>
      </w:r>
      <w:r w:rsidR="00CF0055" w:rsidRPr="00AC5F78">
        <w:rPr>
          <w:lang w:val="es-ES_tradnl"/>
        </w:rPr>
        <w:t>a</w:t>
      </w:r>
      <w:r w:rsidRPr="00AC5F78">
        <w:rPr>
          <w:lang w:val="es-ES_tradnl"/>
        </w:rPr>
        <w:t xml:space="preserve"> de la</w:t>
      </w:r>
      <w:r w:rsidR="00947CFE" w:rsidRPr="00AC5F78">
        <w:rPr>
          <w:lang w:val="es-ES_tradnl"/>
        </w:rPr>
        <w:t>s</w:t>
      </w:r>
      <w:r w:rsidRPr="00AC5F78">
        <w:rPr>
          <w:lang w:val="es-ES_tradnl"/>
        </w:rPr>
        <w:t xml:space="preserve"> observaciones del Estado parte de que la comunicación</w:t>
      </w:r>
      <w:r w:rsidR="00CF0055" w:rsidRPr="00AC5F78">
        <w:rPr>
          <w:lang w:val="es-ES_tradnl"/>
        </w:rPr>
        <w:t>, presentada al Comité el 2</w:t>
      </w:r>
      <w:r w:rsidR="001235D6" w:rsidRPr="00AC5F78">
        <w:rPr>
          <w:lang w:val="es-ES_tradnl"/>
        </w:rPr>
        <w:t>4 de abril de 2015</w:t>
      </w:r>
      <w:r w:rsidRPr="00AC5F78">
        <w:rPr>
          <w:lang w:val="es-ES_tradnl"/>
        </w:rPr>
        <w:t xml:space="preserve"> es inadmisible en virtud del artículo 3</w:t>
      </w:r>
      <w:r w:rsidR="003E68FA" w:rsidRPr="00AC5F78">
        <w:rPr>
          <w:lang w:val="es-ES_tradnl"/>
        </w:rPr>
        <w:t xml:space="preserve">, párr. </w:t>
      </w:r>
      <w:r w:rsidRPr="00AC5F78">
        <w:rPr>
          <w:lang w:val="es-ES_tradnl"/>
        </w:rPr>
        <w:t>2</w:t>
      </w:r>
      <w:r w:rsidR="003E68FA" w:rsidRPr="00AC5F78">
        <w:rPr>
          <w:lang w:val="es-ES_tradnl"/>
        </w:rPr>
        <w:t xml:space="preserve">, apdo. </w:t>
      </w:r>
      <w:r w:rsidRPr="00AC5F78">
        <w:rPr>
          <w:lang w:val="es-ES_tradnl"/>
        </w:rPr>
        <w:t>a)</w:t>
      </w:r>
      <w:r w:rsidR="003E68FA" w:rsidRPr="00AC5F78">
        <w:rPr>
          <w:lang w:val="es-ES_tradnl"/>
        </w:rPr>
        <w:t>,</w:t>
      </w:r>
      <w:r w:rsidRPr="00AC5F78">
        <w:rPr>
          <w:lang w:val="es-ES_tradnl"/>
        </w:rPr>
        <w:t xml:space="preserve"> del Protocolo Facultativo, toda vez que </w:t>
      </w:r>
      <w:r w:rsidR="00D82AA9" w:rsidRPr="00AC5F78">
        <w:rPr>
          <w:lang w:val="es-ES_tradnl"/>
        </w:rPr>
        <w:t xml:space="preserve">no fue presentada dentro del plazo de un año después de </w:t>
      </w:r>
      <w:r w:rsidR="00050E91" w:rsidRPr="00AC5F78">
        <w:rPr>
          <w:lang w:val="es-ES_tradnl"/>
        </w:rPr>
        <w:t>agotados los recursos internos</w:t>
      </w:r>
      <w:r w:rsidR="00D82AA9" w:rsidRPr="00AC5F78">
        <w:rPr>
          <w:lang w:val="es-ES_tradnl"/>
        </w:rPr>
        <w:t xml:space="preserve">. </w:t>
      </w:r>
      <w:r w:rsidR="00947CFE" w:rsidRPr="00AC5F78">
        <w:rPr>
          <w:lang w:val="es-ES_tradnl"/>
        </w:rPr>
        <w:t xml:space="preserve">El Estado parte </w:t>
      </w:r>
      <w:r w:rsidR="00CF0055" w:rsidRPr="00AC5F78">
        <w:rPr>
          <w:lang w:val="es-ES_tradnl"/>
        </w:rPr>
        <w:t>sostiene</w:t>
      </w:r>
      <w:r w:rsidR="00050E91" w:rsidRPr="00AC5F78">
        <w:rPr>
          <w:lang w:val="es-ES_tradnl"/>
        </w:rPr>
        <w:t xml:space="preserve"> que</w:t>
      </w:r>
      <w:r w:rsidR="00D82AA9" w:rsidRPr="00AC5F78">
        <w:rPr>
          <w:lang w:val="es-ES_tradnl"/>
        </w:rPr>
        <w:t xml:space="preserve"> la sentencia relevante para determinar la admisibilidad de la comunicación es la </w:t>
      </w:r>
      <w:r w:rsidR="00CF0055" w:rsidRPr="00AC5F78">
        <w:rPr>
          <w:lang w:val="es-ES_tradnl"/>
        </w:rPr>
        <w:t>acordada por</w:t>
      </w:r>
      <w:r w:rsidR="00D82AA9" w:rsidRPr="00AC5F78">
        <w:rPr>
          <w:lang w:val="es-ES_tradnl"/>
        </w:rPr>
        <w:t xml:space="preserve"> la </w:t>
      </w:r>
      <w:r w:rsidR="008F3ADE" w:rsidRPr="00AC5F78">
        <w:rPr>
          <w:lang w:val="es-ES_tradnl"/>
        </w:rPr>
        <w:t xml:space="preserve">Corte Nacional de Justicia </w:t>
      </w:r>
      <w:r w:rsidR="00CF0055" w:rsidRPr="00AC5F78">
        <w:rPr>
          <w:lang w:val="es-ES_tradnl"/>
        </w:rPr>
        <w:t>el</w:t>
      </w:r>
      <w:r w:rsidR="00D82AA9" w:rsidRPr="00AC5F78">
        <w:rPr>
          <w:lang w:val="es-ES_tradnl"/>
        </w:rPr>
        <w:t xml:space="preserve"> 30 de mayo de 2011, con la que se puso fin a</w:t>
      </w:r>
      <w:r w:rsidR="00C30D4C">
        <w:rPr>
          <w:lang w:val="es-ES_tradnl"/>
        </w:rPr>
        <w:t xml:space="preserve"> la demanda en materia laboral.</w:t>
      </w:r>
    </w:p>
    <w:p w14:paraId="3D8B7483" w14:textId="0FACD5E9" w:rsidR="004B64F1" w:rsidRPr="00AC5F78" w:rsidRDefault="00CF0055" w:rsidP="00C30D4C">
      <w:pPr>
        <w:pStyle w:val="SingleTxtG"/>
        <w:keepNext/>
        <w:keepLines/>
        <w:rPr>
          <w:lang w:val="es-ES_tradnl"/>
        </w:rPr>
      </w:pPr>
      <w:r w:rsidRPr="00AC5F78">
        <w:rPr>
          <w:lang w:val="es-ES_tradnl"/>
        </w:rPr>
        <w:t>8.7</w:t>
      </w:r>
      <w:r w:rsidRPr="00AC5F78">
        <w:rPr>
          <w:lang w:val="es-ES_tradnl"/>
        </w:rPr>
        <w:tab/>
      </w:r>
      <w:r w:rsidR="004B64F1" w:rsidRPr="00AC5F78">
        <w:rPr>
          <w:lang w:val="es-ES_tradnl"/>
        </w:rPr>
        <w:t xml:space="preserve">El Comité considera que </w:t>
      </w:r>
      <w:r w:rsidRPr="00AC5F78">
        <w:rPr>
          <w:lang w:val="es-ES_tradnl"/>
        </w:rPr>
        <w:t>a</w:t>
      </w:r>
      <w:r w:rsidR="004B64F1" w:rsidRPr="00AC5F78">
        <w:rPr>
          <w:lang w:val="es-ES_tradnl"/>
        </w:rPr>
        <w:t xml:space="preserve"> efectos del artículo 3</w:t>
      </w:r>
      <w:r w:rsidR="008F3ADE" w:rsidRPr="00AC5F78">
        <w:rPr>
          <w:lang w:val="es-ES_tradnl"/>
        </w:rPr>
        <w:t xml:space="preserve">, párr. </w:t>
      </w:r>
      <w:r w:rsidR="004B64F1" w:rsidRPr="00AC5F78">
        <w:rPr>
          <w:lang w:val="es-ES_tradnl"/>
        </w:rPr>
        <w:t>2</w:t>
      </w:r>
      <w:r w:rsidR="008F3ADE" w:rsidRPr="00AC5F78">
        <w:rPr>
          <w:lang w:val="es-ES_tradnl"/>
        </w:rPr>
        <w:t>, apdo.</w:t>
      </w:r>
      <w:r w:rsidR="00E07260" w:rsidRPr="00AC5F78">
        <w:rPr>
          <w:lang w:val="es-ES_tradnl"/>
        </w:rPr>
        <w:t xml:space="preserve"> </w:t>
      </w:r>
      <w:r w:rsidR="004B64F1" w:rsidRPr="00AC5F78">
        <w:rPr>
          <w:lang w:val="es-ES_tradnl"/>
        </w:rPr>
        <w:t xml:space="preserve">a), del Protocolo Facultativo los “recursos internos” son todos aquellos recursos </w:t>
      </w:r>
      <w:r w:rsidRPr="00AC5F78">
        <w:rPr>
          <w:lang w:val="es-ES_tradnl"/>
        </w:rPr>
        <w:t>de la jurisdicción interna</w:t>
      </w:r>
      <w:r w:rsidR="00E139B0" w:rsidRPr="00AC5F78">
        <w:rPr>
          <w:lang w:val="es-ES_tradnl"/>
        </w:rPr>
        <w:t>, ordinarios y extraordinarios,</w:t>
      </w:r>
      <w:r w:rsidRPr="00AC5F78">
        <w:rPr>
          <w:lang w:val="es-ES_tradnl"/>
        </w:rPr>
        <w:t xml:space="preserve"> presentados por la supuesta víctima </w:t>
      </w:r>
      <w:r w:rsidR="001A67C5" w:rsidRPr="00AC5F78">
        <w:rPr>
          <w:lang w:val="es-ES_tradnl"/>
        </w:rPr>
        <w:t xml:space="preserve">o sus representantes </w:t>
      </w:r>
      <w:r w:rsidRPr="00AC5F78">
        <w:rPr>
          <w:lang w:val="es-ES_tradnl"/>
        </w:rPr>
        <w:t xml:space="preserve">en </w:t>
      </w:r>
      <w:r w:rsidR="004B64F1" w:rsidRPr="00AC5F78">
        <w:rPr>
          <w:lang w:val="es-ES_tradnl"/>
        </w:rPr>
        <w:t>relaci</w:t>
      </w:r>
      <w:r w:rsidRPr="00AC5F78">
        <w:rPr>
          <w:lang w:val="es-ES_tradnl"/>
        </w:rPr>
        <w:t>ón</w:t>
      </w:r>
      <w:r w:rsidR="004B64F1" w:rsidRPr="00AC5F78">
        <w:rPr>
          <w:lang w:val="es-ES_tradnl"/>
        </w:rPr>
        <w:t xml:space="preserve"> directa con los eventos iniciales que dieron origen a la supuesta violación,</w:t>
      </w:r>
      <w:r w:rsidRPr="00AC5F78">
        <w:rPr>
          <w:lang w:val="es-ES_tradnl"/>
        </w:rPr>
        <w:t xml:space="preserve"> y que </w:t>
      </w:r>
      <w:r w:rsidR="001235D6" w:rsidRPr="00AC5F78">
        <w:rPr>
          <w:i/>
          <w:lang w:val="es-ES_tradnl"/>
        </w:rPr>
        <w:t>prima facie</w:t>
      </w:r>
      <w:r w:rsidR="001235D6" w:rsidRPr="00AC5F78">
        <w:rPr>
          <w:lang w:val="es-ES_tradnl"/>
        </w:rPr>
        <w:t xml:space="preserve"> </w:t>
      </w:r>
      <w:r w:rsidR="001A67C5" w:rsidRPr="00AC5F78">
        <w:rPr>
          <w:lang w:val="es-ES_tradnl"/>
        </w:rPr>
        <w:t xml:space="preserve">puedan ser </w:t>
      </w:r>
      <w:r w:rsidR="004B64F1" w:rsidRPr="00AC5F78">
        <w:rPr>
          <w:lang w:val="es-ES_tradnl"/>
        </w:rPr>
        <w:t>razonablemente considera</w:t>
      </w:r>
      <w:r w:rsidR="001A67C5" w:rsidRPr="00AC5F78">
        <w:rPr>
          <w:lang w:val="es-ES_tradnl"/>
        </w:rPr>
        <w:t>dos</w:t>
      </w:r>
      <w:r w:rsidR="004B64F1" w:rsidRPr="00AC5F78">
        <w:rPr>
          <w:lang w:val="es-ES_tradnl"/>
        </w:rPr>
        <w:t xml:space="preserve"> como efectivos </w:t>
      </w:r>
      <w:r w:rsidRPr="00AC5F78">
        <w:rPr>
          <w:lang w:val="es-ES_tradnl"/>
        </w:rPr>
        <w:t xml:space="preserve">para reparar las violaciones del Pacto alegadas. En el presente caso, por las consideraciones expuestas anteriormente (véase </w:t>
      </w:r>
      <w:r w:rsidR="004A254D" w:rsidRPr="00AC5F78">
        <w:rPr>
          <w:lang w:val="es-ES_tradnl"/>
        </w:rPr>
        <w:t xml:space="preserve">el párrafo </w:t>
      </w:r>
      <w:r w:rsidRPr="00AC5F78">
        <w:rPr>
          <w:lang w:val="es-ES_tradnl"/>
        </w:rPr>
        <w:t xml:space="preserve">8.5), el Comité considera que los recursos internos se agotaron con la sentencia de la Corte Constitucional de 9 de abril de 2014, </w:t>
      </w:r>
      <w:r w:rsidR="001A67C5" w:rsidRPr="00AC5F78">
        <w:rPr>
          <w:lang w:val="es-ES_tradnl"/>
        </w:rPr>
        <w:t xml:space="preserve">que fue </w:t>
      </w:r>
      <w:r w:rsidRPr="00AC5F78">
        <w:rPr>
          <w:lang w:val="es-ES_tradnl"/>
        </w:rPr>
        <w:t>notificada al autor el 24 de abril de 2014. Por tanto, el Comité considera que la presente comunicación fue presentada dentro del plazo establecido por el artículo 3</w:t>
      </w:r>
      <w:r w:rsidR="004A254D" w:rsidRPr="00AC5F78">
        <w:rPr>
          <w:lang w:val="es-ES_tradnl"/>
        </w:rPr>
        <w:t xml:space="preserve">, párr. </w:t>
      </w:r>
      <w:r w:rsidRPr="00AC5F78">
        <w:rPr>
          <w:lang w:val="es-ES_tradnl"/>
        </w:rPr>
        <w:t>2</w:t>
      </w:r>
      <w:r w:rsidR="004A254D" w:rsidRPr="00AC5F78">
        <w:rPr>
          <w:lang w:val="es-ES_tradnl"/>
        </w:rPr>
        <w:t>, apdo.</w:t>
      </w:r>
      <w:r w:rsidR="00E07260" w:rsidRPr="00AC5F78">
        <w:rPr>
          <w:lang w:val="es-ES_tradnl"/>
        </w:rPr>
        <w:t xml:space="preserve"> </w:t>
      </w:r>
      <w:r w:rsidRPr="00AC5F78">
        <w:rPr>
          <w:lang w:val="es-ES_tradnl"/>
        </w:rPr>
        <w:t>a)</w:t>
      </w:r>
      <w:r w:rsidR="004A254D" w:rsidRPr="00AC5F78">
        <w:rPr>
          <w:lang w:val="es-ES_tradnl"/>
        </w:rPr>
        <w:t>,</w:t>
      </w:r>
      <w:r w:rsidRPr="00AC5F78">
        <w:rPr>
          <w:lang w:val="es-ES_tradnl"/>
        </w:rPr>
        <w:t xml:space="preserve"> del Protocolo Facultativo.</w:t>
      </w:r>
    </w:p>
    <w:p w14:paraId="75DE6A19" w14:textId="7AA2D242" w:rsidR="006E4C60" w:rsidRPr="00AC5F78" w:rsidRDefault="00E139B0">
      <w:pPr>
        <w:pStyle w:val="SingleTxtG"/>
        <w:rPr>
          <w:lang w:val="es-ES_tradnl"/>
        </w:rPr>
      </w:pPr>
      <w:r w:rsidRPr="00AC5F78">
        <w:rPr>
          <w:lang w:val="es-ES_tradnl"/>
        </w:rPr>
        <w:t>8.8</w:t>
      </w:r>
      <w:r w:rsidRPr="00AC5F78">
        <w:rPr>
          <w:lang w:val="es-ES_tradnl"/>
        </w:rPr>
        <w:tab/>
        <w:t>Con relación al requisito de admisibilidad establecido en el artículo 3</w:t>
      </w:r>
      <w:r w:rsidR="00E33459" w:rsidRPr="00AC5F78">
        <w:rPr>
          <w:lang w:val="es-ES_tradnl"/>
        </w:rPr>
        <w:t xml:space="preserve">, párr. </w:t>
      </w:r>
      <w:r w:rsidRPr="00AC5F78">
        <w:rPr>
          <w:lang w:val="es-ES_tradnl"/>
        </w:rPr>
        <w:t>1</w:t>
      </w:r>
      <w:r w:rsidR="00E33459" w:rsidRPr="00AC5F78">
        <w:rPr>
          <w:lang w:val="es-ES_tradnl"/>
        </w:rPr>
        <w:t>,</w:t>
      </w:r>
      <w:r w:rsidRPr="00AC5F78">
        <w:rPr>
          <w:lang w:val="es-ES_tradnl"/>
        </w:rPr>
        <w:t xml:space="preserve"> del Protocolo Facultativo, el Comité toma nota del argumento del Estado parte de que el autor no ha presentad</w:t>
      </w:r>
      <w:r w:rsidR="006E4C60" w:rsidRPr="00AC5F78">
        <w:rPr>
          <w:lang w:val="es-ES_tradnl"/>
        </w:rPr>
        <w:t>o</w:t>
      </w:r>
      <w:r w:rsidRPr="00AC5F78">
        <w:rPr>
          <w:lang w:val="es-ES_tradnl"/>
        </w:rPr>
        <w:t xml:space="preserve"> ningún recurso disponible en la jurisdicción interna respecto a los hechos que presuntamente </w:t>
      </w:r>
      <w:r w:rsidR="006E4C60" w:rsidRPr="00AC5F78">
        <w:rPr>
          <w:lang w:val="es-ES_tradnl"/>
        </w:rPr>
        <w:t xml:space="preserve">le habrían ocasionado un daño </w:t>
      </w:r>
      <w:r w:rsidRPr="00AC5F78">
        <w:rPr>
          <w:lang w:val="es-ES_tradnl"/>
        </w:rPr>
        <w:t xml:space="preserve">a </w:t>
      </w:r>
      <w:r w:rsidR="006E4C60" w:rsidRPr="00AC5F78">
        <w:rPr>
          <w:lang w:val="es-ES_tradnl"/>
        </w:rPr>
        <w:t>su</w:t>
      </w:r>
      <w:r w:rsidRPr="00AC5F78">
        <w:rPr>
          <w:lang w:val="es-ES_tradnl"/>
        </w:rPr>
        <w:t xml:space="preserve"> salud</w:t>
      </w:r>
      <w:r w:rsidR="006E4C60" w:rsidRPr="00AC5F78">
        <w:rPr>
          <w:lang w:val="es-ES_tradnl"/>
        </w:rPr>
        <w:t xml:space="preserve">, debido a las condiciones de trabajo en las que prestó sus servicios a PETROECUADOR; que de acuerdo al </w:t>
      </w:r>
      <w:r w:rsidR="00E33459" w:rsidRPr="00AC5F78">
        <w:rPr>
          <w:lang w:val="es-ES_tradnl"/>
        </w:rPr>
        <w:t>r</w:t>
      </w:r>
      <w:r w:rsidR="006E4C60" w:rsidRPr="00AC5F78">
        <w:rPr>
          <w:lang w:val="es-ES_tradnl"/>
        </w:rPr>
        <w:t xml:space="preserve">eglamento del </w:t>
      </w:r>
      <w:r w:rsidR="00E33459" w:rsidRPr="00AC5F78">
        <w:rPr>
          <w:lang w:val="es-ES_tradnl"/>
        </w:rPr>
        <w:t>s</w:t>
      </w:r>
      <w:r w:rsidR="006E4C60" w:rsidRPr="00AC5F78">
        <w:rPr>
          <w:lang w:val="es-ES_tradnl"/>
        </w:rPr>
        <w:t xml:space="preserve">eguro </w:t>
      </w:r>
      <w:r w:rsidR="00E33459" w:rsidRPr="00AC5F78">
        <w:rPr>
          <w:lang w:val="es-ES_tradnl"/>
        </w:rPr>
        <w:t>g</w:t>
      </w:r>
      <w:r w:rsidR="006E4C60" w:rsidRPr="00AC5F78">
        <w:rPr>
          <w:lang w:val="es-ES_tradnl"/>
        </w:rPr>
        <w:t xml:space="preserve">eneral de </w:t>
      </w:r>
      <w:r w:rsidR="00E33459" w:rsidRPr="00AC5F78">
        <w:rPr>
          <w:lang w:val="es-ES_tradnl"/>
        </w:rPr>
        <w:t>r</w:t>
      </w:r>
      <w:r w:rsidR="006E4C60" w:rsidRPr="00AC5F78">
        <w:rPr>
          <w:lang w:val="es-ES_tradnl"/>
        </w:rPr>
        <w:t xml:space="preserve">iesgos del </w:t>
      </w:r>
      <w:r w:rsidR="00E33459" w:rsidRPr="00AC5F78">
        <w:rPr>
          <w:lang w:val="es-ES_tradnl"/>
        </w:rPr>
        <w:t>t</w:t>
      </w:r>
      <w:r w:rsidR="006E4C60" w:rsidRPr="00AC5F78">
        <w:rPr>
          <w:lang w:val="es-ES_tradnl"/>
        </w:rPr>
        <w:t xml:space="preserve">rabajo el autor debía comunicar su </w:t>
      </w:r>
      <w:r w:rsidR="00CA7C89" w:rsidRPr="00AC5F78">
        <w:rPr>
          <w:lang w:val="es-ES_tradnl"/>
        </w:rPr>
        <w:t>situación</w:t>
      </w:r>
      <w:r w:rsidR="006E4C60" w:rsidRPr="00AC5F78">
        <w:rPr>
          <w:lang w:val="es-ES_tradnl"/>
        </w:rPr>
        <w:t xml:space="preserve"> de enfermedad profesional al </w:t>
      </w:r>
      <w:r w:rsidR="00E33459" w:rsidRPr="00AC5F78">
        <w:rPr>
          <w:lang w:val="es-ES_tradnl"/>
        </w:rPr>
        <w:t>s</w:t>
      </w:r>
      <w:r w:rsidR="006E4C60" w:rsidRPr="00AC5F78">
        <w:rPr>
          <w:lang w:val="es-ES_tradnl"/>
        </w:rPr>
        <w:t xml:space="preserve">eguro </w:t>
      </w:r>
      <w:r w:rsidR="00E33459" w:rsidRPr="00AC5F78">
        <w:rPr>
          <w:lang w:val="es-ES_tradnl"/>
        </w:rPr>
        <w:t>s</w:t>
      </w:r>
      <w:r w:rsidR="006E4C60" w:rsidRPr="00AC5F78">
        <w:rPr>
          <w:lang w:val="es-ES_tradnl"/>
        </w:rPr>
        <w:t>ocial</w:t>
      </w:r>
      <w:r w:rsidR="001235D6" w:rsidRPr="00AC5F78">
        <w:rPr>
          <w:lang w:val="es-ES_tradnl"/>
        </w:rPr>
        <w:t>;</w:t>
      </w:r>
      <w:r w:rsidR="006E4C60" w:rsidRPr="00AC5F78">
        <w:rPr>
          <w:lang w:val="es-ES_tradnl"/>
        </w:rPr>
        <w:t xml:space="preserve"> y </w:t>
      </w:r>
      <w:r w:rsidR="001235D6" w:rsidRPr="00AC5F78">
        <w:rPr>
          <w:lang w:val="es-ES_tradnl"/>
        </w:rPr>
        <w:t xml:space="preserve">que, además podía </w:t>
      </w:r>
      <w:r w:rsidR="006E4C60" w:rsidRPr="00AC5F78">
        <w:rPr>
          <w:lang w:val="es-ES_tradnl"/>
        </w:rPr>
        <w:t>iniciar acciones administrativa</w:t>
      </w:r>
      <w:r w:rsidR="00FF6F48" w:rsidRPr="00AC5F78">
        <w:rPr>
          <w:lang w:val="es-ES_tradnl"/>
        </w:rPr>
        <w:t>s</w:t>
      </w:r>
      <w:r w:rsidR="006E4C60" w:rsidRPr="00AC5F78">
        <w:rPr>
          <w:lang w:val="es-ES_tradnl"/>
        </w:rPr>
        <w:t xml:space="preserve"> o judicial</w:t>
      </w:r>
      <w:r w:rsidR="00FF6F48" w:rsidRPr="00AC5F78">
        <w:rPr>
          <w:lang w:val="es-ES_tradnl"/>
        </w:rPr>
        <w:t>es</w:t>
      </w:r>
      <w:r w:rsidR="006E4C60" w:rsidRPr="00AC5F78">
        <w:rPr>
          <w:lang w:val="es-ES_tradnl"/>
        </w:rPr>
        <w:t xml:space="preserve"> en contra de su </w:t>
      </w:r>
      <w:proofErr w:type="spellStart"/>
      <w:r w:rsidR="006E4C60" w:rsidRPr="00AC5F78">
        <w:rPr>
          <w:lang w:val="es-ES_tradnl"/>
        </w:rPr>
        <w:t>exempleador</w:t>
      </w:r>
      <w:proofErr w:type="spellEnd"/>
      <w:r w:rsidR="006E4C60" w:rsidRPr="00AC5F78">
        <w:rPr>
          <w:lang w:val="es-ES_tradnl"/>
        </w:rPr>
        <w:t xml:space="preserve"> o del </w:t>
      </w:r>
      <w:r w:rsidR="005A6945" w:rsidRPr="00AC5F78">
        <w:rPr>
          <w:lang w:val="es-ES_tradnl"/>
        </w:rPr>
        <w:t>s</w:t>
      </w:r>
      <w:r w:rsidR="006E4C60" w:rsidRPr="00AC5F78">
        <w:rPr>
          <w:lang w:val="es-ES_tradnl"/>
        </w:rPr>
        <w:t xml:space="preserve">eguro </w:t>
      </w:r>
      <w:r w:rsidR="005A6945" w:rsidRPr="00AC5F78">
        <w:rPr>
          <w:lang w:val="es-ES_tradnl"/>
        </w:rPr>
        <w:t>s</w:t>
      </w:r>
      <w:r w:rsidR="006E4C60" w:rsidRPr="00AC5F78">
        <w:rPr>
          <w:lang w:val="es-ES_tradnl"/>
        </w:rPr>
        <w:t xml:space="preserve">ocial, como denuncias ante la </w:t>
      </w:r>
      <w:r w:rsidR="00D67BBF" w:rsidRPr="00AC5F78">
        <w:rPr>
          <w:lang w:val="es-ES_tradnl"/>
        </w:rPr>
        <w:t>i</w:t>
      </w:r>
      <w:r w:rsidR="006E4C60" w:rsidRPr="00AC5F78">
        <w:rPr>
          <w:lang w:val="es-ES_tradnl"/>
        </w:rPr>
        <w:t>nspectoría de</w:t>
      </w:r>
      <w:r w:rsidR="00D67BBF" w:rsidRPr="00AC5F78">
        <w:rPr>
          <w:lang w:val="es-ES_tradnl"/>
        </w:rPr>
        <w:t>l</w:t>
      </w:r>
      <w:r w:rsidR="006E4C60" w:rsidRPr="00AC5F78">
        <w:rPr>
          <w:lang w:val="es-ES_tradnl"/>
        </w:rPr>
        <w:t xml:space="preserve"> </w:t>
      </w:r>
      <w:r w:rsidR="00D67BBF" w:rsidRPr="00AC5F78">
        <w:rPr>
          <w:lang w:val="es-ES_tradnl"/>
        </w:rPr>
        <w:t>t</w:t>
      </w:r>
      <w:r w:rsidR="006E4C60" w:rsidRPr="00AC5F78">
        <w:rPr>
          <w:lang w:val="es-ES_tradnl"/>
        </w:rPr>
        <w:t>rabajo o la presentación de demandas laborales para el pago de indemnizaciones por enfermedad profesional.</w:t>
      </w:r>
      <w:r w:rsidR="00CA7C89" w:rsidRPr="00AC5F78">
        <w:rPr>
          <w:lang w:val="es-ES_tradnl"/>
        </w:rPr>
        <w:t xml:space="preserve"> El Comité </w:t>
      </w:r>
      <w:r w:rsidR="006E4C60" w:rsidRPr="00AC5F78">
        <w:rPr>
          <w:lang w:val="es-ES_tradnl"/>
        </w:rPr>
        <w:t xml:space="preserve">también toma nota </w:t>
      </w:r>
      <w:r w:rsidR="00CA7C89" w:rsidRPr="00AC5F78">
        <w:rPr>
          <w:lang w:val="es-ES_tradnl"/>
        </w:rPr>
        <w:t>de</w:t>
      </w:r>
      <w:r w:rsidR="006E4C60" w:rsidRPr="00AC5F78">
        <w:rPr>
          <w:lang w:val="es-ES_tradnl"/>
        </w:rPr>
        <w:t xml:space="preserve"> las alegaciones del autor de que en virtud del principio de interdepen</w:t>
      </w:r>
      <w:r w:rsidR="00CA7C89" w:rsidRPr="00AC5F78">
        <w:rPr>
          <w:lang w:val="es-ES_tradnl"/>
        </w:rPr>
        <w:t>den</w:t>
      </w:r>
      <w:r w:rsidR="006E4C60" w:rsidRPr="00AC5F78">
        <w:rPr>
          <w:lang w:val="es-ES_tradnl"/>
        </w:rPr>
        <w:t xml:space="preserve">cia de derechos debe entenderse que agotó los recursos internos en relación a sus alegaciones al derecho a la salud, toda vez que </w:t>
      </w:r>
      <w:r w:rsidR="001F5C57" w:rsidRPr="00AC5F78">
        <w:rPr>
          <w:lang w:val="es-ES_tradnl"/>
        </w:rPr>
        <w:t xml:space="preserve">entre otras cosas </w:t>
      </w:r>
      <w:r w:rsidR="006E4C60" w:rsidRPr="00AC5F78">
        <w:rPr>
          <w:lang w:val="es-ES_tradnl"/>
        </w:rPr>
        <w:t xml:space="preserve">un componente del derecho del trabajo </w:t>
      </w:r>
      <w:r w:rsidR="001F5C57" w:rsidRPr="00AC5F78">
        <w:rPr>
          <w:lang w:val="es-ES_tradnl"/>
        </w:rPr>
        <w:t>son</w:t>
      </w:r>
      <w:r w:rsidR="006E4C60" w:rsidRPr="00AC5F78">
        <w:rPr>
          <w:lang w:val="es-ES_tradnl"/>
        </w:rPr>
        <w:t xml:space="preserve"> </w:t>
      </w:r>
      <w:r w:rsidR="00CA7C89" w:rsidRPr="00AC5F78">
        <w:rPr>
          <w:lang w:val="es-ES_tradnl"/>
        </w:rPr>
        <w:t>las garantías</w:t>
      </w:r>
      <w:r w:rsidR="006E4C60" w:rsidRPr="00AC5F78">
        <w:rPr>
          <w:lang w:val="es-ES_tradnl"/>
        </w:rPr>
        <w:t xml:space="preserve"> de condiciones de </w:t>
      </w:r>
      <w:r w:rsidR="0056332C" w:rsidRPr="00AC5F78">
        <w:rPr>
          <w:lang w:val="es-ES_tradnl"/>
        </w:rPr>
        <w:t>higiene y seguridad de los trabajadores. El Comité observa</w:t>
      </w:r>
      <w:r w:rsidR="00CA7C89" w:rsidRPr="00AC5F78">
        <w:rPr>
          <w:lang w:val="es-ES_tradnl"/>
        </w:rPr>
        <w:t xml:space="preserve">, sin embargo, que el autor no ha refutado de una manera convincente que los recursos internos mencionados por el Estado parte no hubieran sido efectivos para remediar </w:t>
      </w:r>
      <w:r w:rsidR="001235D6" w:rsidRPr="00AC5F78">
        <w:rPr>
          <w:lang w:val="es-ES_tradnl"/>
        </w:rPr>
        <w:t>las</w:t>
      </w:r>
      <w:r w:rsidR="00CA7C89" w:rsidRPr="00AC5F78">
        <w:rPr>
          <w:lang w:val="es-ES_tradnl"/>
        </w:rPr>
        <w:t xml:space="preserve"> violaciones</w:t>
      </w:r>
      <w:r w:rsidR="001235D6" w:rsidRPr="00AC5F78">
        <w:rPr>
          <w:lang w:val="es-ES_tradnl"/>
        </w:rPr>
        <w:t xml:space="preserve"> alegadas</w:t>
      </w:r>
      <w:r w:rsidR="00CA7C89" w:rsidRPr="00AC5F78">
        <w:rPr>
          <w:lang w:val="es-ES_tradnl"/>
        </w:rPr>
        <w:t>. Por tanto, el Comité considera que el autor no agotó todos los recursos disponibles en la jurisdicción interna y que esta parte de su comunicación es inadmisible con arreglo al artículo 3</w:t>
      </w:r>
      <w:r w:rsidR="001F5C57" w:rsidRPr="00AC5F78">
        <w:rPr>
          <w:lang w:val="es-ES_tradnl"/>
        </w:rPr>
        <w:t xml:space="preserve">, párr. </w:t>
      </w:r>
      <w:r w:rsidR="00CA7C89" w:rsidRPr="00AC5F78">
        <w:rPr>
          <w:lang w:val="es-ES_tradnl"/>
        </w:rPr>
        <w:t>1</w:t>
      </w:r>
      <w:r w:rsidR="001F5C57" w:rsidRPr="00AC5F78">
        <w:rPr>
          <w:lang w:val="es-ES_tradnl"/>
        </w:rPr>
        <w:t>,</w:t>
      </w:r>
      <w:r w:rsidR="00CA7C89" w:rsidRPr="00AC5F78">
        <w:rPr>
          <w:lang w:val="es-ES_tradnl"/>
        </w:rPr>
        <w:t xml:space="preserve"> del Protocolo Facultativo.</w:t>
      </w:r>
    </w:p>
    <w:p w14:paraId="695C7492" w14:textId="3CA5F06B" w:rsidR="00CC6D2E" w:rsidRPr="00AC5F78" w:rsidRDefault="00CA7C89" w:rsidP="000D6D19">
      <w:pPr>
        <w:pStyle w:val="SingleTxtG"/>
        <w:rPr>
          <w:lang w:val="es-ES_tradnl"/>
        </w:rPr>
      </w:pPr>
      <w:r w:rsidRPr="00AC5F78">
        <w:rPr>
          <w:lang w:val="es-ES_tradnl"/>
        </w:rPr>
        <w:t>8.9</w:t>
      </w:r>
      <w:r w:rsidRPr="00AC5F78">
        <w:rPr>
          <w:lang w:val="es-ES_tradnl"/>
        </w:rPr>
        <w:tab/>
        <w:t>El Comité toma nota de las alegaciones del autor de que la decisión de PETROECUADOR de negarle la bonificación establecida en la cláusula 14 del contrato colectivo</w:t>
      </w:r>
      <w:r w:rsidR="001235D6" w:rsidRPr="00AC5F78">
        <w:rPr>
          <w:lang w:val="es-ES_tradnl"/>
        </w:rPr>
        <w:t>,</w:t>
      </w:r>
      <w:r w:rsidR="00AC1705" w:rsidRPr="00AC5F78">
        <w:rPr>
          <w:lang w:val="es-ES_tradnl"/>
        </w:rPr>
        <w:t xml:space="preserve"> para trabajadores que se </w:t>
      </w:r>
      <w:r w:rsidR="005976EF" w:rsidRPr="00AC5F78">
        <w:rPr>
          <w:lang w:val="es-ES_tradnl"/>
        </w:rPr>
        <w:t>separaban</w:t>
      </w:r>
      <w:r w:rsidR="00AC1705" w:rsidRPr="00AC5F78">
        <w:rPr>
          <w:lang w:val="es-ES_tradnl"/>
        </w:rPr>
        <w:t xml:space="preserve"> voluntaria de la empresa</w:t>
      </w:r>
      <w:r w:rsidRPr="00AC5F78">
        <w:rPr>
          <w:lang w:val="es-ES_tradnl"/>
        </w:rPr>
        <w:t xml:space="preserve">, </w:t>
      </w:r>
      <w:r w:rsidR="00F42990" w:rsidRPr="00AC5F78">
        <w:rPr>
          <w:lang w:val="es-ES_tradnl"/>
        </w:rPr>
        <w:t xml:space="preserve">conjuntamente con las decisiones </w:t>
      </w:r>
      <w:r w:rsidR="005976EF" w:rsidRPr="00AC5F78">
        <w:rPr>
          <w:lang w:val="es-ES_tradnl"/>
        </w:rPr>
        <w:t>de los tribunales</w:t>
      </w:r>
      <w:r w:rsidR="00F42990" w:rsidRPr="00AC5F78">
        <w:rPr>
          <w:lang w:val="es-ES_tradnl"/>
        </w:rPr>
        <w:t xml:space="preserve"> que</w:t>
      </w:r>
      <w:r w:rsidR="00AC1705" w:rsidRPr="00AC5F78">
        <w:rPr>
          <w:lang w:val="es-ES_tradnl"/>
        </w:rPr>
        <w:t xml:space="preserve"> desestimaron sus recursos judiciales, constituyeron una violación de sus derechos en virtud de los artículos 6 y 7 del Pacto. El Comité también toma nota de las observaciones del Estado parte de que estas alegaciones son manifiestamente</w:t>
      </w:r>
      <w:r w:rsidR="00CC6D2E" w:rsidRPr="00AC5F78">
        <w:rPr>
          <w:lang w:val="es-ES_tradnl"/>
        </w:rPr>
        <w:t xml:space="preserve"> infundadas,</w:t>
      </w:r>
      <w:r w:rsidR="00AC1705" w:rsidRPr="00AC5F78">
        <w:rPr>
          <w:lang w:val="es-ES_tradnl"/>
        </w:rPr>
        <w:t xml:space="preserve"> no demuestran una violación a los derechos del Pacto</w:t>
      </w:r>
      <w:r w:rsidR="00CC6D2E" w:rsidRPr="00AC5F78">
        <w:rPr>
          <w:lang w:val="es-ES_tradnl"/>
        </w:rPr>
        <w:t>, y que las mismas pretenden que el Comité actúe como una cuarta instancia</w:t>
      </w:r>
      <w:r w:rsidR="00C30D4C">
        <w:rPr>
          <w:lang w:val="es-ES_tradnl"/>
        </w:rPr>
        <w:t>.</w:t>
      </w:r>
    </w:p>
    <w:p w14:paraId="311635C4" w14:textId="4102BDE9" w:rsidR="002B7CC0" w:rsidRPr="00525539" w:rsidRDefault="00CC6D2E">
      <w:pPr>
        <w:pStyle w:val="SingleTxtG"/>
        <w:rPr>
          <w:lang w:val="es-ES_tradnl"/>
        </w:rPr>
      </w:pPr>
      <w:r w:rsidRPr="00AC5F78">
        <w:rPr>
          <w:lang w:val="es-ES_tradnl"/>
        </w:rPr>
        <w:t>8.10</w:t>
      </w:r>
      <w:r w:rsidRPr="00AC5F78">
        <w:rPr>
          <w:lang w:val="es-ES_tradnl"/>
        </w:rPr>
        <w:tab/>
        <w:t xml:space="preserve">En el presente caso, el Comité observa que las alegaciones del autor fundamentalmente cuestionan los criterios establecidos por la </w:t>
      </w:r>
      <w:r w:rsidR="00E87DCC" w:rsidRPr="00AC5F78">
        <w:rPr>
          <w:lang w:val="es-ES_tradnl"/>
        </w:rPr>
        <w:t xml:space="preserve">Corte Nacional de Justicia </w:t>
      </w:r>
      <w:r w:rsidRPr="00AC5F78">
        <w:rPr>
          <w:lang w:val="es-ES_tradnl"/>
        </w:rPr>
        <w:t xml:space="preserve">en su sentencia de 30 de mayo de 2011, por los que determinó que no le correspondía al autor el pago de la bonificación establecida en el contrato colectivo. En particular, </w:t>
      </w:r>
      <w:r w:rsidR="00112DC4" w:rsidRPr="00AC5F78">
        <w:rPr>
          <w:lang w:val="es-ES_tradnl"/>
        </w:rPr>
        <w:t xml:space="preserve">cuestionan </w:t>
      </w:r>
      <w:r w:rsidRPr="00AC5F78">
        <w:rPr>
          <w:lang w:val="es-ES_tradnl"/>
        </w:rPr>
        <w:t xml:space="preserve">las diferencias en el ordenamiento jurídico del Estado parte entre las figuras jurídicas del desahucio laboral y </w:t>
      </w:r>
      <w:r w:rsidR="001235D6" w:rsidRPr="00AC5F78">
        <w:rPr>
          <w:lang w:val="es-ES_tradnl"/>
        </w:rPr>
        <w:t xml:space="preserve">la </w:t>
      </w:r>
      <w:r w:rsidRPr="00AC5F78">
        <w:rPr>
          <w:lang w:val="es-ES_tradnl"/>
        </w:rPr>
        <w:t>separación voluntaria, y sus consecuencias</w:t>
      </w:r>
      <w:r w:rsidR="00FE3999" w:rsidRPr="00AC5F78">
        <w:rPr>
          <w:lang w:val="es-ES_tradnl"/>
        </w:rPr>
        <w:t xml:space="preserve"> respecto a las bonificaciones a la</w:t>
      </w:r>
      <w:r w:rsidR="00112DC4" w:rsidRPr="00AC5F78">
        <w:rPr>
          <w:lang w:val="es-ES_tradnl"/>
        </w:rPr>
        <w:t>s</w:t>
      </w:r>
      <w:r w:rsidR="00FE3999" w:rsidRPr="00AC5F78">
        <w:rPr>
          <w:lang w:val="es-ES_tradnl"/>
        </w:rPr>
        <w:t xml:space="preserve"> que tienen derecho los trabajadores, criterio que, de acuerdo al Estado parte, es precedente jurisprudencia</w:t>
      </w:r>
      <w:r w:rsidR="001235D6" w:rsidRPr="00AC5F78">
        <w:rPr>
          <w:lang w:val="es-ES_tradnl"/>
        </w:rPr>
        <w:t>l</w:t>
      </w:r>
      <w:r w:rsidR="00FE3999" w:rsidRPr="00AC5F78">
        <w:rPr>
          <w:lang w:val="es-ES_tradnl"/>
        </w:rPr>
        <w:t xml:space="preserve"> obligatorio</w:t>
      </w:r>
      <w:r w:rsidRPr="00AC5F78">
        <w:rPr>
          <w:lang w:val="es-ES_tradnl"/>
        </w:rPr>
        <w:t xml:space="preserve"> (véa</w:t>
      </w:r>
      <w:r w:rsidR="00FE3999" w:rsidRPr="00AC5F78">
        <w:rPr>
          <w:lang w:val="es-ES_tradnl"/>
        </w:rPr>
        <w:t>n</w:t>
      </w:r>
      <w:r w:rsidRPr="00AC5F78">
        <w:rPr>
          <w:lang w:val="es-ES_tradnl"/>
        </w:rPr>
        <w:t xml:space="preserve">se </w:t>
      </w:r>
      <w:r w:rsidR="00E87DCC" w:rsidRPr="00AC5F78">
        <w:rPr>
          <w:lang w:val="es-ES_tradnl"/>
        </w:rPr>
        <w:t xml:space="preserve">los párrafos </w:t>
      </w:r>
      <w:r w:rsidRPr="00AC5F78">
        <w:rPr>
          <w:lang w:val="es-ES_tradnl"/>
        </w:rPr>
        <w:t>2.9</w:t>
      </w:r>
      <w:r w:rsidR="00FE3999" w:rsidRPr="00AC5F78">
        <w:rPr>
          <w:lang w:val="es-ES_tradnl"/>
        </w:rPr>
        <w:t xml:space="preserve"> y 6.6</w:t>
      </w:r>
      <w:r w:rsidRPr="00AC5F78">
        <w:rPr>
          <w:lang w:val="es-ES_tradnl"/>
        </w:rPr>
        <w:t>).</w:t>
      </w:r>
      <w:r w:rsidR="00B0238D" w:rsidRPr="00AC5F78">
        <w:rPr>
          <w:lang w:val="es-ES_tradnl"/>
        </w:rPr>
        <w:t xml:space="preserve"> El Comité considera que, en las particulares circunstancias de este caso, estas alegaciones</w:t>
      </w:r>
      <w:r w:rsidR="005976EF" w:rsidRPr="00AC5F78">
        <w:rPr>
          <w:lang w:val="es-ES_tradnl"/>
        </w:rPr>
        <w:t>, tal como fueron presenta</w:t>
      </w:r>
      <w:r w:rsidR="00112DC4" w:rsidRPr="00AC5F78">
        <w:rPr>
          <w:lang w:val="es-ES_tradnl"/>
        </w:rPr>
        <w:t>da</w:t>
      </w:r>
      <w:r w:rsidR="005976EF" w:rsidRPr="00AC5F78">
        <w:rPr>
          <w:lang w:val="es-ES_tradnl"/>
        </w:rPr>
        <w:t>s por el autor,</w:t>
      </w:r>
      <w:r w:rsidR="00B0238D" w:rsidRPr="00AC5F78">
        <w:rPr>
          <w:lang w:val="es-ES_tradnl"/>
        </w:rPr>
        <w:t xml:space="preserve"> plantean cuestiones relativas a la </w:t>
      </w:r>
      <w:r w:rsidR="005976EF" w:rsidRPr="00AC5F78">
        <w:rPr>
          <w:lang w:val="es-ES_tradnl"/>
        </w:rPr>
        <w:t xml:space="preserve">interpretación de la </w:t>
      </w:r>
      <w:r w:rsidR="00B0238D" w:rsidRPr="00AC5F78">
        <w:rPr>
          <w:lang w:val="es-ES_tradnl"/>
        </w:rPr>
        <w:t xml:space="preserve">legislación </w:t>
      </w:r>
      <w:r w:rsidR="005976EF" w:rsidRPr="00AC5F78">
        <w:rPr>
          <w:lang w:val="es-ES_tradnl"/>
        </w:rPr>
        <w:t>nacional</w:t>
      </w:r>
      <w:r w:rsidR="00B0238D" w:rsidRPr="00AC5F78">
        <w:rPr>
          <w:lang w:val="es-ES_tradnl"/>
        </w:rPr>
        <w:t xml:space="preserve"> </w:t>
      </w:r>
      <w:r w:rsidR="005976EF" w:rsidRPr="00AC5F78">
        <w:rPr>
          <w:lang w:val="es-ES_tradnl"/>
        </w:rPr>
        <w:t xml:space="preserve">por las autoridades judiciales. A este respecto, </w:t>
      </w:r>
      <w:r w:rsidR="005976EF" w:rsidRPr="00AC5F78">
        <w:rPr>
          <w:snapToGrid w:val="0"/>
          <w:lang w:val="es-ES_tradnl"/>
        </w:rPr>
        <w:t xml:space="preserve">el Comité recuerda su jurisprudencia, según la cual su labor al examinar una comunicación, </w:t>
      </w:r>
      <w:r w:rsidR="005976EF" w:rsidRPr="00AC5F78">
        <w:rPr>
          <w:lang w:val="es-ES_tradnl"/>
        </w:rPr>
        <w:t>se circunscribe a analizar si los hechos descritos en la comunicación</w:t>
      </w:r>
      <w:r w:rsidR="00112DC4" w:rsidRPr="00AC5F78">
        <w:rPr>
          <w:lang w:val="es-ES_tradnl"/>
        </w:rPr>
        <w:t>, incluida la aplicación de la legislación nacional,</w:t>
      </w:r>
      <w:r w:rsidR="005976EF" w:rsidRPr="00AC5F78">
        <w:rPr>
          <w:lang w:val="es-ES_tradnl"/>
        </w:rPr>
        <w:t xml:space="preserve"> revelan una violación por el Estado parte de los derechos económicos, sociales y culturales enunciados en el Pacto; y que incumbe en primer lugar a los tribunales de los Estados partes evaluar los hechos y las pruebas en cada caso particular, así como </w:t>
      </w:r>
      <w:r w:rsidR="00112DC4" w:rsidRPr="00AC5F78">
        <w:rPr>
          <w:lang w:val="es-ES_tradnl"/>
        </w:rPr>
        <w:t>interpretar</w:t>
      </w:r>
      <w:r w:rsidR="005976EF" w:rsidRPr="00AC5F78">
        <w:rPr>
          <w:lang w:val="es-ES_tradnl"/>
        </w:rPr>
        <w:t xml:space="preserve"> la legislación relevante</w:t>
      </w:r>
      <w:r w:rsidR="00112DC4" w:rsidRPr="00AC5F78">
        <w:rPr>
          <w:lang w:val="es-ES_tradnl"/>
        </w:rPr>
        <w:t>. E</w:t>
      </w:r>
      <w:r w:rsidR="005976EF" w:rsidRPr="00AC5F78">
        <w:rPr>
          <w:lang w:val="es-ES_tradnl"/>
        </w:rPr>
        <w:t>l Comité solo está llamado a pronunciarse sobre la evaluación probatoria o la interpretación del derecho interno</w:t>
      </w:r>
      <w:r w:rsidR="00112DC4" w:rsidRPr="00AC5F78">
        <w:rPr>
          <w:lang w:val="es-ES_tradnl"/>
        </w:rPr>
        <w:t xml:space="preserve"> aplicado al caso en cuestión</w:t>
      </w:r>
      <w:r w:rsidR="005976EF" w:rsidRPr="00AC5F78">
        <w:rPr>
          <w:lang w:val="es-ES_tradnl"/>
        </w:rPr>
        <w:t xml:space="preserve"> </w:t>
      </w:r>
      <w:r w:rsidR="00864B81" w:rsidRPr="00AC5F78">
        <w:rPr>
          <w:lang w:val="es-ES_tradnl"/>
        </w:rPr>
        <w:t xml:space="preserve">cuando esta </w:t>
      </w:r>
      <w:r w:rsidR="005976EF" w:rsidRPr="00AC5F78">
        <w:rPr>
          <w:lang w:val="es-ES_tradnl"/>
        </w:rPr>
        <w:t>fuer</w:t>
      </w:r>
      <w:r w:rsidR="00864B81" w:rsidRPr="00AC5F78">
        <w:rPr>
          <w:lang w:val="es-ES_tradnl"/>
        </w:rPr>
        <w:t>a</w:t>
      </w:r>
      <w:r w:rsidR="005976EF" w:rsidRPr="00AC5F78">
        <w:rPr>
          <w:lang w:val="es-ES_tradnl"/>
        </w:rPr>
        <w:t xml:space="preserve"> manifiestamente arbitrarias o equivalier</w:t>
      </w:r>
      <w:r w:rsidR="00864B81" w:rsidRPr="00AC5F78">
        <w:rPr>
          <w:lang w:val="es-ES_tradnl"/>
        </w:rPr>
        <w:t>a</w:t>
      </w:r>
      <w:r w:rsidR="005976EF" w:rsidRPr="00AC5F78">
        <w:rPr>
          <w:lang w:val="es-ES_tradnl"/>
        </w:rPr>
        <w:t xml:space="preserve"> a una denegación de justicia, </w:t>
      </w:r>
      <w:r w:rsidR="00864B81" w:rsidRPr="00AC5F78">
        <w:rPr>
          <w:lang w:val="es-ES_tradnl"/>
        </w:rPr>
        <w:t>y</w:t>
      </w:r>
      <w:r w:rsidR="005976EF" w:rsidRPr="00AC5F78">
        <w:rPr>
          <w:lang w:val="es-ES_tradnl"/>
        </w:rPr>
        <w:t xml:space="preserve"> conllevara la violación de un</w:t>
      </w:r>
      <w:r w:rsidR="00E07260" w:rsidRPr="00AC5F78">
        <w:rPr>
          <w:lang w:val="es-ES_tradnl"/>
        </w:rPr>
        <w:t xml:space="preserve"> derecho reconocido en el Pacto</w:t>
      </w:r>
      <w:r w:rsidR="005976EF" w:rsidRPr="00AC5F78">
        <w:rPr>
          <w:rStyle w:val="Refdenotaalpie"/>
          <w:szCs w:val="18"/>
          <w:lang w:val="es-ES_tradnl"/>
        </w:rPr>
        <w:footnoteReference w:id="14"/>
      </w:r>
      <w:r w:rsidR="00E07260" w:rsidRPr="00AC5F78">
        <w:rPr>
          <w:lang w:val="es-ES_tradnl"/>
        </w:rPr>
        <w:t>.</w:t>
      </w:r>
      <w:r w:rsidR="005976EF" w:rsidRPr="00AC5F78">
        <w:rPr>
          <w:lang w:val="es-ES_tradnl"/>
        </w:rPr>
        <w:t xml:space="preserve"> </w:t>
      </w:r>
      <w:r w:rsidR="00112DC4" w:rsidRPr="00AC5F78">
        <w:rPr>
          <w:lang w:val="es-ES_tradnl"/>
        </w:rPr>
        <w:t xml:space="preserve">En esta perspectiva, corresponde principalmente al autor de la comunicación proveer al Comité con la información y documentación suficientes que puedan demostrar que uno de los supuestos anteriores concurre en su caso. </w:t>
      </w:r>
      <w:r w:rsidR="005976EF" w:rsidRPr="00AC5F78">
        <w:rPr>
          <w:lang w:val="es-ES_tradnl"/>
        </w:rPr>
        <w:t xml:space="preserve">El Comité ha </w:t>
      </w:r>
      <w:r w:rsidR="002B7CC0" w:rsidRPr="00525539">
        <w:rPr>
          <w:lang w:val="es-ES_tradnl"/>
        </w:rPr>
        <w:t xml:space="preserve">examinado los materiales presentados por el autor, incluidas las decisiones de la </w:t>
      </w:r>
      <w:r w:rsidR="0022532C" w:rsidRPr="00AC5F78">
        <w:rPr>
          <w:lang w:val="es-ES_tradnl"/>
        </w:rPr>
        <w:t xml:space="preserve">Corte Nacional de Justicia </w:t>
      </w:r>
      <w:r w:rsidR="002B7CC0" w:rsidRPr="00525539">
        <w:rPr>
          <w:lang w:val="es-ES_tradnl"/>
        </w:rPr>
        <w:t xml:space="preserve">y </w:t>
      </w:r>
      <w:r w:rsidR="001F1489" w:rsidRPr="00525539">
        <w:rPr>
          <w:lang w:val="es-ES_tradnl"/>
        </w:rPr>
        <w:t xml:space="preserve">la </w:t>
      </w:r>
      <w:r w:rsidR="002B7CC0" w:rsidRPr="00525539">
        <w:rPr>
          <w:lang w:val="es-ES_tradnl"/>
        </w:rPr>
        <w:t xml:space="preserve">Corte Constitucional de 30 de mayo de 2011 y 9 de abril de 2014, respectivamente, y considera que dichos documentos no muestran que </w:t>
      </w:r>
      <w:r w:rsidR="001235D6" w:rsidRPr="00525539">
        <w:rPr>
          <w:lang w:val="es-ES_tradnl"/>
        </w:rPr>
        <w:t>el caso del autor</w:t>
      </w:r>
      <w:r w:rsidR="002B7CC0" w:rsidRPr="00525539">
        <w:rPr>
          <w:lang w:val="es-ES_tradnl"/>
        </w:rPr>
        <w:t xml:space="preserve"> adoleciese de tales defectos. </w:t>
      </w:r>
      <w:r w:rsidR="00112DC4" w:rsidRPr="00525539">
        <w:rPr>
          <w:lang w:val="es-ES_tradnl"/>
        </w:rPr>
        <w:t xml:space="preserve">Así pues, el Comité estima que no le corresponde interpretar el ordenamiento jurídico del Estado parte y determinar si el autor tenía derecho a las bonificaciones establecidas a través de las figuras jurídicas del desahucio laboral y la separación voluntaria. </w:t>
      </w:r>
      <w:r w:rsidR="002B7CC0" w:rsidRPr="00525539">
        <w:rPr>
          <w:lang w:val="es-ES_tradnl"/>
        </w:rPr>
        <w:t>Por lo tanto, el Comité considera que el autor no ha fundamentado suficientemente sus alegaciones con relaci</w:t>
      </w:r>
      <w:r w:rsidR="001235D6" w:rsidRPr="00525539">
        <w:rPr>
          <w:lang w:val="es-ES_tradnl"/>
        </w:rPr>
        <w:t>ón a los</w:t>
      </w:r>
      <w:r w:rsidR="002B7CC0" w:rsidRPr="00525539">
        <w:rPr>
          <w:lang w:val="es-ES_tradnl"/>
        </w:rPr>
        <w:t xml:space="preserve"> artículo</w:t>
      </w:r>
      <w:r w:rsidR="001235D6" w:rsidRPr="00525539">
        <w:rPr>
          <w:lang w:val="es-ES_tradnl"/>
        </w:rPr>
        <w:t>s</w:t>
      </w:r>
      <w:r w:rsidR="002B7CC0" w:rsidRPr="00525539">
        <w:rPr>
          <w:lang w:val="es-ES_tradnl"/>
        </w:rPr>
        <w:t xml:space="preserve"> 6 y 7 del Pacto y </w:t>
      </w:r>
      <w:r w:rsidR="001235D6" w:rsidRPr="00525539">
        <w:rPr>
          <w:lang w:val="es-ES_tradnl"/>
        </w:rPr>
        <w:t>que son</w:t>
      </w:r>
      <w:r w:rsidR="002B7CC0" w:rsidRPr="00525539">
        <w:rPr>
          <w:lang w:val="es-ES_tradnl"/>
        </w:rPr>
        <w:t xml:space="preserve"> inadmisibles con arreglo al artículo 3</w:t>
      </w:r>
      <w:r w:rsidR="001F1489" w:rsidRPr="00525539">
        <w:rPr>
          <w:lang w:val="es-ES_tradnl"/>
        </w:rPr>
        <w:t xml:space="preserve">, párr. </w:t>
      </w:r>
      <w:r w:rsidR="002B7CC0" w:rsidRPr="00525539">
        <w:rPr>
          <w:lang w:val="es-ES_tradnl"/>
        </w:rPr>
        <w:t>2</w:t>
      </w:r>
      <w:r w:rsidR="001F1489" w:rsidRPr="00525539">
        <w:rPr>
          <w:lang w:val="es-ES_tradnl"/>
        </w:rPr>
        <w:t>, apdo.</w:t>
      </w:r>
      <w:r w:rsidR="004A1B3E" w:rsidRPr="00525539">
        <w:rPr>
          <w:lang w:val="es-ES_tradnl"/>
        </w:rPr>
        <w:t xml:space="preserve"> </w:t>
      </w:r>
      <w:r w:rsidR="002B7CC0" w:rsidRPr="00525539">
        <w:rPr>
          <w:lang w:val="es-ES_tradnl"/>
        </w:rPr>
        <w:t>e)</w:t>
      </w:r>
      <w:r w:rsidR="001F1489" w:rsidRPr="00525539">
        <w:rPr>
          <w:lang w:val="es-ES_tradnl"/>
        </w:rPr>
        <w:t>,</w:t>
      </w:r>
      <w:r w:rsidR="002B7CC0" w:rsidRPr="00525539">
        <w:rPr>
          <w:lang w:val="es-ES_tradnl"/>
        </w:rPr>
        <w:t xml:space="preserve"> del Protocolo Facultativo.</w:t>
      </w:r>
    </w:p>
    <w:p w14:paraId="2581EAD9" w14:textId="77777777" w:rsidR="002B7CC0" w:rsidRPr="00AC5F78" w:rsidRDefault="002B7CC0" w:rsidP="000D6D19">
      <w:pPr>
        <w:pStyle w:val="H1G"/>
        <w:rPr>
          <w:lang w:val="es-ES_tradnl"/>
        </w:rPr>
      </w:pPr>
      <w:r w:rsidRPr="00AC5F78">
        <w:rPr>
          <w:lang w:val="es-ES_tradnl"/>
        </w:rPr>
        <w:tab/>
        <w:t>C.</w:t>
      </w:r>
      <w:r w:rsidRPr="00AC5F78">
        <w:rPr>
          <w:lang w:val="es-ES_tradnl"/>
        </w:rPr>
        <w:tab/>
        <w:t>Conclusión</w:t>
      </w:r>
    </w:p>
    <w:p w14:paraId="041B5775" w14:textId="653460FA" w:rsidR="002B7CC0" w:rsidRPr="00AC5F78" w:rsidRDefault="005C69FD" w:rsidP="000D6D19">
      <w:pPr>
        <w:pStyle w:val="SingleTxtG"/>
        <w:rPr>
          <w:lang w:val="es-ES_tradnl"/>
        </w:rPr>
      </w:pPr>
      <w:r w:rsidRPr="00AC5F78">
        <w:rPr>
          <w:lang w:val="es-ES_tradnl"/>
        </w:rPr>
        <w:t>9</w:t>
      </w:r>
      <w:r w:rsidR="002B7CC0" w:rsidRPr="00AC5F78">
        <w:rPr>
          <w:lang w:val="es-ES_tradnl"/>
        </w:rPr>
        <w:t>.</w:t>
      </w:r>
      <w:r w:rsidR="002B7CC0" w:rsidRPr="00AC5F78">
        <w:rPr>
          <w:lang w:val="es-ES_tradnl"/>
        </w:rPr>
        <w:tab/>
        <w:t xml:space="preserve">Tomando en consideración toda la información proporcionada, el Comité, actuando en virtud del Protocolo Facultativo, dictamina que </w:t>
      </w:r>
      <w:r w:rsidR="00C30D4C">
        <w:rPr>
          <w:lang w:val="es-ES_tradnl"/>
        </w:rPr>
        <w:t>la comunicación es inadmisible.</w:t>
      </w:r>
    </w:p>
    <w:p w14:paraId="27F6E811" w14:textId="1331FAB4" w:rsidR="002B7CC0" w:rsidRPr="00AC5F78" w:rsidRDefault="005C69FD" w:rsidP="00AA59F1">
      <w:pPr>
        <w:pStyle w:val="SingleTxtG"/>
        <w:rPr>
          <w:lang w:val="es-ES_tradnl"/>
        </w:rPr>
      </w:pPr>
      <w:r w:rsidRPr="00AC5F78">
        <w:rPr>
          <w:lang w:val="es-ES_tradnl"/>
        </w:rPr>
        <w:t>10</w:t>
      </w:r>
      <w:r w:rsidR="002B7CC0" w:rsidRPr="00AC5F78">
        <w:rPr>
          <w:lang w:val="es-ES_tradnl"/>
        </w:rPr>
        <w:t>.</w:t>
      </w:r>
      <w:r w:rsidR="002B7CC0" w:rsidRPr="00AC5F78">
        <w:rPr>
          <w:lang w:val="es-ES_tradnl"/>
        </w:rPr>
        <w:tab/>
        <w:t>Por lo tanto, el Comité decide:</w:t>
      </w:r>
    </w:p>
    <w:p w14:paraId="464E9AA6" w14:textId="77777777" w:rsidR="00C30D4C" w:rsidRDefault="00C30D4C" w:rsidP="00C30D4C">
      <w:pPr>
        <w:pStyle w:val="SingleTxtG"/>
        <w:ind w:firstLine="567"/>
        <w:rPr>
          <w:lang w:val="es-ES_tradnl"/>
        </w:rPr>
      </w:pPr>
      <w:r>
        <w:rPr>
          <w:lang w:val="es-ES_tradnl"/>
        </w:rPr>
        <w:tab/>
      </w:r>
      <w:r w:rsidR="002B7CC0" w:rsidRPr="00AC5F78">
        <w:rPr>
          <w:lang w:val="es-ES_tradnl"/>
        </w:rPr>
        <w:t>a)</w:t>
      </w:r>
      <w:r w:rsidR="002B7CC0" w:rsidRPr="00AC5F78">
        <w:rPr>
          <w:lang w:val="es-ES_tradnl"/>
        </w:rPr>
        <w:tab/>
        <w:t>Que la</w:t>
      </w:r>
      <w:r w:rsidR="00701AED" w:rsidRPr="00AC5F78">
        <w:rPr>
          <w:lang w:val="es-ES_tradnl"/>
        </w:rPr>
        <w:t xml:space="preserve">s alegaciones con relación al daño a su salud debido a las condiciones de trabajo en PETROECUADOR son </w:t>
      </w:r>
      <w:r w:rsidR="002B7CC0" w:rsidRPr="00AC5F78">
        <w:rPr>
          <w:lang w:val="es-ES_tradnl"/>
        </w:rPr>
        <w:t>inadmisible</w:t>
      </w:r>
      <w:r w:rsidR="00701AED" w:rsidRPr="00AC5F78">
        <w:rPr>
          <w:lang w:val="es-ES_tradnl"/>
        </w:rPr>
        <w:t>s</w:t>
      </w:r>
      <w:r w:rsidR="002B7CC0" w:rsidRPr="00AC5F78">
        <w:rPr>
          <w:lang w:val="es-ES_tradnl"/>
        </w:rPr>
        <w:t xml:space="preserve"> de conformidad con el artículo 3</w:t>
      </w:r>
      <w:r w:rsidR="00DA73D6" w:rsidRPr="00AC5F78">
        <w:rPr>
          <w:lang w:val="es-ES_tradnl"/>
        </w:rPr>
        <w:t xml:space="preserve">, párr. </w:t>
      </w:r>
      <w:r w:rsidR="002B7CC0" w:rsidRPr="00AC5F78">
        <w:rPr>
          <w:lang w:val="es-ES_tradnl"/>
        </w:rPr>
        <w:t>1</w:t>
      </w:r>
      <w:r w:rsidR="00DA73D6" w:rsidRPr="00AC5F78">
        <w:rPr>
          <w:lang w:val="es-ES_tradnl"/>
        </w:rPr>
        <w:t>,</w:t>
      </w:r>
      <w:r w:rsidR="002B7CC0" w:rsidRPr="00AC5F78">
        <w:rPr>
          <w:lang w:val="es-ES_tradnl"/>
        </w:rPr>
        <w:t xml:space="preserve"> del Protocolo Facultativo;</w:t>
      </w:r>
    </w:p>
    <w:p w14:paraId="6FD5B061" w14:textId="77777777" w:rsidR="00C30D4C" w:rsidRDefault="00701AED" w:rsidP="00C30D4C">
      <w:pPr>
        <w:pStyle w:val="SingleTxtG"/>
        <w:ind w:firstLine="567"/>
        <w:rPr>
          <w:lang w:val="es-ES_tradnl"/>
        </w:rPr>
      </w:pPr>
      <w:r w:rsidRPr="00AC5F78">
        <w:rPr>
          <w:lang w:val="es-ES_tradnl"/>
        </w:rPr>
        <w:t>b)</w:t>
      </w:r>
      <w:r w:rsidRPr="00AC5F78">
        <w:rPr>
          <w:lang w:val="es-ES_tradnl"/>
        </w:rPr>
        <w:tab/>
        <w:t>Que las alegaciones con relación a la denegación de la contribución especial secundaria (bonificación en virtud del sexto contrato colectivo de trabajo</w:t>
      </w:r>
      <w:r w:rsidR="002F5C7B" w:rsidRPr="00AC5F78">
        <w:rPr>
          <w:lang w:val="es-ES_tradnl"/>
        </w:rPr>
        <w:t>)</w:t>
      </w:r>
      <w:r w:rsidRPr="00AC5F78">
        <w:rPr>
          <w:lang w:val="es-ES_tradnl"/>
        </w:rPr>
        <w:t xml:space="preserve"> son inadmisibles de conformidad con el artículo 3</w:t>
      </w:r>
      <w:r w:rsidR="00DA73D6" w:rsidRPr="00AC5F78">
        <w:rPr>
          <w:lang w:val="es-ES_tradnl"/>
        </w:rPr>
        <w:t xml:space="preserve">, párr. </w:t>
      </w:r>
      <w:r w:rsidRPr="00AC5F78">
        <w:rPr>
          <w:lang w:val="es-ES_tradnl"/>
        </w:rPr>
        <w:t>2</w:t>
      </w:r>
      <w:r w:rsidR="00DA73D6" w:rsidRPr="00AC5F78">
        <w:rPr>
          <w:lang w:val="es-ES_tradnl"/>
        </w:rPr>
        <w:t xml:space="preserve">, apdo. </w:t>
      </w:r>
      <w:r w:rsidRPr="00AC5F78">
        <w:rPr>
          <w:lang w:val="es-ES_tradnl"/>
        </w:rPr>
        <w:t>e)</w:t>
      </w:r>
      <w:r w:rsidR="00DA73D6" w:rsidRPr="00AC5F78">
        <w:rPr>
          <w:lang w:val="es-ES_tradnl"/>
        </w:rPr>
        <w:t>,</w:t>
      </w:r>
      <w:r w:rsidRPr="00AC5F78">
        <w:rPr>
          <w:lang w:val="es-ES_tradnl"/>
        </w:rPr>
        <w:t xml:space="preserve"> del Protocolo Facultativo</w:t>
      </w:r>
      <w:r w:rsidR="00110588" w:rsidRPr="00AC5F78">
        <w:rPr>
          <w:lang w:val="es-ES_tradnl"/>
        </w:rPr>
        <w:t>;</w:t>
      </w:r>
    </w:p>
    <w:p w14:paraId="71CC4973" w14:textId="77777777" w:rsidR="00C30D4C" w:rsidRDefault="002F5C7B" w:rsidP="00C30D4C">
      <w:pPr>
        <w:pStyle w:val="SingleTxtG"/>
        <w:ind w:firstLine="567"/>
        <w:rPr>
          <w:lang w:val="es-ES_tradnl"/>
        </w:rPr>
      </w:pPr>
      <w:r w:rsidRPr="00AC5F78">
        <w:rPr>
          <w:lang w:val="es-ES_tradnl"/>
        </w:rPr>
        <w:t xml:space="preserve">c) </w:t>
      </w:r>
      <w:r w:rsidRPr="00AC5F78">
        <w:rPr>
          <w:lang w:val="es-ES_tradnl"/>
        </w:rPr>
        <w:tab/>
        <w:t>Que la comunicación es inadmisible de conformidad con el artículo 3</w:t>
      </w:r>
      <w:r w:rsidR="00DA73D6" w:rsidRPr="00AC5F78">
        <w:rPr>
          <w:lang w:val="es-ES_tradnl"/>
        </w:rPr>
        <w:t xml:space="preserve">, </w:t>
      </w:r>
      <w:proofErr w:type="spellStart"/>
      <w:r w:rsidR="00DA73D6" w:rsidRPr="00AC5F78">
        <w:rPr>
          <w:lang w:val="es-ES_tradnl"/>
        </w:rPr>
        <w:t>párrs</w:t>
      </w:r>
      <w:proofErr w:type="spellEnd"/>
      <w:r w:rsidR="00DA73D6" w:rsidRPr="00AC5F78">
        <w:rPr>
          <w:lang w:val="es-ES_tradnl"/>
        </w:rPr>
        <w:t xml:space="preserve">. </w:t>
      </w:r>
      <w:r w:rsidRPr="00AC5F78">
        <w:rPr>
          <w:lang w:val="es-ES_tradnl"/>
        </w:rPr>
        <w:t>1 y 2</w:t>
      </w:r>
      <w:r w:rsidR="00DA73D6" w:rsidRPr="00AC5F78">
        <w:rPr>
          <w:lang w:val="es-ES_tradnl"/>
        </w:rPr>
        <w:t xml:space="preserve">, apdo. </w:t>
      </w:r>
      <w:r w:rsidRPr="00AC5F78">
        <w:rPr>
          <w:lang w:val="es-ES_tradnl"/>
        </w:rPr>
        <w:t>e) del Protocolo Facultativo;</w:t>
      </w:r>
    </w:p>
    <w:p w14:paraId="7655F604" w14:textId="0BFB0BA1" w:rsidR="002B7CC0" w:rsidRPr="00AC5F78" w:rsidRDefault="002F5C7B" w:rsidP="00C30D4C">
      <w:pPr>
        <w:pStyle w:val="SingleTxtG"/>
        <w:ind w:firstLine="567"/>
        <w:rPr>
          <w:lang w:val="es-ES_tradnl"/>
        </w:rPr>
      </w:pPr>
      <w:r w:rsidRPr="00AC5F78">
        <w:rPr>
          <w:lang w:val="es-ES_tradnl"/>
        </w:rPr>
        <w:t>d</w:t>
      </w:r>
      <w:r w:rsidR="002B7CC0" w:rsidRPr="00AC5F78">
        <w:rPr>
          <w:lang w:val="es-ES_tradnl"/>
        </w:rPr>
        <w:t>)</w:t>
      </w:r>
      <w:r w:rsidR="002B7CC0" w:rsidRPr="00AC5F78">
        <w:rPr>
          <w:lang w:val="es-ES_tradnl"/>
        </w:rPr>
        <w:tab/>
        <w:t>Que, en virtud del artículo 9, párr</w:t>
      </w:r>
      <w:r w:rsidR="00DA73D6" w:rsidRPr="00AC5F78">
        <w:rPr>
          <w:lang w:val="es-ES_tradnl"/>
        </w:rPr>
        <w:t xml:space="preserve">. </w:t>
      </w:r>
      <w:r w:rsidR="002B7CC0" w:rsidRPr="00AC5F78">
        <w:rPr>
          <w:lang w:val="es-ES_tradnl"/>
        </w:rPr>
        <w:t>1, del Protocolo Facultativo, el presente dictamen será transmitido al autor de la comunicación y al Estado parte.</w:t>
      </w:r>
    </w:p>
    <w:p w14:paraId="5ACBF4BB" w14:textId="386B00A9" w:rsidR="002B7CC0" w:rsidRPr="00AC5F78" w:rsidRDefault="002B7CC0" w:rsidP="00D415AB">
      <w:pPr>
        <w:pStyle w:val="SingleTxtG"/>
        <w:spacing w:before="240" w:after="0"/>
        <w:jc w:val="center"/>
        <w:rPr>
          <w:u w:val="single"/>
          <w:lang w:val="es-ES_tradnl"/>
        </w:rPr>
      </w:pPr>
      <w:r w:rsidRPr="00AC5F78">
        <w:rPr>
          <w:lang w:val="es-ES_tradnl"/>
        </w:rPr>
        <w:tab/>
      </w:r>
      <w:r w:rsidR="00D415AB" w:rsidRPr="00AC5F78">
        <w:rPr>
          <w:u w:val="single"/>
          <w:lang w:val="es-ES_tradnl"/>
        </w:rPr>
        <w:tab/>
      </w:r>
      <w:r w:rsidR="00D415AB" w:rsidRPr="00AC5F78">
        <w:rPr>
          <w:u w:val="single"/>
          <w:lang w:val="es-ES_tradnl"/>
        </w:rPr>
        <w:tab/>
      </w:r>
      <w:r w:rsidR="00D415AB" w:rsidRPr="00AC5F78">
        <w:rPr>
          <w:u w:val="single"/>
          <w:lang w:val="es-ES_tradnl"/>
        </w:rPr>
        <w:tab/>
      </w:r>
    </w:p>
    <w:sectPr w:rsidR="002B7CC0" w:rsidRPr="00AC5F78" w:rsidSect="00AC5F78">
      <w:headerReference w:type="even" r:id="rId12"/>
      <w:headerReference w:type="default" r:id="rId13"/>
      <w:footerReference w:type="even" r:id="rId14"/>
      <w:footerReference w:type="default" r:id="rId15"/>
      <w:footerReference w:type="first" r:id="rId16"/>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91743" w14:textId="77777777" w:rsidR="007303A9" w:rsidRDefault="007303A9">
      <w:r>
        <w:separator/>
      </w:r>
    </w:p>
  </w:endnote>
  <w:endnote w:type="continuationSeparator" w:id="0">
    <w:p w14:paraId="0CECD15E" w14:textId="77777777" w:rsidR="007303A9" w:rsidRDefault="00730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AE77" w14:textId="16CA3B59" w:rsidR="008F0C7E" w:rsidRPr="004F6A18" w:rsidRDefault="008F0C7E" w:rsidP="004F6A18">
    <w:pPr>
      <w:pStyle w:val="Piedepgina"/>
      <w:tabs>
        <w:tab w:val="right" w:pos="9638"/>
      </w:tabs>
    </w:pPr>
    <w:r>
      <w:fldChar w:fldCharType="begin"/>
    </w:r>
    <w:r>
      <w:instrText xml:space="preserve"> PAGE  \* MERGEFORMAT </w:instrText>
    </w:r>
    <w:r>
      <w:fldChar w:fldCharType="separate"/>
    </w:r>
    <w:r w:rsidR="005D2560" w:rsidRPr="005D2560">
      <w:rPr>
        <w:b/>
        <w:noProof/>
        <w:sz w:val="18"/>
      </w:rPr>
      <w:t>10</w:t>
    </w:r>
    <w:r>
      <w:rPr>
        <w:b/>
        <w:noProof/>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AE7A" w14:textId="0C22A2C6" w:rsidR="008F0C7E" w:rsidRPr="004F6A18" w:rsidRDefault="008F0C7E" w:rsidP="004F6A18">
    <w:pPr>
      <w:pStyle w:val="Piedepgina"/>
      <w:tabs>
        <w:tab w:val="right" w:pos="9638"/>
      </w:tabs>
      <w:rPr>
        <w:b/>
        <w:sz w:val="18"/>
      </w:rPr>
    </w:pPr>
    <w:r>
      <w:tab/>
    </w:r>
    <w:r>
      <w:fldChar w:fldCharType="begin"/>
    </w:r>
    <w:r>
      <w:instrText xml:space="preserve"> PAGE  \* MERGEFORMAT </w:instrText>
    </w:r>
    <w:r>
      <w:fldChar w:fldCharType="separate"/>
    </w:r>
    <w:r w:rsidR="005D2560" w:rsidRPr="005D2560">
      <w:rPr>
        <w:b/>
        <w:noProof/>
        <w:sz w:val="18"/>
      </w:rPr>
      <w:t>11</w:t>
    </w:r>
    <w:r>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3352B" w14:textId="6111AB10" w:rsidR="008F0C7E" w:rsidRPr="005D2560" w:rsidRDefault="005D2560" w:rsidP="005D2560">
    <w:pPr>
      <w:pStyle w:val="Piedepgina"/>
      <w:spacing w:before="120"/>
      <w:rPr>
        <w:sz w:val="20"/>
      </w:rPr>
    </w:pPr>
    <w:proofErr w:type="spellStart"/>
    <w:r>
      <w:rPr>
        <w:sz w:val="20"/>
      </w:rPr>
      <w:t>GE.18-06244</w:t>
    </w:r>
    <w:proofErr w:type="spellEnd"/>
    <w:r>
      <w:rPr>
        <w:sz w:val="20"/>
      </w:rPr>
      <w:t xml:space="preserve">  (S)</w:t>
    </w:r>
    <w:r>
      <w:rPr>
        <w:sz w:val="20"/>
      </w:rPr>
      <w:br/>
    </w:r>
    <w:r w:rsidRPr="005D2560">
      <w:rPr>
        <w:rFonts w:ascii="C39T30Lfz" w:hAnsi="C39T30Lfz"/>
        <w:sz w:val="56"/>
      </w:rPr>
      <w:t></w:t>
    </w:r>
    <w:r w:rsidRPr="005D2560">
      <w:rPr>
        <w:rFonts w:ascii="C39T30Lfz" w:hAnsi="C39T30Lfz"/>
        <w:sz w:val="56"/>
      </w:rPr>
      <w:t></w:t>
    </w:r>
    <w:r w:rsidRPr="005D2560">
      <w:rPr>
        <w:rFonts w:ascii="C39T30Lfz" w:hAnsi="C39T30Lfz"/>
        <w:sz w:val="56"/>
      </w:rPr>
      <w:t></w:t>
    </w:r>
    <w:r w:rsidRPr="005D2560">
      <w:rPr>
        <w:rFonts w:ascii="C39T30Lfz" w:hAnsi="C39T30Lfz"/>
        <w:sz w:val="56"/>
      </w:rPr>
      <w:t></w:t>
    </w:r>
    <w:r w:rsidRPr="005D2560">
      <w:rPr>
        <w:rFonts w:ascii="C39T30Lfz" w:hAnsi="C39T30Lfz"/>
        <w:sz w:val="56"/>
      </w:rPr>
      <w:t></w:t>
    </w:r>
    <w:r w:rsidRPr="005D2560">
      <w:rPr>
        <w:rFonts w:ascii="C39T30Lfz" w:hAnsi="C39T30Lfz"/>
        <w:sz w:val="56"/>
      </w:rPr>
      <w:t></w:t>
    </w:r>
    <w:r w:rsidRPr="005D2560">
      <w:rPr>
        <w:rFonts w:ascii="C39T30Lfz" w:hAnsi="C39T30Lfz"/>
        <w:sz w:val="56"/>
      </w:rPr>
      <w:t></w:t>
    </w:r>
    <w:r w:rsidRPr="005D2560">
      <w:rPr>
        <w:rFonts w:ascii="C39T30Lfz" w:hAnsi="C39T30Lfz"/>
        <w:sz w:val="56"/>
      </w:rPr>
      <w:t></w:t>
    </w:r>
    <w:r w:rsidRPr="005D2560">
      <w:rPr>
        <w:rFonts w:ascii="C39T30Lfz" w:hAnsi="C39T30Lfz"/>
        <w:sz w:val="56"/>
      </w:rPr>
      <w:t></w:t>
    </w:r>
    <w:r w:rsidRPr="005D2560">
      <w:rPr>
        <w:rFonts w:ascii="C39T30Lfz" w:hAnsi="C39T30Lfz"/>
        <w:noProof/>
        <w:sz w:val="56"/>
      </w:rPr>
      <w:drawing>
        <wp:anchor distT="0" distB="0" distL="114300" distR="114300" simplePos="0" relativeHeight="251660288" behindDoc="0" locked="1" layoutInCell="1" allowOverlap="1" wp14:anchorId="7DDC6CA9" wp14:editId="0C418629">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s-ES" w:eastAsia="es-ES"/>
      </w:rPr>
      <w:drawing>
        <wp:anchor distT="0" distB="0" distL="114300" distR="114300" simplePos="0" relativeHeight="251658240" behindDoc="0" locked="0" layoutInCell="1" allowOverlap="1" wp14:anchorId="717C92FA" wp14:editId="6C5455CD">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63/D/7/201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3/D/7/201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10E64" w14:textId="77777777" w:rsidR="007303A9" w:rsidRPr="001075E9" w:rsidRDefault="007303A9" w:rsidP="001075E9">
      <w:pPr>
        <w:tabs>
          <w:tab w:val="right" w:pos="2155"/>
        </w:tabs>
        <w:spacing w:after="80" w:line="240" w:lineRule="auto"/>
        <w:ind w:left="680"/>
        <w:rPr>
          <w:u w:val="single"/>
        </w:rPr>
      </w:pPr>
      <w:r>
        <w:rPr>
          <w:u w:val="single"/>
        </w:rPr>
        <w:tab/>
      </w:r>
    </w:p>
  </w:footnote>
  <w:footnote w:type="continuationSeparator" w:id="0">
    <w:p w14:paraId="01F363C4" w14:textId="77777777" w:rsidR="007303A9" w:rsidRDefault="007303A9">
      <w:r>
        <w:continuationSeparator/>
      </w:r>
    </w:p>
  </w:footnote>
  <w:footnote w:id="1">
    <w:p w14:paraId="7EB17E8F" w14:textId="78DB8325" w:rsidR="008F0C7E" w:rsidRPr="00AA60C2" w:rsidRDefault="008F0C7E" w:rsidP="00AA59F1">
      <w:pPr>
        <w:pStyle w:val="Textonotapie"/>
        <w:rPr>
          <w:lang w:val="es-ES"/>
        </w:rPr>
      </w:pPr>
      <w:r>
        <w:rPr>
          <w:lang w:val="es-ES"/>
        </w:rPr>
        <w:tab/>
      </w:r>
      <w:r w:rsidRPr="00AA60C2">
        <w:rPr>
          <w:rStyle w:val="Refdenotaalpie"/>
          <w:szCs w:val="18"/>
          <w:lang w:val="es-ES"/>
        </w:rPr>
        <w:footnoteRef/>
      </w:r>
      <w:r>
        <w:rPr>
          <w:lang w:val="es-ES"/>
        </w:rPr>
        <w:tab/>
      </w:r>
      <w:r w:rsidRPr="00AA60C2">
        <w:rPr>
          <w:lang w:val="es-ES"/>
        </w:rPr>
        <w:t xml:space="preserve">Mediante decreto presidencial de 6 de abril </w:t>
      </w:r>
      <w:r>
        <w:rPr>
          <w:lang w:val="es-ES"/>
        </w:rPr>
        <w:t xml:space="preserve">de </w:t>
      </w:r>
      <w:r w:rsidRPr="00AA60C2">
        <w:rPr>
          <w:lang w:val="es-ES"/>
        </w:rPr>
        <w:t>2010, PETROECU</w:t>
      </w:r>
      <w:r>
        <w:rPr>
          <w:lang w:val="es-ES"/>
        </w:rPr>
        <w:t>A</w:t>
      </w:r>
      <w:r w:rsidRPr="00AA60C2">
        <w:rPr>
          <w:lang w:val="es-ES"/>
        </w:rPr>
        <w:t>DOR se convirtió en la Empresa</w:t>
      </w:r>
    </w:p>
    <w:p w14:paraId="7A511E7E" w14:textId="18432246" w:rsidR="008F0C7E" w:rsidRPr="00AA60C2" w:rsidRDefault="008F0C7E">
      <w:pPr>
        <w:pStyle w:val="Textonotapie"/>
        <w:ind w:firstLine="0"/>
        <w:jc w:val="both"/>
        <w:rPr>
          <w:szCs w:val="18"/>
          <w:lang w:val="es-ES"/>
        </w:rPr>
      </w:pPr>
      <w:r w:rsidRPr="00AA60C2">
        <w:rPr>
          <w:szCs w:val="18"/>
          <w:lang w:val="es-ES"/>
        </w:rPr>
        <w:t>Pública de Hidrocarburos del Ecuador.</w:t>
      </w:r>
    </w:p>
  </w:footnote>
  <w:footnote w:id="2">
    <w:p w14:paraId="0D7FE751" w14:textId="54B927AB" w:rsidR="008F0C7E" w:rsidRPr="00AA60C2" w:rsidRDefault="008F0C7E" w:rsidP="00131F17">
      <w:pPr>
        <w:pStyle w:val="Textonotapie"/>
        <w:rPr>
          <w:lang w:val="es-ES"/>
        </w:rPr>
      </w:pPr>
      <w:r>
        <w:rPr>
          <w:lang w:val="es-ES"/>
        </w:rPr>
        <w:tab/>
      </w:r>
      <w:r w:rsidRPr="00AA60C2">
        <w:rPr>
          <w:rStyle w:val="Refdenotaalpie"/>
          <w:szCs w:val="18"/>
          <w:lang w:val="es-ES"/>
        </w:rPr>
        <w:footnoteRef/>
      </w:r>
      <w:r>
        <w:rPr>
          <w:lang w:val="es-ES"/>
        </w:rPr>
        <w:tab/>
      </w:r>
      <w:r w:rsidRPr="00AA60C2">
        <w:rPr>
          <w:lang w:val="es-ES"/>
        </w:rPr>
        <w:t>El Estado parte adjunta diversos documentos, entre otros, relativos a los procedimientos de seguridad, salud y ambiente de PETROECUADOR.</w:t>
      </w:r>
    </w:p>
  </w:footnote>
  <w:footnote w:id="3">
    <w:p w14:paraId="5EFECA23" w14:textId="71EEB424" w:rsidR="008F0C7E" w:rsidRPr="00AA60C2" w:rsidRDefault="008F0C7E">
      <w:pPr>
        <w:pStyle w:val="Textonotapie"/>
        <w:rPr>
          <w:lang w:val="es-ES"/>
        </w:rPr>
      </w:pPr>
      <w:r>
        <w:rPr>
          <w:lang w:val="es-ES"/>
        </w:rPr>
        <w:tab/>
      </w:r>
      <w:r w:rsidRPr="00AA60C2">
        <w:rPr>
          <w:rStyle w:val="Refdenotaalpie"/>
          <w:szCs w:val="18"/>
          <w:lang w:val="es-ES"/>
        </w:rPr>
        <w:footnoteRef/>
      </w:r>
      <w:r>
        <w:rPr>
          <w:lang w:val="es-ES"/>
        </w:rPr>
        <w:tab/>
      </w:r>
      <w:r w:rsidRPr="00AA60C2">
        <w:rPr>
          <w:lang w:val="es-ES"/>
        </w:rPr>
        <w:t xml:space="preserve">El Estado </w:t>
      </w:r>
      <w:r w:rsidRPr="003C4E72">
        <w:rPr>
          <w:lang w:val="es-ES"/>
        </w:rPr>
        <w:t xml:space="preserve">parte aporta un informe de 28 de abril de 2016, suscrito por la </w:t>
      </w:r>
      <w:r>
        <w:rPr>
          <w:lang w:val="es-ES"/>
        </w:rPr>
        <w:t>g</w:t>
      </w:r>
      <w:r w:rsidRPr="003C4E72">
        <w:rPr>
          <w:lang w:val="es-ES"/>
        </w:rPr>
        <w:t xml:space="preserve">erencia </w:t>
      </w:r>
      <w:r>
        <w:rPr>
          <w:lang w:val="es-ES"/>
        </w:rPr>
        <w:t>g</w:t>
      </w:r>
      <w:r w:rsidRPr="003C4E72">
        <w:rPr>
          <w:lang w:val="es-ES"/>
        </w:rPr>
        <w:t>eneral de PETROECUADOR</w:t>
      </w:r>
      <w:r w:rsidRPr="00AA60C2">
        <w:rPr>
          <w:lang w:val="es-ES"/>
        </w:rPr>
        <w:t>.</w:t>
      </w:r>
    </w:p>
  </w:footnote>
  <w:footnote w:id="4">
    <w:p w14:paraId="3B42484E" w14:textId="244E708A" w:rsidR="008F0C7E" w:rsidRPr="00AA60C2" w:rsidRDefault="008F0C7E" w:rsidP="00131F17">
      <w:pPr>
        <w:pStyle w:val="Textonotapie"/>
        <w:rPr>
          <w:lang w:val="es-ES"/>
        </w:rPr>
      </w:pPr>
      <w:r>
        <w:rPr>
          <w:lang w:val="es-ES"/>
        </w:rPr>
        <w:tab/>
      </w:r>
      <w:r w:rsidRPr="00AA60C2">
        <w:rPr>
          <w:rStyle w:val="Refdenotaalpie"/>
          <w:lang w:val="es-ES"/>
        </w:rPr>
        <w:footnoteRef/>
      </w:r>
      <w:r>
        <w:rPr>
          <w:lang w:val="es-ES"/>
        </w:rPr>
        <w:tab/>
      </w:r>
      <w:r w:rsidRPr="00AA60C2">
        <w:rPr>
          <w:lang w:val="es-ES"/>
        </w:rPr>
        <w:t>El autor se refiere al artículo 184 del Código de</w:t>
      </w:r>
      <w:r>
        <w:rPr>
          <w:lang w:val="es-ES"/>
        </w:rPr>
        <w:t>l</w:t>
      </w:r>
      <w:r w:rsidRPr="00AA60C2">
        <w:rPr>
          <w:lang w:val="es-ES"/>
        </w:rPr>
        <w:t xml:space="preserve"> Trabajo.</w:t>
      </w:r>
    </w:p>
  </w:footnote>
  <w:footnote w:id="5">
    <w:p w14:paraId="3AC00AE6" w14:textId="6D550986" w:rsidR="008F0C7E" w:rsidRPr="00AA60C2" w:rsidRDefault="008F0C7E" w:rsidP="00D42DC5">
      <w:pPr>
        <w:pStyle w:val="Textonotapie"/>
        <w:rPr>
          <w:lang w:val="es-ES"/>
        </w:rPr>
      </w:pPr>
      <w:r>
        <w:rPr>
          <w:lang w:val="es-ES"/>
        </w:rPr>
        <w:tab/>
      </w:r>
      <w:r w:rsidRPr="00AA60C2">
        <w:rPr>
          <w:rStyle w:val="Refdenotaalpie"/>
          <w:lang w:val="es-ES"/>
        </w:rPr>
        <w:footnoteRef/>
      </w:r>
      <w:r>
        <w:rPr>
          <w:lang w:val="es-ES"/>
        </w:rPr>
        <w:tab/>
      </w:r>
      <w:r w:rsidRPr="00AA60C2">
        <w:rPr>
          <w:lang w:val="es-ES"/>
        </w:rPr>
        <w:t>El autor se refiere a la sentencia de la Corte Constitucional</w:t>
      </w:r>
      <w:r>
        <w:rPr>
          <w:lang w:val="es-ES"/>
        </w:rPr>
        <w:t xml:space="preserve"> núm. </w:t>
      </w:r>
      <w:r w:rsidRPr="00AA60C2">
        <w:rPr>
          <w:lang w:val="es-ES"/>
        </w:rPr>
        <w:t xml:space="preserve">040-114-SEP-CC, que estableció que </w:t>
      </w:r>
      <w:r>
        <w:rPr>
          <w:lang w:val="es-ES"/>
        </w:rPr>
        <w:t>“</w:t>
      </w:r>
      <w:r w:rsidRPr="00AA60C2">
        <w:rPr>
          <w:lang w:val="es-ES"/>
        </w:rPr>
        <w:t xml:space="preserve">en el caso de la </w:t>
      </w:r>
      <w:r>
        <w:rPr>
          <w:lang w:val="es-ES"/>
        </w:rPr>
        <w:t>‘</w:t>
      </w:r>
      <w:r w:rsidRPr="00AA60C2">
        <w:rPr>
          <w:lang w:val="es-ES"/>
        </w:rPr>
        <w:t>bonificación por retiro</w:t>
      </w:r>
      <w:r w:rsidR="00D42DC5">
        <w:rPr>
          <w:lang w:val="es-ES"/>
        </w:rPr>
        <w:t xml:space="preserve"> </w:t>
      </w:r>
      <w:r w:rsidRPr="00AA60C2">
        <w:rPr>
          <w:lang w:val="es-ES"/>
        </w:rPr>
        <w:t>voluntario</w:t>
      </w:r>
      <w:r>
        <w:rPr>
          <w:lang w:val="es-ES"/>
        </w:rPr>
        <w:t>’</w:t>
      </w:r>
      <w:r w:rsidRPr="00AA60C2">
        <w:rPr>
          <w:lang w:val="es-ES"/>
        </w:rPr>
        <w:t>, no se trata de una sanción, pues aquí predomina la voluntad del trabajador de retirarse de su trabajo y del empleador, de entregar un beneficio económico al trabajador que voluntariamente se separa del trabajo para hacerse acreedor a la bonificación pactada</w:t>
      </w:r>
      <w:r>
        <w:rPr>
          <w:lang w:val="es-ES"/>
        </w:rPr>
        <w:t>”.</w:t>
      </w:r>
      <w:r w:rsidRPr="00AA60C2">
        <w:rPr>
          <w:lang w:val="es-ES"/>
        </w:rPr>
        <w:t xml:space="preserve"> </w:t>
      </w:r>
    </w:p>
  </w:footnote>
  <w:footnote w:id="6">
    <w:p w14:paraId="0C7BAEE3" w14:textId="4778A881" w:rsidR="008F0C7E" w:rsidRPr="00AA60C2" w:rsidRDefault="008F0C7E">
      <w:pPr>
        <w:pStyle w:val="Textonotapie"/>
        <w:rPr>
          <w:lang w:val="es-ES"/>
        </w:rPr>
      </w:pPr>
      <w:r>
        <w:rPr>
          <w:lang w:val="es-ES"/>
        </w:rPr>
        <w:tab/>
      </w:r>
      <w:r w:rsidRPr="00AA60C2">
        <w:rPr>
          <w:rStyle w:val="Refdenotaalpie"/>
          <w:lang w:val="es-ES"/>
        </w:rPr>
        <w:footnoteRef/>
      </w:r>
      <w:r>
        <w:rPr>
          <w:lang w:val="es-ES"/>
        </w:rPr>
        <w:tab/>
        <w:t xml:space="preserve">Artículo 326 de la </w:t>
      </w:r>
      <w:r w:rsidRPr="00AA60C2">
        <w:rPr>
          <w:lang w:val="es-ES"/>
        </w:rPr>
        <w:t>Constitución</w:t>
      </w:r>
      <w:r>
        <w:rPr>
          <w:lang w:val="es-ES"/>
        </w:rPr>
        <w:t xml:space="preserve">: </w:t>
      </w:r>
      <w:r w:rsidRPr="00AA60C2">
        <w:rPr>
          <w:lang w:val="es-ES"/>
        </w:rPr>
        <w:t>“En caso de duda sobre el alcance de disposiciones legales,</w:t>
      </w:r>
      <w:r>
        <w:rPr>
          <w:lang w:val="es-ES"/>
        </w:rPr>
        <w:t xml:space="preserve"> </w:t>
      </w:r>
      <w:r w:rsidRPr="00AA60C2">
        <w:rPr>
          <w:lang w:val="es-ES"/>
        </w:rPr>
        <w:t>reglamentarias o contractuales en materia laboral, estas se aplicarán en el sentido más favorable a las personas</w:t>
      </w:r>
      <w:r>
        <w:rPr>
          <w:lang w:val="es-ES"/>
        </w:rPr>
        <w:t xml:space="preserve"> </w:t>
      </w:r>
      <w:r w:rsidRPr="00AA60C2">
        <w:rPr>
          <w:lang w:val="es-ES"/>
        </w:rPr>
        <w:t>trabajadoras”</w:t>
      </w:r>
      <w:r>
        <w:rPr>
          <w:lang w:val="es-ES"/>
        </w:rPr>
        <w:t>.</w:t>
      </w:r>
    </w:p>
  </w:footnote>
  <w:footnote w:id="7">
    <w:p w14:paraId="76C24C6D" w14:textId="049E0A35" w:rsidR="008F0C7E" w:rsidRPr="00AA60C2" w:rsidRDefault="008F0C7E">
      <w:pPr>
        <w:pStyle w:val="Textonotapie"/>
        <w:rPr>
          <w:lang w:val="es-ES"/>
        </w:rPr>
      </w:pPr>
      <w:r>
        <w:rPr>
          <w:lang w:val="es-ES"/>
        </w:rPr>
        <w:tab/>
      </w:r>
      <w:r w:rsidRPr="00AA60C2">
        <w:rPr>
          <w:rStyle w:val="Refdenotaalpie"/>
          <w:lang w:val="es-ES"/>
        </w:rPr>
        <w:footnoteRef/>
      </w:r>
      <w:r>
        <w:rPr>
          <w:lang w:val="es-ES"/>
        </w:rPr>
        <w:tab/>
      </w:r>
      <w:r w:rsidRPr="00AA60C2">
        <w:rPr>
          <w:lang w:val="es-ES"/>
        </w:rPr>
        <w:t xml:space="preserve">El autor se refiere a la </w:t>
      </w:r>
      <w:r>
        <w:rPr>
          <w:lang w:val="es-ES"/>
        </w:rPr>
        <w:t>o</w:t>
      </w:r>
      <w:r w:rsidRPr="00AA60C2">
        <w:rPr>
          <w:lang w:val="es-ES"/>
        </w:rPr>
        <w:t xml:space="preserve">bservación </w:t>
      </w:r>
      <w:r>
        <w:rPr>
          <w:lang w:val="es-ES"/>
        </w:rPr>
        <w:t>g</w:t>
      </w:r>
      <w:r w:rsidRPr="00AA60C2">
        <w:rPr>
          <w:lang w:val="es-ES"/>
        </w:rPr>
        <w:t xml:space="preserve">eneral </w:t>
      </w:r>
      <w:r>
        <w:rPr>
          <w:lang w:val="es-ES"/>
        </w:rPr>
        <w:t>núm</w:t>
      </w:r>
      <w:r w:rsidRPr="00AA60C2">
        <w:rPr>
          <w:lang w:val="es-ES"/>
        </w:rPr>
        <w:t>. 14</w:t>
      </w:r>
      <w:r>
        <w:rPr>
          <w:lang w:val="es-ES"/>
        </w:rPr>
        <w:t xml:space="preserve"> (2000) sobre el derecho al disfrute del más alto nivel posible de salud</w:t>
      </w:r>
      <w:r w:rsidR="00C30D4C">
        <w:rPr>
          <w:lang w:val="es-ES"/>
        </w:rPr>
        <w:t>.</w:t>
      </w:r>
    </w:p>
  </w:footnote>
  <w:footnote w:id="8">
    <w:p w14:paraId="7FF0F7D4" w14:textId="3F3A459E" w:rsidR="008F0C7E" w:rsidRPr="00AA60C2" w:rsidRDefault="008F0C7E">
      <w:pPr>
        <w:pStyle w:val="Textonotapie"/>
        <w:rPr>
          <w:lang w:val="es-ES"/>
        </w:rPr>
      </w:pPr>
      <w:r>
        <w:rPr>
          <w:lang w:val="es-ES"/>
        </w:rPr>
        <w:tab/>
      </w:r>
      <w:r w:rsidRPr="00AA60C2">
        <w:rPr>
          <w:rStyle w:val="Refdenotaalpie"/>
          <w:lang w:val="es-ES"/>
        </w:rPr>
        <w:footnoteRef/>
      </w:r>
      <w:r>
        <w:rPr>
          <w:lang w:val="es-ES"/>
        </w:rPr>
        <w:tab/>
      </w:r>
      <w:r w:rsidRPr="00AA60C2">
        <w:rPr>
          <w:lang w:val="es-ES"/>
        </w:rPr>
        <w:t xml:space="preserve">El autor se refiere a la </w:t>
      </w:r>
      <w:r>
        <w:rPr>
          <w:lang w:val="es-ES"/>
        </w:rPr>
        <w:t>o</w:t>
      </w:r>
      <w:r w:rsidRPr="00AA60C2">
        <w:rPr>
          <w:lang w:val="es-ES"/>
        </w:rPr>
        <w:t xml:space="preserve">bservación </w:t>
      </w:r>
      <w:r>
        <w:rPr>
          <w:lang w:val="es-ES"/>
        </w:rPr>
        <w:t>g</w:t>
      </w:r>
      <w:r w:rsidRPr="00AA60C2">
        <w:rPr>
          <w:lang w:val="es-ES"/>
        </w:rPr>
        <w:t xml:space="preserve">eneral </w:t>
      </w:r>
      <w:r>
        <w:rPr>
          <w:lang w:val="es-ES"/>
        </w:rPr>
        <w:t>núm</w:t>
      </w:r>
      <w:r w:rsidRPr="00AA60C2">
        <w:rPr>
          <w:lang w:val="es-ES"/>
        </w:rPr>
        <w:t>. 18</w:t>
      </w:r>
      <w:r>
        <w:rPr>
          <w:lang w:val="es-ES"/>
        </w:rPr>
        <w:t xml:space="preserve"> (2006) sobre el derecho al trabajo</w:t>
      </w:r>
      <w:r w:rsidRPr="00AA60C2">
        <w:rPr>
          <w:lang w:val="es-ES"/>
        </w:rPr>
        <w:t xml:space="preserve">. </w:t>
      </w:r>
    </w:p>
  </w:footnote>
  <w:footnote w:id="9">
    <w:p w14:paraId="5F90CE71" w14:textId="18C9D9B8" w:rsidR="008F0C7E" w:rsidRPr="00AA60C2" w:rsidRDefault="008F0C7E">
      <w:pPr>
        <w:pStyle w:val="Textonotapie"/>
        <w:rPr>
          <w:lang w:val="es-ES"/>
        </w:rPr>
      </w:pPr>
      <w:r>
        <w:rPr>
          <w:lang w:val="es-ES"/>
        </w:rPr>
        <w:tab/>
      </w:r>
      <w:r w:rsidRPr="00AA60C2">
        <w:rPr>
          <w:rStyle w:val="Refdenotaalpie"/>
          <w:lang w:val="es-ES"/>
        </w:rPr>
        <w:footnoteRef/>
      </w:r>
      <w:r>
        <w:rPr>
          <w:lang w:val="es-ES"/>
        </w:rPr>
        <w:tab/>
      </w:r>
      <w:r w:rsidRPr="00AA60C2">
        <w:rPr>
          <w:lang w:val="es-ES"/>
        </w:rPr>
        <w:t xml:space="preserve">El autor se refiere a la </w:t>
      </w:r>
      <w:r>
        <w:rPr>
          <w:lang w:val="es-ES"/>
        </w:rPr>
        <w:t>o</w:t>
      </w:r>
      <w:r w:rsidRPr="00AA60C2">
        <w:rPr>
          <w:lang w:val="es-ES"/>
        </w:rPr>
        <w:t xml:space="preserve">bservación </w:t>
      </w:r>
      <w:r>
        <w:rPr>
          <w:lang w:val="es-ES"/>
        </w:rPr>
        <w:t>g</w:t>
      </w:r>
      <w:r w:rsidRPr="00AA60C2">
        <w:rPr>
          <w:lang w:val="es-ES"/>
        </w:rPr>
        <w:t xml:space="preserve">eneral </w:t>
      </w:r>
      <w:r>
        <w:rPr>
          <w:lang w:val="es-ES"/>
        </w:rPr>
        <w:t>núm.</w:t>
      </w:r>
      <w:r w:rsidRPr="00AA60C2">
        <w:rPr>
          <w:lang w:val="es-ES"/>
        </w:rPr>
        <w:t xml:space="preserve"> 14.</w:t>
      </w:r>
    </w:p>
  </w:footnote>
  <w:footnote w:id="10">
    <w:p w14:paraId="41F66763" w14:textId="11DC9BC9" w:rsidR="008F0C7E" w:rsidRPr="00AA60C2" w:rsidRDefault="008F0C7E" w:rsidP="00542834">
      <w:pPr>
        <w:pStyle w:val="Textonotapie"/>
        <w:rPr>
          <w:lang w:val="es-ES"/>
        </w:rPr>
      </w:pPr>
      <w:r>
        <w:rPr>
          <w:lang w:val="es-ES"/>
        </w:rPr>
        <w:tab/>
      </w:r>
      <w:r w:rsidRPr="00AA60C2">
        <w:rPr>
          <w:rStyle w:val="Refdenotaalpie"/>
          <w:lang w:val="es-ES"/>
        </w:rPr>
        <w:footnoteRef/>
      </w:r>
      <w:r>
        <w:rPr>
          <w:lang w:val="es-ES"/>
        </w:rPr>
        <w:tab/>
      </w:r>
      <w:r w:rsidRPr="00AA60C2">
        <w:rPr>
          <w:lang w:val="es-ES"/>
        </w:rPr>
        <w:t>Mediante certificado médico emitido el 12 de noviembre del 2013, el autor fue diagnosticado con Parkinson</w:t>
      </w:r>
      <w:r>
        <w:rPr>
          <w:lang w:val="es-ES"/>
        </w:rPr>
        <w:t xml:space="preserve"> </w:t>
      </w:r>
      <w:r w:rsidRPr="00AA60C2">
        <w:rPr>
          <w:lang w:val="es-ES"/>
        </w:rPr>
        <w:t>con una discapacidad de 65</w:t>
      </w:r>
      <w:r w:rsidR="00C30D4C">
        <w:rPr>
          <w:lang w:val="es-ES"/>
        </w:rPr>
        <w:t> </w:t>
      </w:r>
      <w:r w:rsidRPr="00AA60C2">
        <w:rPr>
          <w:lang w:val="es-ES"/>
        </w:rPr>
        <w:t>%, y con hipoacusia bilateral con una discapacidad de 70</w:t>
      </w:r>
      <w:r w:rsidR="00C30D4C">
        <w:rPr>
          <w:lang w:val="es-ES"/>
        </w:rPr>
        <w:t> </w:t>
      </w:r>
      <w:r w:rsidRPr="00AA60C2">
        <w:rPr>
          <w:lang w:val="es-ES"/>
        </w:rPr>
        <w:t>% el</w:t>
      </w:r>
      <w:r>
        <w:rPr>
          <w:lang w:val="es-ES"/>
        </w:rPr>
        <w:t> </w:t>
      </w:r>
      <w:r w:rsidRPr="00AA60C2">
        <w:rPr>
          <w:lang w:val="es-ES"/>
        </w:rPr>
        <w:t>29 de noviembre de</w:t>
      </w:r>
      <w:r>
        <w:rPr>
          <w:lang w:val="es-ES"/>
        </w:rPr>
        <w:t xml:space="preserve"> </w:t>
      </w:r>
      <w:r w:rsidRPr="00AA60C2">
        <w:rPr>
          <w:lang w:val="es-ES"/>
        </w:rPr>
        <w:t>2007.</w:t>
      </w:r>
    </w:p>
  </w:footnote>
  <w:footnote w:id="11">
    <w:p w14:paraId="1CC4ECE5" w14:textId="1A344080" w:rsidR="008F0C7E" w:rsidRPr="00CF2615" w:rsidRDefault="008F0C7E">
      <w:pPr>
        <w:pStyle w:val="Textonotapie"/>
        <w:rPr>
          <w:lang w:val="es-ES"/>
        </w:rPr>
      </w:pPr>
      <w:r>
        <w:rPr>
          <w:lang w:val="es-ES"/>
        </w:rPr>
        <w:tab/>
      </w:r>
      <w:r w:rsidRPr="00CF2615">
        <w:rPr>
          <w:rStyle w:val="Refdenotaalpie"/>
          <w:szCs w:val="18"/>
          <w:lang w:val="es-ES"/>
        </w:rPr>
        <w:footnoteRef/>
      </w:r>
      <w:r>
        <w:rPr>
          <w:lang w:val="es-ES"/>
        </w:rPr>
        <w:tab/>
      </w:r>
      <w:r w:rsidRPr="00CF2615">
        <w:rPr>
          <w:lang w:val="es-ES"/>
        </w:rPr>
        <w:t>Corte Constitucional, sentencia</w:t>
      </w:r>
      <w:r>
        <w:rPr>
          <w:lang w:val="es-ES"/>
        </w:rPr>
        <w:t>s</w:t>
      </w:r>
      <w:r w:rsidRPr="00CF2615">
        <w:rPr>
          <w:lang w:val="es-ES"/>
        </w:rPr>
        <w:t xml:space="preserve"> </w:t>
      </w:r>
      <w:proofErr w:type="spellStart"/>
      <w:r>
        <w:rPr>
          <w:lang w:val="es-ES"/>
        </w:rPr>
        <w:t>núms</w:t>
      </w:r>
      <w:proofErr w:type="spellEnd"/>
      <w:r w:rsidRPr="00CF2615">
        <w:rPr>
          <w:lang w:val="es-ES"/>
        </w:rPr>
        <w:t xml:space="preserve">. 0048-08-EP </w:t>
      </w:r>
      <w:r>
        <w:rPr>
          <w:lang w:val="es-ES"/>
        </w:rPr>
        <w:t xml:space="preserve">y </w:t>
      </w:r>
      <w:r w:rsidRPr="00CF2615">
        <w:rPr>
          <w:lang w:val="es-ES"/>
        </w:rPr>
        <w:t>022-10-SEP</w:t>
      </w:r>
      <w:r>
        <w:rPr>
          <w:lang w:val="es-ES"/>
        </w:rPr>
        <w:t>.</w:t>
      </w:r>
    </w:p>
  </w:footnote>
  <w:footnote w:id="12">
    <w:p w14:paraId="3914372D" w14:textId="71FAD633" w:rsidR="008F0C7E" w:rsidRPr="00F35EE4" w:rsidRDefault="008F0C7E">
      <w:pPr>
        <w:pStyle w:val="Textonotapie"/>
        <w:rPr>
          <w:lang w:val="es-ES"/>
        </w:rPr>
      </w:pPr>
      <w:r w:rsidRPr="00AA59F1">
        <w:rPr>
          <w:lang w:val="es-ES"/>
        </w:rPr>
        <w:tab/>
      </w:r>
      <w:r>
        <w:rPr>
          <w:rStyle w:val="Refdenotaalpie"/>
        </w:rPr>
        <w:footnoteRef/>
      </w:r>
      <w:r w:rsidRPr="00AA59F1">
        <w:rPr>
          <w:lang w:val="es-419"/>
        </w:rPr>
        <w:tab/>
      </w:r>
      <w:r w:rsidRPr="00F35EE4">
        <w:rPr>
          <w:lang w:val="es-ES"/>
        </w:rPr>
        <w:t xml:space="preserve">Comunicación </w:t>
      </w:r>
      <w:r>
        <w:rPr>
          <w:lang w:val="es-ES"/>
        </w:rPr>
        <w:t>núm</w:t>
      </w:r>
      <w:r w:rsidRPr="00F35EE4">
        <w:rPr>
          <w:lang w:val="es-ES"/>
        </w:rPr>
        <w:t xml:space="preserve">. </w:t>
      </w:r>
      <w:r>
        <w:rPr>
          <w:lang w:val="es-ES"/>
        </w:rPr>
        <w:t>14 /2016, párr. 9.8.</w:t>
      </w:r>
    </w:p>
  </w:footnote>
  <w:footnote w:id="13">
    <w:p w14:paraId="75A79B77" w14:textId="3122376F" w:rsidR="008F0C7E" w:rsidRPr="002F5C7B" w:rsidRDefault="008F0C7E">
      <w:pPr>
        <w:pStyle w:val="Textonotapie"/>
        <w:rPr>
          <w:lang w:val="es-ES"/>
        </w:rPr>
      </w:pPr>
      <w:r w:rsidRPr="00AA59F1">
        <w:rPr>
          <w:lang w:val="es-419"/>
        </w:rPr>
        <w:tab/>
      </w:r>
      <w:r>
        <w:rPr>
          <w:rStyle w:val="Refdenotaalpie"/>
        </w:rPr>
        <w:footnoteRef/>
      </w:r>
      <w:r w:rsidRPr="002F5C7B">
        <w:rPr>
          <w:lang w:val="es-ES"/>
        </w:rPr>
        <w:tab/>
      </w:r>
      <w:r w:rsidRPr="002F5C7B">
        <w:rPr>
          <w:color w:val="000000"/>
          <w:lang w:val="es-ES"/>
        </w:rPr>
        <w:t>El Comité nota que de acuerdo al artículo 94 de la Constitución del Estado parte, la</w:t>
      </w:r>
      <w:r w:rsidRPr="002F5C7B">
        <w:rPr>
          <w:lang w:val="es-ES"/>
        </w:rPr>
        <w:t xml:space="preserve"> acción extraordinaria de protección procede contra sentencias o autos definitivos en los que se haya</w:t>
      </w:r>
      <w:r>
        <w:rPr>
          <w:lang w:val="es-ES"/>
        </w:rPr>
        <w:t>n</w:t>
      </w:r>
      <w:r w:rsidRPr="002F5C7B">
        <w:rPr>
          <w:lang w:val="es-ES"/>
        </w:rPr>
        <w:t xml:space="preserve"> violado por acción u omisión derechos reconocidos en la Constitución y que el artículo 63 de la Ley Orgánica de Garantías Jurisdiccionales y Control Constitucional </w:t>
      </w:r>
      <w:r>
        <w:rPr>
          <w:lang w:val="es-ES"/>
        </w:rPr>
        <w:t xml:space="preserve">dispone que </w:t>
      </w:r>
      <w:r w:rsidRPr="002F5C7B">
        <w:rPr>
          <w:lang w:val="es-ES"/>
        </w:rPr>
        <w:t>la Corte Constitucional determinará si en la sentencia se han violado derechos constitucionales del accionante y si declara la violación, ordenará la reparación integral al afectado.</w:t>
      </w:r>
    </w:p>
    <w:p w14:paraId="0184F06B" w14:textId="1E0BAF21" w:rsidR="008F0C7E" w:rsidRPr="00D37BD6" w:rsidRDefault="008F0C7E">
      <w:pPr>
        <w:pStyle w:val="Textonotapie"/>
        <w:rPr>
          <w:lang w:val="es-ES"/>
        </w:rPr>
      </w:pPr>
    </w:p>
  </w:footnote>
  <w:footnote w:id="14">
    <w:p w14:paraId="193F5CB2" w14:textId="663A4693" w:rsidR="008F0C7E" w:rsidRPr="00D87378" w:rsidRDefault="008F0C7E">
      <w:pPr>
        <w:pStyle w:val="Textonotapie"/>
        <w:rPr>
          <w:lang w:val="es-ES"/>
        </w:rPr>
      </w:pPr>
      <w:r w:rsidRPr="00FA3C8F">
        <w:rPr>
          <w:lang w:val="es-ES"/>
        </w:rPr>
        <w:tab/>
      </w:r>
      <w:r w:rsidRPr="000621A7">
        <w:rPr>
          <w:rStyle w:val="Refdenotaalpie"/>
        </w:rPr>
        <w:footnoteRef/>
      </w:r>
      <w:r w:rsidRPr="00D87378">
        <w:rPr>
          <w:lang w:val="es-ES"/>
        </w:rPr>
        <w:tab/>
      </w:r>
      <w:r>
        <w:rPr>
          <w:lang w:val="es-ES"/>
        </w:rPr>
        <w:t>Véase comunicacio</w:t>
      </w:r>
      <w:r w:rsidRPr="00F8329C">
        <w:rPr>
          <w:lang w:val="es-ES"/>
        </w:rPr>
        <w:t>n</w:t>
      </w:r>
      <w:r>
        <w:rPr>
          <w:lang w:val="es-ES"/>
        </w:rPr>
        <w:t>es</w:t>
      </w:r>
      <w:r w:rsidRPr="00F8329C">
        <w:rPr>
          <w:lang w:val="es-ES"/>
        </w:rPr>
        <w:t xml:space="preserve"> </w:t>
      </w:r>
      <w:proofErr w:type="spellStart"/>
      <w:r>
        <w:rPr>
          <w:lang w:val="es-ES"/>
        </w:rPr>
        <w:t>núms</w:t>
      </w:r>
      <w:proofErr w:type="spellEnd"/>
      <w:r>
        <w:rPr>
          <w:lang w:val="es-ES"/>
        </w:rPr>
        <w:t xml:space="preserve">. 1/2013, </w:t>
      </w:r>
      <w:r w:rsidRPr="000D5520">
        <w:rPr>
          <w:i/>
          <w:lang w:val="es-ES"/>
        </w:rPr>
        <w:t xml:space="preserve">López Rodríguez </w:t>
      </w:r>
      <w:r w:rsidRPr="009360CE">
        <w:rPr>
          <w:lang w:val="es-ES"/>
        </w:rPr>
        <w:t>c.</w:t>
      </w:r>
      <w:r w:rsidRPr="000D5520">
        <w:rPr>
          <w:i/>
          <w:lang w:val="es-ES"/>
        </w:rPr>
        <w:t xml:space="preserve"> España</w:t>
      </w:r>
      <w:r>
        <w:rPr>
          <w:lang w:val="es-ES"/>
        </w:rPr>
        <w:t xml:space="preserve">, dictamen adoptado el 4 de marzo de 2016, párr. 12; y </w:t>
      </w:r>
      <w:r w:rsidRPr="00F8329C">
        <w:rPr>
          <w:lang w:val="es-ES"/>
        </w:rPr>
        <w:t xml:space="preserve">2/2014, </w:t>
      </w:r>
      <w:r w:rsidRPr="007A4A6F">
        <w:rPr>
          <w:i/>
          <w:iCs/>
          <w:lang w:val="es-ES"/>
        </w:rPr>
        <w:t>I.</w:t>
      </w:r>
      <w:r w:rsidR="006D0977">
        <w:rPr>
          <w:i/>
          <w:iCs/>
          <w:lang w:val="es-ES"/>
        </w:rPr>
        <w:t xml:space="preserve"> </w:t>
      </w:r>
      <w:r w:rsidRPr="007A4A6F">
        <w:rPr>
          <w:i/>
          <w:iCs/>
          <w:lang w:val="es-ES"/>
        </w:rPr>
        <w:t>D.</w:t>
      </w:r>
      <w:r w:rsidR="006D0977">
        <w:rPr>
          <w:i/>
          <w:iCs/>
          <w:lang w:val="es-ES"/>
        </w:rPr>
        <w:t xml:space="preserve"> </w:t>
      </w:r>
      <w:r w:rsidRPr="007A4A6F">
        <w:rPr>
          <w:i/>
          <w:iCs/>
          <w:lang w:val="es-ES"/>
        </w:rPr>
        <w:t xml:space="preserve">G. </w:t>
      </w:r>
      <w:r w:rsidRPr="009360CE">
        <w:rPr>
          <w:iCs/>
          <w:lang w:val="es-ES"/>
        </w:rPr>
        <w:t>c.</w:t>
      </w:r>
      <w:r w:rsidRPr="007A4A6F">
        <w:rPr>
          <w:i/>
          <w:iCs/>
          <w:lang w:val="es-ES"/>
        </w:rPr>
        <w:t xml:space="preserve"> España</w:t>
      </w:r>
      <w:r>
        <w:rPr>
          <w:lang w:val="es-ES"/>
        </w:rPr>
        <w:t>, dictamen adoptado el 17 de junio de 2015, párr. 13.1.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AE71" w14:textId="30C3D25E" w:rsidR="008F0C7E" w:rsidRPr="004F6A18" w:rsidRDefault="008F0C7E">
    <w:pPr>
      <w:pStyle w:val="Encabezado"/>
    </w:pPr>
    <w:r>
      <w:t>E/C.12/63/D/7/2015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AE74" w14:textId="636A1CB0" w:rsidR="008F0C7E" w:rsidRPr="004F6A18" w:rsidRDefault="008F0C7E" w:rsidP="004F6A18">
    <w:pPr>
      <w:pStyle w:val="Encabezado"/>
      <w:jc w:val="right"/>
    </w:pPr>
    <w:r>
      <w:t>E/C.12/63/D/7/2015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hybridMultilevel"/>
    <w:tmpl w:val="140E0F7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3"/>
    <w:multiLevelType w:val="hybridMultilevel"/>
    <w:tmpl w:val="3352255A"/>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4"/>
    <w:multiLevelType w:val="hybridMultilevel"/>
    <w:tmpl w:val="238E1F28"/>
    <w:lvl w:ilvl="0" w:tplc="FFFFFFFF">
      <w:start w:val="9"/>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5"/>
    <w:multiLevelType w:val="hybridMultilevel"/>
    <w:tmpl w:val="46E87CCC"/>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7"/>
    <w:multiLevelType w:val="hybridMultilevel"/>
    <w:tmpl w:val="419AC240"/>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08"/>
    <w:multiLevelType w:val="hybridMultilevel"/>
    <w:tmpl w:val="41A7C4C8"/>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0B"/>
    <w:multiLevelType w:val="hybridMultilevel"/>
    <w:tmpl w:val="3804823E"/>
    <w:lvl w:ilvl="0" w:tplc="FFFFFFFF">
      <w:start w:val="14"/>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0C"/>
    <w:multiLevelType w:val="hybridMultilevel"/>
    <w:tmpl w:val="519B500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0D"/>
    <w:multiLevelType w:val="hybridMultilevel"/>
    <w:tmpl w:val="F214AC9C"/>
    <w:lvl w:ilvl="0" w:tplc="66D8F540">
      <w:start w:val="1"/>
      <w:numFmt w:val="decimal"/>
      <w:lvlText w:val="%1."/>
      <w:lvlJc w:val="left"/>
      <w:rPr>
        <w:sz w:val="18"/>
        <w:szCs w:val="18"/>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10"/>
    <w:multiLevelType w:val="hybridMultilevel"/>
    <w:tmpl w:val="5E884ADC"/>
    <w:lvl w:ilvl="0" w:tplc="FFFFFFFF">
      <w:start w:val="1"/>
      <w:numFmt w:val="decimal"/>
      <w:lvlText w:val="%1"/>
      <w:lvlJc w:val="left"/>
    </w:lvl>
    <w:lvl w:ilvl="1" w:tplc="FFFFFFFF">
      <w:start w:val="2"/>
      <w:numFmt w:val="lowerLetter"/>
      <w:lvlText w:val="%2."/>
      <w:lvlJc w:val="left"/>
    </w:lvl>
    <w:lvl w:ilvl="2" w:tplc="FFFFFFFF">
      <w:start w:val="1"/>
      <w:numFmt w:val="lowerRoman"/>
      <w:lvlText w:val="%3."/>
      <w:lvlJc w:val="left"/>
    </w:lvl>
    <w:lvl w:ilvl="3" w:tplc="FFFFFFFF">
      <w:start w:val="1"/>
      <w:numFmt w:val="decimal"/>
      <w:lvlText w:val="%4."/>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7"/>
    <w:multiLevelType w:val="hybridMultilevel"/>
    <w:tmpl w:val="6A2342EC"/>
    <w:lvl w:ilvl="0" w:tplc="FFFFFFFF">
      <w:start w:val="5"/>
      <w:numFmt w:val="upperLetter"/>
      <w:lvlText w:val="%1)"/>
      <w:lvlJc w:val="left"/>
    </w:lvl>
    <w:lvl w:ilvl="1" w:tplc="FFFFFFFF">
      <w:start w:val="24"/>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B401468"/>
    <w:multiLevelType w:val="hybridMultilevel"/>
    <w:tmpl w:val="1E1A479C"/>
    <w:lvl w:ilvl="0" w:tplc="8BBA01CA">
      <w:start w:val="3"/>
      <w:numFmt w:val="bullet"/>
      <w:lvlText w:val="-"/>
      <w:lvlJc w:val="left"/>
      <w:pPr>
        <w:ind w:left="1429" w:hanging="360"/>
      </w:pPr>
      <w:rPr>
        <w:rFonts w:ascii="Arial" w:eastAsiaTheme="minorHAnsi" w:hAnsi="Arial" w:cs="Arial" w:hint="default"/>
      </w:rPr>
    </w:lvl>
    <w:lvl w:ilvl="1" w:tplc="300A0003" w:tentative="1">
      <w:start w:val="1"/>
      <w:numFmt w:val="bullet"/>
      <w:lvlText w:val="o"/>
      <w:lvlJc w:val="left"/>
      <w:pPr>
        <w:ind w:left="2149" w:hanging="360"/>
      </w:pPr>
      <w:rPr>
        <w:rFonts w:ascii="Courier New" w:hAnsi="Courier New" w:cs="Courier New" w:hint="default"/>
      </w:rPr>
    </w:lvl>
    <w:lvl w:ilvl="2" w:tplc="300A0005" w:tentative="1">
      <w:start w:val="1"/>
      <w:numFmt w:val="bullet"/>
      <w:lvlText w:val=""/>
      <w:lvlJc w:val="left"/>
      <w:pPr>
        <w:ind w:left="2869" w:hanging="360"/>
      </w:pPr>
      <w:rPr>
        <w:rFonts w:ascii="Wingdings" w:hAnsi="Wingdings" w:hint="default"/>
      </w:rPr>
    </w:lvl>
    <w:lvl w:ilvl="3" w:tplc="300A0001" w:tentative="1">
      <w:start w:val="1"/>
      <w:numFmt w:val="bullet"/>
      <w:lvlText w:val=""/>
      <w:lvlJc w:val="left"/>
      <w:pPr>
        <w:ind w:left="3589" w:hanging="360"/>
      </w:pPr>
      <w:rPr>
        <w:rFonts w:ascii="Symbol" w:hAnsi="Symbol" w:hint="default"/>
      </w:rPr>
    </w:lvl>
    <w:lvl w:ilvl="4" w:tplc="300A0003" w:tentative="1">
      <w:start w:val="1"/>
      <w:numFmt w:val="bullet"/>
      <w:lvlText w:val="o"/>
      <w:lvlJc w:val="left"/>
      <w:pPr>
        <w:ind w:left="4309" w:hanging="360"/>
      </w:pPr>
      <w:rPr>
        <w:rFonts w:ascii="Courier New" w:hAnsi="Courier New" w:cs="Courier New" w:hint="default"/>
      </w:rPr>
    </w:lvl>
    <w:lvl w:ilvl="5" w:tplc="300A0005" w:tentative="1">
      <w:start w:val="1"/>
      <w:numFmt w:val="bullet"/>
      <w:lvlText w:val=""/>
      <w:lvlJc w:val="left"/>
      <w:pPr>
        <w:ind w:left="5029" w:hanging="360"/>
      </w:pPr>
      <w:rPr>
        <w:rFonts w:ascii="Wingdings" w:hAnsi="Wingdings" w:hint="default"/>
      </w:rPr>
    </w:lvl>
    <w:lvl w:ilvl="6" w:tplc="300A0001" w:tentative="1">
      <w:start w:val="1"/>
      <w:numFmt w:val="bullet"/>
      <w:lvlText w:val=""/>
      <w:lvlJc w:val="left"/>
      <w:pPr>
        <w:ind w:left="5749" w:hanging="360"/>
      </w:pPr>
      <w:rPr>
        <w:rFonts w:ascii="Symbol" w:hAnsi="Symbol" w:hint="default"/>
      </w:rPr>
    </w:lvl>
    <w:lvl w:ilvl="7" w:tplc="300A0003" w:tentative="1">
      <w:start w:val="1"/>
      <w:numFmt w:val="bullet"/>
      <w:lvlText w:val="o"/>
      <w:lvlJc w:val="left"/>
      <w:pPr>
        <w:ind w:left="6469" w:hanging="360"/>
      </w:pPr>
      <w:rPr>
        <w:rFonts w:ascii="Courier New" w:hAnsi="Courier New" w:cs="Courier New" w:hint="default"/>
      </w:rPr>
    </w:lvl>
    <w:lvl w:ilvl="8" w:tplc="300A0005" w:tentative="1">
      <w:start w:val="1"/>
      <w:numFmt w:val="bullet"/>
      <w:lvlText w:val=""/>
      <w:lvlJc w:val="left"/>
      <w:pPr>
        <w:ind w:left="7189" w:hanging="360"/>
      </w:pPr>
      <w:rPr>
        <w:rFonts w:ascii="Wingdings" w:hAnsi="Wingdings" w:hint="default"/>
      </w:rPr>
    </w:lvl>
  </w:abstractNum>
  <w:abstractNum w:abstractNumId="24" w15:restartNumberingAfterBreak="0">
    <w:nsid w:val="4F757C0F"/>
    <w:multiLevelType w:val="hybridMultilevel"/>
    <w:tmpl w:val="362219D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5" w15:restartNumberingAfterBreak="0">
    <w:nsid w:val="58575A1C"/>
    <w:multiLevelType w:val="hybridMultilevel"/>
    <w:tmpl w:val="539877DE"/>
    <w:lvl w:ilvl="0" w:tplc="27AE88E4">
      <w:start w:val="1211"/>
      <w:numFmt w:val="bullet"/>
      <w:lvlText w:val="-"/>
      <w:lvlJc w:val="left"/>
      <w:pPr>
        <w:ind w:left="720" w:hanging="360"/>
      </w:pPr>
      <w:rPr>
        <w:rFonts w:ascii="Bookman Old Style" w:eastAsia="Times New Roman" w:hAnsi="Bookman Old Style" w:cs="Times New Roman" w:hint="default"/>
        <w:sz w:val="22"/>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cs="Courier New" w:hint="default"/>
      </w:rPr>
    </w:lvl>
    <w:lvl w:ilvl="5" w:tplc="300A0005">
      <w:start w:val="1"/>
      <w:numFmt w:val="bullet"/>
      <w:lvlText w:val=""/>
      <w:lvlJc w:val="left"/>
      <w:pPr>
        <w:ind w:left="4320" w:hanging="360"/>
      </w:pPr>
      <w:rPr>
        <w:rFonts w:ascii="Wingdings" w:hAnsi="Wingdings" w:hint="default"/>
      </w:rPr>
    </w:lvl>
    <w:lvl w:ilvl="6" w:tplc="300A0001">
      <w:start w:val="1"/>
      <w:numFmt w:val="bullet"/>
      <w:lvlText w:val=""/>
      <w:lvlJc w:val="left"/>
      <w:pPr>
        <w:ind w:left="5040" w:hanging="360"/>
      </w:pPr>
      <w:rPr>
        <w:rFonts w:ascii="Symbol" w:hAnsi="Symbol" w:hint="default"/>
      </w:rPr>
    </w:lvl>
    <w:lvl w:ilvl="7" w:tplc="300A0003">
      <w:start w:val="1"/>
      <w:numFmt w:val="bullet"/>
      <w:lvlText w:val="o"/>
      <w:lvlJc w:val="left"/>
      <w:pPr>
        <w:ind w:left="5760" w:hanging="360"/>
      </w:pPr>
      <w:rPr>
        <w:rFonts w:ascii="Courier New" w:hAnsi="Courier New" w:cs="Courier New" w:hint="default"/>
      </w:rPr>
    </w:lvl>
    <w:lvl w:ilvl="8" w:tplc="300A0005">
      <w:start w:val="1"/>
      <w:numFmt w:val="bullet"/>
      <w:lvlText w:val=""/>
      <w:lvlJc w:val="left"/>
      <w:pPr>
        <w:ind w:left="6480" w:hanging="360"/>
      </w:pPr>
      <w:rPr>
        <w:rFonts w:ascii="Wingdings" w:hAnsi="Wingdings" w:hint="default"/>
      </w:r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5BF0298"/>
    <w:multiLevelType w:val="hybridMultilevel"/>
    <w:tmpl w:val="61C2C53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21"/>
  </w:num>
  <w:num w:numId="3">
    <w:abstractNumId w:val="31"/>
  </w:num>
  <w:num w:numId="4">
    <w:abstractNumId w:val="29"/>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22"/>
  </w:num>
  <w:num w:numId="18">
    <w:abstractNumId w:val="14"/>
  </w:num>
  <w:num w:numId="19">
    <w:abstractNumId w:val="16"/>
  </w:num>
  <w:num w:numId="20">
    <w:abstractNumId w:val="19"/>
  </w:num>
  <w:num w:numId="21">
    <w:abstractNumId w:val="20"/>
  </w:num>
  <w:num w:numId="22">
    <w:abstractNumId w:val="23"/>
  </w:num>
  <w:num w:numId="23">
    <w:abstractNumId w:val="24"/>
  </w:num>
  <w:num w:numId="24">
    <w:abstractNumId w:val="30"/>
  </w:num>
  <w:num w:numId="25">
    <w:abstractNumId w:val="10"/>
  </w:num>
  <w:num w:numId="26">
    <w:abstractNumId w:val="11"/>
  </w:num>
  <w:num w:numId="27">
    <w:abstractNumId w:val="15"/>
  </w:num>
  <w:num w:numId="28">
    <w:abstractNumId w:val="17"/>
  </w:num>
  <w:num w:numId="29">
    <w:abstractNumId w:val="18"/>
  </w:num>
  <w:num w:numId="30">
    <w:abstractNumId w:val="12"/>
  </w:num>
  <w:num w:numId="31">
    <w:abstractNumId w:val="13"/>
  </w:num>
  <w:num w:numId="32">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A18"/>
    <w:rsid w:val="000004AE"/>
    <w:rsid w:val="000034BC"/>
    <w:rsid w:val="00005917"/>
    <w:rsid w:val="00005ED1"/>
    <w:rsid w:val="00006229"/>
    <w:rsid w:val="00010CB9"/>
    <w:rsid w:val="00011483"/>
    <w:rsid w:val="00012E0F"/>
    <w:rsid w:val="00015DAF"/>
    <w:rsid w:val="000214D5"/>
    <w:rsid w:val="000239C2"/>
    <w:rsid w:val="00025652"/>
    <w:rsid w:val="00026768"/>
    <w:rsid w:val="00027470"/>
    <w:rsid w:val="00027BC8"/>
    <w:rsid w:val="00030225"/>
    <w:rsid w:val="00032DB8"/>
    <w:rsid w:val="000355BD"/>
    <w:rsid w:val="0004056F"/>
    <w:rsid w:val="0004282D"/>
    <w:rsid w:val="00043C68"/>
    <w:rsid w:val="000443DE"/>
    <w:rsid w:val="0004446A"/>
    <w:rsid w:val="00046448"/>
    <w:rsid w:val="00050E91"/>
    <w:rsid w:val="00053A39"/>
    <w:rsid w:val="00054F45"/>
    <w:rsid w:val="00056247"/>
    <w:rsid w:val="00057559"/>
    <w:rsid w:val="0006004B"/>
    <w:rsid w:val="00061326"/>
    <w:rsid w:val="000613A0"/>
    <w:rsid w:val="00064D43"/>
    <w:rsid w:val="00065A4F"/>
    <w:rsid w:val="00066EFF"/>
    <w:rsid w:val="00067485"/>
    <w:rsid w:val="00070BA9"/>
    <w:rsid w:val="00072C00"/>
    <w:rsid w:val="0007338E"/>
    <w:rsid w:val="00073A4D"/>
    <w:rsid w:val="000748CC"/>
    <w:rsid w:val="00074BD7"/>
    <w:rsid w:val="00075BF9"/>
    <w:rsid w:val="00076548"/>
    <w:rsid w:val="000779A1"/>
    <w:rsid w:val="00080D61"/>
    <w:rsid w:val="0008122B"/>
    <w:rsid w:val="00081BC5"/>
    <w:rsid w:val="0008512D"/>
    <w:rsid w:val="00085D35"/>
    <w:rsid w:val="0008650D"/>
    <w:rsid w:val="0008652A"/>
    <w:rsid w:val="000875B9"/>
    <w:rsid w:val="00087C26"/>
    <w:rsid w:val="0009070F"/>
    <w:rsid w:val="00090BE7"/>
    <w:rsid w:val="00091299"/>
    <w:rsid w:val="00091FEC"/>
    <w:rsid w:val="00093FCD"/>
    <w:rsid w:val="000947E2"/>
    <w:rsid w:val="000971FE"/>
    <w:rsid w:val="000A33DC"/>
    <w:rsid w:val="000A59C9"/>
    <w:rsid w:val="000A5CF1"/>
    <w:rsid w:val="000A6EC5"/>
    <w:rsid w:val="000B0BE1"/>
    <w:rsid w:val="000B28BE"/>
    <w:rsid w:val="000B2AF2"/>
    <w:rsid w:val="000B3200"/>
    <w:rsid w:val="000B414D"/>
    <w:rsid w:val="000B495D"/>
    <w:rsid w:val="000B52ED"/>
    <w:rsid w:val="000B57E7"/>
    <w:rsid w:val="000B59F6"/>
    <w:rsid w:val="000B6D84"/>
    <w:rsid w:val="000B7D25"/>
    <w:rsid w:val="000C3B08"/>
    <w:rsid w:val="000C7ADB"/>
    <w:rsid w:val="000C7FAD"/>
    <w:rsid w:val="000D082E"/>
    <w:rsid w:val="000D0D76"/>
    <w:rsid w:val="000D1666"/>
    <w:rsid w:val="000D5520"/>
    <w:rsid w:val="000D6D19"/>
    <w:rsid w:val="000E01CB"/>
    <w:rsid w:val="000E0484"/>
    <w:rsid w:val="000E1DEC"/>
    <w:rsid w:val="000E23A3"/>
    <w:rsid w:val="000E426C"/>
    <w:rsid w:val="000E46A4"/>
    <w:rsid w:val="000E4DC6"/>
    <w:rsid w:val="000E4FC3"/>
    <w:rsid w:val="000E5259"/>
    <w:rsid w:val="000E526F"/>
    <w:rsid w:val="000E644B"/>
    <w:rsid w:val="000E7A49"/>
    <w:rsid w:val="000F062A"/>
    <w:rsid w:val="000F09DF"/>
    <w:rsid w:val="000F3D96"/>
    <w:rsid w:val="000F56C5"/>
    <w:rsid w:val="000F61B2"/>
    <w:rsid w:val="000F6A94"/>
    <w:rsid w:val="000F6B16"/>
    <w:rsid w:val="00101E91"/>
    <w:rsid w:val="00102C4C"/>
    <w:rsid w:val="00104010"/>
    <w:rsid w:val="001075E9"/>
    <w:rsid w:val="00110588"/>
    <w:rsid w:val="00111825"/>
    <w:rsid w:val="00111F22"/>
    <w:rsid w:val="0011227B"/>
    <w:rsid w:val="00112386"/>
    <w:rsid w:val="001128C8"/>
    <w:rsid w:val="00112DC4"/>
    <w:rsid w:val="00115207"/>
    <w:rsid w:val="00116D81"/>
    <w:rsid w:val="00120917"/>
    <w:rsid w:val="001235D6"/>
    <w:rsid w:val="00123C0C"/>
    <w:rsid w:val="001276AD"/>
    <w:rsid w:val="00130128"/>
    <w:rsid w:val="00131C47"/>
    <w:rsid w:val="00131F17"/>
    <w:rsid w:val="00132BA0"/>
    <w:rsid w:val="00135919"/>
    <w:rsid w:val="00135CD7"/>
    <w:rsid w:val="00136369"/>
    <w:rsid w:val="00141278"/>
    <w:rsid w:val="00142EBA"/>
    <w:rsid w:val="00143B00"/>
    <w:rsid w:val="0014626D"/>
    <w:rsid w:val="0014789A"/>
    <w:rsid w:val="00147CA3"/>
    <w:rsid w:val="0015068E"/>
    <w:rsid w:val="001506A1"/>
    <w:rsid w:val="00150840"/>
    <w:rsid w:val="00151C39"/>
    <w:rsid w:val="00152556"/>
    <w:rsid w:val="001530DE"/>
    <w:rsid w:val="001552F9"/>
    <w:rsid w:val="001553CD"/>
    <w:rsid w:val="001556D6"/>
    <w:rsid w:val="001605F0"/>
    <w:rsid w:val="00164EF5"/>
    <w:rsid w:val="00165147"/>
    <w:rsid w:val="00170515"/>
    <w:rsid w:val="001707BC"/>
    <w:rsid w:val="0017092D"/>
    <w:rsid w:val="001710C5"/>
    <w:rsid w:val="00173C09"/>
    <w:rsid w:val="0017443B"/>
    <w:rsid w:val="001746F3"/>
    <w:rsid w:val="00174C21"/>
    <w:rsid w:val="001751BB"/>
    <w:rsid w:val="00180183"/>
    <w:rsid w:val="00180AF3"/>
    <w:rsid w:val="00180E26"/>
    <w:rsid w:val="001817DC"/>
    <w:rsid w:val="00182A4C"/>
    <w:rsid w:val="00191064"/>
    <w:rsid w:val="00191F8C"/>
    <w:rsid w:val="001921C8"/>
    <w:rsid w:val="00196389"/>
    <w:rsid w:val="001A095E"/>
    <w:rsid w:val="001A09B6"/>
    <w:rsid w:val="001A1E4B"/>
    <w:rsid w:val="001A614B"/>
    <w:rsid w:val="001A61CB"/>
    <w:rsid w:val="001A67C5"/>
    <w:rsid w:val="001A7887"/>
    <w:rsid w:val="001B01B9"/>
    <w:rsid w:val="001B2FBE"/>
    <w:rsid w:val="001B3024"/>
    <w:rsid w:val="001B30F2"/>
    <w:rsid w:val="001B6063"/>
    <w:rsid w:val="001B7600"/>
    <w:rsid w:val="001B7E8F"/>
    <w:rsid w:val="001C1F1A"/>
    <w:rsid w:val="001C4242"/>
    <w:rsid w:val="001C4458"/>
    <w:rsid w:val="001C45D7"/>
    <w:rsid w:val="001C4FBE"/>
    <w:rsid w:val="001C5719"/>
    <w:rsid w:val="001C7A89"/>
    <w:rsid w:val="001D151D"/>
    <w:rsid w:val="001D1944"/>
    <w:rsid w:val="001D27F7"/>
    <w:rsid w:val="001D2F84"/>
    <w:rsid w:val="001D372D"/>
    <w:rsid w:val="001D3E14"/>
    <w:rsid w:val="001D4B6F"/>
    <w:rsid w:val="001D60D4"/>
    <w:rsid w:val="001E20E0"/>
    <w:rsid w:val="001E2955"/>
    <w:rsid w:val="001E4FE5"/>
    <w:rsid w:val="001E6D30"/>
    <w:rsid w:val="001F0C54"/>
    <w:rsid w:val="001F0C63"/>
    <w:rsid w:val="001F0F3F"/>
    <w:rsid w:val="001F1489"/>
    <w:rsid w:val="001F1D9B"/>
    <w:rsid w:val="001F3047"/>
    <w:rsid w:val="001F54B5"/>
    <w:rsid w:val="001F569F"/>
    <w:rsid w:val="001F5C57"/>
    <w:rsid w:val="001F78ED"/>
    <w:rsid w:val="001F7BB0"/>
    <w:rsid w:val="0020215F"/>
    <w:rsid w:val="00203077"/>
    <w:rsid w:val="0020366A"/>
    <w:rsid w:val="00203FF1"/>
    <w:rsid w:val="002043CC"/>
    <w:rsid w:val="00204B63"/>
    <w:rsid w:val="00205A51"/>
    <w:rsid w:val="00205EEE"/>
    <w:rsid w:val="00210CDB"/>
    <w:rsid w:val="00211C00"/>
    <w:rsid w:val="002142EB"/>
    <w:rsid w:val="00214AA0"/>
    <w:rsid w:val="00215A64"/>
    <w:rsid w:val="0021605B"/>
    <w:rsid w:val="002204A1"/>
    <w:rsid w:val="00221BD1"/>
    <w:rsid w:val="0022295E"/>
    <w:rsid w:val="002233EC"/>
    <w:rsid w:val="0022532C"/>
    <w:rsid w:val="00225D1B"/>
    <w:rsid w:val="00226422"/>
    <w:rsid w:val="00227018"/>
    <w:rsid w:val="0022759C"/>
    <w:rsid w:val="00230365"/>
    <w:rsid w:val="00233A4C"/>
    <w:rsid w:val="00233E69"/>
    <w:rsid w:val="00234F09"/>
    <w:rsid w:val="00235D01"/>
    <w:rsid w:val="00236D5E"/>
    <w:rsid w:val="00236E46"/>
    <w:rsid w:val="002414E2"/>
    <w:rsid w:val="00241BCF"/>
    <w:rsid w:val="00242C97"/>
    <w:rsid w:val="00242F3F"/>
    <w:rsid w:val="00243D0D"/>
    <w:rsid w:val="00244207"/>
    <w:rsid w:val="002452D1"/>
    <w:rsid w:val="002454AE"/>
    <w:rsid w:val="00245747"/>
    <w:rsid w:val="00247CD0"/>
    <w:rsid w:val="00247F0D"/>
    <w:rsid w:val="00250CB8"/>
    <w:rsid w:val="00250D1A"/>
    <w:rsid w:val="0025153B"/>
    <w:rsid w:val="00253774"/>
    <w:rsid w:val="0025480F"/>
    <w:rsid w:val="00255290"/>
    <w:rsid w:val="00257872"/>
    <w:rsid w:val="00260600"/>
    <w:rsid w:val="00260759"/>
    <w:rsid w:val="00260C29"/>
    <w:rsid w:val="0026183F"/>
    <w:rsid w:val="002633AF"/>
    <w:rsid w:val="00263719"/>
    <w:rsid w:val="00263ED8"/>
    <w:rsid w:val="00271B04"/>
    <w:rsid w:val="00271FE1"/>
    <w:rsid w:val="00272E0B"/>
    <w:rsid w:val="00275D88"/>
    <w:rsid w:val="00276AB5"/>
    <w:rsid w:val="0027769F"/>
    <w:rsid w:val="00281CA6"/>
    <w:rsid w:val="0028281B"/>
    <w:rsid w:val="002828CD"/>
    <w:rsid w:val="00285755"/>
    <w:rsid w:val="00285D1C"/>
    <w:rsid w:val="00287A0F"/>
    <w:rsid w:val="0029180A"/>
    <w:rsid w:val="002921D9"/>
    <w:rsid w:val="00292507"/>
    <w:rsid w:val="002929EB"/>
    <w:rsid w:val="00293316"/>
    <w:rsid w:val="002934E2"/>
    <w:rsid w:val="00293C96"/>
    <w:rsid w:val="00293D8D"/>
    <w:rsid w:val="00294BE2"/>
    <w:rsid w:val="00294C1F"/>
    <w:rsid w:val="002969EF"/>
    <w:rsid w:val="00297386"/>
    <w:rsid w:val="00297414"/>
    <w:rsid w:val="002A0869"/>
    <w:rsid w:val="002A143D"/>
    <w:rsid w:val="002A1C0F"/>
    <w:rsid w:val="002A25DC"/>
    <w:rsid w:val="002A2EFC"/>
    <w:rsid w:val="002A4732"/>
    <w:rsid w:val="002A47A1"/>
    <w:rsid w:val="002A6D05"/>
    <w:rsid w:val="002A7F87"/>
    <w:rsid w:val="002B1729"/>
    <w:rsid w:val="002B7859"/>
    <w:rsid w:val="002B7CC0"/>
    <w:rsid w:val="002B7E5F"/>
    <w:rsid w:val="002C006A"/>
    <w:rsid w:val="002C0FC6"/>
    <w:rsid w:val="002C1EED"/>
    <w:rsid w:val="002C2F77"/>
    <w:rsid w:val="002C3F6E"/>
    <w:rsid w:val="002C4512"/>
    <w:rsid w:val="002C4D2F"/>
    <w:rsid w:val="002C51A9"/>
    <w:rsid w:val="002C64DB"/>
    <w:rsid w:val="002C66B8"/>
    <w:rsid w:val="002D0AFE"/>
    <w:rsid w:val="002D0B0E"/>
    <w:rsid w:val="002D16F0"/>
    <w:rsid w:val="002D2932"/>
    <w:rsid w:val="002D2CE8"/>
    <w:rsid w:val="002D38AB"/>
    <w:rsid w:val="002D46A4"/>
    <w:rsid w:val="002D5AAC"/>
    <w:rsid w:val="002D5E87"/>
    <w:rsid w:val="002E1AA4"/>
    <w:rsid w:val="002E2850"/>
    <w:rsid w:val="002E378D"/>
    <w:rsid w:val="002E3EB7"/>
    <w:rsid w:val="002E56E4"/>
    <w:rsid w:val="002E5D3A"/>
    <w:rsid w:val="002E6C24"/>
    <w:rsid w:val="002F01B2"/>
    <w:rsid w:val="002F026B"/>
    <w:rsid w:val="002F0711"/>
    <w:rsid w:val="002F0A66"/>
    <w:rsid w:val="002F1128"/>
    <w:rsid w:val="002F2D80"/>
    <w:rsid w:val="002F437F"/>
    <w:rsid w:val="002F5C32"/>
    <w:rsid w:val="002F5C7B"/>
    <w:rsid w:val="002F5C7F"/>
    <w:rsid w:val="002F5D7D"/>
    <w:rsid w:val="002F5F46"/>
    <w:rsid w:val="002F6C3F"/>
    <w:rsid w:val="002F6C8F"/>
    <w:rsid w:val="002F7660"/>
    <w:rsid w:val="0030076E"/>
    <w:rsid w:val="00300FF8"/>
    <w:rsid w:val="00301299"/>
    <w:rsid w:val="00301A29"/>
    <w:rsid w:val="003020D4"/>
    <w:rsid w:val="00302901"/>
    <w:rsid w:val="00306A57"/>
    <w:rsid w:val="00312846"/>
    <w:rsid w:val="00313431"/>
    <w:rsid w:val="00314EE7"/>
    <w:rsid w:val="00315A13"/>
    <w:rsid w:val="00315A61"/>
    <w:rsid w:val="003162D4"/>
    <w:rsid w:val="003164F3"/>
    <w:rsid w:val="00317B25"/>
    <w:rsid w:val="00320138"/>
    <w:rsid w:val="0032053E"/>
    <w:rsid w:val="00320584"/>
    <w:rsid w:val="003209FC"/>
    <w:rsid w:val="00322004"/>
    <w:rsid w:val="00325105"/>
    <w:rsid w:val="00330E17"/>
    <w:rsid w:val="00335057"/>
    <w:rsid w:val="00335D28"/>
    <w:rsid w:val="00336499"/>
    <w:rsid w:val="00337055"/>
    <w:rsid w:val="00337482"/>
    <w:rsid w:val="003402C2"/>
    <w:rsid w:val="00341FC2"/>
    <w:rsid w:val="00342EEC"/>
    <w:rsid w:val="003431DC"/>
    <w:rsid w:val="003437A9"/>
    <w:rsid w:val="003437C2"/>
    <w:rsid w:val="003446C4"/>
    <w:rsid w:val="00346301"/>
    <w:rsid w:val="00347C3D"/>
    <w:rsid w:val="00347DE1"/>
    <w:rsid w:val="00351CBA"/>
    <w:rsid w:val="00356A7C"/>
    <w:rsid w:val="00360D42"/>
    <w:rsid w:val="0036149E"/>
    <w:rsid w:val="003625D3"/>
    <w:rsid w:val="00366446"/>
    <w:rsid w:val="00367422"/>
    <w:rsid w:val="003710A8"/>
    <w:rsid w:val="003726CD"/>
    <w:rsid w:val="00376F5D"/>
    <w:rsid w:val="0037762A"/>
    <w:rsid w:val="00381647"/>
    <w:rsid w:val="00381C24"/>
    <w:rsid w:val="00387BB7"/>
    <w:rsid w:val="00387FC0"/>
    <w:rsid w:val="00390E7D"/>
    <w:rsid w:val="003945BA"/>
    <w:rsid w:val="003958D0"/>
    <w:rsid w:val="003A239A"/>
    <w:rsid w:val="003A560B"/>
    <w:rsid w:val="003A5F6F"/>
    <w:rsid w:val="003A76DF"/>
    <w:rsid w:val="003B004F"/>
    <w:rsid w:val="003B4988"/>
    <w:rsid w:val="003B4DA7"/>
    <w:rsid w:val="003B6D8B"/>
    <w:rsid w:val="003B6EBC"/>
    <w:rsid w:val="003B766B"/>
    <w:rsid w:val="003C4889"/>
    <w:rsid w:val="003C4E72"/>
    <w:rsid w:val="003D018C"/>
    <w:rsid w:val="003D064D"/>
    <w:rsid w:val="003D1B4C"/>
    <w:rsid w:val="003D49B0"/>
    <w:rsid w:val="003D6EEF"/>
    <w:rsid w:val="003E0B4D"/>
    <w:rsid w:val="003E3E3D"/>
    <w:rsid w:val="003E4EDF"/>
    <w:rsid w:val="003E566F"/>
    <w:rsid w:val="003E5691"/>
    <w:rsid w:val="003E68FA"/>
    <w:rsid w:val="003F027E"/>
    <w:rsid w:val="003F2014"/>
    <w:rsid w:val="003F2A04"/>
    <w:rsid w:val="003F3A37"/>
    <w:rsid w:val="003F3A7E"/>
    <w:rsid w:val="003F3E38"/>
    <w:rsid w:val="003F44A8"/>
    <w:rsid w:val="003F5C6F"/>
    <w:rsid w:val="003F6134"/>
    <w:rsid w:val="003F7387"/>
    <w:rsid w:val="00400972"/>
    <w:rsid w:val="00400CD4"/>
    <w:rsid w:val="00400F81"/>
    <w:rsid w:val="004029D0"/>
    <w:rsid w:val="00404500"/>
    <w:rsid w:val="00405188"/>
    <w:rsid w:val="00406ACE"/>
    <w:rsid w:val="004071FA"/>
    <w:rsid w:val="00407F38"/>
    <w:rsid w:val="0041031F"/>
    <w:rsid w:val="004130F8"/>
    <w:rsid w:val="00414338"/>
    <w:rsid w:val="004145ED"/>
    <w:rsid w:val="00415A40"/>
    <w:rsid w:val="00420ABB"/>
    <w:rsid w:val="004211D3"/>
    <w:rsid w:val="004213E1"/>
    <w:rsid w:val="00421975"/>
    <w:rsid w:val="00424191"/>
    <w:rsid w:val="004275EC"/>
    <w:rsid w:val="00432D72"/>
    <w:rsid w:val="00435F40"/>
    <w:rsid w:val="00440014"/>
    <w:rsid w:val="004403DA"/>
    <w:rsid w:val="00441549"/>
    <w:rsid w:val="00441D8A"/>
    <w:rsid w:val="00446942"/>
    <w:rsid w:val="00447709"/>
    <w:rsid w:val="00451C12"/>
    <w:rsid w:val="00452B93"/>
    <w:rsid w:val="00454E07"/>
    <w:rsid w:val="00461E01"/>
    <w:rsid w:val="00463B56"/>
    <w:rsid w:val="0046551A"/>
    <w:rsid w:val="004657F2"/>
    <w:rsid w:val="00467370"/>
    <w:rsid w:val="00467CE7"/>
    <w:rsid w:val="00471778"/>
    <w:rsid w:val="0047259A"/>
    <w:rsid w:val="00472A04"/>
    <w:rsid w:val="00473C71"/>
    <w:rsid w:val="00474861"/>
    <w:rsid w:val="00476A62"/>
    <w:rsid w:val="00477966"/>
    <w:rsid w:val="004826BF"/>
    <w:rsid w:val="00482B79"/>
    <w:rsid w:val="00483110"/>
    <w:rsid w:val="004838A7"/>
    <w:rsid w:val="00483F5E"/>
    <w:rsid w:val="00484DE6"/>
    <w:rsid w:val="00487E36"/>
    <w:rsid w:val="004909E9"/>
    <w:rsid w:val="00490CCF"/>
    <w:rsid w:val="00490F37"/>
    <w:rsid w:val="004928D1"/>
    <w:rsid w:val="004936EA"/>
    <w:rsid w:val="00493799"/>
    <w:rsid w:val="00493DAF"/>
    <w:rsid w:val="004966C0"/>
    <w:rsid w:val="00496C93"/>
    <w:rsid w:val="004978A4"/>
    <w:rsid w:val="004A09D9"/>
    <w:rsid w:val="004A1B3E"/>
    <w:rsid w:val="004A1C9C"/>
    <w:rsid w:val="004A1F0D"/>
    <w:rsid w:val="004A207F"/>
    <w:rsid w:val="004A254D"/>
    <w:rsid w:val="004A2D0D"/>
    <w:rsid w:val="004A34C8"/>
    <w:rsid w:val="004A3EAF"/>
    <w:rsid w:val="004A51FF"/>
    <w:rsid w:val="004A5466"/>
    <w:rsid w:val="004A58DE"/>
    <w:rsid w:val="004A6107"/>
    <w:rsid w:val="004A79DD"/>
    <w:rsid w:val="004B0825"/>
    <w:rsid w:val="004B0A98"/>
    <w:rsid w:val="004B0B03"/>
    <w:rsid w:val="004B0DA4"/>
    <w:rsid w:val="004B0E44"/>
    <w:rsid w:val="004B19F2"/>
    <w:rsid w:val="004B2FF1"/>
    <w:rsid w:val="004B30F4"/>
    <w:rsid w:val="004B369E"/>
    <w:rsid w:val="004B4620"/>
    <w:rsid w:val="004B4D0E"/>
    <w:rsid w:val="004B64F1"/>
    <w:rsid w:val="004B6510"/>
    <w:rsid w:val="004B7086"/>
    <w:rsid w:val="004B725C"/>
    <w:rsid w:val="004B7865"/>
    <w:rsid w:val="004C0E8D"/>
    <w:rsid w:val="004C2353"/>
    <w:rsid w:val="004C306E"/>
    <w:rsid w:val="004C522E"/>
    <w:rsid w:val="004C75EE"/>
    <w:rsid w:val="004D0C74"/>
    <w:rsid w:val="004D213B"/>
    <w:rsid w:val="004D3DEF"/>
    <w:rsid w:val="004D44B2"/>
    <w:rsid w:val="004D4798"/>
    <w:rsid w:val="004D5153"/>
    <w:rsid w:val="004D56CB"/>
    <w:rsid w:val="004D775B"/>
    <w:rsid w:val="004E155B"/>
    <w:rsid w:val="004E4071"/>
    <w:rsid w:val="004E57E3"/>
    <w:rsid w:val="004E5A80"/>
    <w:rsid w:val="004E7289"/>
    <w:rsid w:val="004E74E9"/>
    <w:rsid w:val="004E7E3D"/>
    <w:rsid w:val="004F0C50"/>
    <w:rsid w:val="004F0C66"/>
    <w:rsid w:val="004F27C9"/>
    <w:rsid w:val="004F49A1"/>
    <w:rsid w:val="004F57FB"/>
    <w:rsid w:val="004F6A18"/>
    <w:rsid w:val="004F7808"/>
    <w:rsid w:val="0050020A"/>
    <w:rsid w:val="00500CFC"/>
    <w:rsid w:val="0050108D"/>
    <w:rsid w:val="005016AF"/>
    <w:rsid w:val="0050302D"/>
    <w:rsid w:val="00505AF2"/>
    <w:rsid w:val="00506105"/>
    <w:rsid w:val="00506546"/>
    <w:rsid w:val="005076AF"/>
    <w:rsid w:val="00507C8D"/>
    <w:rsid w:val="00507E66"/>
    <w:rsid w:val="00515286"/>
    <w:rsid w:val="005165DD"/>
    <w:rsid w:val="00517588"/>
    <w:rsid w:val="0052002F"/>
    <w:rsid w:val="0052159C"/>
    <w:rsid w:val="00522BED"/>
    <w:rsid w:val="005230F6"/>
    <w:rsid w:val="00524E8E"/>
    <w:rsid w:val="00525539"/>
    <w:rsid w:val="00525D62"/>
    <w:rsid w:val="00527DD5"/>
    <w:rsid w:val="0053348C"/>
    <w:rsid w:val="005346C2"/>
    <w:rsid w:val="00536E9A"/>
    <w:rsid w:val="00540439"/>
    <w:rsid w:val="00540D46"/>
    <w:rsid w:val="00542834"/>
    <w:rsid w:val="005430F3"/>
    <w:rsid w:val="00544CD4"/>
    <w:rsid w:val="00547BBA"/>
    <w:rsid w:val="00547D43"/>
    <w:rsid w:val="005502C6"/>
    <w:rsid w:val="00554968"/>
    <w:rsid w:val="00554A93"/>
    <w:rsid w:val="00554BCA"/>
    <w:rsid w:val="00555A31"/>
    <w:rsid w:val="00560BDE"/>
    <w:rsid w:val="0056122D"/>
    <w:rsid w:val="00561C14"/>
    <w:rsid w:val="0056332C"/>
    <w:rsid w:val="00563E4D"/>
    <w:rsid w:val="00567EB5"/>
    <w:rsid w:val="00571F01"/>
    <w:rsid w:val="005727EC"/>
    <w:rsid w:val="00572910"/>
    <w:rsid w:val="00572BAD"/>
    <w:rsid w:val="00572E19"/>
    <w:rsid w:val="00574267"/>
    <w:rsid w:val="005762AC"/>
    <w:rsid w:val="00576654"/>
    <w:rsid w:val="0057674D"/>
    <w:rsid w:val="00583FF4"/>
    <w:rsid w:val="005846DC"/>
    <w:rsid w:val="00585E29"/>
    <w:rsid w:val="00585EA4"/>
    <w:rsid w:val="00586C50"/>
    <w:rsid w:val="00591396"/>
    <w:rsid w:val="005915CC"/>
    <w:rsid w:val="005916A4"/>
    <w:rsid w:val="00593557"/>
    <w:rsid w:val="00593EDC"/>
    <w:rsid w:val="00594F56"/>
    <w:rsid w:val="0059504E"/>
    <w:rsid w:val="005953D9"/>
    <w:rsid w:val="0059690A"/>
    <w:rsid w:val="005969AC"/>
    <w:rsid w:val="0059720B"/>
    <w:rsid w:val="005976EF"/>
    <w:rsid w:val="005A0004"/>
    <w:rsid w:val="005A0B7C"/>
    <w:rsid w:val="005A5447"/>
    <w:rsid w:val="005A6945"/>
    <w:rsid w:val="005A7645"/>
    <w:rsid w:val="005B0755"/>
    <w:rsid w:val="005B1435"/>
    <w:rsid w:val="005B1A5B"/>
    <w:rsid w:val="005B2441"/>
    <w:rsid w:val="005B5272"/>
    <w:rsid w:val="005B57B5"/>
    <w:rsid w:val="005B78A3"/>
    <w:rsid w:val="005C36C0"/>
    <w:rsid w:val="005C39B7"/>
    <w:rsid w:val="005C3F83"/>
    <w:rsid w:val="005C420C"/>
    <w:rsid w:val="005C4C0F"/>
    <w:rsid w:val="005C5E66"/>
    <w:rsid w:val="005C69FD"/>
    <w:rsid w:val="005D0340"/>
    <w:rsid w:val="005D151C"/>
    <w:rsid w:val="005D2560"/>
    <w:rsid w:val="005D621A"/>
    <w:rsid w:val="005D6A4D"/>
    <w:rsid w:val="005D732B"/>
    <w:rsid w:val="005D7729"/>
    <w:rsid w:val="005E04B7"/>
    <w:rsid w:val="005E297F"/>
    <w:rsid w:val="005E3635"/>
    <w:rsid w:val="005E54A4"/>
    <w:rsid w:val="005E765B"/>
    <w:rsid w:val="005F0A39"/>
    <w:rsid w:val="005F0B42"/>
    <w:rsid w:val="005F3699"/>
    <w:rsid w:val="005F5C35"/>
    <w:rsid w:val="006012C7"/>
    <w:rsid w:val="006015E2"/>
    <w:rsid w:val="00602711"/>
    <w:rsid w:val="00602AD9"/>
    <w:rsid w:val="006057B0"/>
    <w:rsid w:val="00605853"/>
    <w:rsid w:val="00606F44"/>
    <w:rsid w:val="00610A96"/>
    <w:rsid w:val="006114EB"/>
    <w:rsid w:val="0061577D"/>
    <w:rsid w:val="006164B2"/>
    <w:rsid w:val="00616A61"/>
    <w:rsid w:val="0062126A"/>
    <w:rsid w:val="0062149F"/>
    <w:rsid w:val="0062168A"/>
    <w:rsid w:val="00621BF1"/>
    <w:rsid w:val="00622E8C"/>
    <w:rsid w:val="00623731"/>
    <w:rsid w:val="00626E5A"/>
    <w:rsid w:val="006321B0"/>
    <w:rsid w:val="006347AF"/>
    <w:rsid w:val="00637B54"/>
    <w:rsid w:val="006415B1"/>
    <w:rsid w:val="00641A45"/>
    <w:rsid w:val="00641E38"/>
    <w:rsid w:val="0064421C"/>
    <w:rsid w:val="006442E6"/>
    <w:rsid w:val="00645A3B"/>
    <w:rsid w:val="00650E62"/>
    <w:rsid w:val="0065183B"/>
    <w:rsid w:val="00653A8B"/>
    <w:rsid w:val="006611E4"/>
    <w:rsid w:val="00661BD2"/>
    <w:rsid w:val="00662E1E"/>
    <w:rsid w:val="00664244"/>
    <w:rsid w:val="006657B3"/>
    <w:rsid w:val="00666600"/>
    <w:rsid w:val="00667543"/>
    <w:rsid w:val="0067086F"/>
    <w:rsid w:val="00670D85"/>
    <w:rsid w:val="006720EB"/>
    <w:rsid w:val="0067282C"/>
    <w:rsid w:val="00673568"/>
    <w:rsid w:val="00674382"/>
    <w:rsid w:val="00675541"/>
    <w:rsid w:val="00683359"/>
    <w:rsid w:val="00683436"/>
    <w:rsid w:val="00684CF0"/>
    <w:rsid w:val="00685080"/>
    <w:rsid w:val="00686BE5"/>
    <w:rsid w:val="00690257"/>
    <w:rsid w:val="00691B34"/>
    <w:rsid w:val="00692701"/>
    <w:rsid w:val="006943AF"/>
    <w:rsid w:val="00694D22"/>
    <w:rsid w:val="006A2716"/>
    <w:rsid w:val="006A28FC"/>
    <w:rsid w:val="006A3247"/>
    <w:rsid w:val="006A4F9E"/>
    <w:rsid w:val="006A5242"/>
    <w:rsid w:val="006A5CD3"/>
    <w:rsid w:val="006A605C"/>
    <w:rsid w:val="006A6262"/>
    <w:rsid w:val="006A7301"/>
    <w:rsid w:val="006A73A8"/>
    <w:rsid w:val="006B053F"/>
    <w:rsid w:val="006B08D7"/>
    <w:rsid w:val="006B1086"/>
    <w:rsid w:val="006B19E9"/>
    <w:rsid w:val="006B205F"/>
    <w:rsid w:val="006B4F8E"/>
    <w:rsid w:val="006B53DD"/>
    <w:rsid w:val="006B5722"/>
    <w:rsid w:val="006B70BE"/>
    <w:rsid w:val="006C1076"/>
    <w:rsid w:val="006C1799"/>
    <w:rsid w:val="006C2966"/>
    <w:rsid w:val="006C5C82"/>
    <w:rsid w:val="006C6A95"/>
    <w:rsid w:val="006D0977"/>
    <w:rsid w:val="006D0C5B"/>
    <w:rsid w:val="006D1439"/>
    <w:rsid w:val="006D2DC1"/>
    <w:rsid w:val="006D40FE"/>
    <w:rsid w:val="006D483F"/>
    <w:rsid w:val="006D4B80"/>
    <w:rsid w:val="006D7BBC"/>
    <w:rsid w:val="006E0B26"/>
    <w:rsid w:val="006E1496"/>
    <w:rsid w:val="006E2482"/>
    <w:rsid w:val="006E29A7"/>
    <w:rsid w:val="006E3563"/>
    <w:rsid w:val="006E4C60"/>
    <w:rsid w:val="006E596A"/>
    <w:rsid w:val="006E671C"/>
    <w:rsid w:val="006E7018"/>
    <w:rsid w:val="006E7C8F"/>
    <w:rsid w:val="006F0C01"/>
    <w:rsid w:val="006F35EE"/>
    <w:rsid w:val="006F4804"/>
    <w:rsid w:val="006F62BB"/>
    <w:rsid w:val="006F701C"/>
    <w:rsid w:val="00701719"/>
    <w:rsid w:val="00701AED"/>
    <w:rsid w:val="00704890"/>
    <w:rsid w:val="00704C5B"/>
    <w:rsid w:val="00704CBC"/>
    <w:rsid w:val="00705261"/>
    <w:rsid w:val="007055E1"/>
    <w:rsid w:val="0070599A"/>
    <w:rsid w:val="00706EC0"/>
    <w:rsid w:val="00710CF8"/>
    <w:rsid w:val="00711550"/>
    <w:rsid w:val="007125AC"/>
    <w:rsid w:val="00713E35"/>
    <w:rsid w:val="00714012"/>
    <w:rsid w:val="007145D0"/>
    <w:rsid w:val="00716C6F"/>
    <w:rsid w:val="00716EC0"/>
    <w:rsid w:val="00717AC8"/>
    <w:rsid w:val="00717C7B"/>
    <w:rsid w:val="00722B66"/>
    <w:rsid w:val="00722D82"/>
    <w:rsid w:val="00725436"/>
    <w:rsid w:val="007303A9"/>
    <w:rsid w:val="00731108"/>
    <w:rsid w:val="00741864"/>
    <w:rsid w:val="00742185"/>
    <w:rsid w:val="00743C3C"/>
    <w:rsid w:val="0074442C"/>
    <w:rsid w:val="007450D7"/>
    <w:rsid w:val="007464CC"/>
    <w:rsid w:val="00746D56"/>
    <w:rsid w:val="00751007"/>
    <w:rsid w:val="007514F8"/>
    <w:rsid w:val="00753682"/>
    <w:rsid w:val="00753B42"/>
    <w:rsid w:val="007541A3"/>
    <w:rsid w:val="007547A4"/>
    <w:rsid w:val="00754B8C"/>
    <w:rsid w:val="007569B4"/>
    <w:rsid w:val="0075738F"/>
    <w:rsid w:val="0076040E"/>
    <w:rsid w:val="007611BD"/>
    <w:rsid w:val="0076291D"/>
    <w:rsid w:val="00764480"/>
    <w:rsid w:val="007650D2"/>
    <w:rsid w:val="00765BFF"/>
    <w:rsid w:val="00770A58"/>
    <w:rsid w:val="007712CA"/>
    <w:rsid w:val="00771435"/>
    <w:rsid w:val="00772759"/>
    <w:rsid w:val="00772945"/>
    <w:rsid w:val="00775257"/>
    <w:rsid w:val="00775FA2"/>
    <w:rsid w:val="00780ABA"/>
    <w:rsid w:val="007812DF"/>
    <w:rsid w:val="00782052"/>
    <w:rsid w:val="00783B93"/>
    <w:rsid w:val="007852A2"/>
    <w:rsid w:val="00785E3C"/>
    <w:rsid w:val="00786E2F"/>
    <w:rsid w:val="00790F85"/>
    <w:rsid w:val="00792718"/>
    <w:rsid w:val="00792AAD"/>
    <w:rsid w:val="00792AF4"/>
    <w:rsid w:val="007936B2"/>
    <w:rsid w:val="00793FB0"/>
    <w:rsid w:val="00795B93"/>
    <w:rsid w:val="0079743F"/>
    <w:rsid w:val="0079754A"/>
    <w:rsid w:val="007A00D4"/>
    <w:rsid w:val="007A285C"/>
    <w:rsid w:val="007A320A"/>
    <w:rsid w:val="007A5BCF"/>
    <w:rsid w:val="007A6058"/>
    <w:rsid w:val="007A60D4"/>
    <w:rsid w:val="007A6293"/>
    <w:rsid w:val="007A6601"/>
    <w:rsid w:val="007A6D94"/>
    <w:rsid w:val="007A785A"/>
    <w:rsid w:val="007B0296"/>
    <w:rsid w:val="007B067B"/>
    <w:rsid w:val="007B3C2C"/>
    <w:rsid w:val="007B4AD7"/>
    <w:rsid w:val="007B5407"/>
    <w:rsid w:val="007B55A8"/>
    <w:rsid w:val="007B6190"/>
    <w:rsid w:val="007B6415"/>
    <w:rsid w:val="007B6452"/>
    <w:rsid w:val="007B7B2E"/>
    <w:rsid w:val="007C0BD6"/>
    <w:rsid w:val="007C0CEB"/>
    <w:rsid w:val="007C138C"/>
    <w:rsid w:val="007C2C3D"/>
    <w:rsid w:val="007C3A81"/>
    <w:rsid w:val="007C4AF9"/>
    <w:rsid w:val="007C4FAA"/>
    <w:rsid w:val="007C63AC"/>
    <w:rsid w:val="007C7F97"/>
    <w:rsid w:val="007D2020"/>
    <w:rsid w:val="007D2A64"/>
    <w:rsid w:val="007D367F"/>
    <w:rsid w:val="007D3EA9"/>
    <w:rsid w:val="007D6339"/>
    <w:rsid w:val="007D7074"/>
    <w:rsid w:val="007E009D"/>
    <w:rsid w:val="007E0155"/>
    <w:rsid w:val="007E1A65"/>
    <w:rsid w:val="007E301A"/>
    <w:rsid w:val="007E3C80"/>
    <w:rsid w:val="007E6C2A"/>
    <w:rsid w:val="007F4DAB"/>
    <w:rsid w:val="00802199"/>
    <w:rsid w:val="008027C1"/>
    <w:rsid w:val="00802852"/>
    <w:rsid w:val="008028B5"/>
    <w:rsid w:val="00802909"/>
    <w:rsid w:val="00805A99"/>
    <w:rsid w:val="00805DC9"/>
    <w:rsid w:val="00805FB9"/>
    <w:rsid w:val="00815A98"/>
    <w:rsid w:val="008161B7"/>
    <w:rsid w:val="008206B9"/>
    <w:rsid w:val="00822788"/>
    <w:rsid w:val="0082428A"/>
    <w:rsid w:val="00824DDB"/>
    <w:rsid w:val="0082725B"/>
    <w:rsid w:val="00830923"/>
    <w:rsid w:val="00830F7B"/>
    <w:rsid w:val="008334DF"/>
    <w:rsid w:val="00833D1B"/>
    <w:rsid w:val="00834B71"/>
    <w:rsid w:val="00835D23"/>
    <w:rsid w:val="008401AE"/>
    <w:rsid w:val="008414F2"/>
    <w:rsid w:val="00842513"/>
    <w:rsid w:val="008425CA"/>
    <w:rsid w:val="008449F8"/>
    <w:rsid w:val="008452DD"/>
    <w:rsid w:val="008500ED"/>
    <w:rsid w:val="0085138B"/>
    <w:rsid w:val="00851D03"/>
    <w:rsid w:val="008528CB"/>
    <w:rsid w:val="00854459"/>
    <w:rsid w:val="00856038"/>
    <w:rsid w:val="00857DDA"/>
    <w:rsid w:val="00860745"/>
    <w:rsid w:val="00861075"/>
    <w:rsid w:val="00862F7C"/>
    <w:rsid w:val="0086445C"/>
    <w:rsid w:val="00864B81"/>
    <w:rsid w:val="0086685F"/>
    <w:rsid w:val="008736F0"/>
    <w:rsid w:val="00875DCB"/>
    <w:rsid w:val="00876A97"/>
    <w:rsid w:val="00877503"/>
    <w:rsid w:val="00880844"/>
    <w:rsid w:val="008819AE"/>
    <w:rsid w:val="00882023"/>
    <w:rsid w:val="00883AFB"/>
    <w:rsid w:val="00883DF9"/>
    <w:rsid w:val="008844B8"/>
    <w:rsid w:val="00884D8E"/>
    <w:rsid w:val="0088511D"/>
    <w:rsid w:val="00885540"/>
    <w:rsid w:val="00885BD8"/>
    <w:rsid w:val="00886706"/>
    <w:rsid w:val="00887C02"/>
    <w:rsid w:val="00887C91"/>
    <w:rsid w:val="00890B67"/>
    <w:rsid w:val="00891EDB"/>
    <w:rsid w:val="00893014"/>
    <w:rsid w:val="00893519"/>
    <w:rsid w:val="00895C63"/>
    <w:rsid w:val="008961F4"/>
    <w:rsid w:val="00896590"/>
    <w:rsid w:val="00896FB2"/>
    <w:rsid w:val="008A0593"/>
    <w:rsid w:val="008A08D7"/>
    <w:rsid w:val="008A0F90"/>
    <w:rsid w:val="008A4B6C"/>
    <w:rsid w:val="008A4CFE"/>
    <w:rsid w:val="008A5F05"/>
    <w:rsid w:val="008A71F9"/>
    <w:rsid w:val="008A7AA7"/>
    <w:rsid w:val="008B0E25"/>
    <w:rsid w:val="008B21D5"/>
    <w:rsid w:val="008B4487"/>
    <w:rsid w:val="008B53A8"/>
    <w:rsid w:val="008C1062"/>
    <w:rsid w:val="008C12EB"/>
    <w:rsid w:val="008C214E"/>
    <w:rsid w:val="008C383E"/>
    <w:rsid w:val="008C4A30"/>
    <w:rsid w:val="008C4F9B"/>
    <w:rsid w:val="008C6904"/>
    <w:rsid w:val="008D06E2"/>
    <w:rsid w:val="008D0E1E"/>
    <w:rsid w:val="008D1800"/>
    <w:rsid w:val="008D27EC"/>
    <w:rsid w:val="008D2F70"/>
    <w:rsid w:val="008D5B6E"/>
    <w:rsid w:val="008D6ADD"/>
    <w:rsid w:val="008D71CB"/>
    <w:rsid w:val="008E0D03"/>
    <w:rsid w:val="008E347E"/>
    <w:rsid w:val="008E3629"/>
    <w:rsid w:val="008E626D"/>
    <w:rsid w:val="008F0C7E"/>
    <w:rsid w:val="008F3ADE"/>
    <w:rsid w:val="008F4291"/>
    <w:rsid w:val="008F5131"/>
    <w:rsid w:val="008F5CDE"/>
    <w:rsid w:val="0090021E"/>
    <w:rsid w:val="00901E5D"/>
    <w:rsid w:val="00906653"/>
    <w:rsid w:val="00906683"/>
    <w:rsid w:val="00906890"/>
    <w:rsid w:val="00906A01"/>
    <w:rsid w:val="00906F7D"/>
    <w:rsid w:val="00907CBD"/>
    <w:rsid w:val="009138D8"/>
    <w:rsid w:val="009173F5"/>
    <w:rsid w:val="00921179"/>
    <w:rsid w:val="00922DFF"/>
    <w:rsid w:val="009232F5"/>
    <w:rsid w:val="0092386A"/>
    <w:rsid w:val="00924A79"/>
    <w:rsid w:val="00926F2C"/>
    <w:rsid w:val="009332CB"/>
    <w:rsid w:val="009343BC"/>
    <w:rsid w:val="00934DA3"/>
    <w:rsid w:val="009360CE"/>
    <w:rsid w:val="009367E1"/>
    <w:rsid w:val="00936B8B"/>
    <w:rsid w:val="009378B6"/>
    <w:rsid w:val="00937F58"/>
    <w:rsid w:val="00947CFE"/>
    <w:rsid w:val="009504B2"/>
    <w:rsid w:val="00951972"/>
    <w:rsid w:val="00951DC1"/>
    <w:rsid w:val="009559F1"/>
    <w:rsid w:val="0096156D"/>
    <w:rsid w:val="009622C7"/>
    <w:rsid w:val="00964747"/>
    <w:rsid w:val="00964B02"/>
    <w:rsid w:val="00964C62"/>
    <w:rsid w:val="00965D1D"/>
    <w:rsid w:val="00967005"/>
    <w:rsid w:val="00967D40"/>
    <w:rsid w:val="00970905"/>
    <w:rsid w:val="009709CB"/>
    <w:rsid w:val="00972868"/>
    <w:rsid w:val="00975177"/>
    <w:rsid w:val="00975676"/>
    <w:rsid w:val="009759C0"/>
    <w:rsid w:val="00976CD5"/>
    <w:rsid w:val="00976EF2"/>
    <w:rsid w:val="009802B8"/>
    <w:rsid w:val="0098179B"/>
    <w:rsid w:val="00982B22"/>
    <w:rsid w:val="00983606"/>
    <w:rsid w:val="009856AE"/>
    <w:rsid w:val="00987938"/>
    <w:rsid w:val="00987F5B"/>
    <w:rsid w:val="0099015D"/>
    <w:rsid w:val="009971E9"/>
    <w:rsid w:val="009A0636"/>
    <w:rsid w:val="009A0C46"/>
    <w:rsid w:val="009A3490"/>
    <w:rsid w:val="009A5E04"/>
    <w:rsid w:val="009B0FCA"/>
    <w:rsid w:val="009B28EE"/>
    <w:rsid w:val="009B74CD"/>
    <w:rsid w:val="009C03F5"/>
    <w:rsid w:val="009C1AA5"/>
    <w:rsid w:val="009C3B5D"/>
    <w:rsid w:val="009C3C13"/>
    <w:rsid w:val="009C4FA5"/>
    <w:rsid w:val="009D1E24"/>
    <w:rsid w:val="009D2A21"/>
    <w:rsid w:val="009D38B4"/>
    <w:rsid w:val="009D4F9C"/>
    <w:rsid w:val="009D4FA2"/>
    <w:rsid w:val="009D60C4"/>
    <w:rsid w:val="009E14EC"/>
    <w:rsid w:val="009E1A65"/>
    <w:rsid w:val="009E2C6E"/>
    <w:rsid w:val="009E4D7F"/>
    <w:rsid w:val="009E5423"/>
    <w:rsid w:val="009E6DDA"/>
    <w:rsid w:val="009E78C4"/>
    <w:rsid w:val="009F2DF2"/>
    <w:rsid w:val="009F3224"/>
    <w:rsid w:val="009F5C33"/>
    <w:rsid w:val="009F72B0"/>
    <w:rsid w:val="009F7D17"/>
    <w:rsid w:val="009F7EDF"/>
    <w:rsid w:val="00A00CB2"/>
    <w:rsid w:val="00A026DD"/>
    <w:rsid w:val="00A031C0"/>
    <w:rsid w:val="00A03701"/>
    <w:rsid w:val="00A04043"/>
    <w:rsid w:val="00A047CD"/>
    <w:rsid w:val="00A04A3D"/>
    <w:rsid w:val="00A04C14"/>
    <w:rsid w:val="00A13362"/>
    <w:rsid w:val="00A1385F"/>
    <w:rsid w:val="00A141FC"/>
    <w:rsid w:val="00A14215"/>
    <w:rsid w:val="00A156A2"/>
    <w:rsid w:val="00A17D37"/>
    <w:rsid w:val="00A201B6"/>
    <w:rsid w:val="00A209E3"/>
    <w:rsid w:val="00A20F8F"/>
    <w:rsid w:val="00A222B1"/>
    <w:rsid w:val="00A22D8D"/>
    <w:rsid w:val="00A22FFF"/>
    <w:rsid w:val="00A23F1C"/>
    <w:rsid w:val="00A23F60"/>
    <w:rsid w:val="00A24D26"/>
    <w:rsid w:val="00A25862"/>
    <w:rsid w:val="00A26831"/>
    <w:rsid w:val="00A270CF"/>
    <w:rsid w:val="00A27BB8"/>
    <w:rsid w:val="00A3446C"/>
    <w:rsid w:val="00A37230"/>
    <w:rsid w:val="00A37379"/>
    <w:rsid w:val="00A375AF"/>
    <w:rsid w:val="00A3763D"/>
    <w:rsid w:val="00A407F7"/>
    <w:rsid w:val="00A40AC0"/>
    <w:rsid w:val="00A40F25"/>
    <w:rsid w:val="00A42DB9"/>
    <w:rsid w:val="00A441EE"/>
    <w:rsid w:val="00A44D76"/>
    <w:rsid w:val="00A4516A"/>
    <w:rsid w:val="00A500CE"/>
    <w:rsid w:val="00A50293"/>
    <w:rsid w:val="00A50BFD"/>
    <w:rsid w:val="00A51D70"/>
    <w:rsid w:val="00A532CE"/>
    <w:rsid w:val="00A554EC"/>
    <w:rsid w:val="00A56C9E"/>
    <w:rsid w:val="00A61611"/>
    <w:rsid w:val="00A618BA"/>
    <w:rsid w:val="00A61A80"/>
    <w:rsid w:val="00A61F83"/>
    <w:rsid w:val="00A62C21"/>
    <w:rsid w:val="00A633A2"/>
    <w:rsid w:val="00A66D00"/>
    <w:rsid w:val="00A7415E"/>
    <w:rsid w:val="00A744B2"/>
    <w:rsid w:val="00A74BB6"/>
    <w:rsid w:val="00A75BA2"/>
    <w:rsid w:val="00A80045"/>
    <w:rsid w:val="00A8081D"/>
    <w:rsid w:val="00A82B83"/>
    <w:rsid w:val="00A83A3D"/>
    <w:rsid w:val="00A85592"/>
    <w:rsid w:val="00A871CD"/>
    <w:rsid w:val="00A917B3"/>
    <w:rsid w:val="00A91ABC"/>
    <w:rsid w:val="00A91D3E"/>
    <w:rsid w:val="00A9586D"/>
    <w:rsid w:val="00A95B0B"/>
    <w:rsid w:val="00AA27A0"/>
    <w:rsid w:val="00AA3197"/>
    <w:rsid w:val="00AA3B95"/>
    <w:rsid w:val="00AA4E03"/>
    <w:rsid w:val="00AA50ED"/>
    <w:rsid w:val="00AA59F1"/>
    <w:rsid w:val="00AA60C2"/>
    <w:rsid w:val="00AA6819"/>
    <w:rsid w:val="00AA697E"/>
    <w:rsid w:val="00AA78C7"/>
    <w:rsid w:val="00AB0A15"/>
    <w:rsid w:val="00AB3685"/>
    <w:rsid w:val="00AB4B51"/>
    <w:rsid w:val="00AB4EB2"/>
    <w:rsid w:val="00AB5ABA"/>
    <w:rsid w:val="00AB7790"/>
    <w:rsid w:val="00AB7D38"/>
    <w:rsid w:val="00AC109F"/>
    <w:rsid w:val="00AC1705"/>
    <w:rsid w:val="00AC17BF"/>
    <w:rsid w:val="00AC1C96"/>
    <w:rsid w:val="00AC2E37"/>
    <w:rsid w:val="00AC3CDD"/>
    <w:rsid w:val="00AC4D3D"/>
    <w:rsid w:val="00AC4F55"/>
    <w:rsid w:val="00AC5F78"/>
    <w:rsid w:val="00AC6760"/>
    <w:rsid w:val="00AC6B30"/>
    <w:rsid w:val="00AC7164"/>
    <w:rsid w:val="00AC76ED"/>
    <w:rsid w:val="00AD0168"/>
    <w:rsid w:val="00AD0245"/>
    <w:rsid w:val="00AD07C6"/>
    <w:rsid w:val="00AD0855"/>
    <w:rsid w:val="00AD251D"/>
    <w:rsid w:val="00AD33D6"/>
    <w:rsid w:val="00AD45C4"/>
    <w:rsid w:val="00AD4DA5"/>
    <w:rsid w:val="00AD59EC"/>
    <w:rsid w:val="00AD69FA"/>
    <w:rsid w:val="00AE1FCF"/>
    <w:rsid w:val="00AE3FB4"/>
    <w:rsid w:val="00AE4F74"/>
    <w:rsid w:val="00AE5393"/>
    <w:rsid w:val="00AE7372"/>
    <w:rsid w:val="00AF2045"/>
    <w:rsid w:val="00AF49C7"/>
    <w:rsid w:val="00AF502D"/>
    <w:rsid w:val="00AF6284"/>
    <w:rsid w:val="00AF7825"/>
    <w:rsid w:val="00B0065F"/>
    <w:rsid w:val="00B017FF"/>
    <w:rsid w:val="00B01CCA"/>
    <w:rsid w:val="00B01E28"/>
    <w:rsid w:val="00B0238D"/>
    <w:rsid w:val="00B026C5"/>
    <w:rsid w:val="00B0730E"/>
    <w:rsid w:val="00B102B4"/>
    <w:rsid w:val="00B10CC7"/>
    <w:rsid w:val="00B12C1B"/>
    <w:rsid w:val="00B14676"/>
    <w:rsid w:val="00B1477E"/>
    <w:rsid w:val="00B15EEA"/>
    <w:rsid w:val="00B16999"/>
    <w:rsid w:val="00B2003A"/>
    <w:rsid w:val="00B207FC"/>
    <w:rsid w:val="00B22E97"/>
    <w:rsid w:val="00B23448"/>
    <w:rsid w:val="00B239BD"/>
    <w:rsid w:val="00B24C4E"/>
    <w:rsid w:val="00B24C51"/>
    <w:rsid w:val="00B33312"/>
    <w:rsid w:val="00B3633B"/>
    <w:rsid w:val="00B405EB"/>
    <w:rsid w:val="00B417D1"/>
    <w:rsid w:val="00B424F1"/>
    <w:rsid w:val="00B45233"/>
    <w:rsid w:val="00B4621D"/>
    <w:rsid w:val="00B47007"/>
    <w:rsid w:val="00B470FA"/>
    <w:rsid w:val="00B502D3"/>
    <w:rsid w:val="00B513FB"/>
    <w:rsid w:val="00B52804"/>
    <w:rsid w:val="00B52980"/>
    <w:rsid w:val="00B52A70"/>
    <w:rsid w:val="00B57C8A"/>
    <w:rsid w:val="00B62458"/>
    <w:rsid w:val="00B631B4"/>
    <w:rsid w:val="00B633F0"/>
    <w:rsid w:val="00B6350A"/>
    <w:rsid w:val="00B653D4"/>
    <w:rsid w:val="00B66C0C"/>
    <w:rsid w:val="00B716DE"/>
    <w:rsid w:val="00B720D2"/>
    <w:rsid w:val="00B72DBC"/>
    <w:rsid w:val="00B760D8"/>
    <w:rsid w:val="00B76EA6"/>
    <w:rsid w:val="00B82AB9"/>
    <w:rsid w:val="00B83B27"/>
    <w:rsid w:val="00B842E5"/>
    <w:rsid w:val="00B86A93"/>
    <w:rsid w:val="00B86F85"/>
    <w:rsid w:val="00B9172A"/>
    <w:rsid w:val="00B92927"/>
    <w:rsid w:val="00B93925"/>
    <w:rsid w:val="00B93ED9"/>
    <w:rsid w:val="00B97C5E"/>
    <w:rsid w:val="00BA1EF3"/>
    <w:rsid w:val="00BA2472"/>
    <w:rsid w:val="00BA27DF"/>
    <w:rsid w:val="00BA2808"/>
    <w:rsid w:val="00BA4219"/>
    <w:rsid w:val="00BA52BE"/>
    <w:rsid w:val="00BA5D7F"/>
    <w:rsid w:val="00BB4C99"/>
    <w:rsid w:val="00BB59EB"/>
    <w:rsid w:val="00BB7D67"/>
    <w:rsid w:val="00BC161C"/>
    <w:rsid w:val="00BC1C17"/>
    <w:rsid w:val="00BC1D60"/>
    <w:rsid w:val="00BC51DF"/>
    <w:rsid w:val="00BC5DA6"/>
    <w:rsid w:val="00BC6508"/>
    <w:rsid w:val="00BC7EB6"/>
    <w:rsid w:val="00BD068A"/>
    <w:rsid w:val="00BD1E19"/>
    <w:rsid w:val="00BD2C53"/>
    <w:rsid w:val="00BD33EE"/>
    <w:rsid w:val="00BD416D"/>
    <w:rsid w:val="00BD4C0D"/>
    <w:rsid w:val="00BD74CF"/>
    <w:rsid w:val="00BE0277"/>
    <w:rsid w:val="00BE0792"/>
    <w:rsid w:val="00BE0B88"/>
    <w:rsid w:val="00BE14DA"/>
    <w:rsid w:val="00BE1686"/>
    <w:rsid w:val="00BE17B0"/>
    <w:rsid w:val="00BE1E3E"/>
    <w:rsid w:val="00BE1E5D"/>
    <w:rsid w:val="00BE2138"/>
    <w:rsid w:val="00BE35E3"/>
    <w:rsid w:val="00BE563E"/>
    <w:rsid w:val="00BE5BC1"/>
    <w:rsid w:val="00BE79DF"/>
    <w:rsid w:val="00BF064A"/>
    <w:rsid w:val="00BF0E80"/>
    <w:rsid w:val="00BF10D6"/>
    <w:rsid w:val="00BF1193"/>
    <w:rsid w:val="00BF1B6E"/>
    <w:rsid w:val="00BF1C26"/>
    <w:rsid w:val="00BF1EF7"/>
    <w:rsid w:val="00BF2BD2"/>
    <w:rsid w:val="00BF351B"/>
    <w:rsid w:val="00C07826"/>
    <w:rsid w:val="00C10FFF"/>
    <w:rsid w:val="00C13596"/>
    <w:rsid w:val="00C1504B"/>
    <w:rsid w:val="00C157D6"/>
    <w:rsid w:val="00C15E7F"/>
    <w:rsid w:val="00C168FC"/>
    <w:rsid w:val="00C16C75"/>
    <w:rsid w:val="00C17049"/>
    <w:rsid w:val="00C172D6"/>
    <w:rsid w:val="00C20661"/>
    <w:rsid w:val="00C20CA9"/>
    <w:rsid w:val="00C21476"/>
    <w:rsid w:val="00C21E71"/>
    <w:rsid w:val="00C22028"/>
    <w:rsid w:val="00C221EC"/>
    <w:rsid w:val="00C2307B"/>
    <w:rsid w:val="00C23A9D"/>
    <w:rsid w:val="00C23AF5"/>
    <w:rsid w:val="00C24866"/>
    <w:rsid w:val="00C27092"/>
    <w:rsid w:val="00C2785F"/>
    <w:rsid w:val="00C30D4C"/>
    <w:rsid w:val="00C3267D"/>
    <w:rsid w:val="00C3295F"/>
    <w:rsid w:val="00C32EC1"/>
    <w:rsid w:val="00C32EF2"/>
    <w:rsid w:val="00C34BAD"/>
    <w:rsid w:val="00C34C91"/>
    <w:rsid w:val="00C35CAB"/>
    <w:rsid w:val="00C36BB5"/>
    <w:rsid w:val="00C409FC"/>
    <w:rsid w:val="00C40B4D"/>
    <w:rsid w:val="00C41362"/>
    <w:rsid w:val="00C41BA9"/>
    <w:rsid w:val="00C4213E"/>
    <w:rsid w:val="00C43947"/>
    <w:rsid w:val="00C440D2"/>
    <w:rsid w:val="00C465CB"/>
    <w:rsid w:val="00C468BE"/>
    <w:rsid w:val="00C46FF2"/>
    <w:rsid w:val="00C47502"/>
    <w:rsid w:val="00C477F5"/>
    <w:rsid w:val="00C50BB3"/>
    <w:rsid w:val="00C51299"/>
    <w:rsid w:val="00C52515"/>
    <w:rsid w:val="00C52CA6"/>
    <w:rsid w:val="00C5367E"/>
    <w:rsid w:val="00C543DF"/>
    <w:rsid w:val="00C576AC"/>
    <w:rsid w:val="00C60754"/>
    <w:rsid w:val="00C60F0C"/>
    <w:rsid w:val="00C6138E"/>
    <w:rsid w:val="00C62EF7"/>
    <w:rsid w:val="00C63F6F"/>
    <w:rsid w:val="00C6741B"/>
    <w:rsid w:val="00C7372F"/>
    <w:rsid w:val="00C73A44"/>
    <w:rsid w:val="00C73C0D"/>
    <w:rsid w:val="00C751DF"/>
    <w:rsid w:val="00C76D63"/>
    <w:rsid w:val="00C77E9F"/>
    <w:rsid w:val="00C805C9"/>
    <w:rsid w:val="00C813B7"/>
    <w:rsid w:val="00C81A67"/>
    <w:rsid w:val="00C82E42"/>
    <w:rsid w:val="00C832E2"/>
    <w:rsid w:val="00C837A4"/>
    <w:rsid w:val="00C85603"/>
    <w:rsid w:val="00C90A52"/>
    <w:rsid w:val="00C92CCF"/>
    <w:rsid w:val="00C94578"/>
    <w:rsid w:val="00C956B2"/>
    <w:rsid w:val="00C96879"/>
    <w:rsid w:val="00C97D4A"/>
    <w:rsid w:val="00C97DD8"/>
    <w:rsid w:val="00CA1679"/>
    <w:rsid w:val="00CA1DDA"/>
    <w:rsid w:val="00CA2347"/>
    <w:rsid w:val="00CA2A2C"/>
    <w:rsid w:val="00CA307D"/>
    <w:rsid w:val="00CA399E"/>
    <w:rsid w:val="00CA5263"/>
    <w:rsid w:val="00CA5753"/>
    <w:rsid w:val="00CA72F6"/>
    <w:rsid w:val="00CA7C89"/>
    <w:rsid w:val="00CB13E1"/>
    <w:rsid w:val="00CB15A7"/>
    <w:rsid w:val="00CB55BD"/>
    <w:rsid w:val="00CB63BB"/>
    <w:rsid w:val="00CB74F0"/>
    <w:rsid w:val="00CC2B09"/>
    <w:rsid w:val="00CC3238"/>
    <w:rsid w:val="00CC6D2E"/>
    <w:rsid w:val="00CC728D"/>
    <w:rsid w:val="00CC73B6"/>
    <w:rsid w:val="00CC7AB6"/>
    <w:rsid w:val="00CD1104"/>
    <w:rsid w:val="00CD21D1"/>
    <w:rsid w:val="00CD2354"/>
    <w:rsid w:val="00CD2377"/>
    <w:rsid w:val="00CD3368"/>
    <w:rsid w:val="00CD39C4"/>
    <w:rsid w:val="00CD5052"/>
    <w:rsid w:val="00CD66CA"/>
    <w:rsid w:val="00CD721E"/>
    <w:rsid w:val="00CD7C11"/>
    <w:rsid w:val="00CD7C17"/>
    <w:rsid w:val="00CE34F5"/>
    <w:rsid w:val="00CE6D5E"/>
    <w:rsid w:val="00CF0055"/>
    <w:rsid w:val="00CF05E8"/>
    <w:rsid w:val="00CF0B68"/>
    <w:rsid w:val="00CF2615"/>
    <w:rsid w:val="00CF2E83"/>
    <w:rsid w:val="00CF4E29"/>
    <w:rsid w:val="00CF5B09"/>
    <w:rsid w:val="00CF6B5E"/>
    <w:rsid w:val="00CF7A1C"/>
    <w:rsid w:val="00D00A23"/>
    <w:rsid w:val="00D01A5F"/>
    <w:rsid w:val="00D01AD2"/>
    <w:rsid w:val="00D02FF8"/>
    <w:rsid w:val="00D0646D"/>
    <w:rsid w:val="00D06C71"/>
    <w:rsid w:val="00D06D83"/>
    <w:rsid w:val="00D07496"/>
    <w:rsid w:val="00D079AD"/>
    <w:rsid w:val="00D07E36"/>
    <w:rsid w:val="00D12C7C"/>
    <w:rsid w:val="00D1722B"/>
    <w:rsid w:val="00D1725A"/>
    <w:rsid w:val="00D2062A"/>
    <w:rsid w:val="00D220A7"/>
    <w:rsid w:val="00D227A1"/>
    <w:rsid w:val="00D24B42"/>
    <w:rsid w:val="00D272F2"/>
    <w:rsid w:val="00D276F9"/>
    <w:rsid w:val="00D31021"/>
    <w:rsid w:val="00D319ED"/>
    <w:rsid w:val="00D34E4D"/>
    <w:rsid w:val="00D35EC3"/>
    <w:rsid w:val="00D37BD6"/>
    <w:rsid w:val="00D407B7"/>
    <w:rsid w:val="00D415AB"/>
    <w:rsid w:val="00D42410"/>
    <w:rsid w:val="00D426B3"/>
    <w:rsid w:val="00D42BBF"/>
    <w:rsid w:val="00D42DC5"/>
    <w:rsid w:val="00D43409"/>
    <w:rsid w:val="00D526EA"/>
    <w:rsid w:val="00D54395"/>
    <w:rsid w:val="00D5519F"/>
    <w:rsid w:val="00D55777"/>
    <w:rsid w:val="00D55B5C"/>
    <w:rsid w:val="00D561C0"/>
    <w:rsid w:val="00D60CAC"/>
    <w:rsid w:val="00D63E59"/>
    <w:rsid w:val="00D668C6"/>
    <w:rsid w:val="00D66DBC"/>
    <w:rsid w:val="00D67BBF"/>
    <w:rsid w:val="00D738F9"/>
    <w:rsid w:val="00D751A8"/>
    <w:rsid w:val="00D77727"/>
    <w:rsid w:val="00D808F9"/>
    <w:rsid w:val="00D80949"/>
    <w:rsid w:val="00D82AA9"/>
    <w:rsid w:val="00D83BD0"/>
    <w:rsid w:val="00D90138"/>
    <w:rsid w:val="00D90C14"/>
    <w:rsid w:val="00D97076"/>
    <w:rsid w:val="00DA0127"/>
    <w:rsid w:val="00DA2146"/>
    <w:rsid w:val="00DA32B0"/>
    <w:rsid w:val="00DA369E"/>
    <w:rsid w:val="00DA3B46"/>
    <w:rsid w:val="00DA470A"/>
    <w:rsid w:val="00DA4E5E"/>
    <w:rsid w:val="00DA603A"/>
    <w:rsid w:val="00DA73D6"/>
    <w:rsid w:val="00DB2B08"/>
    <w:rsid w:val="00DB30EA"/>
    <w:rsid w:val="00DB5682"/>
    <w:rsid w:val="00DB778C"/>
    <w:rsid w:val="00DC415C"/>
    <w:rsid w:val="00DC4FE2"/>
    <w:rsid w:val="00DC5B55"/>
    <w:rsid w:val="00DC5CE3"/>
    <w:rsid w:val="00DC60F6"/>
    <w:rsid w:val="00DD0F00"/>
    <w:rsid w:val="00DD1084"/>
    <w:rsid w:val="00DD18DA"/>
    <w:rsid w:val="00DD444E"/>
    <w:rsid w:val="00DD5761"/>
    <w:rsid w:val="00DD6440"/>
    <w:rsid w:val="00DD6825"/>
    <w:rsid w:val="00DD7831"/>
    <w:rsid w:val="00DD7F3E"/>
    <w:rsid w:val="00DE0734"/>
    <w:rsid w:val="00DE12E1"/>
    <w:rsid w:val="00DE2C96"/>
    <w:rsid w:val="00DE3F82"/>
    <w:rsid w:val="00DE40AB"/>
    <w:rsid w:val="00DE50CF"/>
    <w:rsid w:val="00DE5862"/>
    <w:rsid w:val="00DE6ED8"/>
    <w:rsid w:val="00DF10A3"/>
    <w:rsid w:val="00DF1E98"/>
    <w:rsid w:val="00DF363E"/>
    <w:rsid w:val="00DF38A5"/>
    <w:rsid w:val="00DF4E2C"/>
    <w:rsid w:val="00DF55A5"/>
    <w:rsid w:val="00DF590A"/>
    <w:rsid w:val="00DF6AFC"/>
    <w:rsid w:val="00DF7828"/>
    <w:rsid w:val="00E0019F"/>
    <w:rsid w:val="00E00D1B"/>
    <w:rsid w:val="00E02041"/>
    <w:rsid w:val="00E020B3"/>
    <w:rsid w:val="00E026C4"/>
    <w:rsid w:val="00E027B6"/>
    <w:rsid w:val="00E02D94"/>
    <w:rsid w:val="00E06355"/>
    <w:rsid w:val="00E0645F"/>
    <w:rsid w:val="00E07260"/>
    <w:rsid w:val="00E077D3"/>
    <w:rsid w:val="00E112F1"/>
    <w:rsid w:val="00E12AD1"/>
    <w:rsid w:val="00E139B0"/>
    <w:rsid w:val="00E13C2B"/>
    <w:rsid w:val="00E14D26"/>
    <w:rsid w:val="00E16394"/>
    <w:rsid w:val="00E163F7"/>
    <w:rsid w:val="00E25E08"/>
    <w:rsid w:val="00E30490"/>
    <w:rsid w:val="00E33459"/>
    <w:rsid w:val="00E334E1"/>
    <w:rsid w:val="00E34F35"/>
    <w:rsid w:val="00E402FF"/>
    <w:rsid w:val="00E42CB9"/>
    <w:rsid w:val="00E44379"/>
    <w:rsid w:val="00E4561E"/>
    <w:rsid w:val="00E45987"/>
    <w:rsid w:val="00E459A8"/>
    <w:rsid w:val="00E45E51"/>
    <w:rsid w:val="00E46189"/>
    <w:rsid w:val="00E47BD0"/>
    <w:rsid w:val="00E51A41"/>
    <w:rsid w:val="00E52FEE"/>
    <w:rsid w:val="00E5483E"/>
    <w:rsid w:val="00E55CF7"/>
    <w:rsid w:val="00E55E0D"/>
    <w:rsid w:val="00E568F3"/>
    <w:rsid w:val="00E61597"/>
    <w:rsid w:val="00E618DC"/>
    <w:rsid w:val="00E6330C"/>
    <w:rsid w:val="00E63458"/>
    <w:rsid w:val="00E63F32"/>
    <w:rsid w:val="00E641D1"/>
    <w:rsid w:val="00E66E60"/>
    <w:rsid w:val="00E6702E"/>
    <w:rsid w:val="00E6745F"/>
    <w:rsid w:val="00E67AE7"/>
    <w:rsid w:val="00E73F76"/>
    <w:rsid w:val="00E7696B"/>
    <w:rsid w:val="00E8012C"/>
    <w:rsid w:val="00E80680"/>
    <w:rsid w:val="00E81778"/>
    <w:rsid w:val="00E8236B"/>
    <w:rsid w:val="00E84588"/>
    <w:rsid w:val="00E8614E"/>
    <w:rsid w:val="00E87DCC"/>
    <w:rsid w:val="00E910C5"/>
    <w:rsid w:val="00E91B2C"/>
    <w:rsid w:val="00E92106"/>
    <w:rsid w:val="00E93ED9"/>
    <w:rsid w:val="00E95039"/>
    <w:rsid w:val="00E95CE6"/>
    <w:rsid w:val="00E95F8E"/>
    <w:rsid w:val="00E96413"/>
    <w:rsid w:val="00E9697F"/>
    <w:rsid w:val="00E96C38"/>
    <w:rsid w:val="00E973EB"/>
    <w:rsid w:val="00EA223A"/>
    <w:rsid w:val="00EA6DE0"/>
    <w:rsid w:val="00EA71DB"/>
    <w:rsid w:val="00EA77A6"/>
    <w:rsid w:val="00EB10EC"/>
    <w:rsid w:val="00EB2182"/>
    <w:rsid w:val="00EB2B30"/>
    <w:rsid w:val="00EB3934"/>
    <w:rsid w:val="00EB73E8"/>
    <w:rsid w:val="00EB7633"/>
    <w:rsid w:val="00EC011C"/>
    <w:rsid w:val="00EC1694"/>
    <w:rsid w:val="00EC1DD1"/>
    <w:rsid w:val="00EC28D0"/>
    <w:rsid w:val="00EC4E34"/>
    <w:rsid w:val="00ED2773"/>
    <w:rsid w:val="00EE1D03"/>
    <w:rsid w:val="00EE32CA"/>
    <w:rsid w:val="00EE6032"/>
    <w:rsid w:val="00EE7119"/>
    <w:rsid w:val="00EE7EA7"/>
    <w:rsid w:val="00EF09B8"/>
    <w:rsid w:val="00EF1360"/>
    <w:rsid w:val="00EF1540"/>
    <w:rsid w:val="00EF19FE"/>
    <w:rsid w:val="00EF2CA7"/>
    <w:rsid w:val="00EF3220"/>
    <w:rsid w:val="00EF3D5C"/>
    <w:rsid w:val="00EF55B2"/>
    <w:rsid w:val="00EF6BE5"/>
    <w:rsid w:val="00F00313"/>
    <w:rsid w:val="00F014C7"/>
    <w:rsid w:val="00F05112"/>
    <w:rsid w:val="00F05BC2"/>
    <w:rsid w:val="00F065D7"/>
    <w:rsid w:val="00F06DB4"/>
    <w:rsid w:val="00F078AF"/>
    <w:rsid w:val="00F078C2"/>
    <w:rsid w:val="00F109F2"/>
    <w:rsid w:val="00F10BBF"/>
    <w:rsid w:val="00F133A8"/>
    <w:rsid w:val="00F1516B"/>
    <w:rsid w:val="00F16A02"/>
    <w:rsid w:val="00F20E05"/>
    <w:rsid w:val="00F2299E"/>
    <w:rsid w:val="00F267E6"/>
    <w:rsid w:val="00F30066"/>
    <w:rsid w:val="00F3019B"/>
    <w:rsid w:val="00F3058A"/>
    <w:rsid w:val="00F3067E"/>
    <w:rsid w:val="00F327C5"/>
    <w:rsid w:val="00F332ED"/>
    <w:rsid w:val="00F33585"/>
    <w:rsid w:val="00F33D77"/>
    <w:rsid w:val="00F3479B"/>
    <w:rsid w:val="00F35EE4"/>
    <w:rsid w:val="00F36338"/>
    <w:rsid w:val="00F40772"/>
    <w:rsid w:val="00F41279"/>
    <w:rsid w:val="00F427B6"/>
    <w:rsid w:val="00F42990"/>
    <w:rsid w:val="00F42E85"/>
    <w:rsid w:val="00F436A8"/>
    <w:rsid w:val="00F43B1C"/>
    <w:rsid w:val="00F44426"/>
    <w:rsid w:val="00F445A8"/>
    <w:rsid w:val="00F459D8"/>
    <w:rsid w:val="00F45BCB"/>
    <w:rsid w:val="00F46939"/>
    <w:rsid w:val="00F46BF5"/>
    <w:rsid w:val="00F5042B"/>
    <w:rsid w:val="00F504EA"/>
    <w:rsid w:val="00F549D8"/>
    <w:rsid w:val="00F54FD0"/>
    <w:rsid w:val="00F566B9"/>
    <w:rsid w:val="00F56BE6"/>
    <w:rsid w:val="00F6148B"/>
    <w:rsid w:val="00F62E19"/>
    <w:rsid w:val="00F6640D"/>
    <w:rsid w:val="00F67537"/>
    <w:rsid w:val="00F70A5E"/>
    <w:rsid w:val="00F71760"/>
    <w:rsid w:val="00F71B78"/>
    <w:rsid w:val="00F74F3C"/>
    <w:rsid w:val="00F75665"/>
    <w:rsid w:val="00F75C93"/>
    <w:rsid w:val="00F800A5"/>
    <w:rsid w:val="00F81433"/>
    <w:rsid w:val="00F8283C"/>
    <w:rsid w:val="00F85342"/>
    <w:rsid w:val="00F87124"/>
    <w:rsid w:val="00F906A3"/>
    <w:rsid w:val="00F90AB2"/>
    <w:rsid w:val="00F91FC0"/>
    <w:rsid w:val="00F92EBA"/>
    <w:rsid w:val="00F9609B"/>
    <w:rsid w:val="00FA06F9"/>
    <w:rsid w:val="00FA1B5F"/>
    <w:rsid w:val="00FA50AC"/>
    <w:rsid w:val="00FA54DE"/>
    <w:rsid w:val="00FA5A47"/>
    <w:rsid w:val="00FA7B1A"/>
    <w:rsid w:val="00FB130E"/>
    <w:rsid w:val="00FB1954"/>
    <w:rsid w:val="00FB1B2A"/>
    <w:rsid w:val="00FB6CD8"/>
    <w:rsid w:val="00FB73E6"/>
    <w:rsid w:val="00FC11DB"/>
    <w:rsid w:val="00FC23C4"/>
    <w:rsid w:val="00FC2E1D"/>
    <w:rsid w:val="00FC7D62"/>
    <w:rsid w:val="00FC7DEE"/>
    <w:rsid w:val="00FD001A"/>
    <w:rsid w:val="00FD10FD"/>
    <w:rsid w:val="00FD16FC"/>
    <w:rsid w:val="00FD2CB6"/>
    <w:rsid w:val="00FD2EF7"/>
    <w:rsid w:val="00FD305F"/>
    <w:rsid w:val="00FD33A9"/>
    <w:rsid w:val="00FD4B78"/>
    <w:rsid w:val="00FD6BB3"/>
    <w:rsid w:val="00FE1175"/>
    <w:rsid w:val="00FE1A2F"/>
    <w:rsid w:val="00FE22E6"/>
    <w:rsid w:val="00FE2BAB"/>
    <w:rsid w:val="00FE3999"/>
    <w:rsid w:val="00FE4A3E"/>
    <w:rsid w:val="00FE4D4F"/>
    <w:rsid w:val="00FE6C3A"/>
    <w:rsid w:val="00FF0DDB"/>
    <w:rsid w:val="00FF2484"/>
    <w:rsid w:val="00FF2C4C"/>
    <w:rsid w:val="00FF4B68"/>
    <w:rsid w:val="00FF5A04"/>
    <w:rsid w:val="00FF69FF"/>
    <w:rsid w:val="00FF6F48"/>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F5CADF0"/>
  <w15:docId w15:val="{E21AF29B-9D51-440E-A8C3-3C4F932E5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qFormat/>
    <w:rsid w:val="00E63458"/>
    <w:pPr>
      <w:keepNext/>
      <w:keepLines/>
      <w:spacing w:after="0" w:line="240" w:lineRule="auto"/>
      <w:ind w:right="0"/>
      <w:jc w:val="left"/>
      <w:outlineLvl w:val="0"/>
    </w:pPr>
  </w:style>
  <w:style w:type="paragraph" w:styleId="Ttulo2">
    <w:name w:val="heading 2"/>
    <w:basedOn w:val="Normal"/>
    <w:next w:val="Normal"/>
    <w:qFormat/>
    <w:rsid w:val="00E63458"/>
    <w:pPr>
      <w:suppressAutoHyphens/>
      <w:outlineLvl w:val="1"/>
    </w:pPr>
    <w:rPr>
      <w:lang w:val="fr-CH" w:eastAsia="en-US"/>
    </w:rPr>
  </w:style>
  <w:style w:type="paragraph" w:styleId="Ttulo3">
    <w:name w:val="heading 3"/>
    <w:basedOn w:val="Normal"/>
    <w:next w:val="Normal"/>
    <w:qFormat/>
    <w:rsid w:val="00E63458"/>
    <w:pPr>
      <w:suppressAutoHyphens/>
      <w:outlineLvl w:val="2"/>
    </w:pPr>
    <w:rPr>
      <w:lang w:val="fr-CH" w:eastAsia="en-US"/>
    </w:rPr>
  </w:style>
  <w:style w:type="paragraph" w:styleId="Ttulo4">
    <w:name w:val="heading 4"/>
    <w:basedOn w:val="Normal"/>
    <w:next w:val="Normal"/>
    <w:qFormat/>
    <w:rsid w:val="00E63458"/>
    <w:pPr>
      <w:suppressAutoHyphens/>
      <w:outlineLvl w:val="3"/>
    </w:pPr>
    <w:rPr>
      <w:lang w:val="fr-CH" w:eastAsia="en-US"/>
    </w:rPr>
  </w:style>
  <w:style w:type="paragraph" w:styleId="Ttulo5">
    <w:name w:val="heading 5"/>
    <w:basedOn w:val="Normal"/>
    <w:next w:val="Normal"/>
    <w:qFormat/>
    <w:rsid w:val="00E63458"/>
    <w:pPr>
      <w:suppressAutoHyphens/>
      <w:outlineLvl w:val="4"/>
    </w:pPr>
    <w:rPr>
      <w:lang w:val="fr-CH" w:eastAsia="en-US"/>
    </w:rPr>
  </w:style>
  <w:style w:type="paragraph" w:styleId="Ttulo6">
    <w:name w:val="heading 6"/>
    <w:basedOn w:val="Normal"/>
    <w:next w:val="Normal"/>
    <w:qFormat/>
    <w:rsid w:val="00E63458"/>
    <w:pPr>
      <w:suppressAutoHyphens/>
      <w:outlineLvl w:val="5"/>
    </w:pPr>
    <w:rPr>
      <w:lang w:val="fr-CH" w:eastAsia="en-US"/>
    </w:rPr>
  </w:style>
  <w:style w:type="paragraph" w:styleId="Ttulo7">
    <w:name w:val="heading 7"/>
    <w:basedOn w:val="Normal"/>
    <w:next w:val="Normal"/>
    <w:qFormat/>
    <w:rsid w:val="00E63458"/>
    <w:pPr>
      <w:suppressAutoHyphens/>
      <w:outlineLvl w:val="6"/>
    </w:pPr>
    <w:rPr>
      <w:lang w:val="fr-CH" w:eastAsia="en-US"/>
    </w:rPr>
  </w:style>
  <w:style w:type="paragraph" w:styleId="Ttulo8">
    <w:name w:val="heading 8"/>
    <w:basedOn w:val="Normal"/>
    <w:next w:val="Normal"/>
    <w:qFormat/>
    <w:rsid w:val="00E63458"/>
    <w:pPr>
      <w:suppressAutoHyphens/>
      <w:outlineLvl w:val="7"/>
    </w:pPr>
    <w:rPr>
      <w:lang w:val="fr-CH" w:eastAsia="en-US"/>
    </w:rPr>
  </w:style>
  <w:style w:type="paragraph" w:styleId="Ttulo9">
    <w:name w:val="heading 9"/>
    <w:basedOn w:val="Normal"/>
    <w:next w:val="Normal"/>
    <w:qFormat/>
    <w:rsid w:val="00E63458"/>
    <w:pPr>
      <w:suppressAutoHyphens/>
      <w:outlineLvl w:val="8"/>
    </w:pPr>
    <w:rPr>
      <w:lang w:val="fr-CH"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Texto de nota al pie,Appel note de bas de page,referencia nota al pie,BVI fnr,f,16 Point,Superscript 6 Point,Texto nota al pie,Footnote Reference Char3,Footnote Reference Char1 Char"/>
    <w:qFormat/>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qFormat/>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qFormat/>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Encabezado">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har"/>
    <w:qFormat/>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Piedepgina">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Car"/>
    <w:basedOn w:val="Normal"/>
    <w:link w:val="TextonotapieCar"/>
    <w:qFormat/>
    <w:rsid w:val="00E63458"/>
    <w:pPr>
      <w:tabs>
        <w:tab w:val="right" w:pos="1021"/>
      </w:tabs>
      <w:suppressAutoHyphens/>
      <w:spacing w:line="220" w:lineRule="exact"/>
      <w:ind w:left="1134" w:right="1134" w:hanging="1134"/>
    </w:pPr>
    <w:rPr>
      <w:sz w:val="18"/>
      <w:lang w:val="fr-CH" w:eastAsia="en-US"/>
    </w:rPr>
  </w:style>
  <w:style w:type="table" w:styleId="Tablaconcuadrcula">
    <w:name w:val="Table Grid"/>
    <w:basedOn w:val="Tablanormal"/>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uiPriority w:val="20"/>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semiHidden/>
    <w:rsid w:val="00E63458"/>
    <w:rPr>
      <w:color w:val="auto"/>
      <w:u w:val="none"/>
    </w:rPr>
  </w:style>
  <w:style w:type="character" w:styleId="Hipervnculovisitado">
    <w:name w:val="FollowedHyperlink"/>
    <w:semiHidden/>
    <w:rsid w:val="00E63458"/>
    <w:rPr>
      <w:color w:val="auto"/>
      <w:u w:val="none"/>
    </w:rPr>
  </w:style>
  <w:style w:type="paragraph" w:styleId="HTMLconformatoprevio">
    <w:name w:val="HTML Preformatted"/>
    <w:basedOn w:val="Normal"/>
    <w:link w:val="HTMLconformatoprevioCar"/>
    <w:uiPriority w:val="99"/>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E63458"/>
    <w:rPr>
      <w:rFonts w:ascii="Times New Roman" w:hAnsi="Times New Roman"/>
      <w:b/>
      <w:sz w:val="18"/>
      <w:lang w:val="fr-CH"/>
    </w:rPr>
  </w:style>
  <w:style w:type="character" w:styleId="Refdenotaalfinal">
    <w:name w:val="endnote reference"/>
    <w:aliases w:val="1_G"/>
    <w:basedOn w:val="Refdenotaalpie"/>
    <w:rsid w:val="00E63458"/>
    <w:rPr>
      <w:rFonts w:ascii="Times New Roman" w:hAnsi="Times New Roman"/>
      <w:sz w:val="18"/>
      <w:vertAlign w:val="superscript"/>
      <w:lang w:val="fr-CH"/>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E63458"/>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character" w:customStyle="1" w:styleId="SingleTxtGChar">
    <w:name w:val="_ Single Txt_G Char"/>
    <w:link w:val="SingleTxtG"/>
    <w:rsid w:val="004F6A18"/>
    <w:rPr>
      <w:lang w:val="fr-CH"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link w:val="Textonotapie"/>
    <w:rsid w:val="004F6A18"/>
    <w:rPr>
      <w:sz w:val="18"/>
      <w:lang w:val="fr-CH" w:eastAsia="en-US"/>
    </w:rPr>
  </w:style>
  <w:style w:type="paragraph" w:styleId="Textodeglobo">
    <w:name w:val="Balloon Text"/>
    <w:basedOn w:val="Normal"/>
    <w:link w:val="TextodegloboCar"/>
    <w:rsid w:val="00337055"/>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337055"/>
    <w:rPr>
      <w:rFonts w:ascii="Tahoma" w:hAnsi="Tahoma" w:cs="Tahoma"/>
      <w:sz w:val="16"/>
      <w:szCs w:val="16"/>
      <w:lang w:val="es-ES" w:eastAsia="es-ES"/>
    </w:rPr>
  </w:style>
  <w:style w:type="paragraph" w:styleId="Textocomentario">
    <w:name w:val="annotation text"/>
    <w:basedOn w:val="Normal"/>
    <w:link w:val="TextocomentarioCar"/>
    <w:uiPriority w:val="99"/>
    <w:unhideWhenUsed/>
    <w:rsid w:val="0021605B"/>
    <w:pPr>
      <w:spacing w:line="240" w:lineRule="auto"/>
    </w:pPr>
  </w:style>
  <w:style w:type="character" w:customStyle="1" w:styleId="TextocomentarioCar">
    <w:name w:val="Texto comentario Car"/>
    <w:basedOn w:val="Fuentedeprrafopredeter"/>
    <w:link w:val="Textocomentario"/>
    <w:uiPriority w:val="99"/>
    <w:rsid w:val="0021605B"/>
    <w:rPr>
      <w:lang w:val="es-ES" w:eastAsia="es-ES"/>
    </w:rPr>
  </w:style>
  <w:style w:type="character" w:styleId="Refdecomentario">
    <w:name w:val="annotation reference"/>
    <w:basedOn w:val="Fuentedeprrafopredeter"/>
    <w:uiPriority w:val="99"/>
    <w:unhideWhenUsed/>
    <w:rsid w:val="0021605B"/>
    <w:rPr>
      <w:sz w:val="16"/>
      <w:szCs w:val="16"/>
    </w:rPr>
  </w:style>
  <w:style w:type="paragraph" w:customStyle="1" w:styleId="Default">
    <w:name w:val="Default"/>
    <w:rsid w:val="00F1516B"/>
    <w:pPr>
      <w:autoSpaceDE w:val="0"/>
      <w:autoSpaceDN w:val="0"/>
      <w:adjustRightInd w:val="0"/>
    </w:pPr>
    <w:rPr>
      <w:color w:val="000000"/>
      <w:sz w:val="24"/>
      <w:szCs w:val="24"/>
    </w:rPr>
  </w:style>
  <w:style w:type="character" w:customStyle="1" w:styleId="apple-converted-space">
    <w:name w:val="apple-converted-space"/>
    <w:basedOn w:val="Fuentedeprrafopredeter"/>
    <w:rsid w:val="00BF1C26"/>
  </w:style>
  <w:style w:type="character" w:customStyle="1" w:styleId="HTMLconformatoprevioCar">
    <w:name w:val="HTML con formato previo Car"/>
    <w:basedOn w:val="Fuentedeprrafopredeter"/>
    <w:link w:val="HTMLconformatoprevio"/>
    <w:uiPriority w:val="99"/>
    <w:semiHidden/>
    <w:rsid w:val="001D1944"/>
    <w:rPr>
      <w:rFonts w:ascii="Courier New" w:hAnsi="Courier New" w:cs="Courier New"/>
      <w:lang w:val="es-ES" w:eastAsia="es-ES"/>
    </w:rPr>
  </w:style>
  <w:style w:type="paragraph" w:styleId="Prrafodelista">
    <w:name w:val="List Paragraph"/>
    <w:basedOn w:val="Normal"/>
    <w:uiPriority w:val="34"/>
    <w:qFormat/>
    <w:rsid w:val="00706EC0"/>
    <w:pPr>
      <w:spacing w:after="160" w:line="259" w:lineRule="auto"/>
      <w:ind w:left="720"/>
      <w:contextualSpacing/>
    </w:pPr>
    <w:rPr>
      <w:rFonts w:asciiTheme="minorHAnsi" w:eastAsiaTheme="minorHAnsi" w:hAnsiTheme="minorHAnsi" w:cstheme="minorBidi"/>
      <w:sz w:val="22"/>
      <w:szCs w:val="22"/>
      <w:lang w:val="es-ES_tradnl" w:eastAsia="en-US"/>
    </w:rPr>
  </w:style>
  <w:style w:type="character" w:customStyle="1" w:styleId="st">
    <w:name w:val="st"/>
    <w:basedOn w:val="Fuentedeprrafopredeter"/>
    <w:rsid w:val="00245747"/>
  </w:style>
  <w:style w:type="paragraph" w:styleId="Asuntodelcomentario">
    <w:name w:val="annotation subject"/>
    <w:basedOn w:val="Textocomentario"/>
    <w:next w:val="Textocomentario"/>
    <w:link w:val="AsuntodelcomentarioCar"/>
    <w:semiHidden/>
    <w:unhideWhenUsed/>
    <w:rsid w:val="00A13362"/>
    <w:rPr>
      <w:b/>
      <w:bCs/>
    </w:rPr>
  </w:style>
  <w:style w:type="character" w:customStyle="1" w:styleId="AsuntodelcomentarioCar">
    <w:name w:val="Asunto del comentario Car"/>
    <w:basedOn w:val="TextocomentarioCar"/>
    <w:link w:val="Asuntodelcomentario"/>
    <w:semiHidden/>
    <w:rsid w:val="00A13362"/>
    <w:rPr>
      <w:b/>
      <w:bCs/>
      <w:lang w:val="es-ES" w:eastAsia="es-ES"/>
    </w:rPr>
  </w:style>
  <w:style w:type="character" w:customStyle="1" w:styleId="hit">
    <w:name w:val="hit"/>
    <w:basedOn w:val="Fuentedeprrafopredeter"/>
    <w:rsid w:val="002E5D3A"/>
  </w:style>
  <w:style w:type="character" w:customStyle="1" w:styleId="textoprovidencia">
    <w:name w:val="textoprovidencia"/>
    <w:basedOn w:val="Fuentedeprrafopredeter"/>
    <w:rsid w:val="00402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06244">
      <w:bodyDiv w:val="1"/>
      <w:marLeft w:val="0"/>
      <w:marRight w:val="0"/>
      <w:marTop w:val="0"/>
      <w:marBottom w:val="0"/>
      <w:divBdr>
        <w:top w:val="none" w:sz="0" w:space="0" w:color="auto"/>
        <w:left w:val="none" w:sz="0" w:space="0" w:color="auto"/>
        <w:bottom w:val="none" w:sz="0" w:space="0" w:color="auto"/>
        <w:right w:val="none" w:sz="0" w:space="0" w:color="auto"/>
      </w:divBdr>
    </w:div>
    <w:div w:id="112017172">
      <w:bodyDiv w:val="1"/>
      <w:marLeft w:val="0"/>
      <w:marRight w:val="0"/>
      <w:marTop w:val="0"/>
      <w:marBottom w:val="0"/>
      <w:divBdr>
        <w:top w:val="none" w:sz="0" w:space="0" w:color="auto"/>
        <w:left w:val="none" w:sz="0" w:space="0" w:color="auto"/>
        <w:bottom w:val="none" w:sz="0" w:space="0" w:color="auto"/>
        <w:right w:val="none" w:sz="0" w:space="0" w:color="auto"/>
      </w:divBdr>
    </w:div>
    <w:div w:id="179323950">
      <w:bodyDiv w:val="1"/>
      <w:marLeft w:val="0"/>
      <w:marRight w:val="0"/>
      <w:marTop w:val="0"/>
      <w:marBottom w:val="0"/>
      <w:divBdr>
        <w:top w:val="none" w:sz="0" w:space="0" w:color="auto"/>
        <w:left w:val="none" w:sz="0" w:space="0" w:color="auto"/>
        <w:bottom w:val="none" w:sz="0" w:space="0" w:color="auto"/>
        <w:right w:val="none" w:sz="0" w:space="0" w:color="auto"/>
      </w:divBdr>
    </w:div>
    <w:div w:id="314380289">
      <w:bodyDiv w:val="1"/>
      <w:marLeft w:val="0"/>
      <w:marRight w:val="0"/>
      <w:marTop w:val="0"/>
      <w:marBottom w:val="0"/>
      <w:divBdr>
        <w:top w:val="none" w:sz="0" w:space="0" w:color="auto"/>
        <w:left w:val="none" w:sz="0" w:space="0" w:color="auto"/>
        <w:bottom w:val="none" w:sz="0" w:space="0" w:color="auto"/>
        <w:right w:val="none" w:sz="0" w:space="0" w:color="auto"/>
      </w:divBdr>
    </w:div>
    <w:div w:id="315377481">
      <w:bodyDiv w:val="1"/>
      <w:marLeft w:val="0"/>
      <w:marRight w:val="0"/>
      <w:marTop w:val="0"/>
      <w:marBottom w:val="0"/>
      <w:divBdr>
        <w:top w:val="none" w:sz="0" w:space="0" w:color="auto"/>
        <w:left w:val="none" w:sz="0" w:space="0" w:color="auto"/>
        <w:bottom w:val="none" w:sz="0" w:space="0" w:color="auto"/>
        <w:right w:val="none" w:sz="0" w:space="0" w:color="auto"/>
      </w:divBdr>
    </w:div>
    <w:div w:id="327096760">
      <w:bodyDiv w:val="1"/>
      <w:marLeft w:val="0"/>
      <w:marRight w:val="0"/>
      <w:marTop w:val="0"/>
      <w:marBottom w:val="0"/>
      <w:divBdr>
        <w:top w:val="none" w:sz="0" w:space="0" w:color="auto"/>
        <w:left w:val="none" w:sz="0" w:space="0" w:color="auto"/>
        <w:bottom w:val="none" w:sz="0" w:space="0" w:color="auto"/>
        <w:right w:val="none" w:sz="0" w:space="0" w:color="auto"/>
      </w:divBdr>
    </w:div>
    <w:div w:id="352728687">
      <w:bodyDiv w:val="1"/>
      <w:marLeft w:val="0"/>
      <w:marRight w:val="0"/>
      <w:marTop w:val="0"/>
      <w:marBottom w:val="0"/>
      <w:divBdr>
        <w:top w:val="none" w:sz="0" w:space="0" w:color="auto"/>
        <w:left w:val="none" w:sz="0" w:space="0" w:color="auto"/>
        <w:bottom w:val="none" w:sz="0" w:space="0" w:color="auto"/>
        <w:right w:val="none" w:sz="0" w:space="0" w:color="auto"/>
      </w:divBdr>
    </w:div>
    <w:div w:id="363871271">
      <w:bodyDiv w:val="1"/>
      <w:marLeft w:val="0"/>
      <w:marRight w:val="0"/>
      <w:marTop w:val="0"/>
      <w:marBottom w:val="0"/>
      <w:divBdr>
        <w:top w:val="none" w:sz="0" w:space="0" w:color="auto"/>
        <w:left w:val="none" w:sz="0" w:space="0" w:color="auto"/>
        <w:bottom w:val="none" w:sz="0" w:space="0" w:color="auto"/>
        <w:right w:val="none" w:sz="0" w:space="0" w:color="auto"/>
      </w:divBdr>
    </w:div>
    <w:div w:id="432752069">
      <w:bodyDiv w:val="1"/>
      <w:marLeft w:val="0"/>
      <w:marRight w:val="0"/>
      <w:marTop w:val="0"/>
      <w:marBottom w:val="0"/>
      <w:divBdr>
        <w:top w:val="none" w:sz="0" w:space="0" w:color="auto"/>
        <w:left w:val="none" w:sz="0" w:space="0" w:color="auto"/>
        <w:bottom w:val="none" w:sz="0" w:space="0" w:color="auto"/>
        <w:right w:val="none" w:sz="0" w:space="0" w:color="auto"/>
      </w:divBdr>
    </w:div>
    <w:div w:id="506021914">
      <w:bodyDiv w:val="1"/>
      <w:marLeft w:val="0"/>
      <w:marRight w:val="0"/>
      <w:marTop w:val="0"/>
      <w:marBottom w:val="0"/>
      <w:divBdr>
        <w:top w:val="none" w:sz="0" w:space="0" w:color="auto"/>
        <w:left w:val="none" w:sz="0" w:space="0" w:color="auto"/>
        <w:bottom w:val="none" w:sz="0" w:space="0" w:color="auto"/>
        <w:right w:val="none" w:sz="0" w:space="0" w:color="auto"/>
      </w:divBdr>
    </w:div>
    <w:div w:id="566839560">
      <w:bodyDiv w:val="1"/>
      <w:marLeft w:val="0"/>
      <w:marRight w:val="0"/>
      <w:marTop w:val="0"/>
      <w:marBottom w:val="0"/>
      <w:divBdr>
        <w:top w:val="none" w:sz="0" w:space="0" w:color="auto"/>
        <w:left w:val="none" w:sz="0" w:space="0" w:color="auto"/>
        <w:bottom w:val="none" w:sz="0" w:space="0" w:color="auto"/>
        <w:right w:val="none" w:sz="0" w:space="0" w:color="auto"/>
      </w:divBdr>
    </w:div>
    <w:div w:id="608315720">
      <w:bodyDiv w:val="1"/>
      <w:marLeft w:val="0"/>
      <w:marRight w:val="0"/>
      <w:marTop w:val="0"/>
      <w:marBottom w:val="0"/>
      <w:divBdr>
        <w:top w:val="none" w:sz="0" w:space="0" w:color="auto"/>
        <w:left w:val="none" w:sz="0" w:space="0" w:color="auto"/>
        <w:bottom w:val="none" w:sz="0" w:space="0" w:color="auto"/>
        <w:right w:val="none" w:sz="0" w:space="0" w:color="auto"/>
      </w:divBdr>
    </w:div>
    <w:div w:id="610355493">
      <w:bodyDiv w:val="1"/>
      <w:marLeft w:val="0"/>
      <w:marRight w:val="0"/>
      <w:marTop w:val="0"/>
      <w:marBottom w:val="0"/>
      <w:divBdr>
        <w:top w:val="none" w:sz="0" w:space="0" w:color="auto"/>
        <w:left w:val="none" w:sz="0" w:space="0" w:color="auto"/>
        <w:bottom w:val="none" w:sz="0" w:space="0" w:color="auto"/>
        <w:right w:val="none" w:sz="0" w:space="0" w:color="auto"/>
      </w:divBdr>
    </w:div>
    <w:div w:id="688919632">
      <w:bodyDiv w:val="1"/>
      <w:marLeft w:val="0"/>
      <w:marRight w:val="0"/>
      <w:marTop w:val="0"/>
      <w:marBottom w:val="0"/>
      <w:divBdr>
        <w:top w:val="none" w:sz="0" w:space="0" w:color="auto"/>
        <w:left w:val="none" w:sz="0" w:space="0" w:color="auto"/>
        <w:bottom w:val="none" w:sz="0" w:space="0" w:color="auto"/>
        <w:right w:val="none" w:sz="0" w:space="0" w:color="auto"/>
      </w:divBdr>
    </w:div>
    <w:div w:id="720054393">
      <w:bodyDiv w:val="1"/>
      <w:marLeft w:val="0"/>
      <w:marRight w:val="0"/>
      <w:marTop w:val="0"/>
      <w:marBottom w:val="0"/>
      <w:divBdr>
        <w:top w:val="none" w:sz="0" w:space="0" w:color="auto"/>
        <w:left w:val="none" w:sz="0" w:space="0" w:color="auto"/>
        <w:bottom w:val="none" w:sz="0" w:space="0" w:color="auto"/>
        <w:right w:val="none" w:sz="0" w:space="0" w:color="auto"/>
      </w:divBdr>
    </w:div>
    <w:div w:id="795418081">
      <w:bodyDiv w:val="1"/>
      <w:marLeft w:val="0"/>
      <w:marRight w:val="0"/>
      <w:marTop w:val="0"/>
      <w:marBottom w:val="0"/>
      <w:divBdr>
        <w:top w:val="none" w:sz="0" w:space="0" w:color="auto"/>
        <w:left w:val="none" w:sz="0" w:space="0" w:color="auto"/>
        <w:bottom w:val="none" w:sz="0" w:space="0" w:color="auto"/>
        <w:right w:val="none" w:sz="0" w:space="0" w:color="auto"/>
      </w:divBdr>
      <w:divsChild>
        <w:div w:id="1123303259">
          <w:marLeft w:val="-240"/>
          <w:marRight w:val="-240"/>
          <w:marTop w:val="0"/>
          <w:marBottom w:val="0"/>
          <w:divBdr>
            <w:top w:val="none" w:sz="0" w:space="0" w:color="auto"/>
            <w:left w:val="none" w:sz="0" w:space="0" w:color="auto"/>
            <w:bottom w:val="none" w:sz="0" w:space="0" w:color="auto"/>
            <w:right w:val="none" w:sz="0" w:space="0" w:color="auto"/>
          </w:divBdr>
          <w:divsChild>
            <w:div w:id="1962104019">
              <w:marLeft w:val="0"/>
              <w:marRight w:val="0"/>
              <w:marTop w:val="0"/>
              <w:marBottom w:val="0"/>
              <w:divBdr>
                <w:top w:val="none" w:sz="0" w:space="0" w:color="auto"/>
                <w:left w:val="none" w:sz="0" w:space="0" w:color="auto"/>
                <w:bottom w:val="none" w:sz="0" w:space="0" w:color="auto"/>
                <w:right w:val="none" w:sz="0" w:space="0" w:color="auto"/>
              </w:divBdr>
              <w:divsChild>
                <w:div w:id="1009983063">
                  <w:marLeft w:val="0"/>
                  <w:marRight w:val="0"/>
                  <w:marTop w:val="0"/>
                  <w:marBottom w:val="0"/>
                  <w:divBdr>
                    <w:top w:val="none" w:sz="0" w:space="0" w:color="auto"/>
                    <w:left w:val="none" w:sz="0" w:space="0" w:color="auto"/>
                    <w:bottom w:val="none" w:sz="0" w:space="0" w:color="auto"/>
                    <w:right w:val="none" w:sz="0" w:space="0" w:color="auto"/>
                  </w:divBdr>
                  <w:divsChild>
                    <w:div w:id="1247617775">
                      <w:marLeft w:val="0"/>
                      <w:marRight w:val="0"/>
                      <w:marTop w:val="0"/>
                      <w:marBottom w:val="0"/>
                      <w:divBdr>
                        <w:top w:val="none" w:sz="0" w:space="0" w:color="auto"/>
                        <w:left w:val="none" w:sz="0" w:space="0" w:color="auto"/>
                        <w:bottom w:val="none" w:sz="0" w:space="0" w:color="auto"/>
                        <w:right w:val="none" w:sz="0" w:space="0" w:color="auto"/>
                      </w:divBdr>
                      <w:divsChild>
                        <w:div w:id="312415215">
                          <w:marLeft w:val="0"/>
                          <w:marRight w:val="0"/>
                          <w:marTop w:val="0"/>
                          <w:marBottom w:val="0"/>
                          <w:divBdr>
                            <w:top w:val="none" w:sz="0" w:space="0" w:color="auto"/>
                            <w:left w:val="none" w:sz="0" w:space="0" w:color="auto"/>
                            <w:bottom w:val="none" w:sz="0" w:space="0" w:color="auto"/>
                            <w:right w:val="none" w:sz="0" w:space="0" w:color="auto"/>
                          </w:divBdr>
                          <w:divsChild>
                            <w:div w:id="844706553">
                              <w:marLeft w:val="-45"/>
                              <w:marRight w:val="0"/>
                              <w:marTop w:val="0"/>
                              <w:marBottom w:val="0"/>
                              <w:divBdr>
                                <w:top w:val="single" w:sz="6" w:space="0" w:color="FFFFFF"/>
                                <w:left w:val="single" w:sz="6" w:space="0" w:color="FFFFFF"/>
                                <w:bottom w:val="single" w:sz="6" w:space="0" w:color="FFFFFF"/>
                                <w:right w:val="single" w:sz="6" w:space="0" w:color="FFFFFF"/>
                              </w:divBdr>
                            </w:div>
                            <w:div w:id="98948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422783">
      <w:bodyDiv w:val="1"/>
      <w:marLeft w:val="0"/>
      <w:marRight w:val="0"/>
      <w:marTop w:val="0"/>
      <w:marBottom w:val="0"/>
      <w:divBdr>
        <w:top w:val="none" w:sz="0" w:space="0" w:color="auto"/>
        <w:left w:val="none" w:sz="0" w:space="0" w:color="auto"/>
        <w:bottom w:val="none" w:sz="0" w:space="0" w:color="auto"/>
        <w:right w:val="none" w:sz="0" w:space="0" w:color="auto"/>
      </w:divBdr>
    </w:div>
    <w:div w:id="921716346">
      <w:bodyDiv w:val="1"/>
      <w:marLeft w:val="0"/>
      <w:marRight w:val="0"/>
      <w:marTop w:val="0"/>
      <w:marBottom w:val="0"/>
      <w:divBdr>
        <w:top w:val="none" w:sz="0" w:space="0" w:color="auto"/>
        <w:left w:val="none" w:sz="0" w:space="0" w:color="auto"/>
        <w:bottom w:val="none" w:sz="0" w:space="0" w:color="auto"/>
        <w:right w:val="none" w:sz="0" w:space="0" w:color="auto"/>
      </w:divBdr>
    </w:div>
    <w:div w:id="1035079306">
      <w:bodyDiv w:val="1"/>
      <w:marLeft w:val="0"/>
      <w:marRight w:val="0"/>
      <w:marTop w:val="0"/>
      <w:marBottom w:val="0"/>
      <w:divBdr>
        <w:top w:val="none" w:sz="0" w:space="0" w:color="auto"/>
        <w:left w:val="none" w:sz="0" w:space="0" w:color="auto"/>
        <w:bottom w:val="none" w:sz="0" w:space="0" w:color="auto"/>
        <w:right w:val="none" w:sz="0" w:space="0" w:color="auto"/>
      </w:divBdr>
    </w:div>
    <w:div w:id="1263299668">
      <w:bodyDiv w:val="1"/>
      <w:marLeft w:val="0"/>
      <w:marRight w:val="0"/>
      <w:marTop w:val="0"/>
      <w:marBottom w:val="0"/>
      <w:divBdr>
        <w:top w:val="none" w:sz="0" w:space="0" w:color="auto"/>
        <w:left w:val="none" w:sz="0" w:space="0" w:color="auto"/>
        <w:bottom w:val="none" w:sz="0" w:space="0" w:color="auto"/>
        <w:right w:val="none" w:sz="0" w:space="0" w:color="auto"/>
      </w:divBdr>
    </w:div>
    <w:div w:id="1305699053">
      <w:bodyDiv w:val="1"/>
      <w:marLeft w:val="0"/>
      <w:marRight w:val="0"/>
      <w:marTop w:val="0"/>
      <w:marBottom w:val="0"/>
      <w:divBdr>
        <w:top w:val="none" w:sz="0" w:space="0" w:color="auto"/>
        <w:left w:val="none" w:sz="0" w:space="0" w:color="auto"/>
        <w:bottom w:val="none" w:sz="0" w:space="0" w:color="auto"/>
        <w:right w:val="none" w:sz="0" w:space="0" w:color="auto"/>
      </w:divBdr>
    </w:div>
    <w:div w:id="1601377421">
      <w:bodyDiv w:val="1"/>
      <w:marLeft w:val="0"/>
      <w:marRight w:val="0"/>
      <w:marTop w:val="0"/>
      <w:marBottom w:val="0"/>
      <w:divBdr>
        <w:top w:val="none" w:sz="0" w:space="0" w:color="auto"/>
        <w:left w:val="none" w:sz="0" w:space="0" w:color="auto"/>
        <w:bottom w:val="none" w:sz="0" w:space="0" w:color="auto"/>
        <w:right w:val="none" w:sz="0" w:space="0" w:color="auto"/>
      </w:divBdr>
    </w:div>
    <w:div w:id="1627085294">
      <w:bodyDiv w:val="1"/>
      <w:marLeft w:val="0"/>
      <w:marRight w:val="0"/>
      <w:marTop w:val="0"/>
      <w:marBottom w:val="0"/>
      <w:divBdr>
        <w:top w:val="none" w:sz="0" w:space="0" w:color="auto"/>
        <w:left w:val="none" w:sz="0" w:space="0" w:color="auto"/>
        <w:bottom w:val="none" w:sz="0" w:space="0" w:color="auto"/>
        <w:right w:val="none" w:sz="0" w:space="0" w:color="auto"/>
      </w:divBdr>
    </w:div>
    <w:div w:id="1810055582">
      <w:bodyDiv w:val="1"/>
      <w:marLeft w:val="0"/>
      <w:marRight w:val="0"/>
      <w:marTop w:val="0"/>
      <w:marBottom w:val="0"/>
      <w:divBdr>
        <w:top w:val="none" w:sz="0" w:space="0" w:color="auto"/>
        <w:left w:val="none" w:sz="0" w:space="0" w:color="auto"/>
        <w:bottom w:val="none" w:sz="0" w:space="0" w:color="auto"/>
        <w:right w:val="none" w:sz="0" w:space="0" w:color="auto"/>
      </w:divBdr>
    </w:div>
    <w:div w:id="1889686625">
      <w:bodyDiv w:val="1"/>
      <w:marLeft w:val="0"/>
      <w:marRight w:val="0"/>
      <w:marTop w:val="0"/>
      <w:marBottom w:val="0"/>
      <w:divBdr>
        <w:top w:val="none" w:sz="0" w:space="0" w:color="auto"/>
        <w:left w:val="none" w:sz="0" w:space="0" w:color="auto"/>
        <w:bottom w:val="none" w:sz="0" w:space="0" w:color="auto"/>
        <w:right w:val="none" w:sz="0" w:space="0" w:color="auto"/>
      </w:divBdr>
    </w:div>
    <w:div w:id="1925844545">
      <w:bodyDiv w:val="1"/>
      <w:marLeft w:val="0"/>
      <w:marRight w:val="0"/>
      <w:marTop w:val="0"/>
      <w:marBottom w:val="0"/>
      <w:divBdr>
        <w:top w:val="none" w:sz="0" w:space="0" w:color="auto"/>
        <w:left w:val="none" w:sz="0" w:space="0" w:color="auto"/>
        <w:bottom w:val="none" w:sz="0" w:space="0" w:color="auto"/>
        <w:right w:val="none" w:sz="0" w:space="0" w:color="auto"/>
      </w:divBdr>
    </w:div>
    <w:div w:id="1927880723">
      <w:bodyDiv w:val="1"/>
      <w:marLeft w:val="0"/>
      <w:marRight w:val="0"/>
      <w:marTop w:val="0"/>
      <w:marBottom w:val="0"/>
      <w:divBdr>
        <w:top w:val="none" w:sz="0" w:space="0" w:color="auto"/>
        <w:left w:val="none" w:sz="0" w:space="0" w:color="auto"/>
        <w:bottom w:val="none" w:sz="0" w:space="0" w:color="auto"/>
        <w:right w:val="none" w:sz="0" w:space="0" w:color="auto"/>
      </w:divBdr>
    </w:div>
    <w:div w:id="1942371050">
      <w:bodyDiv w:val="1"/>
      <w:marLeft w:val="0"/>
      <w:marRight w:val="0"/>
      <w:marTop w:val="0"/>
      <w:marBottom w:val="0"/>
      <w:divBdr>
        <w:top w:val="none" w:sz="0" w:space="0" w:color="auto"/>
        <w:left w:val="none" w:sz="0" w:space="0" w:color="auto"/>
        <w:bottom w:val="none" w:sz="0" w:space="0" w:color="auto"/>
        <w:right w:val="none" w:sz="0" w:space="0" w:color="auto"/>
      </w:divBdr>
    </w:div>
    <w:div w:id="2020043294">
      <w:bodyDiv w:val="1"/>
      <w:marLeft w:val="0"/>
      <w:marRight w:val="0"/>
      <w:marTop w:val="0"/>
      <w:marBottom w:val="0"/>
      <w:divBdr>
        <w:top w:val="none" w:sz="0" w:space="0" w:color="auto"/>
        <w:left w:val="none" w:sz="0" w:space="0" w:color="auto"/>
        <w:bottom w:val="none" w:sz="0" w:space="0" w:color="auto"/>
        <w:right w:val="none" w:sz="0" w:space="0" w:color="auto"/>
      </w:divBdr>
    </w:div>
    <w:div w:id="2137940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641AE652386F48B414D8CFFBBB1D91" ma:contentTypeVersion="1" ma:contentTypeDescription="Create a new document." ma:contentTypeScope="" ma:versionID="d40bca848c6efbcebeabdb1fedb7e94c">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D1F73-0184-46AA-A70B-ADB824D8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3620F6-965E-4BED-ADC5-CD146A57BE40}">
  <ds:schemaRefs>
    <ds:schemaRef ds:uri="http://schemas.microsoft.com/sharepoint/v3/contenttype/forms"/>
  </ds:schemaRefs>
</ds:datastoreItem>
</file>

<file path=customXml/itemProps3.xml><?xml version="1.0" encoding="utf-8"?>
<ds:datastoreItem xmlns:ds="http://schemas.openxmlformats.org/officeDocument/2006/customXml" ds:itemID="{CE66EE0B-6CF8-456E-B3B0-43B2D1CCD012}">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107D3F40-F6D4-4DF3-AC86-BD208217F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0</TotalTime>
  <Pages>11</Pages>
  <Words>6598</Words>
  <Characters>36294</Characters>
  <Application>Microsoft Office Word</Application>
  <DocSecurity>0</DocSecurity>
  <Lines>302</Lines>
  <Paragraphs>85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E/C.12/63/DR/7/2015</vt:lpstr>
      <vt:lpstr>E/C.12/63/DR/7/2015</vt:lpstr>
      <vt:lpstr>E/C.12/63/DR/7/2015</vt:lpstr>
    </vt:vector>
  </TitlesOfParts>
  <Company>OHCHR</Company>
  <LinksUpToDate>false</LinksUpToDate>
  <CharactersWithSpaces>42807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E/C.12/63/D/7/2015</dc:title>
  <dc:subject/>
  <dc:creator>Generic TPSSPA1</dc:creator>
  <cp:keywords/>
  <dc:description/>
  <cp:lastModifiedBy>Generic TPSSPA1</cp:lastModifiedBy>
  <cp:revision>2</cp:revision>
  <cp:lastPrinted>2018-04-17T08:18:00Z</cp:lastPrinted>
  <dcterms:created xsi:type="dcterms:W3CDTF">2018-04-19T11:24:00Z</dcterms:created>
  <dcterms:modified xsi:type="dcterms:W3CDTF">2018-04-19T11:24:00Z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0x01010080641AE652386F48B414D8CFFBBB1D91</vt:lpwstr>
  </property>
</Properties>
</file>