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23997712" w14:textId="77777777" w:rsidTr="00F90E40">
        <w:trPr>
          <w:trHeight w:hRule="exact" w:val="851"/>
        </w:trPr>
        <w:tc>
          <w:tcPr>
            <w:tcW w:w="142" w:type="dxa"/>
            <w:tcBorders>
              <w:bottom w:val="single" w:sz="4" w:space="0" w:color="auto"/>
            </w:tcBorders>
          </w:tcPr>
          <w:p w14:paraId="39DB500F" w14:textId="77777777" w:rsidR="002D5AAC" w:rsidRDefault="002D5AAC" w:rsidP="00A82FFE">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2D9B288A"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346F0ED9" w14:textId="29C6FFEF" w:rsidR="002D5AAC" w:rsidRDefault="00A82FFE" w:rsidP="00A82FFE">
            <w:pPr>
              <w:jc w:val="right"/>
            </w:pPr>
            <w:r w:rsidRPr="00A82FFE">
              <w:rPr>
                <w:sz w:val="40"/>
              </w:rPr>
              <w:t>CAT</w:t>
            </w:r>
            <w:r>
              <w:t>/C/TKM/FCO/3</w:t>
            </w:r>
          </w:p>
        </w:tc>
      </w:tr>
      <w:tr w:rsidR="002D5AAC" w:rsidRPr="00A82FFE" w14:paraId="4E28AEED" w14:textId="77777777" w:rsidTr="00F90E40">
        <w:trPr>
          <w:trHeight w:hRule="exact" w:val="2835"/>
        </w:trPr>
        <w:tc>
          <w:tcPr>
            <w:tcW w:w="1280" w:type="dxa"/>
            <w:gridSpan w:val="2"/>
            <w:tcBorders>
              <w:top w:val="single" w:sz="4" w:space="0" w:color="auto"/>
              <w:bottom w:val="single" w:sz="12" w:space="0" w:color="auto"/>
            </w:tcBorders>
          </w:tcPr>
          <w:p w14:paraId="5179B804" w14:textId="77777777" w:rsidR="002D5AAC" w:rsidRDefault="002E5067" w:rsidP="00F90E40">
            <w:pPr>
              <w:spacing w:before="120"/>
              <w:jc w:val="center"/>
            </w:pPr>
            <w:r>
              <w:rPr>
                <w:noProof/>
                <w:lang w:val="fr-CH" w:eastAsia="fr-CH"/>
              </w:rPr>
              <w:drawing>
                <wp:inline distT="0" distB="0" distL="0" distR="0" wp14:anchorId="72907FE1" wp14:editId="2C86CBE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595606C" w14:textId="77777777" w:rsidR="002D5AAC" w:rsidRPr="00C23549" w:rsidRDefault="00C23549" w:rsidP="00E25141">
            <w:pPr>
              <w:spacing w:before="120" w:line="38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45525C03" w14:textId="77777777" w:rsidR="002D5AAC" w:rsidRPr="00A82FFE" w:rsidRDefault="00A82FFE" w:rsidP="00F90E40">
            <w:pPr>
              <w:spacing w:before="240"/>
              <w:rPr>
                <w:lang w:val="en-US"/>
              </w:rPr>
            </w:pPr>
            <w:r w:rsidRPr="00A82FFE">
              <w:rPr>
                <w:lang w:val="en-US"/>
              </w:rPr>
              <w:t>Distr.: General</w:t>
            </w:r>
          </w:p>
          <w:p w14:paraId="41D3964E" w14:textId="77777777" w:rsidR="00A82FFE" w:rsidRPr="00A82FFE" w:rsidRDefault="00A82FFE" w:rsidP="00A82FFE">
            <w:pPr>
              <w:spacing w:line="240" w:lineRule="exact"/>
              <w:rPr>
                <w:lang w:val="en-US"/>
              </w:rPr>
            </w:pPr>
            <w:r w:rsidRPr="00A82FFE">
              <w:rPr>
                <w:lang w:val="en-US"/>
              </w:rPr>
              <w:t>11 May 2026</w:t>
            </w:r>
          </w:p>
          <w:p w14:paraId="1BE3B70E" w14:textId="475DBC45" w:rsidR="00A82FFE" w:rsidRPr="00A82FFE" w:rsidRDefault="00A82FFE" w:rsidP="00A82FFE">
            <w:pPr>
              <w:spacing w:line="240" w:lineRule="exact"/>
              <w:rPr>
                <w:lang w:val="en-US"/>
              </w:rPr>
            </w:pPr>
          </w:p>
          <w:p w14:paraId="0EA0E974" w14:textId="71F886A7" w:rsidR="00A82FFE" w:rsidRPr="00345557" w:rsidRDefault="00A82FFE" w:rsidP="00A82FFE">
            <w:pPr>
              <w:spacing w:line="240" w:lineRule="exact"/>
              <w:rPr>
                <w:lang w:val="en-US"/>
              </w:rPr>
            </w:pPr>
            <w:r w:rsidRPr="00A82FFE">
              <w:rPr>
                <w:lang w:val="en-US"/>
              </w:rPr>
              <w:t>Original: Russian</w:t>
            </w:r>
            <w:r w:rsidR="00345557">
              <w:rPr>
                <w:lang w:val="en-US"/>
              </w:rPr>
              <w:br/>
            </w:r>
            <w:r w:rsidR="00345557" w:rsidRPr="00345557">
              <w:rPr>
                <w:lang w:val="en-US"/>
              </w:rPr>
              <w:t>English, French, Russian and Spanish only</w:t>
            </w:r>
          </w:p>
        </w:tc>
      </w:tr>
    </w:tbl>
    <w:p w14:paraId="01432045" w14:textId="77777777" w:rsidR="004376F4" w:rsidRPr="00B121FE" w:rsidRDefault="004376F4" w:rsidP="004376F4">
      <w:pPr>
        <w:spacing w:before="120"/>
        <w:rPr>
          <w:b/>
          <w:sz w:val="24"/>
          <w:szCs w:val="24"/>
        </w:rPr>
      </w:pPr>
      <w:r w:rsidRPr="00B121FE">
        <w:rPr>
          <w:b/>
          <w:bCs/>
          <w:sz w:val="24"/>
          <w:szCs w:val="24"/>
        </w:rPr>
        <w:t>Комитет против пыток</w:t>
      </w:r>
    </w:p>
    <w:p w14:paraId="0739B6C2" w14:textId="434A6FE6" w:rsidR="004376F4" w:rsidRPr="00B121FE" w:rsidRDefault="004376F4" w:rsidP="004376F4">
      <w:pPr>
        <w:pStyle w:val="HMG"/>
      </w:pPr>
      <w:r w:rsidRPr="00B121FE">
        <w:tab/>
      </w:r>
      <w:r w:rsidRPr="00B121FE">
        <w:tab/>
        <w:t xml:space="preserve">Информация, полученная от </w:t>
      </w:r>
      <w:r>
        <w:t>Туркменистана</w:t>
      </w:r>
      <w:r w:rsidRPr="00B121FE">
        <w:t xml:space="preserve"> в</w:t>
      </w:r>
      <w:r w:rsidR="00A579C1">
        <w:rPr>
          <w:lang w:val="en-US"/>
        </w:rPr>
        <w:t> </w:t>
      </w:r>
      <w:r w:rsidRPr="00B121FE">
        <w:t>отношении последующей деятельности в</w:t>
      </w:r>
      <w:r w:rsidR="00A579C1">
        <w:rPr>
          <w:lang w:val="en-US"/>
        </w:rPr>
        <w:t> </w:t>
      </w:r>
      <w:r w:rsidRPr="00B121FE">
        <w:t>связи с заключительными замечаниями по</w:t>
      </w:r>
      <w:r w:rsidR="00A579C1">
        <w:rPr>
          <w:lang w:val="en-US"/>
        </w:rPr>
        <w:t> </w:t>
      </w:r>
      <w:r w:rsidRPr="00B121FE">
        <w:t>его третьему периодическому докладу</w:t>
      </w:r>
      <w:r w:rsidRPr="00B121FE">
        <w:rPr>
          <w:rStyle w:val="aa"/>
          <w:b w:val="0"/>
          <w:sz w:val="20"/>
          <w:vertAlign w:val="baseline"/>
        </w:rPr>
        <w:footnoteReference w:customMarkFollows="1" w:id="1"/>
        <w:t>*</w:t>
      </w:r>
    </w:p>
    <w:p w14:paraId="49FF6254" w14:textId="4C24F317" w:rsidR="00381C24" w:rsidRDefault="004376F4" w:rsidP="00070E08">
      <w:pPr>
        <w:pStyle w:val="SingleTxtG"/>
        <w:jc w:val="right"/>
        <w:rPr>
          <w:lang w:val="en-US"/>
        </w:rPr>
      </w:pPr>
      <w:r w:rsidRPr="00B121FE">
        <w:t>[</w:t>
      </w:r>
      <w:r w:rsidRPr="00247ABD">
        <w:t>Дата получения</w:t>
      </w:r>
      <w:r w:rsidRPr="00B121FE">
        <w:t>:</w:t>
      </w:r>
      <w:r w:rsidRPr="00B121FE">
        <w:rPr>
          <w:rFonts w:ascii="Calibri" w:eastAsiaTheme="minorEastAsia" w:hAnsi="Calibri" w:cs="Calibri"/>
          <w:sz w:val="22"/>
          <w:szCs w:val="22"/>
          <w:lang w:eastAsia="zh-CN"/>
        </w:rPr>
        <w:t xml:space="preserve"> </w:t>
      </w:r>
      <w:r w:rsidRPr="00B121FE">
        <w:t xml:space="preserve">15 </w:t>
      </w:r>
      <w:r>
        <w:t>апреля</w:t>
      </w:r>
      <w:r w:rsidRPr="00B121FE">
        <w:t xml:space="preserve"> 2026</w:t>
      </w:r>
      <w:r>
        <w:t xml:space="preserve"> года</w:t>
      </w:r>
      <w:r w:rsidRPr="00B121FE">
        <w:t>]</w:t>
      </w:r>
    </w:p>
    <w:p w14:paraId="1D65C06E" w14:textId="639408FC" w:rsidR="00A579C1" w:rsidRDefault="00A579C1">
      <w:pPr>
        <w:suppressAutoHyphens w:val="0"/>
        <w:spacing w:line="240" w:lineRule="auto"/>
        <w:rPr>
          <w:rFonts w:eastAsia="Times New Roman" w:cs="Times New Roman"/>
          <w:szCs w:val="20"/>
          <w:lang w:val="en-US"/>
        </w:rPr>
      </w:pPr>
      <w:r>
        <w:rPr>
          <w:lang w:val="en-US"/>
        </w:rPr>
        <w:br w:type="page"/>
      </w:r>
    </w:p>
    <w:p w14:paraId="0D555E17" w14:textId="77777777" w:rsidR="004A65B6" w:rsidRPr="00B121FE" w:rsidRDefault="004A65B6" w:rsidP="004A65B6">
      <w:pPr>
        <w:pStyle w:val="SingleTxtG"/>
        <w:rPr>
          <w:bCs/>
        </w:rPr>
      </w:pPr>
      <w:r w:rsidRPr="00B121FE">
        <w:lastRenderedPageBreak/>
        <w:t>1.</w:t>
      </w:r>
      <w:r w:rsidRPr="00B121FE">
        <w:tab/>
        <w:t xml:space="preserve">В соответствии с пунктом 51 Заключительных рекомендаций Комитета ООН против пыток представляем дополнительную информацию по пунктам </w:t>
      </w:r>
      <w:r w:rsidRPr="00B121FE">
        <w:rPr>
          <w:bCs/>
        </w:rPr>
        <w:t>10 а), 14 а), 14 b) и 36 а).</w:t>
      </w:r>
    </w:p>
    <w:p w14:paraId="1F0745D7" w14:textId="77777777" w:rsidR="004A65B6" w:rsidRPr="00B121FE" w:rsidRDefault="004A65B6" w:rsidP="004A65B6">
      <w:pPr>
        <w:pStyle w:val="H1G"/>
      </w:pPr>
      <w:r w:rsidRPr="00B121FE">
        <w:tab/>
      </w:r>
      <w:r w:rsidRPr="00B121FE">
        <w:tab/>
        <w:t xml:space="preserve">Последующая информация в связи с пунктом 10 a) заключительных замечаний </w:t>
      </w:r>
      <w:r w:rsidRPr="00B121FE">
        <w:rPr>
          <w:szCs w:val="18"/>
        </w:rPr>
        <w:t>(CAT/C/TKM/CO/3)</w:t>
      </w:r>
    </w:p>
    <w:p w14:paraId="750F0665" w14:textId="77777777" w:rsidR="004A65B6" w:rsidRPr="00B121FE" w:rsidRDefault="004A65B6" w:rsidP="004A65B6">
      <w:pPr>
        <w:pStyle w:val="SingleTxtG"/>
      </w:pPr>
      <w:r w:rsidRPr="00B121FE">
        <w:t>2.</w:t>
      </w:r>
      <w:r w:rsidRPr="00B121FE">
        <w:tab/>
        <w:t>В Туркменистане высшей ценностью общества и государства является человек. Человек не может быть ограничен в правах или лишен принадлежащих ему прав, осужден или подвергнут наказанию иначе как в точном соответствии с законом. Никто не может подвергаться пыткам, жестокому, бесчеловечному или унижающему достоинство обращению или наказанию.</w:t>
      </w:r>
    </w:p>
    <w:p w14:paraId="5C7540DC" w14:textId="77777777" w:rsidR="004A65B6" w:rsidRPr="00B121FE" w:rsidRDefault="004A65B6" w:rsidP="004A65B6">
      <w:pPr>
        <w:pStyle w:val="SingleTxtG"/>
      </w:pPr>
      <w:r w:rsidRPr="00B121FE">
        <w:t>3.</w:t>
      </w:r>
      <w:r w:rsidRPr="00B121FE">
        <w:tab/>
        <w:t xml:space="preserve">Туркменистан последовательно проводит политику нулевой нетерпимости к любым проявлениям пыток и жестокого обращения. </w:t>
      </w:r>
    </w:p>
    <w:p w14:paraId="19460E9E" w14:textId="77777777" w:rsidR="004A65B6" w:rsidRPr="00B121FE" w:rsidRDefault="004A65B6" w:rsidP="004A65B6">
      <w:pPr>
        <w:pStyle w:val="SingleTxtG"/>
      </w:pPr>
      <w:r w:rsidRPr="00B121FE">
        <w:t>4.</w:t>
      </w:r>
      <w:r w:rsidRPr="00B121FE">
        <w:tab/>
        <w:t xml:space="preserve">В целях формирования у сотрудников правоохранительных органов, в том числе персонала пенитенциарной системы и военнослужащих устойчивого неприятия любых форм пыток и жестокого обращения на постоянной основе проводятся широкомасштабные пропагандистско-разъяснительные работы и систематические учебные занятия в соответствии с ежегодно утверждаемыми рабочими планами. </w:t>
      </w:r>
      <w:r w:rsidRPr="00B121FE">
        <w:br/>
        <w:t>В рамках этих мероприятий разъясняются положения законодательства, Конвенции ООН против пыток и его факультативного протокола, а также международные Конвенции и стандарты в области прав человека. Особое внимание уделяется недопустимости превышения должностных полномочий и строгой ответственности за любые нарушения прав человека.</w:t>
      </w:r>
    </w:p>
    <w:p w14:paraId="2FAB7CF2" w14:textId="77777777" w:rsidR="004A65B6" w:rsidRPr="00B121FE" w:rsidRDefault="004A65B6" w:rsidP="004A65B6">
      <w:pPr>
        <w:pStyle w:val="SingleTxtG"/>
      </w:pPr>
      <w:r w:rsidRPr="00B121FE">
        <w:t>5.</w:t>
      </w:r>
      <w:r w:rsidRPr="00B121FE">
        <w:tab/>
        <w:t>В должностных обязанностях, а также в программах подготовки персонала правоохранительных органов, военного, медицинского персонала, имеющие непосредственное отношение к содержанию под стражей и допросам лиц, имеются нормы и требования запрещающие пытки в полной мере, которые систематически обновляются.</w:t>
      </w:r>
    </w:p>
    <w:p w14:paraId="60E51692" w14:textId="77777777" w:rsidR="004A65B6" w:rsidRPr="00B121FE" w:rsidRDefault="004A65B6" w:rsidP="004A65B6">
      <w:pPr>
        <w:pStyle w:val="SingleTxtG"/>
      </w:pPr>
      <w:r w:rsidRPr="00B121FE">
        <w:t>6.</w:t>
      </w:r>
      <w:r w:rsidRPr="00B121FE">
        <w:tab/>
        <w:t xml:space="preserve">Разработаны учебные пособия для сотрудников органов МВД по противодействию пыткам. Дополнительная подготовка сотрудников подразделений исполнения наказаний органов внутренних дел по вопросам выявления фактов пытки в местах исполнения наказаний и следственных изоляторах по месту службы, а также в учебном центре при Институте МВД Туркменистана. </w:t>
      </w:r>
    </w:p>
    <w:p w14:paraId="4F9FC3E4" w14:textId="77777777" w:rsidR="004A65B6" w:rsidRPr="00B121FE" w:rsidRDefault="004A65B6" w:rsidP="004A65B6">
      <w:pPr>
        <w:pStyle w:val="SingleTxtG"/>
      </w:pPr>
      <w:r w:rsidRPr="00B121FE">
        <w:t>7.</w:t>
      </w:r>
      <w:r w:rsidRPr="00B121FE">
        <w:tab/>
        <w:t xml:space="preserve">Правоохранительными органами подготовлены учебные пособия, в том числе посвященные вопросам противодействия пыткам, которые используются сотрудниками данных ведомств при осуществлении своей деятельности. Кроме того, сотрудники компетентных органов участвуют в образовательных программах ОБСЕ, УНП и УВКПЧ ООН. </w:t>
      </w:r>
    </w:p>
    <w:p w14:paraId="3F2AEE66" w14:textId="77777777" w:rsidR="004A65B6" w:rsidRPr="00B121FE" w:rsidRDefault="004A65B6" w:rsidP="004A65B6">
      <w:pPr>
        <w:pStyle w:val="SingleTxtG"/>
      </w:pPr>
      <w:r w:rsidRPr="00B121FE">
        <w:t>8.</w:t>
      </w:r>
      <w:r w:rsidRPr="00B121FE">
        <w:tab/>
        <w:t>Пункт 7 статьи 3 Уголовного кодекса Туркменистана устанавливает, что наказание и иные меры уголовно-правового воздействия не могут иметь своей целью причинение физических страданий или унижение человеческого достоинства.</w:t>
      </w:r>
    </w:p>
    <w:p w14:paraId="6D08A076" w14:textId="77777777" w:rsidR="004A65B6" w:rsidRPr="00B121FE" w:rsidRDefault="004A65B6" w:rsidP="004A65B6">
      <w:pPr>
        <w:pStyle w:val="SingleTxtG"/>
      </w:pPr>
      <w:r w:rsidRPr="00B121FE">
        <w:t>9.</w:t>
      </w:r>
      <w:r w:rsidRPr="00B121FE">
        <w:tab/>
        <w:t>За превышение должностных полномочий, повлекшее существенные нарушения прав граждан, сотрудники правоохранительных органов могут быть привлечены к уголовной ответственности по статье 199 УК Туркменистана (Превышение должностных полномочий).</w:t>
      </w:r>
    </w:p>
    <w:p w14:paraId="7F00ADCC" w14:textId="77777777" w:rsidR="004A65B6" w:rsidRPr="00B121FE" w:rsidRDefault="004A65B6" w:rsidP="004A65B6">
      <w:pPr>
        <w:pStyle w:val="SingleTxtG"/>
      </w:pPr>
      <w:r w:rsidRPr="00B121FE">
        <w:t>10.</w:t>
      </w:r>
      <w:r w:rsidRPr="00B121FE">
        <w:tab/>
        <w:t>В статье 125 Уголовно-процессуального кодекса Туркменистана установлено, что данные, полученные с применением насилия, угроз, обмана, а также иных незаконных действий не признаются в качестве доказательства.</w:t>
      </w:r>
    </w:p>
    <w:p w14:paraId="581870B5" w14:textId="77777777" w:rsidR="004A65B6" w:rsidRPr="00B121FE" w:rsidRDefault="004A65B6" w:rsidP="004A65B6">
      <w:pPr>
        <w:pStyle w:val="SingleTxtG"/>
      </w:pPr>
      <w:r w:rsidRPr="00B121FE">
        <w:t>11.</w:t>
      </w:r>
      <w:r w:rsidRPr="00B121FE">
        <w:tab/>
        <w:t xml:space="preserve">В целях эффективных превентивных мер против пыток и жестокого обращения во всех следственных органах, следственных изоляторах и учреждениях исполнения наказаний установлены и активно используются современные системы видеонаблюдения и аудиовидеозаписи допросов. Следственные органы </w:t>
      </w:r>
      <w:r w:rsidRPr="00B121FE">
        <w:lastRenderedPageBreak/>
        <w:t>Туркменистана планомерно оснащают все подразделения современными техническими средствами фиксации процессуальных действий.</w:t>
      </w:r>
    </w:p>
    <w:p w14:paraId="3CA8A480" w14:textId="77777777" w:rsidR="004A65B6" w:rsidRPr="00B121FE" w:rsidRDefault="004A65B6" w:rsidP="004A65B6">
      <w:pPr>
        <w:pStyle w:val="SingleTxtG"/>
      </w:pPr>
      <w:r w:rsidRPr="00B121FE">
        <w:t>12.</w:t>
      </w:r>
      <w:r w:rsidRPr="00B121FE">
        <w:tab/>
        <w:t>По каждому случаю превышения сотрудниками внутренних дел Туркменистана должностных полномочий проводится служебная проверка. В ходе проверки факт превышения полномочий тщательно изучается и по результатам выносится заключение. Лицо, совершившее действие, явно превышающее его служебные и должностные полномочия, обязательно подвергается дисциплинарной, либо административной ответственности. На основании Положения о прохождении службы в органах внутренних дел Туркменистана.</w:t>
      </w:r>
    </w:p>
    <w:p w14:paraId="2CBB86B0" w14:textId="77777777" w:rsidR="004A65B6" w:rsidRPr="00B121FE" w:rsidRDefault="004A65B6" w:rsidP="004A65B6">
      <w:pPr>
        <w:pStyle w:val="SingleTxtG"/>
      </w:pPr>
      <w:r w:rsidRPr="00B121FE">
        <w:t>13.</w:t>
      </w:r>
      <w:r w:rsidRPr="00B121FE">
        <w:tab/>
        <w:t>С момента принятия статьи 201 (Пытка) УК Туркменистана (редакция 2022 года) до настоящего времени дела по данной категории судами Туркменистана не рассматривались.</w:t>
      </w:r>
    </w:p>
    <w:p w14:paraId="312ACCA7" w14:textId="77777777" w:rsidR="004A65B6" w:rsidRPr="00B121FE" w:rsidRDefault="004A65B6" w:rsidP="004A65B6">
      <w:pPr>
        <w:pStyle w:val="SingleTxtG"/>
      </w:pPr>
      <w:r w:rsidRPr="00B121FE">
        <w:t>14.</w:t>
      </w:r>
      <w:r w:rsidRPr="00B121FE">
        <w:tab/>
        <w:t xml:space="preserve">Обязательным условием предупреждения насилия и жестокого обращения в местах лишения свободы является функционирование полноценной системы инспектирования и контроля пенитенциарных учреждений, осуществляемого органами прокуратуры Туркменистана, Омбудсменом Туркменистана. </w:t>
      </w:r>
    </w:p>
    <w:p w14:paraId="51F9FDC8" w14:textId="77777777" w:rsidR="004A65B6" w:rsidRPr="00B121FE" w:rsidRDefault="004A65B6" w:rsidP="004A65B6">
      <w:pPr>
        <w:pStyle w:val="SingleTxtG"/>
      </w:pPr>
      <w:r w:rsidRPr="00B121FE">
        <w:t>15.</w:t>
      </w:r>
      <w:r w:rsidRPr="00B121FE">
        <w:tab/>
        <w:t xml:space="preserve">Постановлением Президента Туркменистана от 31 марта 2010 года </w:t>
      </w:r>
      <w:r w:rsidRPr="00B121FE">
        <w:br/>
        <w:t xml:space="preserve">«Об усилении контроля за соблюдением законодательства в деятельности органов исполняющих уголовное наказание и о государственных мерах относительно осужденных, а также лиц, находящихся под надзором, после освобождения из мест лишения свободы» при Кабинете Министров Туркменистана, в </w:t>
      </w:r>
      <w:proofErr w:type="spellStart"/>
      <w:r w:rsidRPr="00B121FE">
        <w:t>хякимликах</w:t>
      </w:r>
      <w:proofErr w:type="spellEnd"/>
      <w:r w:rsidRPr="00B121FE">
        <w:t xml:space="preserve"> велаятов, г. Ашхабада, </w:t>
      </w:r>
      <w:proofErr w:type="spellStart"/>
      <w:r w:rsidRPr="00B121FE">
        <w:t>этрапов</w:t>
      </w:r>
      <w:proofErr w:type="spellEnd"/>
      <w:r w:rsidRPr="00B121FE">
        <w:t xml:space="preserve"> и </w:t>
      </w:r>
      <w:proofErr w:type="spellStart"/>
      <w:r w:rsidRPr="00B121FE">
        <w:t>этрапов</w:t>
      </w:r>
      <w:proofErr w:type="spellEnd"/>
      <w:r w:rsidRPr="00B121FE">
        <w:t xml:space="preserve"> на правах города созданы надзорные комиссии, проводящие работу с осужденными и лицами, находящимися под надзором. Центральная контрольная комиссия осуществляет работу по усилению законности за деятельностью учреждений по исполнению уголовных наказаний, а также за лицами, отбывающими наказание, освободившимися от наказаний и состоящими на профилактическом учете.</w:t>
      </w:r>
    </w:p>
    <w:p w14:paraId="7E89B6B2" w14:textId="77777777" w:rsidR="004A65B6" w:rsidRPr="00B121FE" w:rsidRDefault="004A65B6" w:rsidP="004A65B6">
      <w:pPr>
        <w:pStyle w:val="SingleTxtG"/>
      </w:pPr>
      <w:r w:rsidRPr="00B121FE">
        <w:t>16.</w:t>
      </w:r>
      <w:r w:rsidRPr="00B121FE">
        <w:tab/>
        <w:t xml:space="preserve">На основании и в порядке, предусмотренном законодательством, общественные объединения могут осуществлять контроль за деятельностью учреждений и органов, исполняющих наказание. В свою очередь Генеральный прокурор Туркменистана и подчиненные ему прокуроры в соответствии с Законом Туркменистана </w:t>
      </w:r>
      <w:r w:rsidRPr="00B121FE">
        <w:br/>
        <w:t>«О прокуратуре» осуществляют прокурорский надзор за соблюдением законов администрацией учреждений и органов, исполняющих наказание.</w:t>
      </w:r>
    </w:p>
    <w:p w14:paraId="0432D117" w14:textId="77777777" w:rsidR="004A65B6" w:rsidRPr="00B121FE" w:rsidRDefault="004A65B6" w:rsidP="004A65B6">
      <w:pPr>
        <w:pStyle w:val="SingleTxtG"/>
      </w:pPr>
      <w:r w:rsidRPr="00B121FE">
        <w:t>17.</w:t>
      </w:r>
      <w:r w:rsidRPr="00B121FE">
        <w:tab/>
        <w:t>Администрации пенитенциарных учреждений в обязательном порядке выполняют постановления и предложения прокурора относительно соблюдения правил отбывания наказания, установленных исправительно-трудовым законодательством Туркменистана.</w:t>
      </w:r>
    </w:p>
    <w:p w14:paraId="2C8C0DBD" w14:textId="77777777" w:rsidR="004A65B6" w:rsidRPr="00B121FE" w:rsidRDefault="004A65B6" w:rsidP="004A65B6">
      <w:pPr>
        <w:pStyle w:val="H1G"/>
      </w:pPr>
      <w:r w:rsidRPr="00B121FE">
        <w:tab/>
      </w:r>
      <w:r w:rsidRPr="00B121FE">
        <w:tab/>
        <w:t>Последующая информация в связи с пунктом 14 a) и b) заключительных замечаний</w:t>
      </w:r>
    </w:p>
    <w:p w14:paraId="13F7CFD9" w14:textId="77777777" w:rsidR="004A65B6" w:rsidRPr="00B121FE" w:rsidRDefault="004A65B6" w:rsidP="004A65B6">
      <w:pPr>
        <w:pStyle w:val="SingleTxtG"/>
        <w:rPr>
          <w:bCs/>
        </w:rPr>
      </w:pPr>
      <w:r w:rsidRPr="00B121FE">
        <w:rPr>
          <w:bCs/>
        </w:rPr>
        <w:t>18.</w:t>
      </w:r>
      <w:r w:rsidRPr="00B121FE">
        <w:rPr>
          <w:bCs/>
        </w:rPr>
        <w:tab/>
        <w:t>Туркменистан последовательно проводит политику недопущения содержания под стражей без связи с внешним миром. В соответствии с действующим законодательством каждое лицо, лишенное свободы, имеет право на доступ к адвокату, свидания с членами семьи, уведомление близких о факте задержания и месте нахождения.</w:t>
      </w:r>
    </w:p>
    <w:p w14:paraId="24ED768D" w14:textId="77777777" w:rsidR="004A65B6" w:rsidRPr="00B121FE" w:rsidRDefault="004A65B6" w:rsidP="004A65B6">
      <w:pPr>
        <w:pStyle w:val="SingleTxtG"/>
        <w:rPr>
          <w:bCs/>
        </w:rPr>
      </w:pPr>
      <w:r w:rsidRPr="00B121FE">
        <w:rPr>
          <w:bCs/>
        </w:rPr>
        <w:t>19.</w:t>
      </w:r>
      <w:r w:rsidRPr="00B121FE">
        <w:rPr>
          <w:bCs/>
        </w:rPr>
        <w:tab/>
        <w:t>Все лица, в отношении которых истек срок наказания, подлежат безусловному освобождению в установленные законом сроки. Администрация учреждений исполнения наказаний несет персональную ответственность за соблюдение данных требований. Генеральная прокуратура Туркменистана осуществляет постоянный надзор за соблюдением законности содержания под стражей, включая вопросы своевременного освобождения лиц, содержащихся под стражей.</w:t>
      </w:r>
    </w:p>
    <w:p w14:paraId="44E9B3F9" w14:textId="77777777" w:rsidR="004A65B6" w:rsidRPr="00B121FE" w:rsidRDefault="004A65B6" w:rsidP="004A65B6">
      <w:pPr>
        <w:pStyle w:val="H1G"/>
      </w:pPr>
      <w:r w:rsidRPr="00B121FE">
        <w:lastRenderedPageBreak/>
        <w:tab/>
      </w:r>
      <w:r w:rsidRPr="00B121FE">
        <w:tab/>
        <w:t>Последующая информация в связи с пунктом 36 a) заключительных замечаний</w:t>
      </w:r>
    </w:p>
    <w:p w14:paraId="54AA2C80" w14:textId="77777777" w:rsidR="004A65B6" w:rsidRPr="00B121FE" w:rsidRDefault="004A65B6" w:rsidP="004A65B6">
      <w:pPr>
        <w:pStyle w:val="SingleTxtG"/>
        <w:rPr>
          <w:bCs/>
        </w:rPr>
      </w:pPr>
      <w:r w:rsidRPr="00B121FE">
        <w:rPr>
          <w:bCs/>
        </w:rPr>
        <w:t>20.</w:t>
      </w:r>
      <w:r w:rsidRPr="00B121FE">
        <w:rPr>
          <w:bCs/>
        </w:rPr>
        <w:tab/>
        <w:t>В целях дальнейшего укрепления национального механизма предотвращения пыток и в полном соответствии с рекомендациями Подкомитета по аккредитации Глобального альянса национальных правозащитных учреждений (SCA) (октября 2024 года), а также Парижскими принципами, Аппарат Омбудсмена Туркменистана ведет целенаправленную работу по совершенствованию своего мандата, институциональной независимости и механизмов мониторинга.</w:t>
      </w:r>
    </w:p>
    <w:p w14:paraId="1F7A0A8F" w14:textId="77777777" w:rsidR="004A65B6" w:rsidRPr="00B121FE" w:rsidRDefault="004A65B6" w:rsidP="004A65B6">
      <w:pPr>
        <w:pStyle w:val="SingleTxtG"/>
        <w:rPr>
          <w:bCs/>
        </w:rPr>
      </w:pPr>
      <w:r w:rsidRPr="00B121FE">
        <w:rPr>
          <w:bCs/>
        </w:rPr>
        <w:t>21.</w:t>
      </w:r>
      <w:r w:rsidRPr="00B121FE">
        <w:rPr>
          <w:bCs/>
        </w:rPr>
        <w:tab/>
        <w:t xml:space="preserve">Вопрос об изменении законодательства в части установления возможности сотрудников Аппарата Омбудсмена права посещения мест лишения свободы был поставлен и в рекомендациях ГАНПЗУ, в связи с чем Аппарат Омбудсмена разрабатывает дорожную карту, где предусматривается внесение данного изменения. </w:t>
      </w:r>
    </w:p>
    <w:p w14:paraId="27F3E48C" w14:textId="77777777" w:rsidR="004A65B6" w:rsidRPr="00B121FE" w:rsidRDefault="004A65B6" w:rsidP="004A65B6">
      <w:pPr>
        <w:pStyle w:val="SingleTxtG"/>
        <w:rPr>
          <w:bCs/>
        </w:rPr>
      </w:pPr>
      <w:r w:rsidRPr="00B121FE">
        <w:t>22.</w:t>
      </w:r>
      <w:r w:rsidRPr="00B121FE">
        <w:tab/>
        <w:t xml:space="preserve">В соответствии с Законом Туркменистана «Об Омбудсмене» работники Аппарата Омбудсмена обеспечивают правовое, организационное и иное сопровождение деятельности Омбудсмена, включая регулярные посещения мест лишения свободы и других закрытых учреждений. </w:t>
      </w:r>
      <w:r w:rsidRPr="00B121FE">
        <w:rPr>
          <w:bCs/>
        </w:rPr>
        <w:t>На основании данной нормы посещение Омбудсменом мест лишения свободы и других закрытых специализированных учреждений осуществляется при участии работника Аппарата Омбудсмена. В настоящее время проводятся работы, направленные на совершенствование национального законодательства в данном направлении.</w:t>
      </w:r>
    </w:p>
    <w:p w14:paraId="5293851B" w14:textId="19986D6C" w:rsidR="004A65B6" w:rsidRPr="00B121FE" w:rsidRDefault="004A65B6" w:rsidP="004A65B6">
      <w:pPr>
        <w:pStyle w:val="SingleTxtG"/>
      </w:pPr>
      <w:r w:rsidRPr="00B121FE">
        <w:t>23.</w:t>
      </w:r>
      <w:r w:rsidRPr="00B121FE">
        <w:tab/>
        <w:t>Действующее законодательство не содержит никаких ограничений на проведение Омбудсменом и его Аппаратом регулярных, в том числе внезапных (без</w:t>
      </w:r>
      <w:r w:rsidR="00F40C16">
        <w:t> </w:t>
      </w:r>
      <w:r w:rsidRPr="00B121FE">
        <w:t xml:space="preserve">предварительного уведомления), посещений </w:t>
      </w:r>
      <w:r w:rsidRPr="00B121FE">
        <w:rPr>
          <w:color w:val="000000"/>
        </w:rPr>
        <w:t xml:space="preserve">исправительных и других специализированных учреждений, мест предварительного заключения, мест содержания задержанных </w:t>
      </w:r>
      <w:r w:rsidRPr="00B121FE">
        <w:t xml:space="preserve">с возможностью проведения конфиденциальных бесед с лицами, содержащимися под стражей и другими лицами. </w:t>
      </w:r>
    </w:p>
    <w:p w14:paraId="00664A22" w14:textId="77777777" w:rsidR="004A65B6" w:rsidRPr="00B121FE" w:rsidRDefault="004A65B6" w:rsidP="004A65B6">
      <w:pPr>
        <w:pStyle w:val="SingleTxtG"/>
      </w:pPr>
      <w:r w:rsidRPr="00B121FE">
        <w:t>24.</w:t>
      </w:r>
      <w:r w:rsidRPr="00B121FE">
        <w:tab/>
        <w:t xml:space="preserve">Туркменистан продолжает конструктивное и плодотворное сотрудничество с </w:t>
      </w:r>
      <w:r w:rsidRPr="00B121FE">
        <w:rPr>
          <w:color w:val="000000"/>
        </w:rPr>
        <w:t>Управлением</w:t>
      </w:r>
      <w:r w:rsidRPr="00B121FE">
        <w:t xml:space="preserve"> Верховного комиссара ООН по правам человека и Подкомитетом по аккредитации Глобального альянса национальных правозащитных учреждений в целях успешной реализации данных мер.</w:t>
      </w:r>
    </w:p>
    <w:p w14:paraId="4129A142" w14:textId="2C3CF132" w:rsidR="00A579C1" w:rsidRPr="00F40C16" w:rsidRDefault="004A65B6" w:rsidP="00F40C16">
      <w:pPr>
        <w:spacing w:before="240"/>
        <w:jc w:val="center"/>
        <w:rPr>
          <w:u w:val="single"/>
        </w:rPr>
      </w:pPr>
      <w:r w:rsidRPr="00B121FE">
        <w:rPr>
          <w:u w:val="single"/>
        </w:rPr>
        <w:tab/>
      </w:r>
      <w:r w:rsidRPr="00B121FE">
        <w:rPr>
          <w:u w:val="single"/>
        </w:rPr>
        <w:tab/>
      </w:r>
      <w:r w:rsidRPr="00B121FE">
        <w:rPr>
          <w:u w:val="single"/>
        </w:rPr>
        <w:tab/>
      </w:r>
    </w:p>
    <w:sectPr w:rsidR="00A579C1" w:rsidRPr="00F40C16" w:rsidSect="00A82FFE">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4CFAC" w14:textId="77777777" w:rsidR="00EE21F3" w:rsidRPr="00A312BC" w:rsidRDefault="00EE21F3" w:rsidP="00A312BC"/>
  </w:endnote>
  <w:endnote w:type="continuationSeparator" w:id="0">
    <w:p w14:paraId="2E92CBBE" w14:textId="77777777" w:rsidR="00EE21F3" w:rsidRPr="00A312BC" w:rsidRDefault="00EE21F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55161" w14:textId="3F4DA3ED" w:rsidR="00A82FFE" w:rsidRPr="00A82FFE" w:rsidRDefault="00A82FFE">
    <w:pPr>
      <w:pStyle w:val="a8"/>
    </w:pPr>
    <w:r w:rsidRPr="00A82FFE">
      <w:rPr>
        <w:b/>
        <w:sz w:val="18"/>
      </w:rPr>
      <w:fldChar w:fldCharType="begin"/>
    </w:r>
    <w:r w:rsidRPr="00A82FFE">
      <w:rPr>
        <w:b/>
        <w:sz w:val="18"/>
      </w:rPr>
      <w:instrText xml:space="preserve"> PAGE  \* MERGEFORMAT </w:instrText>
    </w:r>
    <w:r w:rsidRPr="00A82FFE">
      <w:rPr>
        <w:b/>
        <w:sz w:val="18"/>
      </w:rPr>
      <w:fldChar w:fldCharType="separate"/>
    </w:r>
    <w:r w:rsidRPr="00A82FFE">
      <w:rPr>
        <w:b/>
        <w:noProof/>
        <w:sz w:val="18"/>
      </w:rPr>
      <w:t>2</w:t>
    </w:r>
    <w:r w:rsidRPr="00A82FFE">
      <w:rPr>
        <w:b/>
        <w:sz w:val="18"/>
      </w:rPr>
      <w:fldChar w:fldCharType="end"/>
    </w:r>
    <w:r>
      <w:rPr>
        <w:b/>
        <w:sz w:val="18"/>
      </w:rPr>
      <w:tab/>
    </w:r>
    <w:r>
      <w:t>GE.26-06719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8869D" w14:textId="3183B4C1" w:rsidR="00A82FFE" w:rsidRPr="00A82FFE" w:rsidRDefault="00A82FFE" w:rsidP="00A82FFE">
    <w:pPr>
      <w:pStyle w:val="a8"/>
      <w:tabs>
        <w:tab w:val="clear" w:pos="9639"/>
        <w:tab w:val="right" w:pos="9638"/>
      </w:tabs>
      <w:rPr>
        <w:b/>
        <w:sz w:val="18"/>
      </w:rPr>
    </w:pPr>
    <w:r>
      <w:t>GE.26-06719</w:t>
    </w:r>
    <w:r>
      <w:tab/>
    </w:r>
    <w:r w:rsidRPr="00A82FFE">
      <w:rPr>
        <w:b/>
        <w:sz w:val="18"/>
      </w:rPr>
      <w:fldChar w:fldCharType="begin"/>
    </w:r>
    <w:r w:rsidRPr="00A82FFE">
      <w:rPr>
        <w:b/>
        <w:sz w:val="18"/>
      </w:rPr>
      <w:instrText xml:space="preserve"> PAGE  \* MERGEFORMAT </w:instrText>
    </w:r>
    <w:r w:rsidRPr="00A82FFE">
      <w:rPr>
        <w:b/>
        <w:sz w:val="18"/>
      </w:rPr>
      <w:fldChar w:fldCharType="separate"/>
    </w:r>
    <w:r w:rsidRPr="00A82FFE">
      <w:rPr>
        <w:b/>
        <w:noProof/>
        <w:sz w:val="18"/>
      </w:rPr>
      <w:t>3</w:t>
    </w:r>
    <w:r w:rsidRPr="00A82FF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5F00F" w14:textId="00F7C6ED" w:rsidR="00042B72" w:rsidRPr="00A579C1" w:rsidRDefault="00A82FFE" w:rsidP="00A82FFE">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4B7EB2BB" wp14:editId="11D519E8">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26-06719  (R)</w:t>
    </w:r>
    <w:r>
      <w:rPr>
        <w:noProof/>
      </w:rPr>
      <w:drawing>
        <wp:anchor distT="0" distB="0" distL="114300" distR="114300" simplePos="0" relativeHeight="251659264" behindDoc="0" locked="0" layoutInCell="1" allowOverlap="1" wp14:anchorId="7817504A" wp14:editId="54A8D6A5">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579C1">
      <w:rPr>
        <w:lang w:val="en-US"/>
      </w:rPr>
      <w:t xml:space="preserve">  150526  180526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8C924" w14:textId="77777777" w:rsidR="00EE21F3" w:rsidRPr="001075E9" w:rsidRDefault="00EE21F3" w:rsidP="001075E9">
      <w:pPr>
        <w:tabs>
          <w:tab w:val="right" w:pos="2155"/>
        </w:tabs>
        <w:spacing w:after="80" w:line="240" w:lineRule="auto"/>
        <w:ind w:left="680"/>
        <w:rPr>
          <w:u w:val="single"/>
        </w:rPr>
      </w:pPr>
      <w:r>
        <w:rPr>
          <w:u w:val="single"/>
        </w:rPr>
        <w:tab/>
      </w:r>
    </w:p>
  </w:footnote>
  <w:footnote w:type="continuationSeparator" w:id="0">
    <w:p w14:paraId="7CF597E9" w14:textId="77777777" w:rsidR="00EE21F3" w:rsidRDefault="00EE21F3" w:rsidP="00407B78">
      <w:pPr>
        <w:tabs>
          <w:tab w:val="right" w:pos="2155"/>
        </w:tabs>
        <w:spacing w:after="80"/>
        <w:ind w:left="680"/>
        <w:rPr>
          <w:u w:val="single"/>
        </w:rPr>
      </w:pPr>
      <w:r>
        <w:rPr>
          <w:u w:val="single"/>
        </w:rPr>
        <w:tab/>
      </w:r>
    </w:p>
  </w:footnote>
  <w:footnote w:id="1">
    <w:p w14:paraId="408E8AB1" w14:textId="77777777" w:rsidR="004376F4" w:rsidRDefault="004376F4" w:rsidP="004376F4">
      <w:pPr>
        <w:pStyle w:val="ad"/>
      </w:pPr>
      <w:r w:rsidRPr="00B121FE">
        <w:tab/>
      </w:r>
      <w:r w:rsidRPr="00B121FE">
        <w:rPr>
          <w:rStyle w:val="aa"/>
          <w:sz w:val="20"/>
          <w:vertAlign w:val="baseline"/>
        </w:rPr>
        <w:t>*</w:t>
      </w:r>
      <w:r w:rsidRPr="00B121FE">
        <w:rPr>
          <w:sz w:val="20"/>
        </w:rPr>
        <w:tab/>
      </w:r>
      <w:r w:rsidRPr="007B7FB7">
        <w:t>Настоящий документ выпускается без официального редактирования</w:t>
      </w:r>
      <w:r w:rsidRPr="00B121F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22D41" w14:textId="117A3502" w:rsidR="00A82FFE" w:rsidRPr="00A82FFE" w:rsidRDefault="00A82FFE">
    <w:pPr>
      <w:pStyle w:val="a5"/>
    </w:pPr>
    <w:fldSimple w:instr=" TITLE  \* MERGEFORMAT ">
      <w:r>
        <w:t>CAT/C/TKM/FCO/3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DA2A0" w14:textId="408EB72D" w:rsidR="00A82FFE" w:rsidRPr="00A82FFE" w:rsidRDefault="00A82FFE" w:rsidP="00A82FFE">
    <w:pPr>
      <w:pStyle w:val="a5"/>
      <w:jc w:val="right"/>
    </w:pPr>
    <w:fldSimple w:instr=" TITLE  \* MERGEFORMAT ">
      <w:r>
        <w:t>CAT/C/TKM/FCO/3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443188989">
    <w:abstractNumId w:val="17"/>
  </w:num>
  <w:num w:numId="2" w16cid:durableId="182600759">
    <w:abstractNumId w:val="11"/>
  </w:num>
  <w:num w:numId="3" w16cid:durableId="315763993">
    <w:abstractNumId w:val="15"/>
  </w:num>
  <w:num w:numId="4" w16cid:durableId="2085183683">
    <w:abstractNumId w:val="10"/>
  </w:num>
  <w:num w:numId="5" w16cid:durableId="892279582">
    <w:abstractNumId w:val="13"/>
  </w:num>
  <w:num w:numId="6" w16cid:durableId="1587156835">
    <w:abstractNumId w:val="8"/>
  </w:num>
  <w:num w:numId="7" w16cid:durableId="1571967327">
    <w:abstractNumId w:val="3"/>
  </w:num>
  <w:num w:numId="8" w16cid:durableId="1348945060">
    <w:abstractNumId w:val="2"/>
  </w:num>
  <w:num w:numId="9" w16cid:durableId="800655144">
    <w:abstractNumId w:val="1"/>
  </w:num>
  <w:num w:numId="10" w16cid:durableId="1486779123">
    <w:abstractNumId w:val="0"/>
  </w:num>
  <w:num w:numId="11" w16cid:durableId="1694333942">
    <w:abstractNumId w:val="9"/>
  </w:num>
  <w:num w:numId="12" w16cid:durableId="1355614549">
    <w:abstractNumId w:val="7"/>
  </w:num>
  <w:num w:numId="13" w16cid:durableId="147669172">
    <w:abstractNumId w:val="6"/>
  </w:num>
  <w:num w:numId="14" w16cid:durableId="700132574">
    <w:abstractNumId w:val="5"/>
  </w:num>
  <w:num w:numId="15" w16cid:durableId="1262566191">
    <w:abstractNumId w:val="4"/>
  </w:num>
  <w:num w:numId="16" w16cid:durableId="694767875">
    <w:abstractNumId w:val="16"/>
  </w:num>
  <w:num w:numId="17" w16cid:durableId="2014838978">
    <w:abstractNumId w:val="12"/>
  </w:num>
  <w:num w:numId="18" w16cid:durableId="1493107414">
    <w:abstractNumId w:val="14"/>
  </w:num>
  <w:num w:numId="19" w16cid:durableId="2138405590">
    <w:abstractNumId w:val="16"/>
  </w:num>
  <w:num w:numId="20" w16cid:durableId="680133077">
    <w:abstractNumId w:val="12"/>
  </w:num>
  <w:num w:numId="21" w16cid:durableId="188123539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014"/>
    <w:rsid w:val="00030741"/>
    <w:rsid w:val="00033EE1"/>
    <w:rsid w:val="00041407"/>
    <w:rsid w:val="00042B72"/>
    <w:rsid w:val="000558BD"/>
    <w:rsid w:val="00070E08"/>
    <w:rsid w:val="000725B5"/>
    <w:rsid w:val="000814CD"/>
    <w:rsid w:val="000B57E7"/>
    <w:rsid w:val="000B6373"/>
    <w:rsid w:val="000F09DF"/>
    <w:rsid w:val="000F61B2"/>
    <w:rsid w:val="001075E9"/>
    <w:rsid w:val="00180183"/>
    <w:rsid w:val="0018024D"/>
    <w:rsid w:val="0018649F"/>
    <w:rsid w:val="00196389"/>
    <w:rsid w:val="001B3EF6"/>
    <w:rsid w:val="001C7A89"/>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45557"/>
    <w:rsid w:val="00374EC6"/>
    <w:rsid w:val="00381C24"/>
    <w:rsid w:val="00393C46"/>
    <w:rsid w:val="003958D0"/>
    <w:rsid w:val="003B00E5"/>
    <w:rsid w:val="00403C9E"/>
    <w:rsid w:val="00407B78"/>
    <w:rsid w:val="00424203"/>
    <w:rsid w:val="004376F4"/>
    <w:rsid w:val="00452493"/>
    <w:rsid w:val="00454E07"/>
    <w:rsid w:val="00472C5C"/>
    <w:rsid w:val="004A6014"/>
    <w:rsid w:val="004A65B6"/>
    <w:rsid w:val="0050108D"/>
    <w:rsid w:val="00513081"/>
    <w:rsid w:val="00517901"/>
    <w:rsid w:val="00523039"/>
    <w:rsid w:val="00526683"/>
    <w:rsid w:val="00550706"/>
    <w:rsid w:val="005709E0"/>
    <w:rsid w:val="00570A37"/>
    <w:rsid w:val="00572E19"/>
    <w:rsid w:val="0058663C"/>
    <w:rsid w:val="005961C8"/>
    <w:rsid w:val="005D7914"/>
    <w:rsid w:val="005E2B41"/>
    <w:rsid w:val="005F0B42"/>
    <w:rsid w:val="00660FC3"/>
    <w:rsid w:val="00681A10"/>
    <w:rsid w:val="006A1ED8"/>
    <w:rsid w:val="006C2031"/>
    <w:rsid w:val="006D461A"/>
    <w:rsid w:val="006F35EE"/>
    <w:rsid w:val="006F58C8"/>
    <w:rsid w:val="007021FF"/>
    <w:rsid w:val="00712895"/>
    <w:rsid w:val="00757357"/>
    <w:rsid w:val="00825F8D"/>
    <w:rsid w:val="00834B71"/>
    <w:rsid w:val="00834CC0"/>
    <w:rsid w:val="008522C1"/>
    <w:rsid w:val="0086445C"/>
    <w:rsid w:val="00894693"/>
    <w:rsid w:val="008A08D7"/>
    <w:rsid w:val="008B6909"/>
    <w:rsid w:val="00906890"/>
    <w:rsid w:val="00911BE4"/>
    <w:rsid w:val="00951972"/>
    <w:rsid w:val="00953B7A"/>
    <w:rsid w:val="009569AF"/>
    <w:rsid w:val="009608F3"/>
    <w:rsid w:val="0098614C"/>
    <w:rsid w:val="009A24AC"/>
    <w:rsid w:val="00A312BC"/>
    <w:rsid w:val="00A478EF"/>
    <w:rsid w:val="00A579C1"/>
    <w:rsid w:val="00A66C5E"/>
    <w:rsid w:val="00A74D9D"/>
    <w:rsid w:val="00A82FFE"/>
    <w:rsid w:val="00A84021"/>
    <w:rsid w:val="00A84D35"/>
    <w:rsid w:val="00A917B3"/>
    <w:rsid w:val="00AB4B51"/>
    <w:rsid w:val="00B10CC7"/>
    <w:rsid w:val="00B20CB2"/>
    <w:rsid w:val="00B539E7"/>
    <w:rsid w:val="00B62458"/>
    <w:rsid w:val="00BC18B2"/>
    <w:rsid w:val="00BD33EE"/>
    <w:rsid w:val="00C106D6"/>
    <w:rsid w:val="00C23549"/>
    <w:rsid w:val="00C60F0C"/>
    <w:rsid w:val="00C805C9"/>
    <w:rsid w:val="00C838C6"/>
    <w:rsid w:val="00C92939"/>
    <w:rsid w:val="00CA1679"/>
    <w:rsid w:val="00CB151C"/>
    <w:rsid w:val="00CE5A1A"/>
    <w:rsid w:val="00CF55F6"/>
    <w:rsid w:val="00D33D63"/>
    <w:rsid w:val="00D6392D"/>
    <w:rsid w:val="00D7263B"/>
    <w:rsid w:val="00D77607"/>
    <w:rsid w:val="00D90028"/>
    <w:rsid w:val="00D90138"/>
    <w:rsid w:val="00DD1D1E"/>
    <w:rsid w:val="00DF71B9"/>
    <w:rsid w:val="00E21169"/>
    <w:rsid w:val="00E25141"/>
    <w:rsid w:val="00E528D1"/>
    <w:rsid w:val="00E73F76"/>
    <w:rsid w:val="00EA2C9F"/>
    <w:rsid w:val="00EB1BA4"/>
    <w:rsid w:val="00ED0BDA"/>
    <w:rsid w:val="00EE21F3"/>
    <w:rsid w:val="00EF1360"/>
    <w:rsid w:val="00EF3220"/>
    <w:rsid w:val="00F21B00"/>
    <w:rsid w:val="00F40C16"/>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197E3"/>
  <w15:docId w15:val="{12ABA10E-9C20-424C-981E-ADFA584D6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SingleTxtGChar">
    <w:name w:val="_ Single Txt_G Char"/>
    <w:link w:val="SingleTxtG"/>
    <w:qFormat/>
    <w:locked/>
    <w:rsid w:val="004A65B6"/>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3</TotalTime>
  <Pages>4</Pages>
  <Words>1083</Words>
  <Characters>8060</Characters>
  <Application>Microsoft Office Word</Application>
  <DocSecurity>0</DocSecurity>
  <Lines>155</Lines>
  <Paragraphs>40</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9103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CAT/C/TKM/FCO/3</dc:title>
  <dc:subject/>
  <dc:creator>Uliana ANTIPOVA</dc:creator>
  <cp:keywords/>
  <cp:lastModifiedBy>Uliana Antipova</cp:lastModifiedBy>
  <cp:revision>3</cp:revision>
  <cp:lastPrinted>2026-05-18T15:08:00Z</cp:lastPrinted>
  <dcterms:created xsi:type="dcterms:W3CDTF">2026-05-18T15:08:00Z</dcterms:created>
  <dcterms:modified xsi:type="dcterms:W3CDTF">2026-05-18T15:11:00Z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