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B13" w:rsidRDefault="00016B13" w:rsidP="00016B13">
      <w:pPr>
        <w:spacing w:line="240" w:lineRule="auto"/>
        <w:rPr>
          <w:sz w:val="2"/>
          <w:lang w:val="fr-CA"/>
        </w:rPr>
        <w:sectPr w:rsidR="00016B13" w:rsidSect="00016B13">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574397" w:rsidRPr="00574397" w:rsidRDefault="00574397" w:rsidP="00574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74397">
        <w:rPr>
          <w:lang w:val="fr-FR"/>
        </w:rPr>
        <w:t xml:space="preserve">Comité pour l’élimination de la discrimination </w:t>
      </w:r>
      <w:r w:rsidRPr="00574397">
        <w:rPr>
          <w:lang w:val="fr-FR"/>
        </w:rPr>
        <w:br/>
        <w:t>à l’égard des femmes</w:t>
      </w:r>
    </w:p>
    <w:p w:rsidR="00574397" w:rsidRPr="00574397" w:rsidRDefault="00574397" w:rsidP="00574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4397">
        <w:rPr>
          <w:lang w:val="fr-FR"/>
        </w:rPr>
        <w:t>Groupe de travail d’avant-session</w:t>
      </w:r>
    </w:p>
    <w:p w:rsidR="00574397" w:rsidRPr="00574397" w:rsidRDefault="00574397" w:rsidP="00574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4397">
        <w:rPr>
          <w:lang w:val="fr-FR"/>
        </w:rPr>
        <w:t>Soixante-deuxième session</w:t>
      </w:r>
    </w:p>
    <w:p w:rsidR="00574397" w:rsidRPr="00574397" w:rsidRDefault="00574397" w:rsidP="005743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74397">
        <w:rPr>
          <w:lang w:val="fr-FR"/>
        </w:rPr>
        <w:t>9-13 mars 2015</w:t>
      </w:r>
    </w:p>
    <w:p w:rsidR="00574397" w:rsidRPr="00574397" w:rsidRDefault="00574397" w:rsidP="00574397">
      <w:pPr>
        <w:pStyle w:val="SingleTxt"/>
        <w:spacing w:after="0" w:line="120" w:lineRule="exact"/>
        <w:rPr>
          <w:b/>
          <w:sz w:val="10"/>
          <w:lang w:val="fr-FR"/>
        </w:rPr>
      </w:pPr>
    </w:p>
    <w:p w:rsidR="00574397" w:rsidRPr="00574397" w:rsidRDefault="00574397" w:rsidP="00574397">
      <w:pPr>
        <w:pStyle w:val="SingleTxt"/>
        <w:spacing w:after="0" w:line="120" w:lineRule="exact"/>
        <w:rPr>
          <w:b/>
          <w:sz w:val="10"/>
          <w:lang w:val="fr-FR"/>
        </w:rPr>
      </w:pPr>
    </w:p>
    <w:p w:rsidR="00574397" w:rsidRPr="00574397" w:rsidRDefault="00574397" w:rsidP="00574397">
      <w:pPr>
        <w:pStyle w:val="SingleTxt"/>
        <w:spacing w:after="0" w:line="120" w:lineRule="exact"/>
        <w:rPr>
          <w:b/>
          <w:sz w:val="10"/>
          <w:lang w:val="fr-FR"/>
        </w:rPr>
      </w:pPr>
    </w:p>
    <w:p w:rsidR="00574397" w:rsidRDefault="00574397" w:rsidP="00574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280B">
        <w:tab/>
      </w:r>
      <w:r w:rsidRPr="0081280B">
        <w:tab/>
        <w:t xml:space="preserve">Examen des rapports présentés par les États parties </w:t>
      </w:r>
      <w:r>
        <w:br/>
      </w:r>
      <w:r w:rsidRPr="0081280B">
        <w:t>en application de l</w:t>
      </w:r>
      <w:r>
        <w:t>’</w:t>
      </w:r>
      <w:r w:rsidRPr="0081280B">
        <w:t xml:space="preserve">article 18 de la Convention </w:t>
      </w:r>
      <w:r>
        <w:br/>
      </w:r>
      <w:r w:rsidRPr="0081280B">
        <w:t>sur l</w:t>
      </w:r>
      <w:r>
        <w:t>’</w:t>
      </w:r>
      <w:r w:rsidRPr="0081280B">
        <w:t xml:space="preserve">élimination de toutes les formes de discrimination </w:t>
      </w:r>
      <w:r>
        <w:br/>
      </w:r>
      <w:r w:rsidRPr="0081280B">
        <w:t>à l</w:t>
      </w:r>
      <w:r>
        <w:t>’égard des femmes</w:t>
      </w:r>
    </w:p>
    <w:p w:rsidR="00574397" w:rsidRPr="00574397" w:rsidRDefault="00574397" w:rsidP="00574397">
      <w:pPr>
        <w:pStyle w:val="SingleTxt"/>
        <w:spacing w:after="0" w:line="120" w:lineRule="exact"/>
        <w:rPr>
          <w:sz w:val="10"/>
          <w:lang w:val="fr-FR"/>
        </w:rPr>
      </w:pPr>
    </w:p>
    <w:p w:rsidR="00574397" w:rsidRPr="00574397" w:rsidRDefault="00574397" w:rsidP="00574397">
      <w:pPr>
        <w:pStyle w:val="SingleTxt"/>
        <w:spacing w:after="0" w:line="120" w:lineRule="exact"/>
        <w:rPr>
          <w:sz w:val="10"/>
          <w:lang w:val="fr-FR"/>
        </w:rPr>
      </w:pPr>
    </w:p>
    <w:p w:rsidR="00574397" w:rsidRPr="00574397" w:rsidRDefault="00574397" w:rsidP="00574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4397">
        <w:rPr>
          <w:lang w:val="fr-FR"/>
        </w:rPr>
        <w:tab/>
      </w:r>
      <w:r w:rsidRPr="00574397">
        <w:rPr>
          <w:lang w:val="fr-FR"/>
        </w:rPr>
        <w:tab/>
        <w:t>Rapport du groupe de travail d’avant-session</w:t>
      </w:r>
    </w:p>
    <w:p w:rsidR="00574397" w:rsidRPr="00574397" w:rsidRDefault="00574397" w:rsidP="00574397">
      <w:pPr>
        <w:pStyle w:val="SingleTxt"/>
        <w:spacing w:after="0" w:line="120" w:lineRule="exact"/>
        <w:rPr>
          <w:sz w:val="10"/>
          <w:lang w:val="fr-FR"/>
        </w:rPr>
      </w:pPr>
    </w:p>
    <w:p w:rsidR="00574397" w:rsidRPr="00574397" w:rsidRDefault="00574397" w:rsidP="00574397">
      <w:pPr>
        <w:pStyle w:val="SingleTxt"/>
        <w:spacing w:after="0" w:line="120" w:lineRule="exact"/>
        <w:rPr>
          <w:sz w:val="10"/>
          <w:lang w:val="fr-FR"/>
        </w:rPr>
      </w:pP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FR"/>
        </w:rPr>
      </w:pPr>
      <w:r w:rsidRPr="00574397">
        <w:rPr>
          <w:lang w:val="fr-FR"/>
        </w:rPr>
        <w:t>Le Comité pour l’élimination de toutes les formes de discrimination à l’égard des femmes a pour pratique de réunir pendant cinq jours un groupe de travail d’avant-session pour préparer les listes de sujets et de questions relatifs au rapport initial et aux rapports périodiques qui seront soumis à l’examen du Comité lors d’une de ses futures sessions.</w:t>
      </w: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574397">
        <w:rPr>
          <w:lang w:val="fr-FR"/>
        </w:rPr>
        <w:t>Le Comité a décidé que le groupe de travail d’avant-session de la soixante-deuxième session du Comité se réunirait du 9 au 13 mars 2015, immédiatement après la soixantième session, afin que les États parties disposent d’un temps suffisant pour présenter leurs réponses écrites aux listes de sujets et de questions, et que celles-ci puissent être traduites en temps opportun.</w:t>
      </w: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574397">
        <w:rPr>
          <w:lang w:val="fr-FR"/>
        </w:rPr>
        <w:t>Les experts dont la liste suit ont été nommés membres du groupe de travail d’avant-session et ont participé à la session :</w:t>
      </w:r>
    </w:p>
    <w:p w:rsidR="00574397" w:rsidRPr="0081280B" w:rsidRDefault="00574397" w:rsidP="00574397">
      <w:pPr>
        <w:pStyle w:val="SingleTxt"/>
        <w:ind w:left="1742" w:hanging="475"/>
        <w:jc w:val="left"/>
      </w:pPr>
      <w:r w:rsidRPr="00574397">
        <w:rPr>
          <w:lang w:val="fr-FR"/>
        </w:rPr>
        <w:tab/>
      </w:r>
      <w:r w:rsidRPr="0081280B">
        <w:t>Barbara Bailey</w:t>
      </w:r>
      <w:r>
        <w:br/>
      </w:r>
      <w:r w:rsidRPr="0081280B">
        <w:t>Nahla Haidar</w:t>
      </w:r>
      <w:r>
        <w:br/>
      </w:r>
      <w:r w:rsidRPr="0081280B">
        <w:t>Dalia Leinarte</w:t>
      </w:r>
      <w:r>
        <w:br/>
      </w:r>
      <w:r w:rsidRPr="0081280B">
        <w:t>Pramila Patten</w:t>
      </w:r>
      <w:r>
        <w:br/>
      </w:r>
      <w:r w:rsidRPr="0081280B">
        <w:t>Patricia Schulz</w:t>
      </w: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574397">
        <w:rPr>
          <w:lang w:val="fr-FR"/>
        </w:rPr>
        <w:t>Le groupe de travail d’avant-session a élu M</w:t>
      </w:r>
      <w:r w:rsidRPr="00574397">
        <w:rPr>
          <w:vertAlign w:val="superscript"/>
          <w:lang w:val="fr-FR"/>
        </w:rPr>
        <w:t>me</w:t>
      </w:r>
      <w:r w:rsidRPr="00574397">
        <w:rPr>
          <w:lang w:val="fr-FR"/>
        </w:rPr>
        <w:t> Schulz Présidente.</w:t>
      </w: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574397">
        <w:rPr>
          <w:lang w:val="fr-FR"/>
        </w:rPr>
        <w:t>Le groupe de travail d’avant-session a préparé des listes de sujets et de questions relatives aux rapports des Émirats arabes unis, de la Fédération de Russie, du Liban, du Libéria, de Madagascar, du Malawi, de l’Ouzbékistan, du Portugal, de la Slovaquie, de la Slovénie, de Timor-Leste et du Yémen. Il s’est guidé dans cette tâche sur la décision 49/IX</w:t>
      </w:r>
      <w:r w:rsidRPr="00574397" w:rsidDel="00132CB0">
        <w:rPr>
          <w:lang w:val="fr-FR"/>
        </w:rPr>
        <w:t xml:space="preserve"> </w:t>
      </w:r>
      <w:r w:rsidRPr="00574397">
        <w:rPr>
          <w:lang w:val="fr-FR"/>
        </w:rPr>
        <w:t>du Comité, par laquelle le Comité a décidé de limiter ces listes à 20 questions. En pratique et à titre exceptionnel, certaines listes contiennent jusqu’à 22 questions.</w:t>
      </w: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574397">
        <w:rPr>
          <w:lang w:val="fr-FR"/>
        </w:rPr>
        <w:t>Pour faciliter la préparation des listes de sujets et de questions, le groupe de travail d’avant-session a disposé des rapports des États parties susmentionnés, en complément des documents de base présentés par lesdits États, à l’exception des Émirats arabes unis; des recommandations générales adoptées par le Comité; des informations générales et des projets de listes de sujets et de questions préparées par le Secrétariat; et d’autres informations pertinentes, notamment les observations finales du Comité et, le cas échéant, d’autres organes créés en vertu des traités. En préparant les listes, le groupe de travail d’avant-session a porté une attention particulière aux suites données par les États parties aux observations finales du Comité</w:t>
      </w:r>
      <w:r w:rsidRPr="00574397" w:rsidDel="009428B3">
        <w:rPr>
          <w:lang w:val="fr-FR"/>
        </w:rPr>
        <w:t xml:space="preserve"> </w:t>
      </w:r>
      <w:r w:rsidRPr="00574397">
        <w:rPr>
          <w:lang w:val="fr-FR"/>
        </w:rPr>
        <w:t>concernant leurs rapports précédents.</w:t>
      </w: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574397">
        <w:rPr>
          <w:lang w:val="fr-FR"/>
        </w:rPr>
        <w:t>Le groupe de travail d’avant-session a bénéficié d’informations écrites et orales émanant d’organismes et d’institutions spécialisées du système des Nations Unies, d’organisations non gouvernementales et d’institutions nationales des droits de l’homme.</w:t>
      </w: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574397">
        <w:rPr>
          <w:lang w:val="fr-FR"/>
        </w:rPr>
        <w:t>Les listes de sujets et de questions adoptées par le groupe de travail d’avant-session ont été transmises aux États parties concernés et figurent dans les documents suivants :</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a)</w:t>
      </w:r>
      <w:r w:rsidRPr="00574397">
        <w:rPr>
          <w:lang w:val="fr-FR"/>
        </w:rPr>
        <w:tab/>
        <w:t>Liste des sujets et questions suscités par l’examen des quatrième et cinquième rapports périodiques combinés du Liban (</w:t>
      </w:r>
      <w:hyperlink r:id="rId14" w:history="1">
        <w:r w:rsidRPr="00574397">
          <w:rPr>
            <w:rStyle w:val="Hyperlink"/>
            <w:lang w:val="fr-FR"/>
          </w:rPr>
          <w:t>CEDAW/C/LBN/Q/4-5</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b)</w:t>
      </w:r>
      <w:r w:rsidRPr="00574397">
        <w:rPr>
          <w:lang w:val="fr-FR"/>
        </w:rPr>
        <w:tab/>
        <w:t>Liste des sujets et questions suscités par l’examen des septième et huitième rapports périodiques combinés du Libéria (</w:t>
      </w:r>
      <w:hyperlink r:id="rId15" w:history="1">
        <w:r w:rsidRPr="00574397">
          <w:rPr>
            <w:rStyle w:val="Hyperlink"/>
            <w:lang w:val="fr-FR"/>
          </w:rPr>
          <w:t>CEDAW/C/LBR/Q/7-8</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c)</w:t>
      </w:r>
      <w:r w:rsidRPr="00574397">
        <w:rPr>
          <w:lang w:val="fr-FR"/>
        </w:rPr>
        <w:tab/>
        <w:t>Liste des sujets et questions suscités par l’examen des sixième et septième rapports périodiques combinés de Madagascar (</w:t>
      </w:r>
      <w:hyperlink r:id="rId16" w:history="1">
        <w:r w:rsidRPr="00574397">
          <w:rPr>
            <w:rStyle w:val="Hyperlink"/>
            <w:lang w:val="fr-FR"/>
          </w:rPr>
          <w:t>CEDAW/C/MDG/Q/6-7</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d)</w:t>
      </w:r>
      <w:r w:rsidRPr="00574397">
        <w:rPr>
          <w:lang w:val="fr-FR"/>
        </w:rPr>
        <w:tab/>
        <w:t>Liste des sujets et questions suscités par l’examen du septième rapport périodique du Malawi (</w:t>
      </w:r>
      <w:hyperlink r:id="rId17" w:history="1">
        <w:r w:rsidRPr="00574397">
          <w:rPr>
            <w:rStyle w:val="Hyperlink"/>
            <w:lang w:val="fr-FR"/>
          </w:rPr>
          <w:t>CEDAW/C/MWI/Q/7</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e)</w:t>
      </w:r>
      <w:r w:rsidRPr="00574397">
        <w:rPr>
          <w:lang w:val="fr-FR"/>
        </w:rPr>
        <w:tab/>
        <w:t>Liste des sujets et questions suscités par l’examen des huitième et neuvième rapports périodiques combinés du Portugal (</w:t>
      </w:r>
      <w:hyperlink r:id="rId18" w:history="1">
        <w:r w:rsidRPr="00574397">
          <w:rPr>
            <w:rStyle w:val="Hyperlink"/>
            <w:lang w:val="fr-FR"/>
          </w:rPr>
          <w:t>CEDAW/C/PRT/Q/8-9</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f)</w:t>
      </w:r>
      <w:r w:rsidRPr="00574397">
        <w:rPr>
          <w:lang w:val="fr-FR"/>
        </w:rPr>
        <w:tab/>
        <w:t>Liste des sujets et questions suscités par l’examen du huitième rapport périodique de la Fédération de Russie (</w:t>
      </w:r>
      <w:hyperlink r:id="rId19" w:history="1">
        <w:r w:rsidRPr="00574397">
          <w:rPr>
            <w:rStyle w:val="Hyperlink"/>
            <w:lang w:val="fr-FR"/>
          </w:rPr>
          <w:t>CEDAW/C/RUS/Q/8</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g)</w:t>
      </w:r>
      <w:r w:rsidRPr="00574397">
        <w:rPr>
          <w:lang w:val="fr-FR"/>
        </w:rPr>
        <w:tab/>
        <w:t>Liste des sujets et questions suscités par l’examen des cinquième et sixième rapports périodiques combinés de la Slovaquie (</w:t>
      </w:r>
      <w:hyperlink r:id="rId20" w:history="1">
        <w:r w:rsidRPr="00574397">
          <w:rPr>
            <w:rStyle w:val="Hyperlink"/>
            <w:lang w:val="fr-FR"/>
          </w:rPr>
          <w:t>CEDAW/C/SVK/Q/5-6</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h)</w:t>
      </w:r>
      <w:r w:rsidRPr="00574397">
        <w:rPr>
          <w:lang w:val="fr-FR"/>
        </w:rPr>
        <w:tab/>
        <w:t>Liste des sujets et questions suscités par l’examen des cinquième et sixième rapports périodiques combinés de la Slovénie (</w:t>
      </w:r>
      <w:hyperlink r:id="rId21" w:history="1">
        <w:r w:rsidRPr="00574397">
          <w:rPr>
            <w:rStyle w:val="Hyperlink"/>
            <w:lang w:val="fr-FR"/>
          </w:rPr>
          <w:t>CEDAW/C/SVN/Q/5-6</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i)</w:t>
      </w:r>
      <w:r w:rsidRPr="00574397">
        <w:rPr>
          <w:lang w:val="fr-FR"/>
        </w:rPr>
        <w:tab/>
        <w:t>Liste des sujets et questions suscités par l’examen des deuxième et troisième rapports périodiques combinés de Timor-Leste (</w:t>
      </w:r>
      <w:hyperlink r:id="rId22" w:history="1">
        <w:r w:rsidRPr="00574397">
          <w:rPr>
            <w:rStyle w:val="Hyperlink"/>
            <w:lang w:val="fr-FR"/>
          </w:rPr>
          <w:t>CEDAW/C/TLS/Q/2-3</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j)</w:t>
      </w:r>
      <w:r w:rsidRPr="00574397">
        <w:rPr>
          <w:lang w:val="fr-FR"/>
        </w:rPr>
        <w:tab/>
        <w:t>Liste des sujets et questions suscités par l’examen des deuxième et troisième rapports périodiques combinés des Émirats arabes unis (</w:t>
      </w:r>
      <w:hyperlink r:id="rId23" w:history="1">
        <w:r w:rsidRPr="00574397">
          <w:rPr>
            <w:rStyle w:val="Hyperlink"/>
            <w:lang w:val="fr-FR"/>
          </w:rPr>
          <w:t>CEDAW/C/ARE/Q/2-3</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k)</w:t>
      </w:r>
      <w:r w:rsidRPr="00574397">
        <w:rPr>
          <w:lang w:val="fr-FR"/>
        </w:rPr>
        <w:tab/>
        <w:t>Liste des sujets et questions suscités par l’examen du cinquième rapport périodique de l’Ouzbékistan (</w:t>
      </w:r>
      <w:hyperlink r:id="rId24" w:history="1">
        <w:r w:rsidRPr="00574397">
          <w:rPr>
            <w:rStyle w:val="Hyperlink"/>
            <w:lang w:val="fr-FR"/>
          </w:rPr>
          <w:t>CEDAW/C/UZB/Q/5</w:t>
        </w:r>
      </w:hyperlink>
      <w:r w:rsidRPr="00574397">
        <w:rPr>
          <w:lang w:val="fr-FR"/>
        </w:rPr>
        <w:t>);</w:t>
      </w:r>
    </w:p>
    <w:p w:rsidR="00574397" w:rsidRPr="00574397" w:rsidRDefault="00574397" w:rsidP="00574397">
      <w:pPr>
        <w:pStyle w:val="SingleTxt"/>
        <w:suppressAutoHyphens/>
        <w:ind w:left="1264" w:right="1264"/>
        <w:rPr>
          <w:lang w:val="fr-FR"/>
        </w:rPr>
      </w:pPr>
      <w:r w:rsidRPr="00574397">
        <w:rPr>
          <w:lang w:val="fr-FR"/>
        </w:rPr>
        <w:tab/>
      </w:r>
      <w:r w:rsidRPr="00574397">
        <w:rPr>
          <w:lang w:val="fr-FR"/>
        </w:rPr>
        <w:tab/>
        <w:t>l)</w:t>
      </w:r>
      <w:r w:rsidRPr="00574397">
        <w:rPr>
          <w:lang w:val="fr-FR"/>
        </w:rPr>
        <w:tab/>
        <w:t>Liste des sujets et questions suscités par l’examen des septième et huitième rapports périodiques combinés du Yémen (</w:t>
      </w:r>
      <w:hyperlink r:id="rId25" w:history="1">
        <w:r w:rsidRPr="00574397">
          <w:rPr>
            <w:rStyle w:val="Hyperlink"/>
            <w:lang w:val="fr-FR"/>
          </w:rPr>
          <w:t>CEDAW/C/YEM/Q/7-8</w:t>
        </w:r>
      </w:hyperlink>
      <w:r w:rsidRPr="00574397">
        <w:rPr>
          <w:lang w:val="fr-FR"/>
        </w:rPr>
        <w:t>).</w:t>
      </w:r>
    </w:p>
    <w:p w:rsidR="00574397" w:rsidRPr="00574397" w:rsidRDefault="00574397" w:rsidP="00574397">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574397">
        <w:rPr>
          <w:lang w:val="fr-FR"/>
        </w:rPr>
        <w:t>Conformément aux décisions 22/IV, 25/II et 31/III du Comité, les listes de sujets et questions portent sur des thèmes évoqués par la Convention. Ces thèmes comprennent le cadre constitutionnel et législatif; les mécanismes nationaux de promotion de la femme; les préjugés sexistes et les pratiques néfastes; les violences contre les femmes, notamment les violences familiales; la traite des femmes et l’exploitation de la prostitution; la participation des femmes à la prise de décisions; la nationalité; l’enseignement et la formation professionnelle; l’emploi; la santé; les avantages économiques et sociaux; les femmes rurales; la situation des groupes de femmes défavorisées, telles que les femmes âgées, les femmes handicapées, les femmes des minorités ethniques, les femmes réfugiées et les femmes migrantes; l’égalité devant la loi ; et le mariage et les rapports familiaux.</w:t>
      </w:r>
    </w:p>
    <w:p w:rsidR="00574397" w:rsidRPr="00574397" w:rsidRDefault="00574397" w:rsidP="00574397">
      <w:pPr>
        <w:pStyle w:val="SingleTxt"/>
        <w:suppressAutoHyphens/>
        <w:spacing w:after="0" w:line="240" w:lineRule="auto"/>
        <w:ind w:left="1264" w:right="1264"/>
        <w:rPr>
          <w:lang w:val="fr-FR"/>
        </w:rPr>
      </w:pPr>
      <w:r>
        <w:rPr>
          <w:noProof/>
          <w:w w:val="100"/>
        </w:rPr>
        <w:pict>
          <v:line id="_x0000_s1026" style="position:absolute;left:0;text-align:left;z-index:1;mso-position-horizontal-relative:page" from="270pt,24pt" to="342pt,24pt" strokeweight=".25pt">
            <w10:wrap anchorx="page"/>
          </v:line>
        </w:pict>
      </w:r>
    </w:p>
    <w:p w:rsidR="00016B13" w:rsidRPr="00574397" w:rsidRDefault="00016B13" w:rsidP="00016B13">
      <w:pPr>
        <w:pStyle w:val="SingleTxt"/>
        <w:rPr>
          <w:lang w:val="fr-FR"/>
        </w:rPr>
      </w:pPr>
    </w:p>
    <w:sectPr w:rsidR="00016B13" w:rsidRPr="00574397">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2T20:18:00Z" w:initials="Start">
    <w:p w:rsidR="00016B13" w:rsidRDefault="00016B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NO&gt;&gt;N1507302F&lt;&lt;ODS JOB NO&gt;&gt;</w:t>
      </w:r>
    </w:p>
    <w:p w:rsidR="00016B13" w:rsidRDefault="00016B13">
      <w:pPr>
        <w:pStyle w:val="CommentText"/>
      </w:pPr>
      <w:r>
        <w:t>&lt;&lt;ODS DOC SYMBOL1&gt;&gt;CEDAW/C/PSWG/62/1&lt;&lt;ODS DOC SYMBOL1&gt;&gt;</w:t>
      </w:r>
    </w:p>
    <w:p w:rsidR="00016B13" w:rsidRDefault="00016B1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49F" w:rsidRDefault="000B449F" w:rsidP="00F3330B">
      <w:pPr>
        <w:spacing w:line="240" w:lineRule="auto"/>
      </w:pPr>
      <w:r>
        <w:separator/>
      </w:r>
    </w:p>
  </w:endnote>
  <w:endnote w:type="continuationSeparator" w:id="0">
    <w:p w:rsidR="000B449F" w:rsidRDefault="000B449F"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16B13" w:rsidTr="00016B13">
      <w:tblPrEx>
        <w:tblCellMar>
          <w:top w:w="0" w:type="dxa"/>
          <w:bottom w:w="0" w:type="dxa"/>
        </w:tblCellMar>
      </w:tblPrEx>
      <w:tc>
        <w:tcPr>
          <w:tcW w:w="5033" w:type="dxa"/>
          <w:shd w:val="clear" w:color="auto" w:fill="auto"/>
        </w:tcPr>
        <w:p w:rsidR="00016B13" w:rsidRPr="00ED4814" w:rsidRDefault="00016B13" w:rsidP="00016B13">
          <w:pPr>
            <w:pStyle w:val="Footer"/>
            <w:jc w:val="right"/>
            <w:rPr>
              <w:b w:val="0"/>
              <w:w w:val="103"/>
              <w:sz w:val="14"/>
              <w:szCs w:val="22"/>
            </w:rPr>
          </w:pPr>
          <w:fldSimple w:instr=" DOCVARIABLE &quot;FooterJN&quot; \* MERGEFORMAT ">
            <w:r w:rsidR="00087A3C" w:rsidRPr="00ED4814">
              <w:rPr>
                <w:b w:val="0"/>
                <w:w w:val="103"/>
                <w:sz w:val="14"/>
                <w:szCs w:val="22"/>
              </w:rPr>
              <w:t>15-04046</w:t>
            </w:r>
          </w:fldSimple>
        </w:p>
      </w:tc>
      <w:tc>
        <w:tcPr>
          <w:tcW w:w="5033" w:type="dxa"/>
          <w:shd w:val="clear" w:color="auto" w:fill="auto"/>
        </w:tcPr>
        <w:p w:rsidR="00016B13" w:rsidRPr="00ED4814" w:rsidRDefault="00016B13" w:rsidP="00016B13">
          <w:pPr>
            <w:pStyle w:val="Footer"/>
            <w:rPr>
              <w:w w:val="103"/>
              <w:szCs w:val="22"/>
            </w:rPr>
          </w:pPr>
          <w:r w:rsidRPr="00ED4814">
            <w:rPr>
              <w:w w:val="103"/>
              <w:szCs w:val="22"/>
            </w:rPr>
            <w:fldChar w:fldCharType="begin"/>
          </w:r>
          <w:r w:rsidRPr="00ED4814">
            <w:rPr>
              <w:w w:val="103"/>
              <w:szCs w:val="22"/>
            </w:rPr>
            <w:instrText xml:space="preserve"> PAGE  \* Arabic  \* MERGEFORMAT </w:instrText>
          </w:r>
          <w:r w:rsidRPr="00ED4814">
            <w:rPr>
              <w:w w:val="103"/>
              <w:szCs w:val="22"/>
            </w:rPr>
            <w:fldChar w:fldCharType="separate"/>
          </w:r>
          <w:r w:rsidR="00E066A3" w:rsidRPr="00ED4814">
            <w:rPr>
              <w:noProof/>
              <w:w w:val="103"/>
              <w:szCs w:val="22"/>
            </w:rPr>
            <w:t>2</w:t>
          </w:r>
          <w:r w:rsidRPr="00ED4814">
            <w:rPr>
              <w:w w:val="103"/>
              <w:szCs w:val="22"/>
            </w:rPr>
            <w:fldChar w:fldCharType="end"/>
          </w:r>
          <w:r w:rsidRPr="00ED4814">
            <w:rPr>
              <w:w w:val="103"/>
              <w:szCs w:val="22"/>
            </w:rPr>
            <w:t>/</w:t>
          </w:r>
          <w:fldSimple w:instr=" NUMPAGES  \* Arabic  \* MERGEFORMAT ">
            <w:r w:rsidR="00E066A3" w:rsidRPr="00ED4814">
              <w:rPr>
                <w:noProof/>
                <w:w w:val="103"/>
                <w:szCs w:val="22"/>
              </w:rPr>
              <w:t>2</w:t>
            </w:r>
          </w:fldSimple>
        </w:p>
      </w:tc>
    </w:tr>
  </w:tbl>
  <w:p w:rsidR="00016B13" w:rsidRPr="00016B13" w:rsidRDefault="00016B13" w:rsidP="00016B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16B13" w:rsidTr="00016B13">
      <w:tblPrEx>
        <w:tblCellMar>
          <w:top w:w="0" w:type="dxa"/>
          <w:bottom w:w="0" w:type="dxa"/>
        </w:tblCellMar>
      </w:tblPrEx>
      <w:tc>
        <w:tcPr>
          <w:tcW w:w="5033" w:type="dxa"/>
          <w:shd w:val="clear" w:color="auto" w:fill="auto"/>
        </w:tcPr>
        <w:p w:rsidR="00016B13" w:rsidRPr="00ED4814" w:rsidRDefault="00016B13" w:rsidP="00016B13">
          <w:pPr>
            <w:pStyle w:val="Footer"/>
            <w:jc w:val="right"/>
            <w:rPr>
              <w:w w:val="103"/>
              <w:szCs w:val="22"/>
            </w:rPr>
          </w:pPr>
          <w:r w:rsidRPr="00ED4814">
            <w:rPr>
              <w:w w:val="103"/>
              <w:szCs w:val="22"/>
            </w:rPr>
            <w:fldChar w:fldCharType="begin"/>
          </w:r>
          <w:r w:rsidRPr="00ED4814">
            <w:rPr>
              <w:w w:val="103"/>
              <w:szCs w:val="22"/>
            </w:rPr>
            <w:instrText xml:space="preserve"> PAGE  \* Arabic  \* MERGEFORMAT </w:instrText>
          </w:r>
          <w:r w:rsidRPr="00ED4814">
            <w:rPr>
              <w:w w:val="103"/>
              <w:szCs w:val="22"/>
            </w:rPr>
            <w:fldChar w:fldCharType="separate"/>
          </w:r>
          <w:r w:rsidR="00087A3C" w:rsidRPr="00ED4814">
            <w:rPr>
              <w:noProof/>
              <w:w w:val="103"/>
              <w:szCs w:val="22"/>
            </w:rPr>
            <w:t>3</w:t>
          </w:r>
          <w:r w:rsidRPr="00ED4814">
            <w:rPr>
              <w:w w:val="103"/>
              <w:szCs w:val="22"/>
            </w:rPr>
            <w:fldChar w:fldCharType="end"/>
          </w:r>
          <w:r w:rsidRPr="00ED4814">
            <w:rPr>
              <w:w w:val="103"/>
              <w:szCs w:val="22"/>
            </w:rPr>
            <w:t>/</w:t>
          </w:r>
          <w:fldSimple w:instr=" NUMPAGES  \* Arabic  \* MERGEFORMAT ">
            <w:r w:rsidR="00087A3C" w:rsidRPr="00ED4814">
              <w:rPr>
                <w:noProof/>
                <w:w w:val="103"/>
                <w:szCs w:val="22"/>
              </w:rPr>
              <w:t>3</w:t>
            </w:r>
          </w:fldSimple>
        </w:p>
      </w:tc>
      <w:tc>
        <w:tcPr>
          <w:tcW w:w="5033" w:type="dxa"/>
          <w:shd w:val="clear" w:color="auto" w:fill="auto"/>
        </w:tcPr>
        <w:p w:rsidR="00016B13" w:rsidRPr="00ED4814" w:rsidRDefault="00016B13" w:rsidP="00016B13">
          <w:pPr>
            <w:pStyle w:val="Footer"/>
            <w:rPr>
              <w:b w:val="0"/>
              <w:w w:val="103"/>
              <w:sz w:val="14"/>
              <w:szCs w:val="22"/>
            </w:rPr>
          </w:pPr>
          <w:fldSimple w:instr=" DOCVARIABLE &quot;FooterJN&quot; \* MERGEFORMAT ">
            <w:r w:rsidR="00087A3C" w:rsidRPr="00ED4814">
              <w:rPr>
                <w:b w:val="0"/>
                <w:w w:val="103"/>
                <w:sz w:val="14"/>
                <w:szCs w:val="22"/>
              </w:rPr>
              <w:t>15-04046</w:t>
            </w:r>
          </w:fldSimple>
        </w:p>
      </w:tc>
    </w:tr>
  </w:tbl>
  <w:p w:rsidR="00016B13" w:rsidRPr="00016B13" w:rsidRDefault="00016B13" w:rsidP="00016B1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13" w:rsidRDefault="00016B13">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1&amp;Size =1&amp;Lang = F"/>
          <w10:wrap anchorx="page" anchory="page"/>
        </v:shape>
      </w:pict>
    </w:r>
  </w:p>
  <w:tbl>
    <w:tblPr>
      <w:tblW w:w="0" w:type="auto"/>
      <w:tblLayout w:type="fixed"/>
      <w:tblLook w:val="0000"/>
    </w:tblPr>
    <w:tblGrid>
      <w:gridCol w:w="5033"/>
      <w:gridCol w:w="3686"/>
    </w:tblGrid>
    <w:tr w:rsidR="00016B13" w:rsidTr="00016B13">
      <w:tblPrEx>
        <w:tblCellMar>
          <w:top w:w="0" w:type="dxa"/>
          <w:bottom w:w="0" w:type="dxa"/>
        </w:tblCellMar>
      </w:tblPrEx>
      <w:tc>
        <w:tcPr>
          <w:tcW w:w="5033" w:type="dxa"/>
        </w:tcPr>
        <w:p w:rsidR="00016B13" w:rsidRPr="00ED4814" w:rsidRDefault="00574397" w:rsidP="00016B13">
          <w:pPr>
            <w:pStyle w:val="Footer"/>
            <w:rPr>
              <w:b w:val="0"/>
              <w:sz w:val="20"/>
              <w:szCs w:val="22"/>
            </w:rPr>
          </w:pPr>
          <w:r w:rsidRPr="00ED4814">
            <w:rPr>
              <w:b w:val="0"/>
              <w:sz w:val="20"/>
              <w:szCs w:val="22"/>
            </w:rPr>
            <w:t>15-04046X (F)</w:t>
          </w:r>
          <w:r w:rsidR="00016B13" w:rsidRPr="00ED4814">
            <w:rPr>
              <w:b w:val="0"/>
              <w:sz w:val="20"/>
              <w:szCs w:val="22"/>
            </w:rPr>
            <w:t xml:space="preserve"> </w:t>
          </w:r>
        </w:p>
        <w:p w:rsidR="00016B13" w:rsidRPr="00ED4814" w:rsidRDefault="00016B13" w:rsidP="00016B13">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087A3C" w:rsidRPr="00ED4814">
              <w:rPr>
                <w:rFonts w:ascii="Barcode 3 of 9 by request" w:hAnsi="Barcode 3 of 9 by request"/>
                <w:b w:val="0"/>
                <w:spacing w:val="0"/>
                <w:w w:val="100"/>
                <w:sz w:val="24"/>
                <w:szCs w:val="22"/>
              </w:rPr>
              <w:t>*1504046*</w:t>
            </w:r>
          </w:fldSimple>
        </w:p>
      </w:tc>
      <w:tc>
        <w:tcPr>
          <w:tcW w:w="3686" w:type="dxa"/>
        </w:tcPr>
        <w:p w:rsidR="00016B13" w:rsidRPr="00ED4814" w:rsidRDefault="00016B13" w:rsidP="00016B13">
          <w:pPr>
            <w:pStyle w:val="Footer"/>
            <w:spacing w:line="240" w:lineRule="atLeast"/>
            <w:jc w:val="right"/>
            <w:rPr>
              <w:b w:val="0"/>
              <w:sz w:val="20"/>
              <w:szCs w:val="22"/>
            </w:rPr>
          </w:pPr>
          <w:r w:rsidRPr="00ED4814">
            <w:rPr>
              <w:b w:val="0"/>
              <w:sz w:val="20"/>
              <w:szCs w:val="22"/>
            </w:rPr>
            <w:pict>
              <v:shape id="_x0000_i1026" type="#_x0000_t75" style="width:87pt;height:18pt">
                <v:imagedata r:id="rId2" o:title="recycle_French"/>
              </v:shape>
            </w:pict>
          </w:r>
        </w:p>
      </w:tc>
    </w:tr>
  </w:tbl>
  <w:p w:rsidR="00016B13" w:rsidRPr="00016B13" w:rsidRDefault="00016B13" w:rsidP="00016B1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49F" w:rsidRPr="003E47D8" w:rsidRDefault="000B449F" w:rsidP="003E47D8">
      <w:pPr>
        <w:pStyle w:val="Footer"/>
        <w:spacing w:after="80"/>
        <w:rPr>
          <w:sz w:val="16"/>
        </w:rPr>
      </w:pPr>
      <w:r w:rsidRPr="003E47D8">
        <w:rPr>
          <w:sz w:val="16"/>
        </w:rPr>
        <w:t>__________________</w:t>
      </w:r>
    </w:p>
  </w:footnote>
  <w:footnote w:type="continuationSeparator" w:id="0">
    <w:p w:rsidR="000B449F" w:rsidRPr="003E47D8" w:rsidRDefault="000B449F"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016B13" w:rsidTr="00016B13">
      <w:tblPrEx>
        <w:tblCellMar>
          <w:top w:w="0" w:type="dxa"/>
          <w:bottom w:w="0" w:type="dxa"/>
        </w:tblCellMar>
      </w:tblPrEx>
      <w:trPr>
        <w:trHeight w:hRule="exact" w:val="864"/>
      </w:trPr>
      <w:tc>
        <w:tcPr>
          <w:tcW w:w="4838" w:type="dxa"/>
          <w:shd w:val="clear" w:color="auto" w:fill="auto"/>
          <w:vAlign w:val="bottom"/>
        </w:tcPr>
        <w:p w:rsidR="00016B13" w:rsidRPr="00ED4814" w:rsidRDefault="00016B13" w:rsidP="00016B13">
          <w:pPr>
            <w:pStyle w:val="Header"/>
            <w:spacing w:after="80"/>
            <w:rPr>
              <w:b/>
              <w:szCs w:val="22"/>
            </w:rPr>
          </w:pPr>
          <w:fldSimple w:instr=" DOCVARIABLE &quot;sss1&quot; \* MERGEFORMAT ">
            <w:r w:rsidR="00087A3C" w:rsidRPr="00ED4814">
              <w:rPr>
                <w:b/>
                <w:szCs w:val="22"/>
              </w:rPr>
              <w:t>CEDAW/C/PSWG/62/1</w:t>
            </w:r>
          </w:fldSimple>
        </w:p>
      </w:tc>
      <w:tc>
        <w:tcPr>
          <w:tcW w:w="5033" w:type="dxa"/>
          <w:shd w:val="clear" w:color="auto" w:fill="auto"/>
          <w:vAlign w:val="bottom"/>
        </w:tcPr>
        <w:p w:rsidR="00016B13" w:rsidRPr="00ED4814" w:rsidRDefault="00016B13" w:rsidP="00016B13">
          <w:pPr>
            <w:pStyle w:val="Header"/>
            <w:rPr>
              <w:szCs w:val="22"/>
            </w:rPr>
          </w:pPr>
        </w:p>
      </w:tc>
    </w:tr>
  </w:tbl>
  <w:p w:rsidR="00016B13" w:rsidRPr="00016B13" w:rsidRDefault="00016B13" w:rsidP="00016B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016B13" w:rsidTr="00016B13">
      <w:tblPrEx>
        <w:tblCellMar>
          <w:top w:w="0" w:type="dxa"/>
          <w:bottom w:w="0" w:type="dxa"/>
        </w:tblCellMar>
      </w:tblPrEx>
      <w:trPr>
        <w:trHeight w:hRule="exact" w:val="864"/>
      </w:trPr>
      <w:tc>
        <w:tcPr>
          <w:tcW w:w="4838" w:type="dxa"/>
          <w:shd w:val="clear" w:color="auto" w:fill="auto"/>
          <w:vAlign w:val="bottom"/>
        </w:tcPr>
        <w:p w:rsidR="00016B13" w:rsidRPr="00ED4814" w:rsidRDefault="00016B13" w:rsidP="00016B13">
          <w:pPr>
            <w:pStyle w:val="Header"/>
            <w:rPr>
              <w:szCs w:val="22"/>
            </w:rPr>
          </w:pPr>
        </w:p>
      </w:tc>
      <w:tc>
        <w:tcPr>
          <w:tcW w:w="5033" w:type="dxa"/>
          <w:shd w:val="clear" w:color="auto" w:fill="auto"/>
          <w:vAlign w:val="bottom"/>
        </w:tcPr>
        <w:p w:rsidR="00016B13" w:rsidRPr="00ED4814" w:rsidRDefault="00016B13" w:rsidP="00016B13">
          <w:pPr>
            <w:pStyle w:val="Header"/>
            <w:spacing w:after="80"/>
            <w:jc w:val="right"/>
            <w:rPr>
              <w:b/>
              <w:szCs w:val="22"/>
            </w:rPr>
          </w:pPr>
          <w:fldSimple w:instr=" DOCVARIABLE &quot;sss1&quot; \* MERGEFORMAT ">
            <w:r w:rsidR="00087A3C" w:rsidRPr="00ED4814">
              <w:rPr>
                <w:b/>
                <w:szCs w:val="22"/>
              </w:rPr>
              <w:t>CEDAW/C/PSWG/62/1</w:t>
            </w:r>
          </w:fldSimple>
        </w:p>
      </w:tc>
    </w:tr>
  </w:tbl>
  <w:p w:rsidR="00016B13" w:rsidRPr="00016B13" w:rsidRDefault="00016B13" w:rsidP="00016B1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16B13" w:rsidTr="00016B1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6B13" w:rsidRPr="00ED4814" w:rsidRDefault="00016B13" w:rsidP="00016B13">
          <w:pPr>
            <w:pStyle w:val="Header"/>
            <w:spacing w:after="120"/>
            <w:rPr>
              <w:szCs w:val="22"/>
            </w:rPr>
          </w:pPr>
        </w:p>
      </w:tc>
      <w:tc>
        <w:tcPr>
          <w:tcW w:w="2059" w:type="dxa"/>
          <w:tcBorders>
            <w:bottom w:val="single" w:sz="4" w:space="0" w:color="auto"/>
          </w:tcBorders>
          <w:shd w:val="clear" w:color="auto" w:fill="auto"/>
          <w:vAlign w:val="bottom"/>
        </w:tcPr>
        <w:p w:rsidR="00016B13" w:rsidRPr="00016B13" w:rsidRDefault="00016B13" w:rsidP="00016B1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16B13" w:rsidRPr="00ED4814" w:rsidRDefault="00016B13" w:rsidP="00016B13">
          <w:pPr>
            <w:pStyle w:val="Header"/>
            <w:spacing w:after="120"/>
            <w:rPr>
              <w:szCs w:val="22"/>
            </w:rPr>
          </w:pPr>
        </w:p>
      </w:tc>
      <w:tc>
        <w:tcPr>
          <w:tcW w:w="6523" w:type="dxa"/>
          <w:gridSpan w:val="3"/>
          <w:tcBorders>
            <w:bottom w:val="single" w:sz="4" w:space="0" w:color="auto"/>
          </w:tcBorders>
          <w:shd w:val="clear" w:color="auto" w:fill="auto"/>
          <w:vAlign w:val="bottom"/>
        </w:tcPr>
        <w:p w:rsidR="00016B13" w:rsidRPr="00016B13" w:rsidRDefault="00016B13" w:rsidP="00016B13">
          <w:pPr>
            <w:spacing w:after="80" w:line="240" w:lineRule="auto"/>
            <w:jc w:val="right"/>
            <w:rPr>
              <w:position w:val="-4"/>
            </w:rPr>
          </w:pPr>
          <w:r>
            <w:rPr>
              <w:position w:val="-4"/>
              <w:sz w:val="40"/>
            </w:rPr>
            <w:t>CEDAW</w:t>
          </w:r>
          <w:r>
            <w:rPr>
              <w:position w:val="-4"/>
            </w:rPr>
            <w:t>/C/PSWG/62/1</w:t>
          </w:r>
        </w:p>
      </w:tc>
    </w:tr>
    <w:tr w:rsidR="00016B13" w:rsidRPr="00574397" w:rsidTr="00016B1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6B13" w:rsidRPr="00ED4814" w:rsidRDefault="00016B13" w:rsidP="00016B13">
          <w:pPr>
            <w:pStyle w:val="Header"/>
            <w:spacing w:before="880"/>
            <w:ind w:left="-72"/>
            <w:rPr>
              <w:szCs w:val="22"/>
            </w:rPr>
          </w:pPr>
          <w:r w:rsidRPr="00ED4814">
            <w:rPr>
              <w:szCs w:val="22"/>
            </w:rPr>
            <w:t xml:space="preserve">  </w:t>
          </w:r>
          <w:r w:rsidRPr="00ED4814">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16B13" w:rsidRPr="00ED4814" w:rsidRDefault="00016B13" w:rsidP="00016B13">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016B13" w:rsidRPr="00574397" w:rsidRDefault="00016B13" w:rsidP="00016B13">
          <w:pPr>
            <w:pStyle w:val="XLarge"/>
            <w:spacing w:before="109" w:line="330" w:lineRule="exact"/>
            <w:rPr>
              <w:sz w:val="34"/>
              <w:lang w:val="fr-FR"/>
            </w:rPr>
          </w:pPr>
          <w:r w:rsidRPr="00574397">
            <w:rPr>
              <w:sz w:val="34"/>
              <w:lang w:val="fr-FR"/>
            </w:rPr>
            <w:t>Convention sur l’élimination</w:t>
          </w:r>
          <w:r w:rsidRPr="00574397">
            <w:rPr>
              <w:sz w:val="34"/>
              <w:lang w:val="fr-FR"/>
            </w:rPr>
            <w:br/>
            <w:t>de toutes les formes</w:t>
          </w:r>
          <w:r w:rsidRPr="00574397">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016B13" w:rsidRPr="00ED4814" w:rsidRDefault="00016B13" w:rsidP="00016B13">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016B13" w:rsidRPr="00574397" w:rsidRDefault="00016B13" w:rsidP="00016B13">
          <w:pPr>
            <w:pStyle w:val="Distribution"/>
            <w:rPr>
              <w:color w:val="000000"/>
              <w:lang w:val="fr-FR"/>
            </w:rPr>
          </w:pPr>
          <w:r w:rsidRPr="00574397">
            <w:rPr>
              <w:color w:val="000000"/>
              <w:lang w:val="fr-FR"/>
            </w:rPr>
            <w:t>Distr. générale</w:t>
          </w:r>
        </w:p>
        <w:p w:rsidR="00016B13" w:rsidRPr="00574397" w:rsidRDefault="00574397" w:rsidP="00016B13">
          <w:pPr>
            <w:pStyle w:val="Publication"/>
            <w:rPr>
              <w:color w:val="000000"/>
              <w:lang w:val="fr-FR"/>
            </w:rPr>
          </w:pPr>
          <w:r w:rsidRPr="00574397">
            <w:rPr>
              <w:color w:val="000000"/>
              <w:lang w:val="fr-FR"/>
            </w:rPr>
            <w:t>17 mars</w:t>
          </w:r>
          <w:r w:rsidR="00016B13" w:rsidRPr="00574397">
            <w:rPr>
              <w:color w:val="000000"/>
              <w:lang w:val="fr-FR"/>
            </w:rPr>
            <w:t xml:space="preserve"> 2015</w:t>
          </w:r>
        </w:p>
        <w:p w:rsidR="00016B13" w:rsidRPr="00574397" w:rsidRDefault="00016B13" w:rsidP="00016B13">
          <w:pPr>
            <w:rPr>
              <w:lang w:val="fr-FR"/>
            </w:rPr>
          </w:pPr>
          <w:r w:rsidRPr="00574397">
            <w:rPr>
              <w:lang w:val="fr-FR"/>
            </w:rPr>
            <w:t>Français</w:t>
          </w:r>
        </w:p>
        <w:p w:rsidR="00016B13" w:rsidRPr="00574397" w:rsidRDefault="00016B13" w:rsidP="00016B13">
          <w:pPr>
            <w:pStyle w:val="Original"/>
            <w:rPr>
              <w:color w:val="000000"/>
              <w:lang w:val="fr-FR"/>
            </w:rPr>
          </w:pPr>
          <w:r w:rsidRPr="00574397">
            <w:rPr>
              <w:color w:val="000000"/>
              <w:lang w:val="fr-FR"/>
            </w:rPr>
            <w:t>Original : anglais</w:t>
          </w:r>
        </w:p>
      </w:tc>
    </w:tr>
  </w:tbl>
  <w:p w:rsidR="00016B13" w:rsidRPr="00574397" w:rsidRDefault="00016B13" w:rsidP="00016B13">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67590C62"/>
    <w:multiLevelType w:val="singleLevel"/>
    <w:tmpl w:val="FA2E4880"/>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SortMethod w:val="0003"/>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6*"/>
    <w:docVar w:name="CreationDt" w:val="02/04/2015 20:18:21"/>
    <w:docVar w:name="DocCategory" w:val="Doc"/>
    <w:docVar w:name="DocType" w:val="Final"/>
    <w:docVar w:name="FooterJN" w:val="15-04046"/>
    <w:docVar w:name="jobn" w:val="15-04046 (F)"/>
    <w:docVar w:name="jobnDT" w:val="15-04046 (F)   020415"/>
    <w:docVar w:name="jobnDTDT" w:val="15-04046 (F)   020415   020415"/>
    <w:docVar w:name="JobNo" w:val="1504046F"/>
    <w:docVar w:name="JobNo2" w:val="1507302F"/>
    <w:docVar w:name="OandT" w:val="Marie-LUce"/>
    <w:docVar w:name="sss1" w:val="CEDAW/C/PSWG/62/1"/>
    <w:docVar w:name="sss2" w:val="-"/>
    <w:docVar w:name="Symbol1" w:val="CEDAW/C/PSWG/62/1"/>
    <w:docVar w:name="Symbol2" w:val="-"/>
  </w:docVars>
  <w:rsids>
    <w:rsidRoot w:val="005E6674"/>
    <w:rsid w:val="000015B8"/>
    <w:rsid w:val="000046A5"/>
    <w:rsid w:val="000055FB"/>
    <w:rsid w:val="00016B13"/>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87A3C"/>
    <w:rsid w:val="00091BC1"/>
    <w:rsid w:val="000A2612"/>
    <w:rsid w:val="000B0E9A"/>
    <w:rsid w:val="000B1A18"/>
    <w:rsid w:val="000B449F"/>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1E1F"/>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8A5"/>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74397"/>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E6674"/>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B5096"/>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66A3"/>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4814"/>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016B13"/>
    <w:rPr>
      <w:sz w:val="16"/>
      <w:szCs w:val="16"/>
    </w:rPr>
  </w:style>
  <w:style w:type="paragraph" w:styleId="CommentText">
    <w:name w:val="annotation text"/>
    <w:basedOn w:val="Normal"/>
    <w:link w:val="CommentTextChar"/>
    <w:uiPriority w:val="99"/>
    <w:semiHidden/>
    <w:unhideWhenUsed/>
    <w:rsid w:val="00016B13"/>
    <w:rPr>
      <w:szCs w:val="20"/>
      <w:lang/>
    </w:rPr>
  </w:style>
  <w:style w:type="character" w:customStyle="1" w:styleId="CommentTextChar">
    <w:name w:val="Comment Text Char"/>
    <w:link w:val="CommentText"/>
    <w:uiPriority w:val="99"/>
    <w:semiHidden/>
    <w:rsid w:val="00016B1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16B13"/>
    <w:rPr>
      <w:b/>
      <w:bCs/>
    </w:rPr>
  </w:style>
  <w:style w:type="character" w:customStyle="1" w:styleId="CommentSubjectChar">
    <w:name w:val="Comment Subject Char"/>
    <w:link w:val="CommentSubject"/>
    <w:uiPriority w:val="99"/>
    <w:semiHidden/>
    <w:rsid w:val="00016B13"/>
    <w:rPr>
      <w:rFonts w:ascii="Times New Roman" w:hAnsi="Times New Roman"/>
      <w:b/>
      <w:bCs/>
      <w:spacing w:val="4"/>
      <w:w w:val="103"/>
      <w:kern w:val="14"/>
    </w:rPr>
  </w:style>
  <w:style w:type="paragraph" w:customStyle="1" w:styleId="HCh0">
    <w:name w:val="_ H _Ch"/>
    <w:basedOn w:val="H1"/>
    <w:next w:val="SingleTxt"/>
    <w:rsid w:val="00574397"/>
    <w:pPr>
      <w:spacing w:line="300" w:lineRule="exact"/>
    </w:pPr>
    <w:rPr>
      <w:rFonts w:eastAsia="Times New Roman"/>
      <w:spacing w:val="-2"/>
      <w:sz w:val="28"/>
      <w:szCs w:val="20"/>
      <w:lang w:val="fr-CA"/>
    </w:rPr>
  </w:style>
  <w:style w:type="character" w:styleId="Hyperlink">
    <w:name w:val="Hyperlink"/>
    <w:uiPriority w:val="99"/>
    <w:unhideWhenUsed/>
    <w:rsid w:val="00574397"/>
    <w:rPr>
      <w:color w:val="0000FF"/>
      <w:u w:val="none"/>
    </w:rPr>
  </w:style>
  <w:style w:type="character" w:styleId="FollowedHyperlink">
    <w:name w:val="FollowedHyperlink"/>
    <w:uiPriority w:val="99"/>
    <w:semiHidden/>
    <w:unhideWhenUsed/>
    <w:rsid w:val="0057439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PRT/Q/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undocs.org/fr/CEDAW/C/SVN/Q/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MWI/Q/7" TargetMode="External"/><Relationship Id="rId25" Type="http://schemas.openxmlformats.org/officeDocument/2006/relationships/hyperlink" Target="http://undocs.org/fr/CEDAW/C/YEM/Q/7" TargetMode="External"/><Relationship Id="rId2" Type="http://schemas.openxmlformats.org/officeDocument/2006/relationships/styles" Target="styles.xml"/><Relationship Id="rId16" Type="http://schemas.openxmlformats.org/officeDocument/2006/relationships/hyperlink" Target="http://undocs.org/fr/CEDAW/C/MDG/Q/6" TargetMode="External"/><Relationship Id="rId20" Type="http://schemas.openxmlformats.org/officeDocument/2006/relationships/hyperlink" Target="http://undocs.org/fr/CEDAW/C/SVK/Q/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CEDAW/C/UZB/Q/5" TargetMode="External"/><Relationship Id="rId5" Type="http://schemas.openxmlformats.org/officeDocument/2006/relationships/footnotes" Target="footnotes.xml"/><Relationship Id="rId15" Type="http://schemas.openxmlformats.org/officeDocument/2006/relationships/hyperlink" Target="http://undocs.org/fr/CEDAW/C/LBR/Q/7" TargetMode="External"/><Relationship Id="rId23" Type="http://schemas.openxmlformats.org/officeDocument/2006/relationships/hyperlink" Target="http://undocs.org/fr/CEDAW/C/ARE/Q/2" TargetMode="External"/><Relationship Id="rId10" Type="http://schemas.openxmlformats.org/officeDocument/2006/relationships/footer" Target="footer2.xml"/><Relationship Id="rId19" Type="http://schemas.openxmlformats.org/officeDocument/2006/relationships/hyperlink" Target="http://undocs.org/fr/CEDAW/C/RUS/Q/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LBN/Q/4" TargetMode="External"/><Relationship Id="rId22" Type="http://schemas.openxmlformats.org/officeDocument/2006/relationships/hyperlink" Target="http://undocs.org/fr/CEDAW/C/TLS/Q/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947</Words>
  <Characters>5400</Characters>
  <Application>Microsoft Office Outlook</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6335</CharactersWithSpaces>
  <SharedDoc>false</SharedDoc>
  <HLinks>
    <vt:vector size="72" baseType="variant">
      <vt:variant>
        <vt:i4>1638491</vt:i4>
      </vt:variant>
      <vt:variant>
        <vt:i4>33</vt:i4>
      </vt:variant>
      <vt:variant>
        <vt:i4>0</vt:i4>
      </vt:variant>
      <vt:variant>
        <vt:i4>5</vt:i4>
      </vt:variant>
      <vt:variant>
        <vt:lpwstr>http://undocs.org/fr/CEDAW/C/YEM/Q/7</vt:lpwstr>
      </vt:variant>
      <vt:variant>
        <vt:lpwstr/>
      </vt:variant>
      <vt:variant>
        <vt:i4>1572932</vt:i4>
      </vt:variant>
      <vt:variant>
        <vt:i4>30</vt:i4>
      </vt:variant>
      <vt:variant>
        <vt:i4>0</vt:i4>
      </vt:variant>
      <vt:variant>
        <vt:i4>5</vt:i4>
      </vt:variant>
      <vt:variant>
        <vt:lpwstr>http://undocs.org/fr/CEDAW/C/UZB/Q/5</vt:lpwstr>
      </vt:variant>
      <vt:variant>
        <vt:lpwstr/>
      </vt:variant>
      <vt:variant>
        <vt:i4>786508</vt:i4>
      </vt:variant>
      <vt:variant>
        <vt:i4>27</vt:i4>
      </vt:variant>
      <vt:variant>
        <vt:i4>0</vt:i4>
      </vt:variant>
      <vt:variant>
        <vt:i4>5</vt:i4>
      </vt:variant>
      <vt:variant>
        <vt:lpwstr>http://undocs.org/fr/CEDAW/C/ARE/Q/2</vt:lpwstr>
      </vt:variant>
      <vt:variant>
        <vt:lpwstr/>
      </vt:variant>
      <vt:variant>
        <vt:i4>983122</vt:i4>
      </vt:variant>
      <vt:variant>
        <vt:i4>24</vt:i4>
      </vt:variant>
      <vt:variant>
        <vt:i4>0</vt:i4>
      </vt:variant>
      <vt:variant>
        <vt:i4>5</vt:i4>
      </vt:variant>
      <vt:variant>
        <vt:lpwstr>http://undocs.org/fr/CEDAW/C/TLS/Q/2</vt:lpwstr>
      </vt:variant>
      <vt:variant>
        <vt:lpwstr/>
      </vt:variant>
      <vt:variant>
        <vt:i4>1179720</vt:i4>
      </vt:variant>
      <vt:variant>
        <vt:i4>21</vt:i4>
      </vt:variant>
      <vt:variant>
        <vt:i4>0</vt:i4>
      </vt:variant>
      <vt:variant>
        <vt:i4>5</vt:i4>
      </vt:variant>
      <vt:variant>
        <vt:lpwstr>http://undocs.org/fr/CEDAW/C/SVN/Q/5</vt:lpwstr>
      </vt:variant>
      <vt:variant>
        <vt:lpwstr/>
      </vt:variant>
      <vt:variant>
        <vt:i4>1507400</vt:i4>
      </vt:variant>
      <vt:variant>
        <vt:i4>18</vt:i4>
      </vt:variant>
      <vt:variant>
        <vt:i4>0</vt:i4>
      </vt:variant>
      <vt:variant>
        <vt:i4>5</vt:i4>
      </vt:variant>
      <vt:variant>
        <vt:lpwstr>http://undocs.org/fr/CEDAW/C/SVK/Q/5</vt:lpwstr>
      </vt:variant>
      <vt:variant>
        <vt:lpwstr/>
      </vt:variant>
      <vt:variant>
        <vt:i4>196683</vt:i4>
      </vt:variant>
      <vt:variant>
        <vt:i4>15</vt:i4>
      </vt:variant>
      <vt:variant>
        <vt:i4>0</vt:i4>
      </vt:variant>
      <vt:variant>
        <vt:i4>5</vt:i4>
      </vt:variant>
      <vt:variant>
        <vt:lpwstr>http://undocs.org/fr/CEDAW/C/RUS/Q/8</vt:lpwstr>
      </vt:variant>
      <vt:variant>
        <vt:lpwstr/>
      </vt:variant>
      <vt:variant>
        <vt:i4>393292</vt:i4>
      </vt:variant>
      <vt:variant>
        <vt:i4>12</vt:i4>
      </vt:variant>
      <vt:variant>
        <vt:i4>0</vt:i4>
      </vt:variant>
      <vt:variant>
        <vt:i4>5</vt:i4>
      </vt:variant>
      <vt:variant>
        <vt:lpwstr>http://undocs.org/fr/CEDAW/C/PRT/Q/8</vt:lpwstr>
      </vt:variant>
      <vt:variant>
        <vt:lpwstr/>
      </vt:variant>
      <vt:variant>
        <vt:i4>589897</vt:i4>
      </vt:variant>
      <vt:variant>
        <vt:i4>9</vt:i4>
      </vt:variant>
      <vt:variant>
        <vt:i4>0</vt:i4>
      </vt:variant>
      <vt:variant>
        <vt:i4>5</vt:i4>
      </vt:variant>
      <vt:variant>
        <vt:lpwstr>http://undocs.org/fr/CEDAW/C/MWI/Q/7</vt:lpwstr>
      </vt:variant>
      <vt:variant>
        <vt:lpwstr/>
      </vt:variant>
      <vt:variant>
        <vt:i4>393306</vt:i4>
      </vt:variant>
      <vt:variant>
        <vt:i4>6</vt:i4>
      </vt:variant>
      <vt:variant>
        <vt:i4>0</vt:i4>
      </vt:variant>
      <vt:variant>
        <vt:i4>5</vt:i4>
      </vt:variant>
      <vt:variant>
        <vt:lpwstr>http://undocs.org/fr/CEDAW/C/MDG/Q/6</vt:lpwstr>
      </vt:variant>
      <vt:variant>
        <vt:lpwstr/>
      </vt:variant>
      <vt:variant>
        <vt:i4>1245276</vt:i4>
      </vt:variant>
      <vt:variant>
        <vt:i4>3</vt:i4>
      </vt:variant>
      <vt:variant>
        <vt:i4>0</vt:i4>
      </vt:variant>
      <vt:variant>
        <vt:i4>5</vt:i4>
      </vt:variant>
      <vt:variant>
        <vt:lpwstr>http://undocs.org/fr/CEDAW/C/LBR/Q/7</vt:lpwstr>
      </vt:variant>
      <vt:variant>
        <vt:lpwstr/>
      </vt:variant>
      <vt:variant>
        <vt:i4>786524</vt:i4>
      </vt:variant>
      <vt:variant>
        <vt:i4>0</vt:i4>
      </vt:variant>
      <vt:variant>
        <vt:i4>0</vt:i4>
      </vt:variant>
      <vt:variant>
        <vt:i4>5</vt:i4>
      </vt:variant>
      <vt:variant>
        <vt:lpwstr>http://undocs.org/fr/CEDAW/C/LBN/Q/4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Marie-Luce Bernier</dc:creator>
  <cp:keywords/>
  <dc:description/>
  <cp:lastModifiedBy>Front Desk 1</cp:lastModifiedBy>
  <cp:revision>6</cp:revision>
  <cp:lastPrinted>2015-04-02T21:07:00Z</cp:lastPrinted>
  <dcterms:created xsi:type="dcterms:W3CDTF">2015-04-02T18:17:00Z</dcterms:created>
  <dcterms:modified xsi:type="dcterms:W3CDTF">2015-04-02T21:08:00Z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1504046F</vt:lpwstr>
  </property>
  <property fmtid="{D5CDD505-2E9C-101B-9397-08002B2CF9AE}" pid="3" name="ODSRefJobNo">
    <vt:lpwstr>1507302F</vt:lpwstr>
  </property>
  <property fmtid="{D5CDD505-2E9C-101B-9397-08002B2CF9AE}" pid="4" name="Symbol1">
    <vt:lpwstr>CEDAW/C/PSWG/62/1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 avril 2015</vt:lpwstr>
  </property>
  <property fmtid="{D5CDD505-2E9C-101B-9397-08002B2CF9AE}" pid="9" name="Original">
    <vt:lpwstr>anglais</vt:lpwstr>
  </property>
  <property fmtid="{D5CDD505-2E9C-101B-9397-08002B2CF9AE}" pid="10" name="Release Date">
    <vt:lpwstr>020415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Marie-LUce</vt:lpwstr>
  </property>
</Properties>
</file>