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E4AAC" w:rsidRPr="00DB58B5" w:rsidTr="00F8392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E4AAC" w:rsidRPr="00DB58B5" w:rsidRDefault="008E4AAC" w:rsidP="00D321A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E4AAC" w:rsidRPr="00DB58B5" w:rsidRDefault="008E4AAC" w:rsidP="00D321A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E4AAC" w:rsidRPr="00DB58B5" w:rsidRDefault="008C6455" w:rsidP="008C6455">
            <w:pPr>
              <w:jc w:val="right"/>
            </w:pPr>
            <w:r w:rsidRPr="008C6455">
              <w:rPr>
                <w:sz w:val="40"/>
              </w:rPr>
              <w:t>HRI</w:t>
            </w:r>
            <w:r>
              <w:t>/MC/2011/1</w:t>
            </w:r>
          </w:p>
        </w:tc>
      </w:tr>
      <w:tr w:rsidR="008E4AAC" w:rsidRPr="00DB58B5" w:rsidTr="00D321A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E4AAC" w:rsidRPr="00DB58B5" w:rsidRDefault="008E4AAC" w:rsidP="00D321A4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E4AAC" w:rsidRPr="00740562" w:rsidRDefault="008E4AAC" w:rsidP="00D321A4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Instruments internationaux</w:t>
            </w:r>
            <w:r>
              <w:rPr>
                <w:b/>
                <w:sz w:val="34"/>
                <w:szCs w:val="34"/>
              </w:rPr>
              <w:br/>
              <w:t>relatifs aux droits de l</w:t>
            </w:r>
            <w:r w:rsidR="0039558B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homme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C6455" w:rsidRDefault="008C6455" w:rsidP="00D321A4">
            <w:pPr>
              <w:spacing w:before="240"/>
            </w:pPr>
            <w:r>
              <w:t>Distr. générale</w:t>
            </w:r>
          </w:p>
          <w:p w:rsidR="008C6455" w:rsidRDefault="008C6455" w:rsidP="008C6455">
            <w:pPr>
              <w:spacing w:line="240" w:lineRule="exact"/>
            </w:pPr>
            <w:r>
              <w:t>19 mai 2011</w:t>
            </w:r>
          </w:p>
          <w:p w:rsidR="008C6455" w:rsidRDefault="008C6455" w:rsidP="008C6455">
            <w:pPr>
              <w:spacing w:line="240" w:lineRule="exact"/>
            </w:pPr>
            <w:r>
              <w:t>Français</w:t>
            </w:r>
          </w:p>
          <w:p w:rsidR="008E4AAC" w:rsidRPr="00DB58B5" w:rsidRDefault="008C6455" w:rsidP="008C6455">
            <w:pPr>
              <w:spacing w:line="240" w:lineRule="exact"/>
            </w:pPr>
            <w:r>
              <w:t>Original: anglais</w:t>
            </w:r>
          </w:p>
        </w:tc>
      </w:tr>
    </w:tbl>
    <w:p w:rsidR="00F83921" w:rsidRDefault="00F83921" w:rsidP="00F83921">
      <w:pPr>
        <w:spacing w:before="120"/>
        <w:rPr>
          <w:b/>
          <w:sz w:val="24"/>
          <w:szCs w:val="24"/>
        </w:rPr>
      </w:pPr>
      <w:r w:rsidRPr="00F83921">
        <w:rPr>
          <w:b/>
          <w:sz w:val="24"/>
          <w:szCs w:val="24"/>
        </w:rPr>
        <w:t>Vingt-</w:t>
      </w:r>
      <w:r w:rsidR="00135E8A">
        <w:rPr>
          <w:b/>
          <w:sz w:val="24"/>
          <w:szCs w:val="24"/>
        </w:rPr>
        <w:t>troisième</w:t>
      </w:r>
      <w:r w:rsidRPr="00F83921">
        <w:rPr>
          <w:b/>
          <w:sz w:val="24"/>
          <w:szCs w:val="24"/>
        </w:rPr>
        <w:t xml:space="preserve"> réu</w:t>
      </w:r>
      <w:r>
        <w:rPr>
          <w:b/>
          <w:sz w:val="24"/>
          <w:szCs w:val="24"/>
        </w:rPr>
        <w:t>nion des présidents des organes</w:t>
      </w:r>
      <w:r>
        <w:rPr>
          <w:b/>
          <w:sz w:val="24"/>
          <w:szCs w:val="24"/>
        </w:rPr>
        <w:br/>
      </w:r>
      <w:r w:rsidRPr="00F83921">
        <w:rPr>
          <w:b/>
          <w:sz w:val="24"/>
          <w:szCs w:val="24"/>
        </w:rPr>
        <w:t>créés en vertu</w:t>
      </w:r>
      <w:r>
        <w:rPr>
          <w:b/>
          <w:sz w:val="24"/>
          <w:szCs w:val="24"/>
        </w:rPr>
        <w:t xml:space="preserve"> d</w:t>
      </w:r>
      <w:r w:rsidR="0039558B">
        <w:rPr>
          <w:b/>
          <w:sz w:val="24"/>
          <w:szCs w:val="24"/>
        </w:rPr>
        <w:t>’</w:t>
      </w:r>
      <w:r>
        <w:rPr>
          <w:b/>
          <w:sz w:val="24"/>
          <w:szCs w:val="24"/>
        </w:rPr>
        <w:t>instruments internationaux</w:t>
      </w:r>
      <w:r>
        <w:rPr>
          <w:b/>
          <w:sz w:val="24"/>
          <w:szCs w:val="24"/>
        </w:rPr>
        <w:br/>
      </w:r>
      <w:r w:rsidRPr="00F83921">
        <w:rPr>
          <w:b/>
          <w:sz w:val="24"/>
          <w:szCs w:val="24"/>
        </w:rPr>
        <w:t>relatifs aux droits de l</w:t>
      </w:r>
      <w:r w:rsidR="0039558B">
        <w:rPr>
          <w:b/>
          <w:sz w:val="24"/>
          <w:szCs w:val="24"/>
        </w:rPr>
        <w:t>’</w:t>
      </w:r>
      <w:r w:rsidRPr="00F83921">
        <w:rPr>
          <w:b/>
          <w:sz w:val="24"/>
          <w:szCs w:val="24"/>
        </w:rPr>
        <w:t>homme</w:t>
      </w:r>
    </w:p>
    <w:p w:rsidR="00F83921" w:rsidRPr="00F83921" w:rsidRDefault="00135E8A" w:rsidP="00F83921">
      <w:r>
        <w:t>Genève</w:t>
      </w:r>
      <w:r w:rsidR="00F83921" w:rsidRPr="00F83921">
        <w:t xml:space="preserve">, </w:t>
      </w:r>
      <w:r w:rsidR="00F83921">
        <w:t xml:space="preserve">30 juin et </w:t>
      </w:r>
      <w:r w:rsidR="00F83921" w:rsidRPr="00F83921">
        <w:t>1</w:t>
      </w:r>
      <w:r w:rsidR="00F83921" w:rsidRPr="00F83921">
        <w:rPr>
          <w:vertAlign w:val="superscript"/>
        </w:rPr>
        <w:t>er</w:t>
      </w:r>
      <w:r w:rsidR="00F83921">
        <w:t xml:space="preserve"> juillet 2011</w:t>
      </w:r>
    </w:p>
    <w:p w:rsidR="00F83921" w:rsidRPr="00F83921" w:rsidRDefault="003D329E" w:rsidP="003D329E">
      <w:pPr>
        <w:pStyle w:val="HChG"/>
      </w:pPr>
      <w:r>
        <w:tab/>
      </w:r>
      <w:r>
        <w:tab/>
      </w:r>
      <w:r w:rsidR="00F83921" w:rsidRPr="00F83921">
        <w:t>Ordre du jour provisoire et annotations</w:t>
      </w:r>
    </w:p>
    <w:p w:rsidR="00F83921" w:rsidRPr="00F83921" w:rsidRDefault="00F83921" w:rsidP="003D329E">
      <w:pPr>
        <w:pStyle w:val="H1G"/>
      </w:pPr>
      <w:r w:rsidRPr="00F83921">
        <w:tab/>
      </w:r>
      <w:r w:rsidRPr="00F83921">
        <w:tab/>
        <w:t>Note du Secrétaire général</w:t>
      </w:r>
      <w:r w:rsidR="003D329E" w:rsidRPr="003D329E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F83921" w:rsidRPr="00F83921" w:rsidRDefault="00F83921" w:rsidP="004D770C">
      <w:pPr>
        <w:pStyle w:val="SingleTxtG"/>
      </w:pPr>
      <w:r w:rsidRPr="00F83921">
        <w:t>1.</w:t>
      </w:r>
      <w:r w:rsidRPr="00F83921">
        <w:tab/>
        <w:t>La vingt-troisième réunion des présidents des organes créés en vertu d</w:t>
      </w:r>
      <w:r w:rsidR="0039558B">
        <w:t>’</w:t>
      </w:r>
      <w:r w:rsidRPr="00F83921">
        <w:t>instruments internationaux relatifs aux droits de l</w:t>
      </w:r>
      <w:r w:rsidR="0039558B">
        <w:t>’</w:t>
      </w:r>
      <w:r w:rsidRPr="00F83921">
        <w:t>homme se tiendra les 30 juin et 1</w:t>
      </w:r>
      <w:r w:rsidRPr="00F83921">
        <w:rPr>
          <w:vertAlign w:val="superscript"/>
        </w:rPr>
        <w:t>er</w:t>
      </w:r>
      <w:r w:rsidRPr="00F83921">
        <w:t xml:space="preserve"> juillet 2011, conformément à la résolution 49/178 de l</w:t>
      </w:r>
      <w:r w:rsidR="0039558B">
        <w:t>’</w:t>
      </w:r>
      <w:r w:rsidRPr="00F83921">
        <w:t>Assemblée générale en date du 23 décembre 1994.</w:t>
      </w:r>
    </w:p>
    <w:p w:rsidR="00F83921" w:rsidRPr="00F83921" w:rsidRDefault="00F83921" w:rsidP="00F83921">
      <w:pPr>
        <w:pStyle w:val="SingleTxtG"/>
      </w:pPr>
      <w:r w:rsidRPr="00F83921">
        <w:t>2.</w:t>
      </w:r>
      <w:r w:rsidRPr="00F83921">
        <w:tab/>
        <w:t>On trouvera dans le présent document l</w:t>
      </w:r>
      <w:r w:rsidR="0039558B">
        <w:t>’</w:t>
      </w:r>
      <w:r w:rsidRPr="00F83921">
        <w:t>ordre du jour provisoire annoté de la vingt-troisième réunion.</w:t>
      </w:r>
    </w:p>
    <w:p w:rsidR="00F83921" w:rsidRPr="00F83921" w:rsidRDefault="00F83921" w:rsidP="004D770C">
      <w:pPr>
        <w:pStyle w:val="HChG"/>
      </w:pPr>
      <w:r w:rsidRPr="00F83921">
        <w:tab/>
      </w:r>
      <w:r w:rsidRPr="00F83921">
        <w:tab/>
        <w:t>Ordre du jour provisoire</w:t>
      </w:r>
    </w:p>
    <w:p w:rsidR="00F83921" w:rsidRPr="00F83921" w:rsidRDefault="00F83921" w:rsidP="00F83921">
      <w:pPr>
        <w:pStyle w:val="SingleTxtG"/>
      </w:pPr>
      <w:r w:rsidRPr="00F83921">
        <w:t>1.</w:t>
      </w:r>
      <w:r w:rsidRPr="00F83921">
        <w:tab/>
        <w:t>Ouverture de la réunion et élection du Bureau.</w:t>
      </w:r>
    </w:p>
    <w:p w:rsidR="00F83921" w:rsidRPr="00F83921" w:rsidRDefault="00F83921" w:rsidP="00F83921">
      <w:pPr>
        <w:pStyle w:val="SingleTxtG"/>
      </w:pPr>
      <w:r w:rsidRPr="00F83921">
        <w:t>2.</w:t>
      </w:r>
      <w:r w:rsidRPr="00F83921">
        <w:tab/>
        <w:t>Adoption de l</w:t>
      </w:r>
      <w:r w:rsidR="0039558B">
        <w:t>’</w:t>
      </w:r>
      <w:r w:rsidRPr="00F83921">
        <w:t>ordre du jour.</w:t>
      </w:r>
    </w:p>
    <w:p w:rsidR="00F83921" w:rsidRPr="00F83921" w:rsidRDefault="00F83921" w:rsidP="00F83921">
      <w:pPr>
        <w:pStyle w:val="SingleTxtG"/>
      </w:pPr>
      <w:r w:rsidRPr="00F83921">
        <w:t>3.</w:t>
      </w:r>
      <w:r w:rsidRPr="00F83921">
        <w:tab/>
        <w:t>Questions d</w:t>
      </w:r>
      <w:r w:rsidR="0039558B">
        <w:t>’</w:t>
      </w:r>
      <w:r w:rsidRPr="00F83921">
        <w:t>organisation.</w:t>
      </w:r>
    </w:p>
    <w:p w:rsidR="00F83921" w:rsidRPr="00F83921" w:rsidRDefault="00F83921" w:rsidP="004D770C">
      <w:pPr>
        <w:pStyle w:val="SingleTxtG"/>
        <w:ind w:left="1701" w:hanging="567"/>
      </w:pPr>
      <w:r w:rsidRPr="00F83921">
        <w:t>4.</w:t>
      </w:r>
      <w:r w:rsidRPr="00F83921">
        <w:tab/>
        <w:t>Renforcement de l</w:t>
      </w:r>
      <w:r w:rsidR="0039558B">
        <w:t>’</w:t>
      </w:r>
      <w:r w:rsidRPr="00F83921">
        <w:t>efficacité des organes conventionnels: une approche coordonnée de l</w:t>
      </w:r>
      <w:r w:rsidR="0039558B">
        <w:t>’</w:t>
      </w:r>
      <w:r w:rsidRPr="00F83921">
        <w:t>activité des organes conventionnels:</w:t>
      </w:r>
    </w:p>
    <w:p w:rsidR="00F83921" w:rsidRPr="00F83921" w:rsidRDefault="00F83921" w:rsidP="0039558B">
      <w:pPr>
        <w:pStyle w:val="SingleTxtG"/>
        <w:ind w:firstLine="567"/>
      </w:pPr>
      <w:r w:rsidRPr="00F83921">
        <w:t>a)</w:t>
      </w:r>
      <w:r w:rsidRPr="00F83921">
        <w:tab/>
        <w:t xml:space="preserve">Débat sur les recommandations </w:t>
      </w:r>
      <w:r w:rsidR="0039558B">
        <w:t>de la douzième</w:t>
      </w:r>
      <w:r w:rsidRPr="00F83921">
        <w:t xml:space="preserve"> réunion intercomités;</w:t>
      </w:r>
    </w:p>
    <w:p w:rsidR="00F83921" w:rsidRPr="00F83921" w:rsidRDefault="00F83921" w:rsidP="004D770C">
      <w:pPr>
        <w:pStyle w:val="SingleTxtG"/>
        <w:ind w:firstLine="567"/>
      </w:pPr>
      <w:r w:rsidRPr="00F83921">
        <w:t>b)</w:t>
      </w:r>
      <w:r w:rsidRPr="00F83921">
        <w:tab/>
        <w:t>Harmon</w:t>
      </w:r>
      <w:r w:rsidR="0039558B">
        <w:t>isation des méthodes de travail;</w:t>
      </w:r>
    </w:p>
    <w:p w:rsidR="00F83921" w:rsidRPr="00F83921" w:rsidRDefault="00F83921" w:rsidP="004D770C">
      <w:pPr>
        <w:pStyle w:val="SingleTxtG"/>
        <w:ind w:firstLine="567"/>
      </w:pPr>
      <w:r w:rsidRPr="00F83921">
        <w:t>c)</w:t>
      </w:r>
      <w:r w:rsidRPr="00F83921">
        <w:tab/>
        <w:t xml:space="preserve"> Critères de sélection et indépendance des membres</w:t>
      </w:r>
      <w:r w:rsidR="0039558B">
        <w:t>;</w:t>
      </w:r>
    </w:p>
    <w:p w:rsidR="00F83921" w:rsidRPr="00F83921" w:rsidRDefault="00F83921" w:rsidP="004D770C">
      <w:pPr>
        <w:pStyle w:val="SingleTxtG"/>
        <w:ind w:firstLine="567"/>
      </w:pPr>
      <w:r w:rsidRPr="00F83921">
        <w:t>d)</w:t>
      </w:r>
      <w:r w:rsidRPr="00F83921">
        <w:tab/>
      </w:r>
      <w:r w:rsidR="0039558B">
        <w:t>Mieux tirer parti</w:t>
      </w:r>
      <w:r w:rsidRPr="00F83921">
        <w:t xml:space="preserve"> de la réunion des présidents</w:t>
      </w:r>
      <w:r w:rsidR="00135E8A">
        <w:t>.</w:t>
      </w:r>
    </w:p>
    <w:p w:rsidR="00F83921" w:rsidRPr="00F83921" w:rsidRDefault="00F83921" w:rsidP="00F83921">
      <w:pPr>
        <w:pStyle w:val="SingleTxtG"/>
      </w:pPr>
      <w:r w:rsidRPr="00F83921">
        <w:t>5.</w:t>
      </w:r>
      <w:r w:rsidRPr="00F83921">
        <w:tab/>
        <w:t>Cons</w:t>
      </w:r>
      <w:r w:rsidR="0039558B">
        <w:t>ultations informelles avec les É</w:t>
      </w:r>
      <w:r w:rsidRPr="00F83921">
        <w:t>tats</w:t>
      </w:r>
      <w:r w:rsidR="0039558B">
        <w:t xml:space="preserve"> parties.</w:t>
      </w:r>
    </w:p>
    <w:p w:rsidR="00F83921" w:rsidRPr="00F83921" w:rsidRDefault="00F83921" w:rsidP="004D770C">
      <w:pPr>
        <w:pStyle w:val="SingleTxtG"/>
        <w:ind w:left="1701" w:hanging="567"/>
      </w:pPr>
      <w:r w:rsidRPr="00F83921">
        <w:t>6.</w:t>
      </w:r>
      <w:r w:rsidRPr="00F83921">
        <w:tab/>
        <w:t>Adoption du rapport et fixation des dates de la vingt-quatrième réunion des présidents.</w:t>
      </w:r>
    </w:p>
    <w:p w:rsidR="00F83921" w:rsidRPr="00F83921" w:rsidRDefault="004D770C" w:rsidP="004D770C">
      <w:pPr>
        <w:pStyle w:val="HChG"/>
      </w:pPr>
      <w:r>
        <w:br w:type="page"/>
      </w:r>
      <w:r>
        <w:tab/>
      </w:r>
      <w:r>
        <w:tab/>
      </w:r>
      <w:r w:rsidR="00F83921" w:rsidRPr="00F83921">
        <w:t>Annotations</w:t>
      </w:r>
    </w:p>
    <w:p w:rsidR="00F83921" w:rsidRPr="00F83921" w:rsidRDefault="0039558B" w:rsidP="0039558B">
      <w:pPr>
        <w:pStyle w:val="H1G"/>
      </w:pPr>
      <w:r>
        <w:tab/>
        <w:t>1.</w:t>
      </w:r>
      <w:r>
        <w:tab/>
      </w:r>
      <w:r w:rsidR="00F83921" w:rsidRPr="00F83921">
        <w:t>Ouverture de la réunion et élection du Bureau</w:t>
      </w:r>
    </w:p>
    <w:p w:rsidR="00F83921" w:rsidRPr="00F83921" w:rsidRDefault="00F83921" w:rsidP="003531EA">
      <w:pPr>
        <w:pStyle w:val="SingleTxtG"/>
        <w:ind w:firstLine="567"/>
      </w:pPr>
      <w:r w:rsidRPr="00F83921">
        <w:t>La réunion s</w:t>
      </w:r>
      <w:r w:rsidR="0039558B">
        <w:t>’</w:t>
      </w:r>
      <w:r w:rsidRPr="00F83921">
        <w:t>ouvrira à Genève le jeudi 30 juin 2010 à 10 heures. Elle confirmera à leur poste le Président et le Vice-Président qui se sont acquittés de ces fonctions à la douzième réunion intercomités.</w:t>
      </w:r>
    </w:p>
    <w:p w:rsidR="00F83921" w:rsidRPr="00F83921" w:rsidRDefault="0039558B" w:rsidP="0039558B">
      <w:pPr>
        <w:pStyle w:val="H1G"/>
      </w:pPr>
      <w:r>
        <w:tab/>
        <w:t>2.</w:t>
      </w:r>
      <w:r>
        <w:tab/>
      </w:r>
      <w:r w:rsidR="00F83921" w:rsidRPr="00F83921">
        <w:t>Adoption de l</w:t>
      </w:r>
      <w:r>
        <w:t>’</w:t>
      </w:r>
      <w:r w:rsidR="00F83921" w:rsidRPr="00F83921">
        <w:t>ordre du jour</w:t>
      </w:r>
    </w:p>
    <w:p w:rsidR="00F83921" w:rsidRPr="00F83921" w:rsidRDefault="00F83921" w:rsidP="003531EA">
      <w:pPr>
        <w:pStyle w:val="SingleTxtG"/>
        <w:ind w:firstLine="567"/>
      </w:pPr>
      <w:r w:rsidRPr="00F83921">
        <w:t>La réunion adoptera son ordre du jour sur la base de l</w:t>
      </w:r>
      <w:r w:rsidR="0039558B">
        <w:t>’</w:t>
      </w:r>
      <w:r w:rsidRPr="00F83921">
        <w:t>ordre du jour provisoire figurant dans le présent document.</w:t>
      </w:r>
    </w:p>
    <w:p w:rsidR="00F83921" w:rsidRPr="00F83921" w:rsidRDefault="00F83921" w:rsidP="0039558B">
      <w:pPr>
        <w:pStyle w:val="H1G"/>
      </w:pPr>
      <w:r w:rsidRPr="00F83921">
        <w:tab/>
      </w:r>
      <w:r w:rsidR="0039558B">
        <w:t>3.</w:t>
      </w:r>
      <w:r w:rsidR="0039558B">
        <w:tab/>
      </w:r>
      <w:r w:rsidRPr="00F83921">
        <w:t>Questions d</w:t>
      </w:r>
      <w:r w:rsidR="0039558B">
        <w:t>’</w:t>
      </w:r>
      <w:r w:rsidRPr="00F83921">
        <w:t>organisation</w:t>
      </w:r>
    </w:p>
    <w:p w:rsidR="00F83921" w:rsidRPr="00F83921" w:rsidRDefault="00F83921" w:rsidP="003531EA">
      <w:pPr>
        <w:pStyle w:val="SingleTxtG"/>
        <w:ind w:firstLine="567"/>
      </w:pPr>
      <w:r w:rsidRPr="00F83921">
        <w:t>Au titre de ce point, les participants examineront et adopteront un programme de travail.</w:t>
      </w:r>
    </w:p>
    <w:p w:rsidR="0039558B" w:rsidRDefault="0039558B" w:rsidP="0039558B">
      <w:pPr>
        <w:pStyle w:val="H1G"/>
      </w:pPr>
      <w:r>
        <w:tab/>
        <w:t>4.</w:t>
      </w:r>
      <w:r>
        <w:tab/>
      </w:r>
      <w:r w:rsidR="00F83921" w:rsidRPr="00F83921">
        <w:t>Renforcement de l</w:t>
      </w:r>
      <w:r>
        <w:t>’</w:t>
      </w:r>
      <w:r w:rsidR="00F83921" w:rsidRPr="00F83921">
        <w:t>efficacité des organes conventionnels: une approche coordonnée de l</w:t>
      </w:r>
      <w:r>
        <w:t>’</w:t>
      </w:r>
      <w:r w:rsidR="00F83921" w:rsidRPr="00F83921">
        <w:t>activité des organes conventionnels:</w:t>
      </w:r>
    </w:p>
    <w:p w:rsidR="00F83921" w:rsidRPr="00F83921" w:rsidRDefault="0039558B" w:rsidP="0039558B">
      <w:pPr>
        <w:pStyle w:val="H23G"/>
      </w:pPr>
      <w:r>
        <w:tab/>
      </w:r>
      <w:r w:rsidR="00F83921" w:rsidRPr="00F83921">
        <w:t>a)</w:t>
      </w:r>
      <w:r w:rsidR="00F83921" w:rsidRPr="00F83921">
        <w:tab/>
        <w:t>Débat sur les recommandations de la douzième réunion intercomités</w:t>
      </w:r>
    </w:p>
    <w:p w:rsidR="00F83921" w:rsidRPr="00F83921" w:rsidRDefault="00F83921" w:rsidP="003531EA">
      <w:pPr>
        <w:pStyle w:val="SingleTxtG"/>
        <w:ind w:firstLine="567"/>
      </w:pPr>
      <w:r w:rsidRPr="00F83921">
        <w:t xml:space="preserve">Au titre de ce point, les participants examineront les </w:t>
      </w:r>
      <w:r w:rsidR="0039558B">
        <w:t>projets de points d’accord convenus à</w:t>
      </w:r>
      <w:r w:rsidRPr="00F83921">
        <w:t xml:space="preserve"> </w:t>
      </w:r>
      <w:r w:rsidR="0039558B">
        <w:t xml:space="preserve">la douzième </w:t>
      </w:r>
      <w:r w:rsidRPr="00F83921">
        <w:t>réunion intercom</w:t>
      </w:r>
      <w:r w:rsidR="0039558B">
        <w:t>ités, tenue</w:t>
      </w:r>
      <w:r w:rsidR="00135E8A">
        <w:t xml:space="preserve"> du 27 au 29 juin 2011;</w:t>
      </w:r>
    </w:p>
    <w:p w:rsidR="00F83921" w:rsidRPr="00F83921" w:rsidRDefault="00F83921" w:rsidP="0039558B">
      <w:pPr>
        <w:pStyle w:val="H23G"/>
      </w:pPr>
      <w:r w:rsidRPr="00F83921">
        <w:tab/>
        <w:t>b)</w:t>
      </w:r>
      <w:r w:rsidRPr="00F83921">
        <w:tab/>
        <w:t>Harmonisation des méthodes de travail</w:t>
      </w:r>
    </w:p>
    <w:p w:rsidR="00F83921" w:rsidRPr="00F83921" w:rsidRDefault="00F83921" w:rsidP="003531EA">
      <w:pPr>
        <w:pStyle w:val="SingleTxtG"/>
        <w:ind w:firstLine="567"/>
      </w:pPr>
      <w:r w:rsidRPr="00F83921">
        <w:t>Au titre de ce point, les participants examineront les méthodes de travail des organes conventionnels, en ce qui concerne notamment la coordination et les possibilités d</w:t>
      </w:r>
      <w:r w:rsidR="0039558B">
        <w:t>’</w:t>
      </w:r>
      <w:r w:rsidRPr="00F83921">
        <w:t>harmonisation. La réunion sera saisie de la version mise à jour du rapport sur les méthodes de travail des organes créés en vertu d</w:t>
      </w:r>
      <w:r w:rsidR="0039558B">
        <w:t>’</w:t>
      </w:r>
      <w:r w:rsidRPr="00F83921">
        <w:t>instruments internationaux relatifs aux droits de l</w:t>
      </w:r>
      <w:r w:rsidR="0039558B">
        <w:t>’homme (HRI/IMC/2011/4</w:t>
      </w:r>
      <w:r w:rsidR="00135E8A">
        <w:t>);</w:t>
      </w:r>
    </w:p>
    <w:p w:rsidR="00F83921" w:rsidRPr="00F83921" w:rsidRDefault="0039558B" w:rsidP="0039558B">
      <w:pPr>
        <w:pStyle w:val="H23G"/>
      </w:pPr>
      <w:r>
        <w:tab/>
      </w:r>
      <w:r w:rsidR="00F83921" w:rsidRPr="00F83921">
        <w:t xml:space="preserve">c) </w:t>
      </w:r>
      <w:r>
        <w:tab/>
      </w:r>
      <w:r w:rsidR="00F83921" w:rsidRPr="00F83921">
        <w:t>Critères de sélection et indépendance des membres</w:t>
      </w:r>
    </w:p>
    <w:p w:rsidR="00F83921" w:rsidRPr="00F83921" w:rsidRDefault="00F83921" w:rsidP="003531EA">
      <w:pPr>
        <w:pStyle w:val="SingleTxtG"/>
        <w:ind w:firstLine="567"/>
      </w:pPr>
      <w:r w:rsidRPr="00F83921">
        <w:t>Au titre de ce point, les participants examineront la recommandation figurant dans la Déclaration de Poznan</w:t>
      </w:r>
      <w:r w:rsidR="0039558B">
        <w:t>,</w:t>
      </w:r>
      <w:r w:rsidRPr="00F83921">
        <w:t xml:space="preserve"> </w:t>
      </w:r>
      <w:r w:rsidR="0039558B">
        <w:t>dans</w:t>
      </w:r>
      <w:r w:rsidRPr="00F83921">
        <w:t xml:space="preserve"> laquelle les présidents sont invités à charger un groupe de travail d</w:t>
      </w:r>
      <w:r w:rsidR="0039558B">
        <w:t>’</w:t>
      </w:r>
      <w:r w:rsidRPr="00F83921">
        <w:t xml:space="preserve">élaborer des directives </w:t>
      </w:r>
      <w:r w:rsidR="0039558B">
        <w:t>sur les critères de sé</w:t>
      </w:r>
      <w:r w:rsidRPr="00F83921">
        <w:t>lection et l</w:t>
      </w:r>
      <w:r w:rsidR="0039558B">
        <w:t>’</w:t>
      </w:r>
      <w:r w:rsidRPr="00F83921">
        <w:t>indépendance des experts qui seront adopté</w:t>
      </w:r>
      <w:r w:rsidR="0039558B">
        <w:t>e</w:t>
      </w:r>
      <w:r w:rsidRPr="00F83921">
        <w:t xml:space="preserve">s prochainement par la Réunion annuelle des </w:t>
      </w:r>
      <w:r w:rsidR="0039558B">
        <w:t>présidents</w:t>
      </w:r>
      <w:r w:rsidRPr="00F83921">
        <w:t>;</w:t>
      </w:r>
    </w:p>
    <w:p w:rsidR="00F83921" w:rsidRPr="00F83921" w:rsidRDefault="0039558B" w:rsidP="0039558B">
      <w:pPr>
        <w:pStyle w:val="H23G"/>
      </w:pPr>
      <w:r>
        <w:tab/>
      </w:r>
      <w:r w:rsidR="00F83921" w:rsidRPr="00F83921">
        <w:t xml:space="preserve">d) </w:t>
      </w:r>
      <w:r>
        <w:tab/>
        <w:t xml:space="preserve">Mieux tirer parti </w:t>
      </w:r>
      <w:r w:rsidR="00F83921" w:rsidRPr="00F83921">
        <w:t>de l</w:t>
      </w:r>
      <w:r>
        <w:t>’</w:t>
      </w:r>
      <w:r w:rsidR="00F83921" w:rsidRPr="00F83921">
        <w:t>efficacité de la réunion des présidents</w:t>
      </w:r>
    </w:p>
    <w:p w:rsidR="00F83921" w:rsidRPr="00F83921" w:rsidRDefault="00F83921" w:rsidP="003531EA">
      <w:pPr>
        <w:pStyle w:val="SingleTxtG"/>
        <w:ind w:firstLine="567"/>
      </w:pPr>
      <w:r w:rsidRPr="00F83921">
        <w:t>Au titre de ce point, les participants examineront</w:t>
      </w:r>
      <w:r w:rsidR="0003406F">
        <w:t xml:space="preserve"> </w:t>
      </w:r>
      <w:r w:rsidRPr="00F83921">
        <w:t xml:space="preserve">la question de </w:t>
      </w:r>
      <w:r w:rsidR="003531EA">
        <w:t>savoir s’il convient d’habiliter à l’avenir la réunion des présidents à prendre des décisions sur des</w:t>
      </w:r>
      <w:r w:rsidRPr="00F83921">
        <w:t xml:space="preserve"> questions de procédure, </w:t>
      </w:r>
      <w:r w:rsidR="003531EA">
        <w:t>comme cela</w:t>
      </w:r>
      <w:r w:rsidRPr="00F83921">
        <w:t xml:space="preserve"> a déjà été proposé en 2008.</w:t>
      </w:r>
    </w:p>
    <w:p w:rsidR="00F83921" w:rsidRPr="00F83921" w:rsidRDefault="003531EA" w:rsidP="003531EA">
      <w:pPr>
        <w:pStyle w:val="H1G"/>
      </w:pPr>
      <w:r>
        <w:tab/>
        <w:t>5.</w:t>
      </w:r>
      <w:r>
        <w:tab/>
      </w:r>
      <w:r w:rsidR="00F83921" w:rsidRPr="00F83921">
        <w:t>Consultations informelles avec les États parties</w:t>
      </w:r>
    </w:p>
    <w:p w:rsidR="00F83921" w:rsidRPr="00F83921" w:rsidRDefault="00F83921" w:rsidP="003531EA">
      <w:pPr>
        <w:pStyle w:val="SingleTxtG"/>
        <w:ind w:firstLine="567"/>
      </w:pPr>
      <w:r w:rsidRPr="00F83921">
        <w:t>Au titre de ce point, les participants renco</w:t>
      </w:r>
      <w:r w:rsidR="003531EA">
        <w:t>ntreront les représentants des É</w:t>
      </w:r>
      <w:r w:rsidRPr="00F83921">
        <w:t>tats. Il est proposé que cette consultation informelle porte sur le renforcement de l</w:t>
      </w:r>
      <w:r w:rsidR="0039558B">
        <w:t>’</w:t>
      </w:r>
      <w:r w:rsidRPr="00F83921">
        <w:t>appui aux organes conventionnels et le renforcement de l</w:t>
      </w:r>
      <w:r w:rsidR="0039558B">
        <w:t>’</w:t>
      </w:r>
      <w:r w:rsidR="003531EA">
        <w:t>efficacité</w:t>
      </w:r>
      <w:r w:rsidRPr="00F83921">
        <w:t xml:space="preserve"> de ces organes, notamment par l</w:t>
      </w:r>
      <w:r w:rsidR="0039558B">
        <w:t>’</w:t>
      </w:r>
      <w:r w:rsidRPr="00F83921">
        <w:t xml:space="preserve">harmonisation et la simplification de leurs méthodes de travail, ainsi que sur </w:t>
      </w:r>
      <w:r w:rsidR="003531EA">
        <w:t>la relation</w:t>
      </w:r>
      <w:r w:rsidRPr="00F83921">
        <w:t xml:space="preserve"> entre le système des organes conventionnels et le mécanisme global des droits de l</w:t>
      </w:r>
      <w:r w:rsidR="0039558B">
        <w:t>’</w:t>
      </w:r>
      <w:r w:rsidRPr="00F83921">
        <w:t>homme de l</w:t>
      </w:r>
      <w:r w:rsidR="0039558B">
        <w:t>’</w:t>
      </w:r>
      <w:r w:rsidRPr="00F83921">
        <w:t>ONU, y compris le Conseil des droits de l</w:t>
      </w:r>
      <w:r w:rsidR="0039558B">
        <w:t>’</w:t>
      </w:r>
      <w:r w:rsidRPr="00F83921">
        <w:t xml:space="preserve">homme. En consultation avec les organes conventionnels, le Secrétariat a établi un ordre du jour détaillé spécifique </w:t>
      </w:r>
      <w:r w:rsidR="003531EA">
        <w:t>pour</w:t>
      </w:r>
      <w:r w:rsidRPr="00F83921">
        <w:t xml:space="preserve"> la réunion. </w:t>
      </w:r>
    </w:p>
    <w:p w:rsidR="00F83921" w:rsidRPr="00F83921" w:rsidRDefault="003531EA" w:rsidP="003531EA">
      <w:pPr>
        <w:pStyle w:val="H1G"/>
      </w:pPr>
      <w:r>
        <w:tab/>
        <w:t>6.</w:t>
      </w:r>
      <w:r>
        <w:tab/>
      </w:r>
      <w:r w:rsidR="00F83921" w:rsidRPr="00F83921">
        <w:t>Adoption du rapport et fixation des dates de la vingt-quatrième réunion des présidents</w:t>
      </w:r>
    </w:p>
    <w:p w:rsidR="00F83921" w:rsidRPr="00F83921" w:rsidRDefault="00F83921" w:rsidP="003531EA">
      <w:pPr>
        <w:pStyle w:val="SingleTxtG"/>
        <w:ind w:firstLine="567"/>
      </w:pPr>
      <w:r w:rsidRPr="00F83921">
        <w:t>Les présidents adopteront un rapport sur leur réunion, accompagné de conclusions et de recommandations, qui sera soumis à l</w:t>
      </w:r>
      <w:r w:rsidR="0039558B">
        <w:t>’</w:t>
      </w:r>
      <w:r w:rsidRPr="00F83921">
        <w:t>Assemblée générale à sa soixante-sixième session, conformément à la résolution 55/90 de l</w:t>
      </w:r>
      <w:r w:rsidR="0039558B">
        <w:t>’</w:t>
      </w:r>
      <w:r w:rsidRPr="00F83921">
        <w:t>Assemblée en date du 4 décembre 2000.</w:t>
      </w:r>
    </w:p>
    <w:p w:rsidR="00FF1DBD" w:rsidRDefault="00F83921" w:rsidP="003531EA">
      <w:pPr>
        <w:pStyle w:val="SingleTxtG"/>
        <w:ind w:firstLine="567"/>
      </w:pPr>
      <w:r w:rsidRPr="00F83921">
        <w:t>En outre, les présidents fixeront les dates de la vingt-quatrièm</w:t>
      </w:r>
      <w:r w:rsidR="003531EA">
        <w:t>e réunion, qui aura lieu en 2012</w:t>
      </w:r>
      <w:r w:rsidRPr="00F83921">
        <w:t>.</w:t>
      </w:r>
    </w:p>
    <w:p w:rsidR="00BD0563" w:rsidRPr="00BD0563" w:rsidRDefault="00BD0563" w:rsidP="00BD056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D0563" w:rsidRPr="00BD0563" w:rsidSect="008C645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06F" w:rsidRDefault="005B206F"/>
  </w:endnote>
  <w:endnote w:type="continuationSeparator" w:id="0">
    <w:p w:rsidR="005B206F" w:rsidRDefault="005B206F"/>
  </w:endnote>
  <w:endnote w:type="continuationNotice" w:id="1">
    <w:p w:rsidR="005B206F" w:rsidRDefault="005B20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6F" w:rsidRPr="008C6455" w:rsidRDefault="005B206F" w:rsidP="008C6455">
    <w:pPr>
      <w:pStyle w:val="Footer"/>
      <w:tabs>
        <w:tab w:val="right" w:pos="9638"/>
      </w:tabs>
    </w:pPr>
    <w:r w:rsidRPr="008C6455">
      <w:rPr>
        <w:b/>
        <w:sz w:val="18"/>
      </w:rPr>
      <w:fldChar w:fldCharType="begin"/>
    </w:r>
    <w:r w:rsidRPr="008C6455">
      <w:rPr>
        <w:b/>
        <w:sz w:val="18"/>
      </w:rPr>
      <w:instrText xml:space="preserve"> PAGE  \* MERGEFORMAT </w:instrText>
    </w:r>
    <w:r w:rsidRPr="008C6455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C6455">
      <w:rPr>
        <w:b/>
        <w:sz w:val="18"/>
      </w:rPr>
      <w:fldChar w:fldCharType="end"/>
    </w:r>
    <w:r>
      <w:rPr>
        <w:b/>
        <w:sz w:val="18"/>
      </w:rPr>
      <w:tab/>
    </w:r>
    <w:r>
      <w:t>GE.11-43012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6F" w:rsidRPr="008C6455" w:rsidRDefault="005B206F" w:rsidP="008C6455">
    <w:pPr>
      <w:pStyle w:val="Footer"/>
      <w:tabs>
        <w:tab w:val="right" w:pos="9638"/>
      </w:tabs>
      <w:rPr>
        <w:b/>
        <w:sz w:val="18"/>
      </w:rPr>
    </w:pPr>
    <w:r>
      <w:t>GE.11-43012</w:t>
    </w:r>
    <w:r>
      <w:tab/>
    </w:r>
    <w:r w:rsidRPr="008C6455">
      <w:rPr>
        <w:b/>
        <w:sz w:val="18"/>
      </w:rPr>
      <w:fldChar w:fldCharType="begin"/>
    </w:r>
    <w:r w:rsidRPr="008C6455">
      <w:rPr>
        <w:b/>
        <w:sz w:val="18"/>
      </w:rPr>
      <w:instrText xml:space="preserve"> PAGE  \* MERGEFORMAT </w:instrText>
    </w:r>
    <w:r w:rsidRPr="008C645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C64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6F" w:rsidRPr="008C6455" w:rsidRDefault="005B206F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11-43012  (F)    200511    </w:t>
    </w:r>
    <w:r w:rsidRPr="00135E8A">
      <w:rPr>
        <w:sz w:val="20"/>
      </w:rPr>
      <w:t>250511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06F" w:rsidRPr="00D27D5E" w:rsidRDefault="005B206F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B206F" w:rsidRPr="000A39A0" w:rsidRDefault="005B206F" w:rsidP="000A39A0">
      <w:pPr>
        <w:tabs>
          <w:tab w:val="right" w:pos="2155"/>
        </w:tabs>
        <w:spacing w:after="80"/>
        <w:ind w:left="680"/>
        <w:rPr>
          <w:u w:val="single"/>
        </w:rPr>
      </w:pPr>
      <w:r w:rsidRPr="000A39A0">
        <w:rPr>
          <w:u w:val="single"/>
        </w:rPr>
        <w:tab/>
      </w:r>
    </w:p>
  </w:footnote>
  <w:footnote w:type="continuationNotice" w:id="1">
    <w:p w:rsidR="005B206F" w:rsidRDefault="005B206F"/>
  </w:footnote>
  <w:footnote w:id="2">
    <w:p w:rsidR="005B206F" w:rsidRPr="0003406F" w:rsidRDefault="005B206F" w:rsidP="0003406F">
      <w:pPr>
        <w:pStyle w:val="FootnoteText"/>
      </w:pPr>
      <w:r>
        <w:tab/>
      </w:r>
      <w:r w:rsidRPr="003D329E">
        <w:rPr>
          <w:rStyle w:val="FootnoteReference"/>
          <w:sz w:val="20"/>
          <w:vertAlign w:val="baseline"/>
        </w:rPr>
        <w:t>*</w:t>
      </w:r>
      <w:r>
        <w:tab/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6F" w:rsidRPr="008C6455" w:rsidRDefault="005B206F">
    <w:pPr>
      <w:pStyle w:val="Header"/>
    </w:pPr>
    <w:r>
      <w:t>HRI/MC/2011/1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6F" w:rsidRPr="008C6455" w:rsidRDefault="005B206F" w:rsidP="008C6455">
    <w:pPr>
      <w:pStyle w:val="Header"/>
      <w:jc w:val="right"/>
    </w:pPr>
    <w:r>
      <w:t>HRI/MC/2011/1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133"/>
    <w:rsid w:val="0000783C"/>
    <w:rsid w:val="00016AC5"/>
    <w:rsid w:val="0002116C"/>
    <w:rsid w:val="0003406F"/>
    <w:rsid w:val="000A39A0"/>
    <w:rsid w:val="000F41F2"/>
    <w:rsid w:val="00135E8A"/>
    <w:rsid w:val="00160540"/>
    <w:rsid w:val="00185133"/>
    <w:rsid w:val="00192EEB"/>
    <w:rsid w:val="001A20FB"/>
    <w:rsid w:val="001D7F8A"/>
    <w:rsid w:val="001E3FEB"/>
    <w:rsid w:val="001E4A02"/>
    <w:rsid w:val="00225A8C"/>
    <w:rsid w:val="002659F1"/>
    <w:rsid w:val="00287E79"/>
    <w:rsid w:val="002928F9"/>
    <w:rsid w:val="002A5133"/>
    <w:rsid w:val="002A5D07"/>
    <w:rsid w:val="002D7AC7"/>
    <w:rsid w:val="003016B7"/>
    <w:rsid w:val="003515AA"/>
    <w:rsid w:val="003531EA"/>
    <w:rsid w:val="00371C1C"/>
    <w:rsid w:val="00374106"/>
    <w:rsid w:val="0039558B"/>
    <w:rsid w:val="003976D5"/>
    <w:rsid w:val="003B0B54"/>
    <w:rsid w:val="003B1F83"/>
    <w:rsid w:val="003D329E"/>
    <w:rsid w:val="003D6C68"/>
    <w:rsid w:val="004159D0"/>
    <w:rsid w:val="004A5A05"/>
    <w:rsid w:val="004C5D02"/>
    <w:rsid w:val="004D770C"/>
    <w:rsid w:val="00530543"/>
    <w:rsid w:val="00543D5E"/>
    <w:rsid w:val="00571F41"/>
    <w:rsid w:val="00577FB9"/>
    <w:rsid w:val="005B206F"/>
    <w:rsid w:val="005E5D1F"/>
    <w:rsid w:val="005F6059"/>
    <w:rsid w:val="005F7E1C"/>
    <w:rsid w:val="00611D43"/>
    <w:rsid w:val="00612D48"/>
    <w:rsid w:val="00616B45"/>
    <w:rsid w:val="00630D9B"/>
    <w:rsid w:val="00631953"/>
    <w:rsid w:val="006439EC"/>
    <w:rsid w:val="0066321A"/>
    <w:rsid w:val="006B4590"/>
    <w:rsid w:val="006C340C"/>
    <w:rsid w:val="006E2CC4"/>
    <w:rsid w:val="006F34F6"/>
    <w:rsid w:val="0070347C"/>
    <w:rsid w:val="007176C1"/>
    <w:rsid w:val="00735166"/>
    <w:rsid w:val="00772C7C"/>
    <w:rsid w:val="007B6459"/>
    <w:rsid w:val="007D7641"/>
    <w:rsid w:val="007F55CB"/>
    <w:rsid w:val="00801277"/>
    <w:rsid w:val="00806FFA"/>
    <w:rsid w:val="00812BB6"/>
    <w:rsid w:val="00844750"/>
    <w:rsid w:val="008A12E0"/>
    <w:rsid w:val="008B44C4"/>
    <w:rsid w:val="008C6455"/>
    <w:rsid w:val="008E4AAC"/>
    <w:rsid w:val="008E7FAE"/>
    <w:rsid w:val="00911BF7"/>
    <w:rsid w:val="00977EC8"/>
    <w:rsid w:val="009D3A8C"/>
    <w:rsid w:val="009E7956"/>
    <w:rsid w:val="009F2602"/>
    <w:rsid w:val="00A2492E"/>
    <w:rsid w:val="00AC67A1"/>
    <w:rsid w:val="00AC7977"/>
    <w:rsid w:val="00AD0AAA"/>
    <w:rsid w:val="00AE352C"/>
    <w:rsid w:val="00B32E2D"/>
    <w:rsid w:val="00B61990"/>
    <w:rsid w:val="00B85C98"/>
    <w:rsid w:val="00B86D20"/>
    <w:rsid w:val="00B9335E"/>
    <w:rsid w:val="00BD0563"/>
    <w:rsid w:val="00BF0556"/>
    <w:rsid w:val="00BF3AE0"/>
    <w:rsid w:val="00C261F8"/>
    <w:rsid w:val="00C33100"/>
    <w:rsid w:val="00C43383"/>
    <w:rsid w:val="00C50621"/>
    <w:rsid w:val="00C76467"/>
    <w:rsid w:val="00CB280A"/>
    <w:rsid w:val="00CD1A71"/>
    <w:rsid w:val="00CD1FBB"/>
    <w:rsid w:val="00D016B5"/>
    <w:rsid w:val="00D034F1"/>
    <w:rsid w:val="00D27D5E"/>
    <w:rsid w:val="00D321A4"/>
    <w:rsid w:val="00DA3499"/>
    <w:rsid w:val="00DB31B1"/>
    <w:rsid w:val="00DE6D90"/>
    <w:rsid w:val="00DF002F"/>
    <w:rsid w:val="00E0244D"/>
    <w:rsid w:val="00E7175E"/>
    <w:rsid w:val="00E81E94"/>
    <w:rsid w:val="00E82607"/>
    <w:rsid w:val="00E930C7"/>
    <w:rsid w:val="00EF179F"/>
    <w:rsid w:val="00F60E0A"/>
    <w:rsid w:val="00F83921"/>
    <w:rsid w:val="00FA5A79"/>
    <w:rsid w:val="00FB0BFE"/>
    <w:rsid w:val="00FB4C51"/>
    <w:rsid w:val="00FC7782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1C1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71C1C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371C1C"/>
    <w:pPr>
      <w:outlineLvl w:val="1"/>
    </w:pPr>
  </w:style>
  <w:style w:type="paragraph" w:styleId="Heading3">
    <w:name w:val="heading 3"/>
    <w:basedOn w:val="Normal"/>
    <w:next w:val="Normal"/>
    <w:qFormat/>
    <w:rsid w:val="00371C1C"/>
    <w:pPr>
      <w:outlineLvl w:val="2"/>
    </w:pPr>
  </w:style>
  <w:style w:type="paragraph" w:styleId="Heading4">
    <w:name w:val="heading 4"/>
    <w:basedOn w:val="Normal"/>
    <w:next w:val="Normal"/>
    <w:qFormat/>
    <w:rsid w:val="00371C1C"/>
    <w:pPr>
      <w:outlineLvl w:val="3"/>
    </w:pPr>
  </w:style>
  <w:style w:type="paragraph" w:styleId="Heading5">
    <w:name w:val="heading 5"/>
    <w:basedOn w:val="Normal"/>
    <w:next w:val="Normal"/>
    <w:qFormat/>
    <w:rsid w:val="00371C1C"/>
    <w:pPr>
      <w:outlineLvl w:val="4"/>
    </w:pPr>
  </w:style>
  <w:style w:type="paragraph" w:styleId="Heading6">
    <w:name w:val="heading 6"/>
    <w:basedOn w:val="Normal"/>
    <w:next w:val="Normal"/>
    <w:qFormat/>
    <w:rsid w:val="00371C1C"/>
    <w:pPr>
      <w:outlineLvl w:val="5"/>
    </w:pPr>
  </w:style>
  <w:style w:type="paragraph" w:styleId="Heading7">
    <w:name w:val="heading 7"/>
    <w:basedOn w:val="Normal"/>
    <w:next w:val="Normal"/>
    <w:qFormat/>
    <w:rsid w:val="00371C1C"/>
    <w:pPr>
      <w:outlineLvl w:val="6"/>
    </w:pPr>
  </w:style>
  <w:style w:type="paragraph" w:styleId="Heading8">
    <w:name w:val="heading 8"/>
    <w:basedOn w:val="Normal"/>
    <w:next w:val="Normal"/>
    <w:qFormat/>
    <w:rsid w:val="00371C1C"/>
    <w:pPr>
      <w:outlineLvl w:val="7"/>
    </w:pPr>
  </w:style>
  <w:style w:type="paragraph" w:styleId="Heading9">
    <w:name w:val="heading 9"/>
    <w:basedOn w:val="Normal"/>
    <w:next w:val="Normal"/>
    <w:qFormat/>
    <w:rsid w:val="00371C1C"/>
    <w:pPr>
      <w:outlineLvl w:val="8"/>
    </w:pPr>
  </w:style>
  <w:style w:type="character" w:default="1" w:styleId="DefaultParagraphFont">
    <w:name w:val="Default Paragraph Font"/>
    <w:semiHidden/>
    <w:rsid w:val="00371C1C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71C1C"/>
  </w:style>
  <w:style w:type="paragraph" w:customStyle="1" w:styleId="HMG">
    <w:name w:val="_ H __M_G"/>
    <w:basedOn w:val="Normal"/>
    <w:next w:val="Normal"/>
    <w:rsid w:val="00371C1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71C1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71C1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71C1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71C1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71C1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371C1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71C1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71C1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71C1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71C1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371C1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371C1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371C1C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371C1C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371C1C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71C1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71C1C"/>
  </w:style>
  <w:style w:type="character" w:styleId="PageNumber">
    <w:name w:val="page number"/>
    <w:aliases w:val="7_G"/>
    <w:rsid w:val="00371C1C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371C1C"/>
    <w:pPr>
      <w:spacing w:line="240" w:lineRule="auto"/>
    </w:pPr>
    <w:rPr>
      <w:sz w:val="16"/>
    </w:rPr>
  </w:style>
  <w:style w:type="character" w:styleId="Hyperlink">
    <w:name w:val="Hyperlink"/>
    <w:semiHidden/>
    <w:rsid w:val="00371C1C"/>
    <w:rPr>
      <w:color w:val="auto"/>
      <w:u w:val="none"/>
    </w:rPr>
  </w:style>
  <w:style w:type="character" w:styleId="FollowedHyperlink">
    <w:name w:val="FollowedHyperlink"/>
    <w:semiHidden/>
    <w:rsid w:val="00371C1C"/>
    <w:rPr>
      <w:color w:val="auto"/>
      <w:u w:val="none"/>
    </w:rPr>
  </w:style>
  <w:style w:type="table" w:styleId="TableGrid1">
    <w:name w:val="Table Grid 1"/>
    <w:basedOn w:val="TableNormal"/>
    <w:semiHidden/>
    <w:rsid w:val="00371C1C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371C1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HR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</Template>
  <TotalTime>0</TotalTime>
  <Pages>3</Pages>
  <Words>692</Words>
  <Characters>3809</Characters>
  <Application>Microsoft Office Word</Application>
  <DocSecurity>4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HRI/MC/2011/1</vt:lpstr>
    </vt:vector>
  </TitlesOfParts>
  <Company>Corinne</Company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HRI/MC/2011/1</dc:title>
  <dc:subject/>
  <dc:creator>e.bourion</dc:creator>
  <cp:keywords/>
  <dc:description/>
  <cp:lastModifiedBy>e.bourion</cp:lastModifiedBy>
  <cp:revision>2</cp:revision>
  <cp:lastPrinted>2011-05-25T12:24:00Z</cp:lastPrinted>
  <dcterms:created xsi:type="dcterms:W3CDTF">2011-05-25T12:41:00Z</dcterms:created>
  <dcterms:modified xsi:type="dcterms:W3CDTF">2011-05-25T12:41:00Z</dcterms:modified>
</cp:coreProperties>
</file>