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B81DF4" w14:textId="77777777" w:rsidTr="006E27AD">
        <w:trPr>
          <w:trHeight w:hRule="exact" w:val="851"/>
        </w:trPr>
        <w:tc>
          <w:tcPr>
            <w:tcW w:w="1276" w:type="dxa"/>
            <w:tcBorders>
              <w:bottom w:val="single" w:sz="4" w:space="0" w:color="auto"/>
            </w:tcBorders>
          </w:tcPr>
          <w:p w14:paraId="55BA7632" w14:textId="77777777" w:rsidR="002D5AAC" w:rsidRDefault="002D5AAC" w:rsidP="00C55AF8">
            <w:pPr>
              <w:kinsoku w:val="0"/>
              <w:overflowPunct w:val="0"/>
              <w:autoSpaceDE w:val="0"/>
              <w:autoSpaceDN w:val="0"/>
              <w:adjustRightInd w:val="0"/>
              <w:snapToGrid w:val="0"/>
            </w:pPr>
          </w:p>
        </w:tc>
        <w:tc>
          <w:tcPr>
            <w:tcW w:w="2268" w:type="dxa"/>
            <w:tcBorders>
              <w:bottom w:val="single" w:sz="4" w:space="0" w:color="auto"/>
            </w:tcBorders>
            <w:vAlign w:val="bottom"/>
          </w:tcPr>
          <w:p w14:paraId="6D555086"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CFF2840" w14:textId="3C1CE55A" w:rsidR="002D5AAC" w:rsidRDefault="00C55AF8" w:rsidP="00C55AF8">
            <w:pPr>
              <w:jc w:val="right"/>
            </w:pPr>
            <w:r w:rsidRPr="00C55AF8">
              <w:rPr>
                <w:sz w:val="40"/>
              </w:rPr>
              <w:t>E</w:t>
            </w:r>
            <w:r>
              <w:t>/C.12/SLE/1</w:t>
            </w:r>
          </w:p>
        </w:tc>
      </w:tr>
      <w:tr w:rsidR="002D5AAC" w14:paraId="2589253A" w14:textId="77777777" w:rsidTr="006E27AD">
        <w:trPr>
          <w:trHeight w:hRule="exact" w:val="2835"/>
        </w:trPr>
        <w:tc>
          <w:tcPr>
            <w:tcW w:w="1276" w:type="dxa"/>
            <w:tcBorders>
              <w:top w:val="single" w:sz="4" w:space="0" w:color="auto"/>
              <w:bottom w:val="single" w:sz="12" w:space="0" w:color="auto"/>
            </w:tcBorders>
          </w:tcPr>
          <w:p w14:paraId="2961F97A" w14:textId="77777777" w:rsidR="002D5AAC" w:rsidRDefault="00DC6544" w:rsidP="006E27AD">
            <w:pPr>
              <w:spacing w:before="120"/>
              <w:jc w:val="center"/>
            </w:pPr>
            <w:r>
              <w:rPr>
                <w:noProof/>
              </w:rPr>
              <w:drawing>
                <wp:inline distT="0" distB="0" distL="0" distR="0" wp14:anchorId="74679A63" wp14:editId="459ACB9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C7D0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C3A7FF2" w14:textId="77777777" w:rsidR="002D5AAC" w:rsidRDefault="00C55AF8" w:rsidP="006E27AD">
            <w:pPr>
              <w:spacing w:before="240"/>
            </w:pPr>
            <w:r>
              <w:t>Distr. general</w:t>
            </w:r>
          </w:p>
          <w:p w14:paraId="70C0C12B" w14:textId="77777777" w:rsidR="00C55AF8" w:rsidRDefault="00C55AF8" w:rsidP="00C55AF8">
            <w:pPr>
              <w:spacing w:line="240" w:lineRule="exact"/>
            </w:pPr>
            <w:r>
              <w:t>2 de mayo de 2023</w:t>
            </w:r>
          </w:p>
          <w:p w14:paraId="602959C1" w14:textId="77777777" w:rsidR="00C55AF8" w:rsidRDefault="00C55AF8" w:rsidP="00C55AF8">
            <w:pPr>
              <w:spacing w:line="240" w:lineRule="exact"/>
            </w:pPr>
            <w:r>
              <w:t>Español</w:t>
            </w:r>
          </w:p>
          <w:p w14:paraId="2A449EB4" w14:textId="3F0B4F06" w:rsidR="00C55AF8" w:rsidRDefault="00C55AF8" w:rsidP="00C55AF8">
            <w:pPr>
              <w:spacing w:line="240" w:lineRule="exact"/>
            </w:pPr>
            <w:r>
              <w:t>Original: inglés</w:t>
            </w:r>
            <w:r>
              <w:br/>
              <w:t>Español, francés e inglés únicamente</w:t>
            </w:r>
          </w:p>
        </w:tc>
      </w:tr>
    </w:tbl>
    <w:p w14:paraId="3668C122" w14:textId="77777777" w:rsidR="00B70A36" w:rsidRPr="00CB0024" w:rsidRDefault="00B70A36" w:rsidP="00CB0024">
      <w:pPr>
        <w:spacing w:before="120"/>
        <w:rPr>
          <w:b/>
          <w:sz w:val="24"/>
          <w:szCs w:val="24"/>
        </w:rPr>
      </w:pPr>
      <w:r w:rsidRPr="00CB0024">
        <w:rPr>
          <w:b/>
          <w:bCs/>
          <w:sz w:val="24"/>
          <w:szCs w:val="24"/>
        </w:rPr>
        <w:t>Comité de Derechos Económicos, Sociales y Culturales</w:t>
      </w:r>
    </w:p>
    <w:p w14:paraId="6BC5F929" w14:textId="2DC2AA23" w:rsidR="00B70A36" w:rsidRPr="00F7488A" w:rsidRDefault="00B70A36" w:rsidP="00CB0024">
      <w:pPr>
        <w:pStyle w:val="HMG"/>
      </w:pPr>
      <w:r>
        <w:tab/>
      </w:r>
      <w:r w:rsidR="00CB0024">
        <w:tab/>
      </w:r>
      <w:r w:rsidRPr="00F7488A">
        <w:t>Informe inicial que Sierra Leona debía presentar</w:t>
      </w:r>
      <w:r w:rsidR="00CB0024">
        <w:t> </w:t>
      </w:r>
      <w:r w:rsidRPr="00F7488A">
        <w:t>en 1998 en virtud de los artículos</w:t>
      </w:r>
      <w:r w:rsidR="00CB0024">
        <w:t> </w:t>
      </w:r>
      <w:r w:rsidRPr="00F7488A">
        <w:t>16</w:t>
      </w:r>
      <w:r w:rsidR="00CB0024">
        <w:t> </w:t>
      </w:r>
      <w:r w:rsidRPr="00F7488A">
        <w:t>y</w:t>
      </w:r>
      <w:r w:rsidR="00CB0024">
        <w:t> </w:t>
      </w:r>
      <w:r w:rsidRPr="00F7488A">
        <w:t>17</w:t>
      </w:r>
      <w:r w:rsidR="00CB0024">
        <w:t> </w:t>
      </w:r>
      <w:r w:rsidRPr="00F7488A">
        <w:t>del Pacto</w:t>
      </w:r>
      <w:r w:rsidRPr="00CB0024">
        <w:rPr>
          <w:b w:val="0"/>
          <w:bCs/>
          <w:sz w:val="20"/>
          <w:szCs w:val="10"/>
        </w:rPr>
        <w:footnoteReference w:customMarkFollows="1" w:id="1"/>
        <w:t>*</w:t>
      </w:r>
    </w:p>
    <w:p w14:paraId="24F4827F" w14:textId="77777777" w:rsidR="00B70A36" w:rsidRPr="00F7488A" w:rsidRDefault="00B70A36" w:rsidP="00CB0024">
      <w:pPr>
        <w:pStyle w:val="SingleTxtG"/>
        <w:jc w:val="right"/>
      </w:pPr>
      <w:r w:rsidRPr="00F7488A">
        <w:t>[Fecha de recepción: 15 de marzo de 2023]</w:t>
      </w:r>
    </w:p>
    <w:p w14:paraId="533F0B7E" w14:textId="77777777" w:rsidR="00B70A36" w:rsidRPr="00F7488A" w:rsidRDefault="00B70A36" w:rsidP="00B70A36">
      <w:pPr>
        <w:rPr>
          <w:rFonts w:eastAsiaTheme="minorHAnsi"/>
        </w:rPr>
      </w:pPr>
      <w:r w:rsidRPr="00F7488A">
        <w:br w:type="page"/>
      </w:r>
    </w:p>
    <w:p w14:paraId="1959A562" w14:textId="6BE903FA" w:rsidR="00CB0024" w:rsidRDefault="00CB0024" w:rsidP="00CB0024">
      <w:pPr>
        <w:spacing w:after="120"/>
        <w:rPr>
          <w:sz w:val="28"/>
        </w:rPr>
      </w:pPr>
      <w:r>
        <w:rPr>
          <w:sz w:val="28"/>
        </w:rPr>
        <w:lastRenderedPageBreak/>
        <w:t>Índice</w:t>
      </w:r>
    </w:p>
    <w:p w14:paraId="654A7DD6" w14:textId="714C0512" w:rsidR="00CB0024" w:rsidRDefault="00CB0024" w:rsidP="00CB0024">
      <w:pPr>
        <w:tabs>
          <w:tab w:val="right" w:pos="9638"/>
        </w:tabs>
        <w:spacing w:after="120"/>
        <w:ind w:left="283"/>
        <w:rPr>
          <w:sz w:val="18"/>
        </w:rPr>
      </w:pPr>
      <w:r>
        <w:rPr>
          <w:i/>
          <w:sz w:val="18"/>
        </w:rPr>
        <w:tab/>
        <w:t>Página</w:t>
      </w:r>
    </w:p>
    <w:p w14:paraId="00130689" w14:textId="77777777" w:rsidR="00302E5D" w:rsidRPr="00F7488A" w:rsidRDefault="00302E5D" w:rsidP="00302E5D">
      <w:pPr>
        <w:tabs>
          <w:tab w:val="right" w:pos="850"/>
          <w:tab w:val="left" w:pos="1134"/>
          <w:tab w:val="left" w:pos="1559"/>
          <w:tab w:val="left" w:pos="1984"/>
          <w:tab w:val="left" w:leader="dot" w:pos="8787"/>
          <w:tab w:val="right" w:pos="9638"/>
        </w:tabs>
        <w:spacing w:after="120"/>
      </w:pPr>
      <w:r>
        <w:tab/>
      </w:r>
      <w:r>
        <w:tab/>
      </w:r>
      <w:r w:rsidRPr="00F7488A">
        <w:t>Marco y visión general del sistema nacional</w:t>
      </w:r>
      <w:r>
        <w:rPr>
          <w:webHidden/>
        </w:rPr>
        <w:tab/>
      </w:r>
      <w:r>
        <w:rPr>
          <w:webHidden/>
        </w:rPr>
        <w:tab/>
      </w:r>
      <w:r w:rsidRPr="00F7488A">
        <w:rPr>
          <w:webHidden/>
        </w:rPr>
        <w:t>3</w:t>
      </w:r>
    </w:p>
    <w:p w14:paraId="74EE614D" w14:textId="77777777" w:rsidR="00302E5D" w:rsidRPr="00F7488A" w:rsidRDefault="00302E5D" w:rsidP="00302E5D">
      <w:pPr>
        <w:tabs>
          <w:tab w:val="right" w:pos="850"/>
          <w:tab w:val="left" w:pos="1134"/>
          <w:tab w:val="left" w:pos="1559"/>
          <w:tab w:val="left" w:leader="dot" w:pos="8787"/>
          <w:tab w:val="right" w:pos="9638"/>
        </w:tabs>
        <w:spacing w:after="120"/>
        <w:ind w:left="1134"/>
      </w:pPr>
      <w:r w:rsidRPr="00F7488A">
        <w:t>Situación de los derechos económicos, sociales y culturales en el ordenamiento jurídico</w:t>
      </w:r>
      <w:r>
        <w:br/>
      </w:r>
      <w:r w:rsidRPr="00F7488A">
        <w:t>nacional</w:t>
      </w:r>
      <w:r>
        <w:rPr>
          <w:webHidden/>
        </w:rPr>
        <w:tab/>
      </w:r>
      <w:r>
        <w:rPr>
          <w:webHidden/>
        </w:rPr>
        <w:tab/>
      </w:r>
      <w:r w:rsidRPr="00F7488A">
        <w:rPr>
          <w:webHidden/>
        </w:rPr>
        <w:t>4</w:t>
      </w:r>
    </w:p>
    <w:p w14:paraId="7817B544" w14:textId="77777777" w:rsidR="00302E5D" w:rsidRPr="00F7488A" w:rsidRDefault="00302E5D" w:rsidP="00302E5D">
      <w:pPr>
        <w:tabs>
          <w:tab w:val="right" w:pos="850"/>
          <w:tab w:val="left" w:pos="1134"/>
          <w:tab w:val="left" w:pos="1559"/>
          <w:tab w:val="left" w:pos="1984"/>
          <w:tab w:val="left" w:leader="dot" w:pos="8787"/>
          <w:tab w:val="right" w:pos="9638"/>
        </w:tabs>
        <w:spacing w:after="120"/>
      </w:pPr>
      <w:r>
        <w:tab/>
      </w:r>
      <w:r>
        <w:tab/>
      </w:r>
      <w:r w:rsidRPr="00F7488A">
        <w:t>Legislación nacional para la protección de los derechos económicos, sociales y culturales</w:t>
      </w:r>
      <w:r>
        <w:rPr>
          <w:webHidden/>
        </w:rPr>
        <w:tab/>
      </w:r>
      <w:r>
        <w:rPr>
          <w:webHidden/>
        </w:rPr>
        <w:tab/>
      </w:r>
      <w:r w:rsidRPr="00F7488A">
        <w:rPr>
          <w:webHidden/>
        </w:rPr>
        <w:t>5</w:t>
      </w:r>
    </w:p>
    <w:p w14:paraId="4091E7B7" w14:textId="77777777" w:rsidR="00302E5D" w:rsidRPr="00F7488A" w:rsidRDefault="00302E5D" w:rsidP="00302E5D">
      <w:pPr>
        <w:tabs>
          <w:tab w:val="right" w:pos="850"/>
          <w:tab w:val="left" w:pos="1134"/>
          <w:tab w:val="left" w:pos="1559"/>
          <w:tab w:val="left" w:pos="1984"/>
          <w:tab w:val="left" w:leader="dot" w:pos="8787"/>
          <w:tab w:val="right" w:pos="9638"/>
        </w:tabs>
        <w:spacing w:after="120"/>
      </w:pPr>
      <w:r>
        <w:tab/>
      </w:r>
      <w:r>
        <w:tab/>
      </w:r>
      <w:r w:rsidRPr="00F7488A">
        <w:t>Derechos económicos, sociales y culturales específicos</w:t>
      </w:r>
      <w:r>
        <w:rPr>
          <w:webHidden/>
        </w:rPr>
        <w:tab/>
      </w:r>
      <w:r>
        <w:rPr>
          <w:webHidden/>
        </w:rPr>
        <w:tab/>
      </w:r>
      <w:r w:rsidRPr="00F7488A">
        <w:rPr>
          <w:webHidden/>
        </w:rPr>
        <w:t>7</w:t>
      </w:r>
    </w:p>
    <w:p w14:paraId="669E21CD"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1</w:t>
      </w:r>
      <w:r>
        <w:t>.</w:t>
      </w:r>
      <w:r w:rsidRPr="00F7488A">
        <w:t xml:space="preserve"> Derecho a la libre determinación</w:t>
      </w:r>
      <w:r>
        <w:rPr>
          <w:webHidden/>
        </w:rPr>
        <w:tab/>
      </w:r>
      <w:r>
        <w:rPr>
          <w:webHidden/>
        </w:rPr>
        <w:tab/>
      </w:r>
      <w:r w:rsidRPr="00F7488A">
        <w:rPr>
          <w:webHidden/>
        </w:rPr>
        <w:t>7</w:t>
      </w:r>
    </w:p>
    <w:p w14:paraId="5B839082"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2, párrafo 2</w:t>
      </w:r>
      <w:r>
        <w:t>.</w:t>
      </w:r>
      <w:r w:rsidRPr="00F7488A">
        <w:t xml:space="preserve"> Logro progresivo de la efectividad de los derechos consagrados</w:t>
      </w:r>
      <w:r>
        <w:br/>
      </w:r>
      <w:r w:rsidRPr="00F7488A">
        <w:t>en el Pacto y no discriminación</w:t>
      </w:r>
      <w:r>
        <w:rPr>
          <w:webHidden/>
        </w:rPr>
        <w:tab/>
      </w:r>
      <w:r>
        <w:rPr>
          <w:webHidden/>
        </w:rPr>
        <w:tab/>
        <w:t>9</w:t>
      </w:r>
    </w:p>
    <w:p w14:paraId="614BBFAA"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3</w:t>
      </w:r>
      <w:r>
        <w:t>.</w:t>
      </w:r>
      <w:r w:rsidRPr="00F7488A">
        <w:t xml:space="preserve"> Igualdad de género y no discriminación</w:t>
      </w:r>
      <w:r>
        <w:rPr>
          <w:webHidden/>
        </w:rPr>
        <w:tab/>
      </w:r>
      <w:r>
        <w:rPr>
          <w:webHidden/>
        </w:rPr>
        <w:tab/>
        <w:t>10</w:t>
      </w:r>
    </w:p>
    <w:p w14:paraId="3204C0F0"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Artículos 4 y 5</w:t>
      </w:r>
      <w:r>
        <w:t>.</w:t>
      </w:r>
      <w:r w:rsidRPr="00F7488A">
        <w:t xml:space="preserve"> Suspensión, restricciones o limitaciones de los derechos económicos,</w:t>
      </w:r>
      <w:r>
        <w:br/>
      </w:r>
      <w:r w:rsidRPr="00F7488A">
        <w:t>sociales y culturales</w:t>
      </w:r>
      <w:r>
        <w:rPr>
          <w:webHidden/>
        </w:rPr>
        <w:tab/>
      </w:r>
      <w:r>
        <w:rPr>
          <w:webHidden/>
        </w:rPr>
        <w:tab/>
        <w:t>16</w:t>
      </w:r>
    </w:p>
    <w:p w14:paraId="7B6A8B67"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6</w:t>
      </w:r>
      <w:r>
        <w:t>.</w:t>
      </w:r>
      <w:r w:rsidRPr="00F7488A">
        <w:t xml:space="preserve"> Derecho al trabajo</w:t>
      </w:r>
      <w:r>
        <w:rPr>
          <w:webHidden/>
        </w:rPr>
        <w:tab/>
      </w:r>
      <w:r>
        <w:rPr>
          <w:webHidden/>
        </w:rPr>
        <w:tab/>
        <w:t>16</w:t>
      </w:r>
    </w:p>
    <w:p w14:paraId="4172F4EA"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w:t>
      </w:r>
      <w:r>
        <w:t xml:space="preserve"> </w:t>
      </w:r>
      <w:r w:rsidRPr="00F7488A">
        <w:t>7</w:t>
      </w:r>
      <w:r>
        <w:t>.</w:t>
      </w:r>
      <w:r w:rsidRPr="00F7488A">
        <w:t xml:space="preserve"> Derecho a condiciones equitativas y satisfactorias de trabajo</w:t>
      </w:r>
      <w:r>
        <w:rPr>
          <w:webHidden/>
        </w:rPr>
        <w:tab/>
      </w:r>
      <w:r>
        <w:rPr>
          <w:webHidden/>
        </w:rPr>
        <w:tab/>
        <w:t>18</w:t>
      </w:r>
    </w:p>
    <w:p w14:paraId="722A90A4"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8</w:t>
      </w:r>
      <w:r>
        <w:t>.</w:t>
      </w:r>
      <w:r w:rsidRPr="00F7488A">
        <w:t xml:space="preserve"> Derecho a fundar sindicatos</w:t>
      </w:r>
      <w:r>
        <w:rPr>
          <w:webHidden/>
        </w:rPr>
        <w:tab/>
      </w:r>
      <w:r>
        <w:rPr>
          <w:webHidden/>
        </w:rPr>
        <w:tab/>
        <w:t>19</w:t>
      </w:r>
    </w:p>
    <w:p w14:paraId="65FBE966"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9</w:t>
      </w:r>
      <w:r>
        <w:t>.</w:t>
      </w:r>
      <w:r w:rsidRPr="00F7488A">
        <w:t xml:space="preserve"> Derecho a la seguridad social</w:t>
      </w:r>
      <w:r>
        <w:rPr>
          <w:webHidden/>
        </w:rPr>
        <w:tab/>
      </w:r>
      <w:r>
        <w:rPr>
          <w:webHidden/>
        </w:rPr>
        <w:tab/>
        <w:t>21</w:t>
      </w:r>
    </w:p>
    <w:p w14:paraId="0C35D7C8"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10</w:t>
      </w:r>
      <w:r>
        <w:t>.</w:t>
      </w:r>
      <w:r w:rsidRPr="00F7488A">
        <w:t xml:space="preserve"> Derecho a la vida familiar</w:t>
      </w:r>
      <w:r>
        <w:rPr>
          <w:webHidden/>
        </w:rPr>
        <w:tab/>
      </w:r>
      <w:r>
        <w:rPr>
          <w:webHidden/>
        </w:rPr>
        <w:tab/>
        <w:t>26</w:t>
      </w:r>
    </w:p>
    <w:p w14:paraId="08A3D273"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11</w:t>
      </w:r>
      <w:r>
        <w:t>.</w:t>
      </w:r>
      <w:r w:rsidRPr="00F7488A">
        <w:t xml:space="preserve"> Derecho a un nivel de vida adecuado</w:t>
      </w:r>
      <w:r>
        <w:rPr>
          <w:webHidden/>
        </w:rPr>
        <w:tab/>
      </w:r>
      <w:r>
        <w:rPr>
          <w:webHidden/>
        </w:rPr>
        <w:tab/>
        <w:t>28</w:t>
      </w:r>
    </w:p>
    <w:p w14:paraId="0FCD4180"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12</w:t>
      </w:r>
      <w:r>
        <w:t>.</w:t>
      </w:r>
      <w:r w:rsidRPr="00F7488A">
        <w:t xml:space="preserve"> Derecho de toda persona al disfrute del más alto nivel posible de salud </w:t>
      </w:r>
      <w:r>
        <w:br/>
      </w:r>
      <w:r w:rsidRPr="00F7488A">
        <w:t>física</w:t>
      </w:r>
      <w:r>
        <w:t xml:space="preserve"> </w:t>
      </w:r>
      <w:r w:rsidRPr="00F7488A">
        <w:t>y mental</w:t>
      </w:r>
      <w:r>
        <w:rPr>
          <w:webHidden/>
        </w:rPr>
        <w:tab/>
      </w:r>
      <w:r>
        <w:rPr>
          <w:webHidden/>
        </w:rPr>
        <w:tab/>
        <w:t>32</w:t>
      </w:r>
    </w:p>
    <w:p w14:paraId="5056760F"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13</w:t>
      </w:r>
      <w:r>
        <w:t>.</w:t>
      </w:r>
      <w:r w:rsidRPr="00F7488A">
        <w:t xml:space="preserve"> Derecho a la educación</w:t>
      </w:r>
      <w:r>
        <w:rPr>
          <w:webHidden/>
        </w:rPr>
        <w:tab/>
      </w:r>
      <w:r>
        <w:rPr>
          <w:webHidden/>
        </w:rPr>
        <w:tab/>
        <w:t>38</w:t>
      </w:r>
    </w:p>
    <w:p w14:paraId="1FFBFDE2" w14:textId="77777777" w:rsidR="00F35E56" w:rsidRPr="00F7488A" w:rsidRDefault="00F35E56" w:rsidP="00F35E56">
      <w:pPr>
        <w:tabs>
          <w:tab w:val="right" w:pos="850"/>
          <w:tab w:val="left" w:pos="1134"/>
          <w:tab w:val="left" w:pos="1559"/>
          <w:tab w:val="left" w:pos="1984"/>
          <w:tab w:val="left" w:leader="dot" w:pos="8787"/>
          <w:tab w:val="right" w:pos="9638"/>
        </w:tabs>
        <w:spacing w:after="120"/>
        <w:ind w:left="1559"/>
      </w:pPr>
      <w:r w:rsidRPr="00F7488A">
        <w:t>Artículo 15</w:t>
      </w:r>
      <w:r>
        <w:t>.</w:t>
      </w:r>
      <w:r w:rsidRPr="00F7488A">
        <w:t xml:space="preserve"> Derecho a participar en la vida cultural</w:t>
      </w:r>
      <w:r>
        <w:rPr>
          <w:webHidden/>
        </w:rPr>
        <w:tab/>
      </w:r>
      <w:r>
        <w:rPr>
          <w:webHidden/>
        </w:rPr>
        <w:tab/>
        <w:t>42</w:t>
      </w:r>
    </w:p>
    <w:p w14:paraId="733E786C" w14:textId="77777777" w:rsidR="00B70A36" w:rsidRPr="00F7488A" w:rsidRDefault="00B70A36" w:rsidP="00B70A36">
      <w:pPr>
        <w:rPr>
          <w:rFonts w:eastAsiaTheme="minorHAnsi"/>
          <w:b/>
        </w:rPr>
      </w:pPr>
      <w:r w:rsidRPr="00F7488A">
        <w:br w:type="page"/>
      </w:r>
    </w:p>
    <w:p w14:paraId="3E9ECEB5" w14:textId="33513FA2" w:rsidR="00B70A36" w:rsidRPr="00F7488A" w:rsidRDefault="00B70A36" w:rsidP="00372CF7">
      <w:pPr>
        <w:pStyle w:val="H1G"/>
      </w:pPr>
      <w:r>
        <w:tab/>
      </w:r>
      <w:r w:rsidR="00372CF7">
        <w:tab/>
      </w:r>
      <w:r w:rsidRPr="00F7488A">
        <w:t>Marco y visión general del sistema nacional</w:t>
      </w:r>
      <w:bookmarkStart w:id="0" w:name="_Toc133854424"/>
      <w:bookmarkEnd w:id="0"/>
    </w:p>
    <w:p w14:paraId="6D6CB8D0" w14:textId="77777777" w:rsidR="00B70A36" w:rsidRPr="00F7488A" w:rsidRDefault="00B70A36" w:rsidP="00372CF7">
      <w:pPr>
        <w:pStyle w:val="SingleTxtG"/>
      </w:pPr>
      <w:r w:rsidRPr="00F7488A">
        <w:t>1.</w:t>
      </w:r>
      <w:r w:rsidRPr="00F7488A">
        <w:tab/>
        <w:t>Sierra Leona es un Estado soberano situado en la costa occidental de África con sus fronteras delimitadas con arreglo al Primer Anexo de la Constitución de Sierra Leona, Ley núm. 6 de 1991, y limita al nordeste con la República de Guinea, al sudeste con la República de Liberia y al oeste con el océano Atlántico.</w:t>
      </w:r>
    </w:p>
    <w:p w14:paraId="7EFAF334" w14:textId="77777777" w:rsidR="00B70A36" w:rsidRPr="00F7488A" w:rsidRDefault="00B70A36" w:rsidP="00372CF7">
      <w:pPr>
        <w:pStyle w:val="SingleTxtG"/>
      </w:pPr>
      <w:r w:rsidRPr="00F7488A">
        <w:t>2.</w:t>
      </w:r>
      <w:r w:rsidRPr="00F7488A">
        <w:tab/>
        <w:t>Antes de lograr la independencia política el 27 de abril de 1961, fue una colonia de la Corona Británica y un protectorado bajo dominio británico que duró desde 1808 y 1896, respectivamente, hasta 1961, cuando se convirtió en un Estado soberano miembro de organizaciones como las Naciones Unidas, la Unión Africana, la Comunidad Económica de los Estados de África Occidental, la Unión del Río Mano y el Commonwealth, entre otras. Durante la época colonial, el país estaba influenciado por una estructura de gobierno a cargo de un ministro occidental para la colonia de la Corona, y el Protectorado se regía por las leyes locales o el derecho consuetudinario bajo los auspicios de los dirigentes tradicionales.</w:t>
      </w:r>
    </w:p>
    <w:p w14:paraId="7C51049A" w14:textId="6CD1400E" w:rsidR="00B70A36" w:rsidRPr="00F7488A" w:rsidRDefault="00B70A36" w:rsidP="00372CF7">
      <w:pPr>
        <w:pStyle w:val="SingleTxtG"/>
      </w:pPr>
      <w:r w:rsidRPr="00F7488A">
        <w:t>3.</w:t>
      </w:r>
      <w:r w:rsidRPr="00F7488A">
        <w:tab/>
        <w:t xml:space="preserve">El país tiene 5 regiones administrativas, 16 distritos y 17 grupos étnicos que viven en diferentes localidades en todo el país, con Freetown como capital, que sirve de crisol para todos los grupos étnicos y regionales. El Censo de Población y Vivienda de 2015 situó la población en menos de </w:t>
      </w:r>
      <w:r w:rsidR="00111D2C">
        <w:t>8</w:t>
      </w:r>
      <w:r w:rsidRPr="00F7488A">
        <w:t xml:space="preserve"> millones de personas. Los sierraleoneses han convivido con prácticas culturales y religiosas similares y, en algunos casos, diferentes, con una población musulmana que ha aumentado hasta el 78 %, seguida de un porcentaje moderado de población cristiana que se sitúa en el 21% y un pequeño porcentaje de ciudadanos, el 1%, que practica la religión tradicional</w:t>
      </w:r>
      <w:r w:rsidRPr="00F7488A">
        <w:rPr>
          <w:rStyle w:val="Refdenotaalpie"/>
        </w:rPr>
        <w:footnoteReference w:id="2"/>
      </w:r>
      <w:r w:rsidRPr="00F7488A">
        <w:t>. Hay que reconocer que Sierra Leona sigue disfrutando de una situación de tolerancia religiosa. Las tensiones étnicas no son habituales, y en el país se celebran matrimonios mixtos entre los diversos grupos étnicos o tribales.</w:t>
      </w:r>
    </w:p>
    <w:p w14:paraId="4B2A8BBE" w14:textId="77777777" w:rsidR="00B70A36" w:rsidRPr="00F7488A" w:rsidRDefault="00B70A36" w:rsidP="00372CF7">
      <w:pPr>
        <w:pStyle w:val="SingleTxtG"/>
      </w:pPr>
      <w:r w:rsidRPr="00F7488A">
        <w:t>4.</w:t>
      </w:r>
      <w:r w:rsidRPr="00F7488A">
        <w:tab/>
        <w:t>A pesar de los retos que plantea el desarrollo económico, ya que se trata de una economía impulsada principalmente por los donantes, Sierra Leona es un país rico en recursos, con acceso a varios minerales y recursos naturales, además de recursos marinos y agrícolas. El país es conocido por sus diamantes, oro, bauxita y rutilo, y posee uno de los mayores yacimientos de mineral de hierro. Muchos de sus habitantes se dedican a la agricultura de subsistencia, y la mayoría trabaja en el sector informal. En 2019</w:t>
      </w:r>
      <w:r w:rsidRPr="00F7488A">
        <w:rPr>
          <w:rStyle w:val="Refdenotaalpie"/>
        </w:rPr>
        <w:footnoteReference w:id="3"/>
      </w:r>
      <w:r w:rsidRPr="00F7488A">
        <w:t>, por ejemplo, la economía creció un 5,4 %, lo que supuso una fuerte recuperación respecto de 2018. Esta recuperación se debió principalmente a la aplicación del Programa Presidencial de Prioridades de Recuperación, el fortalecimiento de la Comisión Anticorrupción, la puesta en marcha de la Cuenta Única del Tesoro y el apoyo a los sectores de gobernanza tras las elecciones de 2018. Otro factor que contribuyó al crecimiento del PIB en 2019 fue el crecimiento de los sectores agrícola e industrial. La contracción de la economía en 2020 debido a la pandemia de COVID-19 está mejorando en 2021, con un enorme potencial de crecimiento.</w:t>
      </w:r>
    </w:p>
    <w:p w14:paraId="3A3FE558" w14:textId="77540202" w:rsidR="00B70A36" w:rsidRPr="00F7488A" w:rsidRDefault="00B70A36" w:rsidP="00372CF7">
      <w:pPr>
        <w:pStyle w:val="SingleTxtG"/>
      </w:pPr>
      <w:r w:rsidRPr="00F7488A">
        <w:t>5.</w:t>
      </w:r>
      <w:r w:rsidRPr="00F7488A">
        <w:tab/>
        <w:t>Desde su pasado colonial, Sierra Leona ha experimentado con un sistema de gobierno democrático liberal con influencia de las potencias coloniales, el Reino Unido de Gran Bretaña e Irlanda del Norte, y de Occidente, en particular de los Estados Unidos de América, con un gobierno presidencial tras un período limitado de gobierno parlamentario. Antes del actual sistema de gobierno de democracia multipartidista, en Sierra Leona hubo un estado unipartidista, además de diferentes épocas con regímenes militares a lo largo de los últimos 60 años de independencia política. Cabe señalar que Sierra Leona también sufrió una guerra civil entre 1991 y 2002, con repercusiones evidentes en el desarrollo nacional. A pesar de la enorme devastación, la guerra llegó a su fin gracias a un acuerdo negociado en el que los principales responsables fueron juzgados y condenados por el Tribunal Especial para Sierra</w:t>
      </w:r>
      <w:r w:rsidR="00111D2C">
        <w:t> </w:t>
      </w:r>
      <w:r w:rsidRPr="00F7488A">
        <w:t xml:space="preserve">Leona, que fue creado en 2002. En 2000 también se creó la Comisión de la Verdad y la Reconciliación mediante una ley parlamentaria, que estuvo en funcionamiento entre 2002 y 2004. El objetivo de la Comisión era establecer </w:t>
      </w:r>
      <w:r w:rsidR="00433C77">
        <w:t>“</w:t>
      </w:r>
      <w:r w:rsidRPr="00F7488A">
        <w:t>un registro histórico imparcial de las violaciones y los abusos de los derechos humanos y del derecho internacional humanitario relacionados con el conflicto armado en Sierra Leona desde el comienzo del conflicto en</w:t>
      </w:r>
      <w:r w:rsidR="00372CF7">
        <w:t> </w:t>
      </w:r>
      <w:r w:rsidRPr="00F7488A">
        <w:t>1991 hasta la firma del Acuerdo de Paz de Lomé</w:t>
      </w:r>
      <w:r w:rsidR="00433C77">
        <w:t>”</w:t>
      </w:r>
      <w:r w:rsidRPr="00F7488A">
        <w:t>; y hacer frente a la impunidad, responder a las necesidades de las víctimas, promover la curación y la reconciliación y evitar que se repitan las violaciones y abusos sufridos</w:t>
      </w:r>
      <w:r w:rsidR="00433C77">
        <w:t>”</w:t>
      </w:r>
      <w:r w:rsidRPr="00F7488A">
        <w:t>. Anteriormente, entre 1998 y 2002, cuando la guerra terminó formalmente, se puso en marcha el Programa de Desarme, Desmovilización y Reintegración</w:t>
      </w:r>
      <w:r w:rsidR="00111D2C">
        <w:t xml:space="preserve"> </w:t>
      </w:r>
      <w:r w:rsidRPr="00F7488A">
        <w:t>para que los combatientes volvieran a la vida normal en las distintas sociedades del país.</w:t>
      </w:r>
    </w:p>
    <w:p w14:paraId="404E3B55" w14:textId="5F5E01B9" w:rsidR="00B70A36" w:rsidRPr="00F7488A" w:rsidRDefault="00B70A36" w:rsidP="00372CF7">
      <w:pPr>
        <w:pStyle w:val="SingleTxtG"/>
      </w:pPr>
      <w:r w:rsidRPr="00F7488A">
        <w:t>6.</w:t>
      </w:r>
      <w:r w:rsidRPr="00F7488A">
        <w:tab/>
        <w:t>Sierra Leona es signataria del Pacto Internacional de Derechos Económicos, Sociales y Culturales, además de otros tratados internacionales de derechos humanos que garantizan los derechos económicos, sociales y culturales</w:t>
      </w:r>
      <w:r w:rsidRPr="00F7488A">
        <w:rPr>
          <w:rStyle w:val="Refdenotaalpie"/>
        </w:rPr>
        <w:footnoteReference w:id="4"/>
      </w:r>
      <w:r w:rsidRPr="00F7488A">
        <w:t xml:space="preserve">. En la Constitución vigente de Sierra Leona, Ley núm. 6 de 1991, el capítulo II trata de los Principios Fundamentales de la Política del Estado, que si bien no son justiciables según dispone el artículo 14, que hace referencia a la mayoría de los derechos económicos, sociales y culturales, en el artículo 4 de la misma Constitución se establece que: </w:t>
      </w:r>
      <w:r w:rsidR="00433C77">
        <w:t>“</w:t>
      </w:r>
      <w:r w:rsidRPr="00F7488A">
        <w:t>Todos los órganos de gobierno y todas las autoridades y personas que ejerzan poderes legislativos, ejecutivos o judiciales observarán y aplicarán las disposiciones del presente capítulo</w:t>
      </w:r>
      <w:r w:rsidR="00433C77">
        <w:t>”</w:t>
      </w:r>
      <w:r w:rsidRPr="00F7488A">
        <w:t>.</w:t>
      </w:r>
    </w:p>
    <w:p w14:paraId="144707F8" w14:textId="77777777" w:rsidR="00B70A36" w:rsidRPr="00F7488A" w:rsidRDefault="00B70A36" w:rsidP="00372CF7">
      <w:pPr>
        <w:pStyle w:val="SingleTxtG"/>
      </w:pPr>
      <w:r w:rsidRPr="00F7488A">
        <w:t>7.</w:t>
      </w:r>
      <w:r w:rsidRPr="00F7488A">
        <w:tab/>
        <w:t>Actualmente, Sierra Leona está aplicando el Plan Nacional de Desarrollo a Medio Plazo 2019-2023, titulado Educación para el Desarrollo, que hace especial hincapié en el desarrollo del capital humano como vía hacia el desarrollo nacional inclusivo y sostenible. Los grupos temáticos de este Plan Nacional están en consonancia con los Objetivos de Desarrollo Sostenible y la agenda de la Unión Africana, lo que permite crear el entorno propicio para lograr estos objetivos aclamados internacionalmente y al mismo tiempo responder a las necesidades de desarrollo del país.</w:t>
      </w:r>
    </w:p>
    <w:p w14:paraId="040971A4" w14:textId="77777777" w:rsidR="00B70A36" w:rsidRPr="00F7488A" w:rsidRDefault="00B70A36" w:rsidP="00372CF7">
      <w:pPr>
        <w:pStyle w:val="SingleTxtG"/>
      </w:pPr>
      <w:r w:rsidRPr="00F7488A">
        <w:t>8.</w:t>
      </w:r>
      <w:r w:rsidRPr="00F7488A">
        <w:tab/>
        <w:t>Cabe destacar que Sierra Leona tiene un enorme potencial turístico con las playas naturales en la península de Freetown y en el país en general. También cuenta con abundantes paisajes verdes con bosques vírgenes, en particular en las tierras altas, además de varios parques y reservas nacionales de animales silvestres con especies únicas de aves y animales, como chimpancés e hipopótamos pigmeos.</w:t>
      </w:r>
    </w:p>
    <w:p w14:paraId="79594B0F" w14:textId="6F352724" w:rsidR="00B70A36" w:rsidRPr="00F7488A" w:rsidRDefault="00372CF7" w:rsidP="00372CF7">
      <w:pPr>
        <w:pStyle w:val="H1G"/>
      </w:pPr>
      <w:r>
        <w:tab/>
      </w:r>
      <w:r w:rsidR="00B70A36">
        <w:tab/>
      </w:r>
      <w:r w:rsidR="00B70A36" w:rsidRPr="00F7488A">
        <w:t>Situación de los derechos económicos, sociales y culturales en el ordenamiento jurídico nacional</w:t>
      </w:r>
      <w:bookmarkStart w:id="1" w:name="_Toc133854425"/>
      <w:bookmarkEnd w:id="1"/>
    </w:p>
    <w:p w14:paraId="71A17E46" w14:textId="77777777" w:rsidR="00B70A36" w:rsidRPr="00F7488A" w:rsidRDefault="00B70A36" w:rsidP="00372CF7">
      <w:pPr>
        <w:pStyle w:val="SingleTxtG"/>
      </w:pPr>
      <w:r w:rsidRPr="00F7488A">
        <w:t>9.</w:t>
      </w:r>
      <w:r w:rsidRPr="00F7488A">
        <w:tab/>
        <w:t>La Constitución nacional de 1991 sitúa los derechos económicos, sociales y culturales en el capítulo II sobre los Principios Fundamentales de la Política del Estado, por lo que son normativos pero no justiciables en el ordenamiento jurídico. Por lo tanto, hay tratados de derechos humanos que el Gobierno de Sierra Leona ha ratificado y que protegen los derechos económicos, sociales y culturales. En particular, la Carta Africana de Derechos Humanos y de los Pueblos, según la cual los derechos económicos, sociales y culturales no solo están garantizados, sino que son exigibles ante los tribunales</w:t>
      </w:r>
      <w:r w:rsidRPr="00F7488A">
        <w:rPr>
          <w:rStyle w:val="Refdenotaalpie"/>
        </w:rPr>
        <w:footnoteReference w:id="5"/>
      </w:r>
      <w:r w:rsidRPr="00F7488A">
        <w:t>. Los otros tratados son el Pacto Internacional de Derechos Económicos, Sociales y Culturales, las disposiciones de la Convención sobre los Derechos de las Personas con Discapacidad, la Convención sobre la Eliminación de Todas las Formas de Discriminación contra la Mujer, la Convención Internacional sobre la Eliminación de Todas las Formas de Discriminación Racial, la Convención sobre los Derechos del Niño y los convenios de la Organización Internacional del Trabajo.</w:t>
      </w:r>
    </w:p>
    <w:p w14:paraId="5B763F23" w14:textId="77777777" w:rsidR="00B70A36" w:rsidRPr="00F7488A" w:rsidRDefault="00B70A36" w:rsidP="00372CF7">
      <w:pPr>
        <w:pStyle w:val="SingleTxtG"/>
      </w:pPr>
      <w:r w:rsidRPr="00F7488A">
        <w:t>10.</w:t>
      </w:r>
      <w:r w:rsidRPr="00F7488A">
        <w:tab/>
        <w:t>En los últimos años, 2008 y 2016, el Comité de Revisión Constitucional ha intentado que algunos derechos económicos, sociales y culturales pasaran a ser justiciables</w:t>
      </w:r>
      <w:r w:rsidRPr="00F7488A">
        <w:rPr>
          <w:rStyle w:val="Refdenotaalpie"/>
        </w:rPr>
        <w:footnoteReference w:id="6"/>
      </w:r>
      <w:r w:rsidRPr="00F7488A">
        <w:t>. En su documento de posición ante el Comité de Revisión de la Constitución de Cowan, la Comisión de Derechos Humanos de Sierra Leona recomendó que los derechos económicos, sociales y culturales debían incluirse ahora en la Constitución, no como objetivos de la política estatal, en particular los derechos a la educación, la salud, la alimentación y el nivel de vida razonable, que respondían a la demanda colectiva de poner fin a la pobreza que había asolado a la nación desde la independencia</w:t>
      </w:r>
      <w:r w:rsidRPr="00F7488A">
        <w:rPr>
          <w:rStyle w:val="Refdenotaalpie"/>
        </w:rPr>
        <w:footnoteReference w:id="7"/>
      </w:r>
      <w:r w:rsidRPr="00F7488A">
        <w:t>. En cuanto a la cuestión de determinar qué derechos económicos, sociales y culturales debían incluirse como derechos humanos, el Comité de Revisión de la Constitución recomendó que se añadieran los derechos relativos a la protección del medio ambiente, la educación, la salud, la alimentación y la vivienda. En 2019, el Gobierno creó un Comité Técnico para estudiar el informe del Comité de Revisión y asesorar al gabinete en consecuencia.</w:t>
      </w:r>
    </w:p>
    <w:p w14:paraId="6260F75B" w14:textId="77777777" w:rsidR="00B70A36" w:rsidRPr="00F7488A" w:rsidRDefault="00B70A36" w:rsidP="00372CF7">
      <w:pPr>
        <w:pStyle w:val="SingleTxtG"/>
      </w:pPr>
      <w:r w:rsidRPr="00F7488A">
        <w:t>11.</w:t>
      </w:r>
      <w:r w:rsidRPr="00F7488A">
        <w:tab/>
        <w:t>En la práctica, el reconocimiento de los derechos económicos, sociales y culturales se basa actualmente en un enfoque temático para los grupos vulnerables específicos a través de la promulgación de la legislación pertinente dirigida al derecho a la educación, el derecho a la salud, el derecho a condiciones equitativas y satisfactorias de trabajo, y el derecho a la alimentación y al agua limpia para los niños, las personas con discapacidad, las mujeres y otros grupos minoritarios.</w:t>
      </w:r>
    </w:p>
    <w:p w14:paraId="3CFE4F80" w14:textId="6E6AC9F0" w:rsidR="00B70A36" w:rsidRPr="00F7488A" w:rsidRDefault="00372CF7" w:rsidP="00372CF7">
      <w:pPr>
        <w:pStyle w:val="H1G"/>
      </w:pPr>
      <w:r>
        <w:tab/>
      </w:r>
      <w:r w:rsidR="00B70A36">
        <w:tab/>
      </w:r>
      <w:r w:rsidR="00B70A36" w:rsidRPr="00F7488A">
        <w:t>Legislación nacional para la protección de los derechos económicos,</w:t>
      </w:r>
      <w:r w:rsidR="00E41BB8">
        <w:t> </w:t>
      </w:r>
      <w:r w:rsidR="00B70A36" w:rsidRPr="00F7488A">
        <w:t>sociales y culturales</w:t>
      </w:r>
      <w:bookmarkStart w:id="2" w:name="_Toc133854426"/>
      <w:bookmarkEnd w:id="2"/>
    </w:p>
    <w:p w14:paraId="033CBB7E" w14:textId="7E9EA9B1" w:rsidR="00B70A36" w:rsidRPr="00F7488A" w:rsidRDefault="00B70A36" w:rsidP="00372CF7">
      <w:pPr>
        <w:pStyle w:val="SingleTxtG"/>
      </w:pPr>
      <w:r w:rsidRPr="00F7488A">
        <w:t>12.</w:t>
      </w:r>
      <w:r w:rsidRPr="00F7488A">
        <w:tab/>
        <w:t>La Ley de Derechos del Niño de 2007 establece en su</w:t>
      </w:r>
      <w:r w:rsidR="00111D2C">
        <w:t xml:space="preserve"> </w:t>
      </w:r>
      <w:r w:rsidRPr="00F7488A">
        <w:t xml:space="preserve">artículo 23, párrafos 1) y 2), lo siguiente: 1) </w:t>
      </w:r>
      <w:r w:rsidR="00433C77">
        <w:t>“</w:t>
      </w:r>
      <w:r w:rsidRPr="00F7488A">
        <w:t>Todo niño tiene derecho a la vida, la supervivencia y el desarrollo en la máxima medida posible</w:t>
      </w:r>
      <w:r w:rsidR="00237FCC">
        <w:t>.</w:t>
      </w:r>
      <w:r w:rsidRPr="00F7488A">
        <w:t xml:space="preserve"> 2) Incumbe a los padres la responsabilidad primordial de prestar apoyo a sus hijos en el disfrute del derecho a que se refiere el párrafo 1), pero podrán contar con la asistencia del Estado en caso de necesidad</w:t>
      </w:r>
      <w:r w:rsidR="00433C77">
        <w:t>”</w:t>
      </w:r>
      <w:r w:rsidRPr="00F7488A">
        <w:t xml:space="preserve">. El artículo 26, párrafos 1) y 2), de la Ley de Derechos del Niño de 2007 establece que: </w:t>
      </w:r>
      <w:r w:rsidR="00433C77">
        <w:t>“</w:t>
      </w:r>
      <w:r w:rsidRPr="00F7488A">
        <w:t>1) Ningún progenitor privará a su hijo de bienestar tanto si: a) los padres del niño están casados o no en el momento del nacimiento del niño, como si b) los padres del niño siguen viviendo juntos o no;</w:t>
      </w:r>
      <w:r w:rsidR="00237FCC">
        <w:t xml:space="preserve">. </w:t>
      </w:r>
      <w:r w:rsidRPr="00F7488A">
        <w:t>2) Todo niño tiene derecho a la vida, la dignidad, el respeto, el ocio, la libertad, la salud, en particular la inmunización contra las enfermedades, y la educación, así como a que sus padres le proporcionen una vivienda</w:t>
      </w:r>
      <w:r w:rsidR="00237FCC">
        <w:t>”</w:t>
      </w:r>
      <w:r w:rsidRPr="00F7488A">
        <w:t>.</w:t>
      </w:r>
    </w:p>
    <w:p w14:paraId="4BF18A05" w14:textId="1F120F48" w:rsidR="00B70A36" w:rsidRPr="00F7488A" w:rsidRDefault="00B70A36" w:rsidP="00372CF7">
      <w:pPr>
        <w:pStyle w:val="SingleTxtG"/>
      </w:pPr>
      <w:r w:rsidRPr="00F7488A">
        <w:t>13.</w:t>
      </w:r>
      <w:r w:rsidRPr="00F7488A">
        <w:tab/>
        <w:t xml:space="preserve">Para proteger esta disposición legislativa, el Estado ha tomado medidas prácticas con la creación de lo que ahora se conoce como el Tribunal de Familia, en virtud del artículo 76 de la Ley de Derechos del Niño de 2007. Este Tribunal dicta órdenes para que los niños que no reciben la debida atención de sus padres vean sus necesidades cubiertas. El artículo 35 establece que: </w:t>
      </w:r>
      <w:r w:rsidR="00433C77">
        <w:t>“</w:t>
      </w:r>
      <w:r w:rsidRPr="00F7488A">
        <w:t>Toda persona que contravenga una disposición de esta Parte incurrirá en un delito, y podrá ser condenada en un procedimiento sumario a una multa de hasta 30 millones de leones o una pena de prisión de hasta dos años, o a ambas cosas</w:t>
      </w:r>
      <w:r w:rsidR="00433C77">
        <w:t>”</w:t>
      </w:r>
      <w:r w:rsidRPr="00F7488A">
        <w:t>. El artículo 38, párrafos</w:t>
      </w:r>
      <w:r w:rsidR="00372CF7">
        <w:t> </w:t>
      </w:r>
      <w:r w:rsidRPr="00F7488A">
        <w:t xml:space="preserve">1) y 4), de la Ley de Derechos del Niño de 2007 establece que: </w:t>
      </w:r>
      <w:r w:rsidR="00433C77">
        <w:t>“</w:t>
      </w:r>
      <w:r w:rsidRPr="00F7488A">
        <w:t>1) Todo trabajador sanitario, docente o trabajador social, así como todos los demás proveedores de servicios gubernamentales y no gubernamentales, cumplirán sus obligaciones para con los niños y las comunidades con diligencia, imparcialidad, sin dejarse influir por intereses personales y sin discriminación, respetando la dignidad y el valor de las personas, y teniendo en cuenta los intereses de los niños a corto y largo plazo</w:t>
      </w:r>
      <w:r w:rsidR="00433C77">
        <w:t>”</w:t>
      </w:r>
      <w:r w:rsidRPr="00F7488A">
        <w:t xml:space="preserve">. </w:t>
      </w:r>
      <w:r w:rsidR="00433C77">
        <w:t>“</w:t>
      </w:r>
      <w:r w:rsidRPr="00F7488A">
        <w:t>4) Todo agente de salud comunitario tendrá el deber de prestar asesoramiento en materia de salud y desarrollo infantil a los adolescentes, los futuros padres y demás padres, teniendo en cuenta la etapa de desarrollo del niño en cuestión</w:t>
      </w:r>
      <w:r w:rsidR="00433C77">
        <w:t>”</w:t>
      </w:r>
      <w:r w:rsidRPr="00F7488A">
        <w:t>.</w:t>
      </w:r>
    </w:p>
    <w:p w14:paraId="0C48B2F8" w14:textId="6634A10D" w:rsidR="00B70A36" w:rsidRPr="00F7488A" w:rsidRDefault="00B70A36" w:rsidP="00372CF7">
      <w:pPr>
        <w:pStyle w:val="SingleTxtG"/>
      </w:pPr>
      <w:r w:rsidRPr="00F7488A">
        <w:t>14.</w:t>
      </w:r>
      <w:r w:rsidRPr="00F7488A">
        <w:tab/>
        <w:t xml:space="preserve">El artículo 40, párrafos 1) y 2), establece el apoyo que el Gobierno central debe prestar directamente a los niños, y dispone lo siguiente : </w:t>
      </w:r>
      <w:r w:rsidR="00433C77">
        <w:t>“</w:t>
      </w:r>
      <w:r w:rsidRPr="00F7488A">
        <w:t>1) El Ministerio pondrá en marcha políticas y programas orientados a los servicios de atención infantil para ayudar a los padres que trabajan a que puedan llevar a cabo su trabajo y otras obligaciones y actividades necesarias relacionadas sin perjudicar innecesariamente el interés superior del niño</w:t>
      </w:r>
      <w:r w:rsidR="007B0721">
        <w:t>.</w:t>
      </w:r>
      <w:r w:rsidRPr="00F7488A">
        <w:t xml:space="preserve"> 2) El Ministerio de Finanzas reservará en un fondo fiduciario, en beneficio de los niños, una parte de los ingresos procedentes de los recursos no renovables, que no utilizará hasta pasados 30 años</w:t>
      </w:r>
      <w:r w:rsidR="00433C77">
        <w:t>”</w:t>
      </w:r>
      <w:r w:rsidRPr="00F7488A">
        <w:t>.</w:t>
      </w:r>
    </w:p>
    <w:p w14:paraId="5C0693B5" w14:textId="18DC153A" w:rsidR="00B70A36" w:rsidRPr="00F7488A" w:rsidRDefault="00B70A36" w:rsidP="00372CF7">
      <w:pPr>
        <w:pStyle w:val="SingleTxtG"/>
        <w:rPr>
          <w:b/>
        </w:rPr>
      </w:pPr>
      <w:r w:rsidRPr="00F7488A">
        <w:t>15.</w:t>
      </w:r>
      <w:r w:rsidRPr="00F7488A">
        <w:tab/>
        <w:t>En cuanto a la Ley de Personas con Discapacidad de 2011, los artículos 14 a 28 de su sección V contemplan el disfrute de los derechos y privilegios que mejoren la situación</w:t>
      </w:r>
      <w:r w:rsidR="007B0721">
        <w:t> </w:t>
      </w:r>
      <w:r w:rsidRPr="00F7488A">
        <w:t>socioeconómica de las personas con discapacidad. Algunos de estos derechos y privilegios</w:t>
      </w:r>
      <w:r w:rsidR="007B0721">
        <w:t xml:space="preserve"> </w:t>
      </w:r>
      <w:r w:rsidRPr="00F7488A">
        <w:t>son:</w:t>
      </w:r>
    </w:p>
    <w:p w14:paraId="035D68C4" w14:textId="0F9D3C46" w:rsidR="00B70A36" w:rsidRPr="00F7488A" w:rsidRDefault="00B70A36" w:rsidP="00372CF7">
      <w:pPr>
        <w:pStyle w:val="Bullet1G"/>
      </w:pPr>
      <w:r w:rsidRPr="00F7488A">
        <w:t>El derecho a la educación gratuita</w:t>
      </w:r>
      <w:r w:rsidR="00372CF7">
        <w:t>.</w:t>
      </w:r>
    </w:p>
    <w:p w14:paraId="3188CACC" w14:textId="00569821" w:rsidR="00B70A36" w:rsidRPr="00F7488A" w:rsidRDefault="00B70A36" w:rsidP="00372CF7">
      <w:pPr>
        <w:pStyle w:val="Bullet1G"/>
      </w:pPr>
      <w:r w:rsidRPr="00F7488A">
        <w:t>La protección contra la discriminación en los centros educativos</w:t>
      </w:r>
      <w:r w:rsidR="00372CF7">
        <w:t>.</w:t>
      </w:r>
    </w:p>
    <w:p w14:paraId="67D8B24C" w14:textId="28383B8B" w:rsidR="00B70A36" w:rsidRPr="00F7488A" w:rsidRDefault="00B70A36" w:rsidP="00372CF7">
      <w:pPr>
        <w:pStyle w:val="Bullet1G"/>
      </w:pPr>
      <w:r w:rsidRPr="00F7488A">
        <w:t>El derecho a la salud y la asistencia médica gratuita</w:t>
      </w:r>
      <w:r w:rsidR="00372CF7">
        <w:t>.</w:t>
      </w:r>
    </w:p>
    <w:p w14:paraId="7F3D04AB" w14:textId="130C83E6" w:rsidR="00B70A36" w:rsidRPr="00F7488A" w:rsidRDefault="00B70A36" w:rsidP="00372CF7">
      <w:pPr>
        <w:pStyle w:val="Bullet1G"/>
      </w:pPr>
      <w:r w:rsidRPr="00F7488A">
        <w:t>El derecho al empleo</w:t>
      </w:r>
      <w:r w:rsidR="00372CF7">
        <w:t>.</w:t>
      </w:r>
    </w:p>
    <w:p w14:paraId="62E90603" w14:textId="6C1387F2" w:rsidR="00B70A36" w:rsidRPr="00F7488A" w:rsidRDefault="00B70A36" w:rsidP="00372CF7">
      <w:pPr>
        <w:pStyle w:val="Bullet1G"/>
      </w:pPr>
      <w:r w:rsidRPr="00F7488A">
        <w:t>La libertad de circulación</w:t>
      </w:r>
      <w:r w:rsidR="00372CF7">
        <w:t>.</w:t>
      </w:r>
    </w:p>
    <w:p w14:paraId="20987E87" w14:textId="4666193E" w:rsidR="00B70A36" w:rsidRPr="00F7488A" w:rsidRDefault="00B70A36" w:rsidP="00372CF7">
      <w:pPr>
        <w:pStyle w:val="Bullet1G"/>
      </w:pPr>
      <w:r w:rsidRPr="00F7488A">
        <w:t>La protección contra la discriminación en el empleo</w:t>
      </w:r>
      <w:r w:rsidR="00372CF7">
        <w:t>.</w:t>
      </w:r>
    </w:p>
    <w:p w14:paraId="153AC7EE" w14:textId="06A1330B" w:rsidR="00B70A36" w:rsidRPr="00F7488A" w:rsidRDefault="00B70A36" w:rsidP="00372CF7">
      <w:pPr>
        <w:pStyle w:val="Bullet1G"/>
      </w:pPr>
      <w:r w:rsidRPr="00F7488A">
        <w:t>La accesibilidad al entorno físico sin barreras</w:t>
      </w:r>
      <w:r w:rsidR="00372CF7">
        <w:t>.</w:t>
      </w:r>
    </w:p>
    <w:p w14:paraId="0B14A27F" w14:textId="5333C59B" w:rsidR="00B70A36" w:rsidRPr="00F7488A" w:rsidRDefault="00B70A36" w:rsidP="00372CF7">
      <w:pPr>
        <w:pStyle w:val="Bullet1G"/>
      </w:pPr>
      <w:r w:rsidRPr="00F7488A">
        <w:t>El derecho de acceso a los locales, servicios y equipamientos públicos</w:t>
      </w:r>
      <w:r w:rsidR="00372CF7">
        <w:t>.</w:t>
      </w:r>
    </w:p>
    <w:p w14:paraId="31AA9BFC" w14:textId="77777777" w:rsidR="00B70A36" w:rsidRPr="00F7488A" w:rsidRDefault="00B70A36" w:rsidP="00372CF7">
      <w:pPr>
        <w:pStyle w:val="Bullet1G"/>
      </w:pPr>
      <w:r w:rsidRPr="00F7488A">
        <w:t>Las instalaciones deportivas y recreativas para las personas con discapacidad.</w:t>
      </w:r>
    </w:p>
    <w:p w14:paraId="792ECEB6" w14:textId="1C1D9DF6" w:rsidR="00B70A36" w:rsidRPr="00F7488A" w:rsidRDefault="00B70A36" w:rsidP="00372CF7">
      <w:pPr>
        <w:pStyle w:val="SingleTxtG"/>
        <w:rPr>
          <w:bCs/>
        </w:rPr>
      </w:pPr>
      <w:r w:rsidRPr="00F7488A">
        <w:t>16.</w:t>
      </w:r>
      <w:r w:rsidRPr="00F7488A">
        <w:tab/>
        <w:t xml:space="preserve">Además, el artículo 3, párrafos 1), 2), 3) y 5), de la Ley de Educación de 2004 protege los derechos educativos. El artículo 1 establece que: </w:t>
      </w:r>
      <w:r w:rsidR="00433C77">
        <w:t>“</w:t>
      </w:r>
      <w:r w:rsidRPr="00F7488A">
        <w:t xml:space="preserve">1) Los </w:t>
      </w:r>
      <w:r w:rsidR="007B0721">
        <w:t>seis</w:t>
      </w:r>
      <w:r w:rsidRPr="00F7488A">
        <w:t xml:space="preserve"> años de educación primaria y los </w:t>
      </w:r>
      <w:r w:rsidR="007B0721">
        <w:t>tres</w:t>
      </w:r>
      <w:r w:rsidRPr="00F7488A">
        <w:t xml:space="preserve"> años de educación secundaria básica previstos en los apartados a) y b) del párrafo</w:t>
      </w:r>
      <w:r w:rsidR="00FB0D89">
        <w:t> </w:t>
      </w:r>
      <w:r w:rsidRPr="00F7488A">
        <w:t>1) del artículo 2 constituirán la educación básica formal en Sierra Leona</w:t>
      </w:r>
      <w:r w:rsidR="007B0721">
        <w:t>”</w:t>
      </w:r>
      <w:r w:rsidRPr="00F7488A">
        <w:t xml:space="preserve">. El párrafo 2) dispone lo siguiente: </w:t>
      </w:r>
      <w:r w:rsidR="00433C77">
        <w:t>“</w:t>
      </w:r>
      <w:r w:rsidRPr="00F7488A">
        <w:t>Todo ciudadano de Sierra Leona tendrá derecho a la educación básica que, en consecuencia, será obligatoria y estará diseñada para: a) facilitar que todos los ciudadanos sepan leer, escribir y contar, y ayudarles a cultivar los conocimientos, habilidades y actitudes que les permitan ganarse bien la vida</w:t>
      </w:r>
      <w:r w:rsidR="00433C77">
        <w:t>”</w:t>
      </w:r>
      <w:r w:rsidR="007B0721">
        <w:t>.</w:t>
      </w:r>
      <w:r w:rsidRPr="00F7488A">
        <w:t xml:space="preserve"> El párrafo 3) establece que la educación básica será gratuita en las escuelas concertadas de educación primaria y secundaria básica, en la medida especificada por el Ministro mediante instrumento legal, y las escuelas privadas no menoscabarán el derecho a la educación básica previsto en el párrafo 2) mediante el cobro de tasas que, en opinión del Ministro, no sean razonables. El párrafo 4) dispone que los padres o tutores que no escolaricen a sus hijos para cursar la educación básica incurrirán en un delito y podrán ser sancionados con una multa de hasta 500.000,00 leones o condenados a una pena de prisión de hasta un año, o a ambas cosas.</w:t>
      </w:r>
    </w:p>
    <w:p w14:paraId="13BD16DA" w14:textId="77777777" w:rsidR="00B70A36" w:rsidRPr="00F7488A" w:rsidRDefault="00B70A36" w:rsidP="00372CF7">
      <w:pPr>
        <w:pStyle w:val="SingleTxtG"/>
      </w:pPr>
      <w:r w:rsidRPr="00F7488A">
        <w:t>17.</w:t>
      </w:r>
      <w:r w:rsidRPr="00F7488A">
        <w:tab/>
        <w:t>Sin embargo, aparte de los litigios del ámbito laboral para los que se creó el Tribunal de lo Laboral, los sierraleoneses y las organizaciones del país aún tienen que poner a prueba al Tribunal Superior en relación con algunos de los derechos económicos, sociales y culturales protegidos por la escasa legislación mencionada, como la Ley de Personas con Discapacidad de 2011, la Ley de Educación de 2004, etc. Los tribunales regionales son estructuras externas a las que se puede recurrir para que el Gobierno cumpla con las obligaciones que le atañen en virtud del Pacto.</w:t>
      </w:r>
    </w:p>
    <w:p w14:paraId="5822710D" w14:textId="33D9CBC5" w:rsidR="00B70A36" w:rsidRPr="00F7488A" w:rsidRDefault="00B70A36" w:rsidP="00372CF7">
      <w:pPr>
        <w:pStyle w:val="SingleTxtG"/>
        <w:rPr>
          <w:vertAlign w:val="superscript"/>
        </w:rPr>
      </w:pPr>
      <w:r w:rsidRPr="00F7488A">
        <w:t>18.</w:t>
      </w:r>
      <w:r w:rsidRPr="00F7488A">
        <w:tab/>
        <w:t>Desde que la Comisión de Derechos Humanos de Sierra Leona entró en funcionamiento en 2007, en el ejercicio de sus competencias cuasijurisdiccionales previstas en el artículo 7, párrafo 2) a), de la Ley de la Comisión de Derechos Humanos de Sierra</w:t>
      </w:r>
      <w:r w:rsidR="007B0721">
        <w:t> </w:t>
      </w:r>
      <w:r w:rsidRPr="00F7488A">
        <w:t xml:space="preserve">Leona (núm. 9) de 2004, ha recibido e investigado denuncias y emitido dictámenes sobre los derechos de los trabajadores. La citada disposición de la Ley faculta a la Comisión para </w:t>
      </w:r>
      <w:r w:rsidR="00433C77">
        <w:t>“</w:t>
      </w:r>
      <w:r w:rsidRPr="00F7488A">
        <w:t>investigar o indagar, de oficio o tras la presentación de la denuncia de cualquier persona, todas las acusaciones de violaciones de los derechos humanos, y emitir informes por escrito al respecto</w:t>
      </w:r>
      <w:r w:rsidR="00433C77">
        <w:t>”</w:t>
      </w:r>
      <w:r w:rsidRPr="00F7488A">
        <w:t>. La Comisión de Derechos Humanos de Sierra Leona ha recibido y tramitado con éxito más de 350 denuncias, y ha llevado a cabo una audiencia pública y una investigación pública sobre los derechos de los trabajadores. Entre sus principales casos de éxito cabe citar la primera audiencia pública de la Comisión en relación con la denuncia presentada por 235 exmilitares de las Fuerzas Armadas de la República de Sierra Leona (RSLAF) en el caso de Blamo Jesse Jackson, y por otros 234 exmilitares contra las RSLAF y el Ministerio de Defensa, que se celebró en agosto de 2011</w:t>
      </w:r>
      <w:r w:rsidRPr="00F7488A">
        <w:rPr>
          <w:rStyle w:val="Refdenotaalpie"/>
        </w:rPr>
        <w:footnoteReference w:id="8"/>
      </w:r>
      <w:r w:rsidRPr="00F7488A">
        <w:t>.</w:t>
      </w:r>
    </w:p>
    <w:p w14:paraId="3C57E0FB" w14:textId="107ED0CB" w:rsidR="00B70A36" w:rsidRPr="00F7488A" w:rsidRDefault="00B70A36" w:rsidP="00372CF7">
      <w:pPr>
        <w:pStyle w:val="SingleTxtG"/>
      </w:pPr>
      <w:r w:rsidRPr="00F7488A">
        <w:t>19.</w:t>
      </w:r>
      <w:r w:rsidRPr="00F7488A">
        <w:tab/>
        <w:t xml:space="preserve">Los denunciantes recurrieron a la Comisión alegando que recibían menos prestaciones que sus homólogos heridos en acción y que se les clasificaba como </w:t>
      </w:r>
      <w:r w:rsidR="00433C77">
        <w:t>“</w:t>
      </w:r>
      <w:r w:rsidRPr="00F7488A">
        <w:t>enfermos crónicos y desequilibrados mentales</w:t>
      </w:r>
      <w:r w:rsidR="00433C77">
        <w:t>”</w:t>
      </w:r>
      <w:r w:rsidRPr="00F7488A">
        <w:t>, lo que era degradante. Alegaban que habían sido objeto de continuas discriminaciones y tratos inhumanos. El asunto fue admitido a trámite y finalmente se celebró una audiencia pública.</w:t>
      </w:r>
    </w:p>
    <w:p w14:paraId="125ECE2F" w14:textId="37D1044E" w:rsidR="00B70A36" w:rsidRPr="00F7488A" w:rsidRDefault="00B70A36" w:rsidP="00372CF7">
      <w:pPr>
        <w:pStyle w:val="SingleTxtG"/>
      </w:pPr>
      <w:r w:rsidRPr="00F7488A">
        <w:t>20.</w:t>
      </w:r>
      <w:r w:rsidRPr="00F7488A">
        <w:tab/>
        <w:t xml:space="preserve">El tribunal falló a favor de los 235 exmilitares y emitió directrices para que las RSLAF y el Ministerio de Defensa remunerasen a los denunciantes con las mismas retribuciones que a los heridos en acción de las categorías 1 y 2, en particular el Departamento de Desarrollo Internacional, apoyasen el pago de las pensiones y mejoraran la pensión de invalidez. Las RSLAF y el Ministerio de Defensa también debían volver a expedir los libros de alta para los demandantes y no hacer referencia a la etiqueta de </w:t>
      </w:r>
      <w:r w:rsidR="00433C77">
        <w:t>“</w:t>
      </w:r>
      <w:r w:rsidRPr="00F7488A">
        <w:t>enfermo crónico y desequilibrado mental</w:t>
      </w:r>
      <w:r w:rsidR="00433C77">
        <w:t>”</w:t>
      </w:r>
      <w:r w:rsidRPr="00F7488A">
        <w:t xml:space="preserve"> ni a la incapacidad laboral.</w:t>
      </w:r>
    </w:p>
    <w:p w14:paraId="5A18A21C" w14:textId="086707D8" w:rsidR="00B70A36" w:rsidRPr="00F7488A" w:rsidRDefault="00B70A36" w:rsidP="00372CF7">
      <w:pPr>
        <w:pStyle w:val="SingleTxtG"/>
        <w:rPr>
          <w:vertAlign w:val="superscript"/>
        </w:rPr>
      </w:pPr>
      <w:r w:rsidRPr="00F7488A">
        <w:t>21.</w:t>
      </w:r>
      <w:r w:rsidRPr="00F7488A">
        <w:tab/>
        <w:t xml:space="preserve">Finalmente, en octubre de 2012, el Gobierno de Sierra Leona y el Ministerio de Defensa pusieron en práctica las principales recomendaciones de la Comisión de Derechos Humanos de Sierra Leona y un total de 363 exmilitares fueron seleccionados para percibir los pagos, que se realizaron en dos fases. La primera fase consistió en el pago de la pensión normal, y la segunda en el pago de la pensión de invalidez mejorada. Los libros de alta de los denunciantes que incluían la nomenclatura de </w:t>
      </w:r>
      <w:r w:rsidR="00433C77">
        <w:t>“</w:t>
      </w:r>
      <w:r w:rsidRPr="00F7488A">
        <w:t>Enfermo crónico y desequilibrado mental</w:t>
      </w:r>
      <w:r w:rsidR="00433C77">
        <w:t>”</w:t>
      </w:r>
      <w:r w:rsidRPr="00F7488A">
        <w:t xml:space="preserve"> también se modificaron por la tarjeta de alta normal de las RSLAF</w:t>
      </w:r>
      <w:r w:rsidRPr="00F7488A">
        <w:rPr>
          <w:rStyle w:val="Refdenotaalpie"/>
        </w:rPr>
        <w:footnoteReference w:id="9"/>
      </w:r>
      <w:r w:rsidRPr="00F7488A">
        <w:t>.</w:t>
      </w:r>
    </w:p>
    <w:p w14:paraId="7E0FFF7C" w14:textId="4EF16F1A" w:rsidR="00B70A36" w:rsidRPr="00F7488A" w:rsidRDefault="00B70A36" w:rsidP="00372CF7">
      <w:pPr>
        <w:pStyle w:val="SingleTxtG"/>
      </w:pPr>
      <w:r w:rsidRPr="00F7488A">
        <w:t>22.</w:t>
      </w:r>
      <w:r w:rsidRPr="00F7488A">
        <w:tab/>
        <w:t>Otro éxito logrado por la Comisión fue que se llevara a cabo la investigación pública sobre los sucesos que tuvieron lugar en Bumbuna del 16 al 18 de abril de 2012, que comenzaron con una huelga de trabajadores descontentos de Africa Minerals Limited (AML). En la carta al director general en la que se comunicaba la decisión de organizar la protesta, los trabajadores se quejaban de las deficientes condiciones de trabajo y la mala relación con el personal expatriado, la cobertura médica, los contratos de trabajo eventuales o de corta duración, la arbitrariedad en la rescisión de los contratos, la mala calidad de las comidas y las largas jornadas de trabajo sin la debida retribución. También se quejaban de que los extranjeros que prestaban servicio en niveles similares recibían una mejor retribución que los nacionales, y de la aplicación discriminatoria de las normas sobre el consumo de alcohol, el bienestar de los trabajadores de AML y la cuestión de la afiliación a un sindicato de su elección planteada para fin de año. Otra de sus quejas se refería a los malos tratos de los que eran objeto por parte de los expatriados, en particular insultos racistas y agresiones físicas.</w:t>
      </w:r>
    </w:p>
    <w:p w14:paraId="46C926CA" w14:textId="77777777" w:rsidR="00B70A36" w:rsidRPr="00F7488A" w:rsidRDefault="00B70A36" w:rsidP="00372CF7">
      <w:pPr>
        <w:pStyle w:val="SingleTxtG"/>
      </w:pPr>
      <w:r w:rsidRPr="00F7488A">
        <w:t>23.</w:t>
      </w:r>
      <w:r w:rsidRPr="00F7488A">
        <w:tab/>
        <w:t>Una de las principales conclusiones fue que la libertad de asociación de los trabajadores de AML ha sido, y sigue siendo, violada porque el Gobierno y, en particular, del Ministerio del Trabajo, no consiguen hacer realidad la posibilidad de que los trabajadores se afilien a un sindicato de su elección. Este problema se agudiza en el caso de los trabajadores de la explotación minera de AML en Ferengbeya, en la jefatura de Kalasongoia, que pidieron expresamente afiliarse a otro sindicato porque no confiaban en el Sindicato de Trabajadores Mineros Unidos (UMU).</w:t>
      </w:r>
    </w:p>
    <w:p w14:paraId="2DE1FF35" w14:textId="41C87836" w:rsidR="00B70A36" w:rsidRPr="00F7488A" w:rsidRDefault="00B70A36" w:rsidP="00372CF7">
      <w:pPr>
        <w:pStyle w:val="SingleTxtG"/>
      </w:pPr>
      <w:r w:rsidRPr="00F7488A">
        <w:t>24.</w:t>
      </w:r>
      <w:r w:rsidRPr="00F7488A">
        <w:tab/>
        <w:t>La investigación también concluyó que la policía reaccionó de forma exagerada ante la acción de protesta de los trabajadores de AML, y empleó una fuerza desproporcionada mediante el uso de munición real, que causó la muerte de Musu Conteh, una joven trabajadora de AML. Otras personas resultaron gravemente heridas, y ocho de ellas sufrieron heridas de bala. Algunas personas también resultaron heridas por golpes y otras formas de maltrato.</w:t>
      </w:r>
    </w:p>
    <w:p w14:paraId="52085657" w14:textId="5D1BC5F6" w:rsidR="00B70A36" w:rsidRPr="00F7488A" w:rsidRDefault="00372CF7" w:rsidP="00372CF7">
      <w:pPr>
        <w:pStyle w:val="H1G"/>
      </w:pPr>
      <w:r>
        <w:tab/>
      </w:r>
      <w:r w:rsidR="00B70A36">
        <w:tab/>
      </w:r>
      <w:r w:rsidR="00B70A36" w:rsidRPr="00F7488A">
        <w:t>Derechos económicos, sociales y culturales específicos</w:t>
      </w:r>
      <w:bookmarkStart w:id="3" w:name="_Toc133854427"/>
      <w:bookmarkEnd w:id="3"/>
    </w:p>
    <w:p w14:paraId="24E52964" w14:textId="4DBD8878" w:rsidR="00B70A36" w:rsidRPr="00F7488A" w:rsidRDefault="00372CF7" w:rsidP="00372CF7">
      <w:pPr>
        <w:pStyle w:val="H23G"/>
      </w:pPr>
      <w:r>
        <w:tab/>
      </w:r>
      <w:r w:rsidR="00B70A36">
        <w:tab/>
      </w:r>
      <w:r w:rsidR="00B70A36" w:rsidRPr="00F7488A">
        <w:t>Artículo 1</w:t>
      </w:r>
      <w:r w:rsidR="00F8661A">
        <w:br/>
      </w:r>
      <w:r w:rsidR="00B70A36" w:rsidRPr="00F7488A">
        <w:t>Derecho a la libre determinación</w:t>
      </w:r>
      <w:bookmarkStart w:id="4" w:name="_Toc133854428"/>
      <w:bookmarkEnd w:id="4"/>
    </w:p>
    <w:p w14:paraId="06719662" w14:textId="77777777" w:rsidR="00B70A36" w:rsidRPr="00F7488A" w:rsidRDefault="00B70A36" w:rsidP="00372CF7">
      <w:pPr>
        <w:pStyle w:val="SingleTxtG"/>
      </w:pPr>
      <w:r w:rsidRPr="00F7488A">
        <w:t>25.</w:t>
      </w:r>
      <w:r w:rsidRPr="00F7488A">
        <w:tab/>
        <w:t xml:space="preserve">En este caso, la libre determinación interna del Gobierno de Sierra Leona está relacionada con la forma en que el Estado permite a las entidades ejercer la libre determinación a nivel nacional. Esto incluye la descentralización de las políticas y las leyes conexas, los acuerdos a nivel de gobierno local, el sistema de jefaturas, así como las prácticas culturales de cada grupo. </w:t>
      </w:r>
    </w:p>
    <w:p w14:paraId="4EA2D1CB" w14:textId="2F204A08" w:rsidR="00B70A36" w:rsidRPr="00F7488A" w:rsidRDefault="00B70A36" w:rsidP="00372CF7">
      <w:pPr>
        <w:pStyle w:val="SingleTxtG"/>
      </w:pPr>
      <w:r w:rsidRPr="00F7488A">
        <w:t>26.</w:t>
      </w:r>
      <w:r w:rsidRPr="00F7488A">
        <w:tab/>
        <w:t>La libre determinación exterior se refiere a la política del Gobierno de Sierra Leona hacia otros Estados, su posición de política exterior. Con anterioridad a la independencia, la</w:t>
      </w:r>
      <w:r w:rsidR="00111D2C">
        <w:t xml:space="preserve"> </w:t>
      </w:r>
      <w:r w:rsidRPr="00F7488A">
        <w:t>diplomacia era la que desarrollaba el Reino Unido. A partir de 1961, Sierra Leona desarrolla su política exterior y se centra en:</w:t>
      </w:r>
    </w:p>
    <w:p w14:paraId="57572852" w14:textId="497AA24F" w:rsidR="00B70A36" w:rsidRPr="00F7488A" w:rsidRDefault="00B70A36" w:rsidP="00372CF7">
      <w:pPr>
        <w:pStyle w:val="Bullet1G"/>
      </w:pPr>
      <w:r w:rsidRPr="00F7488A">
        <w:t>Promover la cooperación económica internacional</w:t>
      </w:r>
      <w:r w:rsidR="00372CF7">
        <w:t>.</w:t>
      </w:r>
    </w:p>
    <w:p w14:paraId="45B2A7E2" w14:textId="77777777" w:rsidR="00B70A36" w:rsidRPr="00F7488A" w:rsidRDefault="00B70A36" w:rsidP="00372CF7">
      <w:pPr>
        <w:pStyle w:val="Bullet1G"/>
      </w:pPr>
      <w:r w:rsidRPr="00F7488A">
        <w:t>Adoptar una cooperación mutuamente beneficiosa con los países industrializados para obtener la asistencia técnica y financiera necesaria para el desarrollo económico de la nación; promover el interés de la nación junto con los principios y propósitos de la Carta de las Naciones Unidas, la Unión Africana, la Comunidad Económica de los Estados de África Occidental, la Unión del Río Mano y otras organizaciones multilaterales, en particular el Commonwealth, la Organización de Cooperación Islámica y el Movimiento de Países No Alineados.</w:t>
      </w:r>
    </w:p>
    <w:p w14:paraId="71DF57A0" w14:textId="57E032C7" w:rsidR="00B70A36" w:rsidRPr="00F7488A" w:rsidRDefault="00B70A36" w:rsidP="00372CF7">
      <w:pPr>
        <w:pStyle w:val="SingleTxtG"/>
      </w:pPr>
      <w:r w:rsidRPr="00F7488A">
        <w:t>27.</w:t>
      </w:r>
      <w:r w:rsidRPr="00F7488A">
        <w:tab/>
        <w:t xml:space="preserve">La Constitución de Sierra Leona es la máxima autoridad para la dirección de los asuntos del Estado. El artículo 10 de la Constitución de Sierra Leona de 1991 (Ley núm. 6 de 1991) establece que </w:t>
      </w:r>
      <w:r w:rsidR="00433C77">
        <w:t>“</w:t>
      </w:r>
      <w:r w:rsidRPr="00F7488A">
        <w:t>[…] Los objetivos de la política exterior del Estado serán la promoción y la protección del interés nacional; la promoción de la cooperación y la unidad subregional, regional e interafricana; la promoción de la cooperación internacional para la consolidación de la paz y la seguridad internacionales y el respeto mutuo entre todas las naciones; el respeto de la integridad territorial e independencia; y el respeto del derecho internacional y de las obligaciones derivadas de los tratados, así como la resolución de las disputas internacionales mediante la negociación, la conciliación, el arbitraje o las decisiones judiciales</w:t>
      </w:r>
      <w:r w:rsidR="00433C77">
        <w:t>”</w:t>
      </w:r>
      <w:r w:rsidRPr="00F7488A">
        <w:t xml:space="preserve">. </w:t>
      </w:r>
    </w:p>
    <w:p w14:paraId="20317CC1" w14:textId="77777777" w:rsidR="00B70A36" w:rsidRPr="00F7488A" w:rsidRDefault="00B70A36" w:rsidP="00372CF7">
      <w:pPr>
        <w:pStyle w:val="SingleTxtG"/>
      </w:pPr>
      <w:r w:rsidRPr="00F7488A">
        <w:t>28.</w:t>
      </w:r>
      <w:r w:rsidRPr="00F7488A">
        <w:tab/>
        <w:t>La Constitución reconoce la soberanía de otros Estados:</w:t>
      </w:r>
    </w:p>
    <w:p w14:paraId="258BB3AF" w14:textId="77777777" w:rsidR="00B70A36" w:rsidRPr="00F7488A" w:rsidRDefault="00B70A36" w:rsidP="00372CF7">
      <w:pPr>
        <w:pStyle w:val="Bullet1G"/>
      </w:pPr>
      <w:r w:rsidRPr="00F7488A">
        <w:t>La pertenencia de Sierra Leona a las Naciones Unidas, artículo 2, párrafo 1), de la Carta de las Naciones Unidas, se basa en la igualdad soberana de los Estados, independientemente de su tamaño o población.</w:t>
      </w:r>
    </w:p>
    <w:p w14:paraId="7B79038F" w14:textId="77777777" w:rsidR="00B70A36" w:rsidRPr="00F7488A" w:rsidRDefault="00B70A36" w:rsidP="00372CF7">
      <w:pPr>
        <w:pStyle w:val="Bullet1G"/>
      </w:pPr>
      <w:r w:rsidRPr="00F7488A">
        <w:t>En el artículo 2, párrafo 4), el Gobierno de Sierra Leona reconoce la integridad territorial y la independencia política de los Estados, y también muestra respeto.</w:t>
      </w:r>
    </w:p>
    <w:p w14:paraId="6C8A6D9F" w14:textId="77777777" w:rsidR="00B70A36" w:rsidRPr="00F7488A" w:rsidRDefault="00B70A36" w:rsidP="00372CF7">
      <w:pPr>
        <w:pStyle w:val="Bullet1G"/>
      </w:pPr>
      <w:r w:rsidRPr="00F7488A">
        <w:t>La Carta de la Organización de la Unidad Africana de 1963 establece en su artículo 3 el principio de la libre determinación, el respeto de la soberanía de los Estados miembros y la no injerencia.</w:t>
      </w:r>
    </w:p>
    <w:p w14:paraId="159C6387" w14:textId="77777777" w:rsidR="00B70A36" w:rsidRPr="00F7488A" w:rsidRDefault="00B70A36" w:rsidP="00372CF7">
      <w:pPr>
        <w:pStyle w:val="Bullet1G"/>
      </w:pPr>
      <w:r w:rsidRPr="00F7488A">
        <w:t>El Acta Constitutiva de la Unión Africana (2002) cambió el principio de no injerencia por el de no indiferencia, pero sigue reconociendo el derecho a la libre determinación de los Estados.</w:t>
      </w:r>
    </w:p>
    <w:p w14:paraId="2BA2E1C6" w14:textId="77777777" w:rsidR="00B70A36" w:rsidRPr="00F7488A" w:rsidRDefault="00B70A36" w:rsidP="00372CF7">
      <w:pPr>
        <w:pStyle w:val="Bullet1G"/>
      </w:pPr>
      <w:r w:rsidRPr="00F7488A">
        <w:t xml:space="preserve">La Carta Africana de Derechos Humanos y de los Pueblos (1981), de la que forma parte el Gobierno de Sierra Leona, en su artículo 20, concede el derecho a la libre determinación; y en su artículo 21, establece que los pueblos de los Estados de África dispongan de sus recursos y riquezas como consideren oportuno. </w:t>
      </w:r>
    </w:p>
    <w:p w14:paraId="22BC3775" w14:textId="77777777" w:rsidR="00B70A36" w:rsidRPr="00F7488A" w:rsidRDefault="00B70A36" w:rsidP="00372CF7">
      <w:pPr>
        <w:pStyle w:val="Bullet1G"/>
      </w:pPr>
      <w:r w:rsidRPr="00F7488A">
        <w:t>El artículo 22 es aún más relevante, ya que se extiende sobre los derechos económicos, sociales y culturales y el desarrollo económico.</w:t>
      </w:r>
    </w:p>
    <w:p w14:paraId="29A844C5" w14:textId="77777777" w:rsidR="00B70A36" w:rsidRPr="00F7488A" w:rsidRDefault="00B70A36" w:rsidP="00372CF7">
      <w:pPr>
        <w:pStyle w:val="SingleTxtG"/>
      </w:pPr>
      <w:r w:rsidRPr="00F7488A">
        <w:t>29.</w:t>
      </w:r>
      <w:r w:rsidRPr="00F7488A">
        <w:tab/>
        <w:t>Por ejemplo, Yenga es un ejemplo en el que el Gobierno de Sierra Leona ha preferido utilizar medios diplomáticos para resolver la situación de estancamiento con el Gobierno de Guinea. Podría haber optado por recurrir a la Corte Internacional de Justicia para que se pronunciara.</w:t>
      </w:r>
    </w:p>
    <w:p w14:paraId="3762F50F" w14:textId="4587E875" w:rsidR="00B70A36" w:rsidRPr="00F7488A" w:rsidRDefault="00B70A36" w:rsidP="00372CF7">
      <w:pPr>
        <w:pStyle w:val="SingleTxtG"/>
      </w:pPr>
      <w:r w:rsidRPr="00F7488A">
        <w:t>30.</w:t>
      </w:r>
      <w:r w:rsidRPr="00F7488A">
        <w:tab/>
      </w:r>
      <w:r w:rsidR="00433C77">
        <w:t>“</w:t>
      </w:r>
      <w:r w:rsidRPr="00F7488A">
        <w:t>Las Directrices de Política Exterior de Sierra Leona</w:t>
      </w:r>
      <w:r w:rsidR="00433C77">
        <w:t>”</w:t>
      </w:r>
      <w:r w:rsidRPr="00F7488A">
        <w:t xml:space="preserve"> están en consonancia con el Plan Nacional de Desarrollo a Medio Plazo 2019-2023 del país. El Plan engloba los Objetivos de Desarrollo Sostenible y tiene por objeto servir a los funcionarios gubernamentales, en particular los funcionarios del Servicio de Asuntos Exteriores, como herramienta de referencia para ejercer la diplomacia internacional en nombre del Gobierno y el pueblo de Sierra Leona. Estas directrices se basan en los siguientes objetivos:</w:t>
      </w:r>
    </w:p>
    <w:p w14:paraId="6A6022D4" w14:textId="77777777" w:rsidR="00B70A36" w:rsidRPr="00F7488A" w:rsidRDefault="00B70A36" w:rsidP="00372CF7">
      <w:pPr>
        <w:pStyle w:val="Bullet1G"/>
      </w:pPr>
      <w:r w:rsidRPr="00F7488A">
        <w:t>Promover y proteger el interés nacional mediante interacciones bilaterales y multilaterales.</w:t>
      </w:r>
    </w:p>
    <w:p w14:paraId="05250BD1" w14:textId="77777777" w:rsidR="00B70A36" w:rsidRPr="00F7488A" w:rsidRDefault="00B70A36" w:rsidP="00372CF7">
      <w:pPr>
        <w:pStyle w:val="Bullet1G"/>
      </w:pPr>
      <w:r w:rsidRPr="00F7488A">
        <w:t>Promover un orden internacional, político, social y económico justo y equitativo, así como los derechos humanos.</w:t>
      </w:r>
    </w:p>
    <w:p w14:paraId="7942FA82" w14:textId="77777777" w:rsidR="00B70A36" w:rsidRPr="00F7488A" w:rsidRDefault="00B70A36" w:rsidP="00372CF7">
      <w:pPr>
        <w:pStyle w:val="Bullet1G"/>
      </w:pPr>
      <w:r w:rsidRPr="00F7488A">
        <w:t>Promover el multilateralismo para garantizar un sistema internacional basado en las normas y contribuir a la formulación y el respeto del derecho, los compromisos y las obligaciones internacionales.</w:t>
      </w:r>
    </w:p>
    <w:p w14:paraId="1991462A" w14:textId="77777777" w:rsidR="00B70A36" w:rsidRPr="00F7488A" w:rsidRDefault="00B70A36" w:rsidP="00372CF7">
      <w:pPr>
        <w:pStyle w:val="Bullet1G"/>
      </w:pPr>
      <w:r w:rsidRPr="00F7488A">
        <w:t>Promover la solución pacífica de las controversias internacionales.</w:t>
      </w:r>
    </w:p>
    <w:p w14:paraId="753D7353" w14:textId="77777777" w:rsidR="00B70A36" w:rsidRPr="00F7488A" w:rsidRDefault="00B70A36" w:rsidP="00372CF7">
      <w:pPr>
        <w:pStyle w:val="Bullet1G"/>
      </w:pPr>
      <w:r w:rsidRPr="00F7488A">
        <w:t>Promover la integración económica regional en África y garantizar que se escuche la voz de los países en desarrollo en la escena internacional.</w:t>
      </w:r>
    </w:p>
    <w:p w14:paraId="517E2E96" w14:textId="1C104E35" w:rsidR="00B70A36" w:rsidRPr="00F7488A" w:rsidRDefault="00B70A36" w:rsidP="00372CF7">
      <w:pPr>
        <w:pStyle w:val="SingleTxtG"/>
      </w:pPr>
      <w:r w:rsidRPr="00F7488A">
        <w:t>31.</w:t>
      </w:r>
      <w:r w:rsidRPr="00F7488A">
        <w:tab/>
        <w:t xml:space="preserve">Sierra Leona mantiene el respeto por sus asociados y alianzas, tanto en la región como a escala internacional, y cree que las iniciativas multilaterales proporcionan un marco mejor para resolver las cuestiones que afectan a nuestro mundo y al interés nacional. La libre determinación implica el reconocimiento por igual del Pacto Internacional de Derechos Civiles y Políticos y el Pacto Internacional sobre Derechos Económicos, Sociales y Culturales: ambos instrumentos constituyen una condición </w:t>
      </w:r>
      <w:r w:rsidRPr="00F7488A">
        <w:rPr>
          <w:i/>
          <w:iCs/>
        </w:rPr>
        <w:t>sine qua non</w:t>
      </w:r>
      <w:r w:rsidRPr="00F7488A">
        <w:t xml:space="preserve"> para el desarrollo económico, ya que ambos están relacionados con: i</w:t>
      </w:r>
      <w:r w:rsidR="007B14CA">
        <w:t>)</w:t>
      </w:r>
      <w:r w:rsidRPr="00F7488A">
        <w:t xml:space="preserve"> </w:t>
      </w:r>
      <w:r w:rsidR="00FA71A7">
        <w:t>l</w:t>
      </w:r>
      <w:r w:rsidRPr="00F7488A">
        <w:t>a libre determinación inicial, para lo que cabe mencionar que será relevante la Ley de Gobierno Local y cómo esta Ley confiere poderes a los consejos locales para gobernarse a sí mismos en materia de gobernanza específica, es decir, el nivel de descentralización en materia de políticas; ii</w:t>
      </w:r>
      <w:r w:rsidR="007B14CA">
        <w:t>)</w:t>
      </w:r>
      <w:r w:rsidRPr="00F7488A">
        <w:t xml:space="preserve"> </w:t>
      </w:r>
      <w:r w:rsidR="00FA71A7">
        <w:t>e</w:t>
      </w:r>
      <w:r w:rsidRPr="00F7488A">
        <w:t>l derecho a la libre determinación exterior, cualquier ejemplo de las situaciones en África o en el mundo en su conjunto en las que el Gobierno de Sierra Leona haya apoyado cualquier derecho a la libre determinación de los pueblos de algunos Estados, por ejemplo Sudán del Sur, el Sáhara Occidental, y tal vez en el pasado el caso de Sudáfrica, Rodesia, son solo algunos ejemplos.</w:t>
      </w:r>
    </w:p>
    <w:p w14:paraId="70CE1F02" w14:textId="340E0C97" w:rsidR="00B70A36" w:rsidRPr="00F7488A" w:rsidRDefault="00372CF7" w:rsidP="00372CF7">
      <w:pPr>
        <w:pStyle w:val="H23G"/>
      </w:pPr>
      <w:r>
        <w:tab/>
      </w:r>
      <w:r w:rsidR="00B70A36">
        <w:tab/>
      </w:r>
      <w:r w:rsidR="00B70A36" w:rsidRPr="00F7488A">
        <w:t>Artículo 2, párrafo 2</w:t>
      </w:r>
      <w:r w:rsidR="00F8661A">
        <w:br/>
      </w:r>
      <w:r w:rsidR="00B70A36" w:rsidRPr="00F7488A">
        <w:t>Logro progresivo de la efectividad de los derechos consagrados</w:t>
      </w:r>
      <w:r>
        <w:t> </w:t>
      </w:r>
      <w:r w:rsidR="00B70A36" w:rsidRPr="00F7488A">
        <w:t>en el Pacto y</w:t>
      </w:r>
      <w:r w:rsidR="00F8661A">
        <w:t> </w:t>
      </w:r>
      <w:r w:rsidR="00B70A36" w:rsidRPr="00F7488A">
        <w:t>no</w:t>
      </w:r>
      <w:r w:rsidR="00F8661A">
        <w:t> </w:t>
      </w:r>
      <w:r w:rsidR="00B70A36" w:rsidRPr="00F7488A">
        <w:t>discriminación</w:t>
      </w:r>
      <w:bookmarkStart w:id="5" w:name="_Toc133854429"/>
      <w:bookmarkEnd w:id="5"/>
    </w:p>
    <w:p w14:paraId="2E888CDC" w14:textId="471021D9" w:rsidR="00B70A36" w:rsidRPr="00F7488A" w:rsidRDefault="00B70A36" w:rsidP="00372CF7">
      <w:pPr>
        <w:pStyle w:val="SingleTxtG"/>
      </w:pPr>
      <w:r w:rsidRPr="00F7488A">
        <w:t>32.</w:t>
      </w:r>
      <w:r w:rsidRPr="00F7488A">
        <w:tab/>
        <w:t>La discriminación responde en gran medida a las normas sociales y culturales y los estereotipos de género de larga data, y que rigen las relaciones, las funciones y las responsabilidades de los hombres y las mujeres, así como el acceso al poder, los recursos y los privilegios. Algunos de los motivos de discriminación o presunta discriminación más frecuentes son la raza, el color, el sexo/género, la edad, la tribu, la discapacidad, las creencias políticas o la afiliación a un partido político, las dificultades de acceso a la ciudadanía para las personas de origen libanés, la cuestión de la tierra en el caso de los criollos, la religión o las creencias, el embarazo en la adolescencia, los inmigrantes, etc. Todo ello se ve agudizado por una serie de leyes discriminatorias, en particular en el derecho legislado y el derecho consuetudinario. Aunque se promulguen leyes nacionales para hacer frente a estas desigualdades, el principal desafío ha sido siempre la aplicación efectiva. Esto se debe en gran medida a las prácticas tradicionales y normas socioculturales profundamente arraigadas que agravan la discriminación. Para eliminar la discriminación, el Gobierno ha firmado y ratificado importantes instrumentos internacionales y regionales.</w:t>
      </w:r>
    </w:p>
    <w:p w14:paraId="47909496" w14:textId="77777777" w:rsidR="00B70A36" w:rsidRPr="00F7488A" w:rsidRDefault="00B70A36" w:rsidP="00372CF7">
      <w:pPr>
        <w:pStyle w:val="SingleTxtG"/>
      </w:pPr>
      <w:r w:rsidRPr="00F7488A">
        <w:t>33.</w:t>
      </w:r>
      <w:r w:rsidRPr="00F7488A">
        <w:tab/>
        <w:t>Para alcanzar los objetivos de los instrumentos internacionales y regionales que pretenden acabar con la discriminación, el Gobierno de Sierra Leona ha promulgado las siguientes leyes y desarrollado las siguientes políticas que abordan las diferentes formas de discriminación en el país:</w:t>
      </w:r>
    </w:p>
    <w:p w14:paraId="10A10EF8" w14:textId="77777777" w:rsidR="00B70A36" w:rsidRPr="00F7488A" w:rsidRDefault="00B70A36" w:rsidP="00372CF7">
      <w:pPr>
        <w:pStyle w:val="Bullet1G"/>
      </w:pPr>
      <w:r w:rsidRPr="00F7488A">
        <w:t>La Ley de Violencia Doméstica de 2007.</w:t>
      </w:r>
    </w:p>
    <w:p w14:paraId="0DC7F6B8" w14:textId="77777777" w:rsidR="00B70A36" w:rsidRPr="00F7488A" w:rsidRDefault="00B70A36" w:rsidP="00372CF7">
      <w:pPr>
        <w:pStyle w:val="Bullet1G"/>
      </w:pPr>
      <w:r w:rsidRPr="00F7488A">
        <w:t>La Ley de Sucesiones de 2007.</w:t>
      </w:r>
    </w:p>
    <w:p w14:paraId="4B50B447" w14:textId="77777777" w:rsidR="00B70A36" w:rsidRPr="00F7488A" w:rsidRDefault="00B70A36" w:rsidP="00372CF7">
      <w:pPr>
        <w:pStyle w:val="Bullet1G"/>
      </w:pPr>
      <w:r w:rsidRPr="00F7488A">
        <w:t>La Ley de Registro de Matrimonios y Divorcios Consuetudinarios de 2009.</w:t>
      </w:r>
    </w:p>
    <w:p w14:paraId="7220F3E9" w14:textId="77777777" w:rsidR="00B70A36" w:rsidRPr="00F7488A" w:rsidRDefault="00B70A36" w:rsidP="00372CF7">
      <w:pPr>
        <w:pStyle w:val="Bullet1G"/>
      </w:pPr>
      <w:r w:rsidRPr="00F7488A">
        <w:t>La Ley de Personas con Discapacidad de 2011.</w:t>
      </w:r>
    </w:p>
    <w:p w14:paraId="753A35F7" w14:textId="77777777" w:rsidR="00B70A36" w:rsidRPr="00F7488A" w:rsidRDefault="00B70A36" w:rsidP="00372CF7">
      <w:pPr>
        <w:pStyle w:val="Bullet1G"/>
      </w:pPr>
      <w:r w:rsidRPr="00F7488A">
        <w:t>La Política de Igualdad de Género y Empoderamiento de las Mujeres de 2020.</w:t>
      </w:r>
    </w:p>
    <w:p w14:paraId="55353C8A" w14:textId="77777777" w:rsidR="00B70A36" w:rsidRPr="00F7488A" w:rsidRDefault="00B70A36" w:rsidP="00372CF7">
      <w:pPr>
        <w:pStyle w:val="Bullet1G"/>
      </w:pPr>
      <w:r w:rsidRPr="00F7488A">
        <w:t>La Política de Incorporación de la Perspectiva de Género.</w:t>
      </w:r>
    </w:p>
    <w:p w14:paraId="7660650D" w14:textId="77777777" w:rsidR="00B70A36" w:rsidRPr="00F7488A" w:rsidRDefault="00B70A36" w:rsidP="00372CF7">
      <w:pPr>
        <w:pStyle w:val="Bullet1G"/>
      </w:pPr>
      <w:r w:rsidRPr="00F7488A">
        <w:t>La Política de Empoderamiento de las Mujeres.</w:t>
      </w:r>
    </w:p>
    <w:p w14:paraId="6B11ABA4" w14:textId="77777777" w:rsidR="00B70A36" w:rsidRPr="00F7488A" w:rsidRDefault="00B70A36" w:rsidP="00372CF7">
      <w:pPr>
        <w:pStyle w:val="Bullet1G"/>
      </w:pPr>
      <w:r w:rsidRPr="00F7488A">
        <w:t>La Ley de Adopción de 1989.</w:t>
      </w:r>
    </w:p>
    <w:p w14:paraId="1FF29F9A" w14:textId="77777777" w:rsidR="00B70A36" w:rsidRPr="00F7488A" w:rsidRDefault="00B70A36" w:rsidP="00372CF7">
      <w:pPr>
        <w:pStyle w:val="Bullet1G"/>
      </w:pPr>
      <w:r w:rsidRPr="00F7488A">
        <w:t>La Ley de Derechos del Niño de 2007.</w:t>
      </w:r>
    </w:p>
    <w:p w14:paraId="39E19583" w14:textId="77777777" w:rsidR="00B70A36" w:rsidRPr="00F7488A" w:rsidRDefault="00B70A36" w:rsidP="00372CF7">
      <w:pPr>
        <w:pStyle w:val="Bullet1G"/>
      </w:pPr>
      <w:r w:rsidRPr="00F7488A">
        <w:t>La Política Territorial Nacional.</w:t>
      </w:r>
    </w:p>
    <w:p w14:paraId="1E318FC5" w14:textId="77777777" w:rsidR="00B70A36" w:rsidRPr="00F7488A" w:rsidRDefault="00B70A36" w:rsidP="00372CF7">
      <w:pPr>
        <w:pStyle w:val="Bullet1G"/>
      </w:pPr>
      <w:r w:rsidRPr="00F7488A">
        <w:t>El Plan Estratégico Nacional sobre los Géneros.</w:t>
      </w:r>
    </w:p>
    <w:p w14:paraId="6E652F7D" w14:textId="77777777" w:rsidR="00B70A36" w:rsidRPr="00F7488A" w:rsidRDefault="00B70A36" w:rsidP="00372CF7">
      <w:pPr>
        <w:pStyle w:val="Bullet1G"/>
      </w:pPr>
      <w:r w:rsidRPr="00F7488A">
        <w:t>La Ley de Delitos Sexuales de 2012.</w:t>
      </w:r>
    </w:p>
    <w:p w14:paraId="3ADBADB8" w14:textId="77777777" w:rsidR="00B70A36" w:rsidRPr="00F7488A" w:rsidRDefault="00B70A36" w:rsidP="00372CF7">
      <w:pPr>
        <w:pStyle w:val="Bullet1G"/>
        <w:rPr>
          <w:b/>
        </w:rPr>
      </w:pPr>
      <w:r w:rsidRPr="00F7488A">
        <w:t>La Ley de Delitos Sexuales (Modificación) de 2019.</w:t>
      </w:r>
    </w:p>
    <w:p w14:paraId="18A4477C" w14:textId="1FA0254B" w:rsidR="00B70A36" w:rsidRPr="00F7488A" w:rsidRDefault="00372CF7" w:rsidP="00372CF7">
      <w:pPr>
        <w:pStyle w:val="H4G"/>
      </w:pPr>
      <w:r>
        <w:tab/>
      </w:r>
      <w:r w:rsidR="00B70A36">
        <w:tab/>
      </w:r>
      <w:r w:rsidR="00B70A36" w:rsidRPr="00F7488A">
        <w:t xml:space="preserve">La campaña </w:t>
      </w:r>
      <w:r w:rsidR="00433C77">
        <w:t>“</w:t>
      </w:r>
      <w:r w:rsidR="00B70A36" w:rsidRPr="00F7488A">
        <w:t>No toquéis a nuestras niñas</w:t>
      </w:r>
      <w:r w:rsidR="00433C77">
        <w:t>”</w:t>
      </w:r>
    </w:p>
    <w:p w14:paraId="71571924" w14:textId="77777777" w:rsidR="00B70A36" w:rsidRPr="00F7488A" w:rsidRDefault="00B70A36" w:rsidP="00372CF7">
      <w:pPr>
        <w:pStyle w:val="SingleTxtG"/>
      </w:pPr>
      <w:r w:rsidRPr="00F7488A">
        <w:t>34.</w:t>
      </w:r>
      <w:r w:rsidRPr="00F7488A">
        <w:tab/>
        <w:t>A esta iniciativa de la Primera Dama se le atribuyó, en parte, el mérito de haber influido en la declaración presidencial del estado de emergencia en materia de violencia sexual. Esta acción allanó el camino para la reforma de la Ley de Delitos Sexuales. La Oficina de la Primera Dama organizó un exitoso acto de campaña en el marco del 74º período de sesiones de la Asamblea General de las Naciones Unidas para concienciar a la opinión pública mundial sobre la reducción de los matrimonios precoces y las violaciones en África, en particular en Sierra Leona. La Iniciativa de las Compresas Higiénicas Gratuitas se puso en marcha para todas las alumnas, así como el plan operacional durante la conmemoración del Día Internacional de la Higiene Menstrual.</w:t>
      </w:r>
    </w:p>
    <w:p w14:paraId="356C63A7" w14:textId="179DB291" w:rsidR="00B70A36" w:rsidRPr="00F7488A" w:rsidRDefault="00372CF7" w:rsidP="00372CF7">
      <w:pPr>
        <w:pStyle w:val="H23G"/>
      </w:pPr>
      <w:r>
        <w:tab/>
      </w:r>
      <w:r w:rsidR="00B70A36">
        <w:tab/>
      </w:r>
      <w:r w:rsidR="00B70A36" w:rsidRPr="00F7488A">
        <w:t>Artículo 3</w:t>
      </w:r>
      <w:r w:rsidR="00F8661A">
        <w:br/>
      </w:r>
      <w:r w:rsidR="00B70A36" w:rsidRPr="00F7488A">
        <w:t>Igualdad de género y no discriminación</w:t>
      </w:r>
      <w:bookmarkStart w:id="6" w:name="_Toc133854430"/>
      <w:bookmarkEnd w:id="6"/>
    </w:p>
    <w:p w14:paraId="1A37D4F6" w14:textId="647B41C9" w:rsidR="00B70A36" w:rsidRPr="00F7488A" w:rsidRDefault="00B70A36" w:rsidP="00372CF7">
      <w:pPr>
        <w:pStyle w:val="SingleTxtG"/>
      </w:pPr>
      <w:r w:rsidRPr="00F7488A">
        <w:t>35.</w:t>
      </w:r>
      <w:r w:rsidRPr="00F7488A">
        <w:tab/>
        <w:t xml:space="preserve">El Gobierno de Sierra Leona reconoce y está comprometido con la igualdad de género y el empoderamiento de las mujeres como elementos fundamentales para alcanzar una paz sostenible y el desarrollo social y económico del país. A finales de la década de </w:t>
      </w:r>
      <w:r w:rsidR="00FB4D5B">
        <w:t>1980</w:t>
      </w:r>
      <w:r w:rsidRPr="00F7488A">
        <w:t xml:space="preserve">, el Gobierno de Sierra Leona creó estructuras administrativas con el mandato de abordar la desigualdad de género. Entre ellas se encontraban la Oficina de la Mujer, la Oficina encargada de las Cuestiones de Género del Parlamento en los años </w:t>
      </w:r>
      <w:r w:rsidR="00FC305A">
        <w:t>noventa</w:t>
      </w:r>
      <w:r w:rsidRPr="00F7488A">
        <w:t xml:space="preserve"> y el Ministerio de Bienestar Social y Asuntos de Género y de la Infancia, que ahora se ha dividido en dos</w:t>
      </w:r>
      <w:r w:rsidR="00FB0D89">
        <w:t xml:space="preserve"> (Asuntos de Género y Asuntos de la Infancia)</w:t>
      </w:r>
      <w:r w:rsidRPr="00F7488A">
        <w:t>. El Gobierno de Sierra Leona creó también la Comisión de Derechos Humanos en 2006 y la Unidad de Apoyo a la Familia. En 1988, el Gobierno de Sierra Leona ratificó la Convención sobre la Eliminación de Todas las Formas de Discriminación contra la Mujer y, desde entonces, ha adoptado medidas legislativas y de política estratégica para abordar toda una serie de cuestiones de género en el marco de sus objetivos generales de desarrollo. Desde el final de la guerra civil en 2002, el Gobierno de Sierra Leona ha tomado medidas alentadoras orientadas a reforzar la capacidad del país para abordar las cuestiones de género y hacer un seguimiento de los progresos logrados en ese ámbito. Entre las nuevas leyes y políticas aprobadas figuran las siguientes:</w:t>
      </w:r>
    </w:p>
    <w:p w14:paraId="6AF1AC4B" w14:textId="3F422BF6" w:rsidR="00B70A36" w:rsidRPr="00F7488A" w:rsidRDefault="00B70A36" w:rsidP="00372CF7">
      <w:pPr>
        <w:pStyle w:val="Bullet1G"/>
      </w:pPr>
      <w:r w:rsidRPr="00F7488A">
        <w:t>La Ley de Delitos Sexuales (Modificación) de 2019, que en su artículo 19, apartado</w:t>
      </w:r>
      <w:r w:rsidR="007B14CA">
        <w:t> </w:t>
      </w:r>
      <w:r w:rsidRPr="00F7488A">
        <w:t>iii), establece 15 años de prisión para un adulto culpable de penetración sexual o violación de otra persona, y en su artículo 13, párrafo 2), prevé que se brinde una mayor protección a los niños, en particular las niñas, frente los abusos sexuales por parte de las personas en puestos de confianza, en particular profesores y dirigentes tradicionales.</w:t>
      </w:r>
    </w:p>
    <w:p w14:paraId="546BABA9" w14:textId="77777777" w:rsidR="00B70A36" w:rsidRPr="00F7488A" w:rsidRDefault="00B70A36" w:rsidP="00372CF7">
      <w:pPr>
        <w:pStyle w:val="Bullet1G"/>
      </w:pPr>
      <w:r w:rsidRPr="00F7488A">
        <w:t>El grupo temático 5 del Plan Nacional de Desarrollo a Medio Plazo de Sierra Leona 2019- 2023, que está dedicado específicamente a las cuestiones de género, tiene el objetivo de lograr resultados de desarrollo que mejoren el bienestar de hombres, mujeres, niñas y niños en Sierra Leona.</w:t>
      </w:r>
    </w:p>
    <w:p w14:paraId="41A55A52" w14:textId="77777777" w:rsidR="00B70A36" w:rsidRPr="00F7488A" w:rsidRDefault="00B70A36" w:rsidP="00372CF7">
      <w:pPr>
        <w:pStyle w:val="Bullet1G"/>
      </w:pPr>
      <w:r w:rsidRPr="00F7488A">
        <w:t>El nuevo Ministerio de Asuntos de Género y de la Infancia ha elaborado un proyecto de ley sobre el empoderamiento de la mujer (2021) que se encuentra actualmente en manos de los legisladores para su promulgación.</w:t>
      </w:r>
    </w:p>
    <w:p w14:paraId="7F86D327" w14:textId="6D32E4B3" w:rsidR="00B70A36" w:rsidRPr="00F7488A" w:rsidRDefault="00B70A36" w:rsidP="00372CF7">
      <w:pPr>
        <w:pStyle w:val="SingleTxtG"/>
      </w:pPr>
      <w:r w:rsidRPr="00F7488A">
        <w:t>36.</w:t>
      </w:r>
      <w:r w:rsidRPr="00F7488A">
        <w:tab/>
        <w:t>El Plan de Acción Nacional de Sierra Leona para dar cumplimiento a las resoluciones</w:t>
      </w:r>
      <w:r w:rsidR="00FB4D5B">
        <w:t> </w:t>
      </w:r>
      <w:r w:rsidRPr="00F7488A">
        <w:t>1325 y 1820 de las Naciones Unidas, que intensifica el papel de las mujeres en la prevención y resolución de conflictos y la consolidación de la paz, al tiempo que proporciona mecanismos de respuesta temprana para abordar la violencia sexual y de género en situaciones de conflicto y posconflicto.</w:t>
      </w:r>
    </w:p>
    <w:p w14:paraId="725F776D" w14:textId="2EFE10CB" w:rsidR="00B70A36" w:rsidRPr="00F7488A" w:rsidRDefault="00B70A36" w:rsidP="00372CF7">
      <w:pPr>
        <w:pStyle w:val="SingleTxtG"/>
      </w:pPr>
      <w:r w:rsidRPr="00F7488A">
        <w:t>37.</w:t>
      </w:r>
      <w:r w:rsidRPr="00F7488A">
        <w:tab/>
        <w:t>La creación del nuevo Ministerio de Asuntos de Género y de la Infancia con la responsabilidad exclusiva de dirigir la planificación, el desarrollo, la aplicación y el seguimiento de todas las cuestiones relacionadas con las mujeres y los niños menores de 18</w:t>
      </w:r>
      <w:r w:rsidR="00FB4D5B">
        <w:t> </w:t>
      </w:r>
      <w:r w:rsidRPr="00F7488A">
        <w:t>años. Las esferas prioritarias del nuevo Ministerio incluyen:</w:t>
      </w:r>
    </w:p>
    <w:p w14:paraId="53757EF7" w14:textId="77777777" w:rsidR="00B70A36" w:rsidRPr="00F7488A" w:rsidRDefault="00B70A36" w:rsidP="00372CF7">
      <w:pPr>
        <w:pStyle w:val="Bullet1G"/>
      </w:pPr>
      <w:r w:rsidRPr="00F7488A">
        <w:t>La Estrategia de Participación Masculina para la Prevención de la Violencia Sexual y de Género en Sierra Leona.</w:t>
      </w:r>
    </w:p>
    <w:p w14:paraId="5D94B8FF" w14:textId="77777777" w:rsidR="00B70A36" w:rsidRPr="00F7488A" w:rsidRDefault="00B70A36" w:rsidP="00372CF7">
      <w:pPr>
        <w:pStyle w:val="Bullet1G"/>
      </w:pPr>
      <w:r w:rsidRPr="00F7488A">
        <w:t>El teléfono de asistencia gratuito para denunciar las violaciones y los actos de violencia sexual.</w:t>
      </w:r>
    </w:p>
    <w:p w14:paraId="2D8A04BA" w14:textId="77777777" w:rsidR="00B70A36" w:rsidRPr="00F7488A" w:rsidRDefault="00B70A36" w:rsidP="00372CF7">
      <w:pPr>
        <w:pStyle w:val="Bullet1G"/>
      </w:pPr>
      <w:r w:rsidRPr="00F7488A">
        <w:t>Los Centros de Atención Integral funcionan actualmente en seis distritos, con la previsión de crear más, uno en cada distrito, para responder a las violaciones y los actos de violencia sexual en lugares específicos.</w:t>
      </w:r>
    </w:p>
    <w:p w14:paraId="22E4113D" w14:textId="7A8A69E3" w:rsidR="00B70A36" w:rsidRPr="00F7488A" w:rsidRDefault="00B70A36" w:rsidP="00372CF7">
      <w:pPr>
        <w:pStyle w:val="SingleTxtG"/>
      </w:pPr>
      <w:r w:rsidRPr="00F7488A">
        <w:t>38.</w:t>
      </w:r>
      <w:r w:rsidRPr="00F7488A">
        <w:tab/>
        <w:t xml:space="preserve">Además, la iniciativa </w:t>
      </w:r>
      <w:r w:rsidR="00433C77">
        <w:t>“</w:t>
      </w:r>
      <w:r w:rsidRPr="00F7488A">
        <w:t>No toquéis a nuestras niñas</w:t>
      </w:r>
      <w:r w:rsidR="00433C77">
        <w:t>”</w:t>
      </w:r>
      <w:r w:rsidRPr="00F7488A">
        <w:t>, dirigida y apoyada por la Primera Dama, también ha servido para crear conciencia en todo el país, en particular en lo que se refiere a los derechos de las niñas frente a la violencia sexual.</w:t>
      </w:r>
    </w:p>
    <w:p w14:paraId="22761772" w14:textId="6E7440E5" w:rsidR="00B70A36" w:rsidRPr="00F7488A" w:rsidRDefault="00372CF7" w:rsidP="00372CF7">
      <w:pPr>
        <w:pStyle w:val="H4G"/>
      </w:pPr>
      <w:r>
        <w:tab/>
      </w:r>
      <w:r w:rsidR="00B70A36">
        <w:tab/>
      </w:r>
      <w:r w:rsidR="00B70A36" w:rsidRPr="00F7488A">
        <w:t>Empoderamiento de las mujeres</w:t>
      </w:r>
    </w:p>
    <w:p w14:paraId="276E326D" w14:textId="0C7F2CA5" w:rsidR="00B70A36" w:rsidRPr="00F7488A" w:rsidRDefault="00B70A36" w:rsidP="00372CF7">
      <w:pPr>
        <w:pStyle w:val="SingleTxtG"/>
      </w:pPr>
      <w:r w:rsidRPr="00F7488A">
        <w:t>39.</w:t>
      </w:r>
      <w:r w:rsidRPr="00F7488A">
        <w:tab/>
        <w:t>El 3 de diciembre de 2020, el Presidente Julius Maada Bio puso en marcha oficialmente la Política de Igualdad de Género y Empoderamiento de las Mujeres, que tiene por objeto el empoderamiento de las mujeres para que tomen decisiones en todos los sectores del paradigma del desarrollo. Esta es otra prueba del compromiso del Gobierno de Sierra</w:t>
      </w:r>
      <w:r w:rsidR="00372CF7">
        <w:t> </w:t>
      </w:r>
      <w:r w:rsidRPr="00F7488A">
        <w:t xml:space="preserve">Leona para lograr la igualdad de género. Sin embargo, la pandemia de </w:t>
      </w:r>
      <w:r w:rsidR="007B14CA" w:rsidRPr="00F7488A">
        <w:t>COVID-19</w:t>
      </w:r>
      <w:r w:rsidRPr="00F7488A">
        <w:t xml:space="preserve"> no solo se está cobrando vidas, sino que está paralizando las actividades de subsistencia de la mayoría de la población. Todas estas realidades tienen repercusiones abrumadoras y desproporcionadas en la vida y los medios de subsistencia de las mujeres y las niñas, y presentan oportunidades y retos en la búsqueda de la igualdad de género.</w:t>
      </w:r>
    </w:p>
    <w:p w14:paraId="49915A69" w14:textId="77777777" w:rsidR="00B70A36" w:rsidRPr="00F7488A" w:rsidRDefault="00B70A36" w:rsidP="00372CF7">
      <w:pPr>
        <w:pStyle w:val="SingleTxtG"/>
      </w:pPr>
      <w:r w:rsidRPr="00F7488A">
        <w:t>40.</w:t>
      </w:r>
      <w:r w:rsidRPr="00F7488A">
        <w:tab/>
        <w:t>Entre 2017 y 2021, el Gobierno de Sierra Leona puso en marcha proyectos de empoderamiento de la mujer financiados por la Comunidad Económica de los Estados de África Occidental (CEDEAO), en un intento por promover la igualdad de género. El objetivo principal de las becas es apoyar la educación de las mujeres y las niñas con el fin de que desarrollen las habilidades y competencias necesarias para participar activamente en la vida social, económica y política de sus países, y desempeñen un papel fundamental en el crecimiento y desarrollo económico nacionales.</w:t>
      </w:r>
    </w:p>
    <w:p w14:paraId="68464DAD" w14:textId="68F17DD9" w:rsidR="00B70A36" w:rsidRPr="00F7488A" w:rsidRDefault="00B70A36" w:rsidP="00372CF7">
      <w:pPr>
        <w:pStyle w:val="SingleTxtG"/>
      </w:pPr>
      <w:r w:rsidRPr="00F7488A">
        <w:t>41.</w:t>
      </w:r>
      <w:r w:rsidRPr="00F7488A">
        <w:tab/>
        <w:t>A través del programa de las Becas de Excelencia, el Ministerio de Asuntos de Género y de la Infancia lleva años proporcionando ayudas a la educación, principalmente para las niñas que están cursando estudios en los centros de educación secundaria, formación profesional y enseñanza terciaria. El objetivo a largo plazo es contribuir a conseguir la equidad e igualdad de género en la región de la CEDEAO. En el curso 2017/18, hubo 35</w:t>
      </w:r>
      <w:r w:rsidR="00372CF7">
        <w:t> </w:t>
      </w:r>
      <w:r w:rsidRPr="00F7488A">
        <w:t>beneficiarias (mujeres y niñas). El programa de becas se ha ampliado para incluir a niños excelentes y en situación de necesidad, por lo que, en 2019/20, el número de beneficiarios aumentó a 47 niñas y niños excelentes y necesitados: 42 niñas y 5 niños.</w:t>
      </w:r>
    </w:p>
    <w:p w14:paraId="6C1ED663" w14:textId="1C9791B6" w:rsidR="00B70A36" w:rsidRPr="00F7488A" w:rsidRDefault="00B70A36" w:rsidP="00372CF7">
      <w:pPr>
        <w:pStyle w:val="SingleTxtG"/>
      </w:pPr>
      <w:r w:rsidRPr="00F7488A">
        <w:t>42.</w:t>
      </w:r>
      <w:r w:rsidRPr="00F7488A">
        <w:tab/>
        <w:t xml:space="preserve">En 2019/2020, el Ministerio de Asuntos de Género y de la Infancia, a través de la HAIKAL Foundation (una organización no gubernamental </w:t>
      </w:r>
      <w:r w:rsidR="002D6470">
        <w:t xml:space="preserve">(ONG) </w:t>
      </w:r>
      <w:r w:rsidRPr="00F7488A">
        <w:t xml:space="preserve">que presta servicios clínicos y psicosociales a los pacientes de fístula) como </w:t>
      </w:r>
      <w:r w:rsidR="00AF4AA5">
        <w:t>entidad subsidiaria</w:t>
      </w:r>
      <w:r w:rsidRPr="00F7488A">
        <w:t xml:space="preserve"> de la subvención, contribuyó a la rehabilitación de 15 pacientes de fístula y proporcionó formación en aptitudes para la subsistencia a 15 pacientes de fístula obstétrica. Entre las aptitudes para la subsistencia básicas figuran la fabricación de jabón, la sastrería, el atado y teñido de gara, la tejeduría, la costura, la agricultura y las clases de alfabetización y aritmética para adultos.</w:t>
      </w:r>
    </w:p>
    <w:p w14:paraId="76138D6C" w14:textId="34B020B3" w:rsidR="00B70A36" w:rsidRPr="00F7488A" w:rsidRDefault="00372CF7" w:rsidP="00372CF7">
      <w:pPr>
        <w:pStyle w:val="H4G"/>
      </w:pPr>
      <w:r>
        <w:tab/>
      </w:r>
      <w:r w:rsidR="00B70A36">
        <w:tab/>
      </w:r>
      <w:r w:rsidR="00B70A36" w:rsidRPr="00F7488A">
        <w:t>Empoderamiento de la mujer a través de la actividad empresarial</w:t>
      </w:r>
    </w:p>
    <w:p w14:paraId="67255301" w14:textId="77777777" w:rsidR="00B70A36" w:rsidRPr="00F7488A" w:rsidRDefault="00B70A36" w:rsidP="00372CF7">
      <w:pPr>
        <w:pStyle w:val="SingleTxtG"/>
      </w:pPr>
      <w:r w:rsidRPr="00F7488A">
        <w:t>43.</w:t>
      </w:r>
      <w:r w:rsidRPr="00F7488A">
        <w:tab/>
        <w:t>La Incubadora de Empresas para Mujeres Emprendedoras Africanas, el proyecto piloto de Sierra Leona, es un proyecto de empoderamiento de las mujeres financiado por el Fondo España-NEPAD para el Empoderamiento de las Mujeres Africanas. La Comisión de la CEDEAO fue la encargada de ejecutar el proyecto, a través del Ministerio de Asuntos de Género y de la Infancia de Sierra Leona, como la beneficiaria de la subvención desde el 1 de enero de 2019 hasta mediados de noviembre de 2020.</w:t>
      </w:r>
    </w:p>
    <w:p w14:paraId="1DEE476D" w14:textId="77777777" w:rsidR="00B70A36" w:rsidRPr="00F7488A" w:rsidRDefault="00B70A36" w:rsidP="00372CF7">
      <w:pPr>
        <w:pStyle w:val="SingleTxtG"/>
      </w:pPr>
      <w:r w:rsidRPr="00F7488A">
        <w:t>44.</w:t>
      </w:r>
      <w:r w:rsidRPr="00F7488A">
        <w:tab/>
        <w:t>El objetivo de desarrollo del proyecto era transformar la vida de las mujeres agricultoras y comerciantes pobres y vulnerables del ámbito rural, mediante el estímulo de las oportunidades económicas y el apoyo al desarrollo de la cadena de valor para lograr el empoderamiento económico y la igualdad de género.</w:t>
      </w:r>
    </w:p>
    <w:p w14:paraId="5936CFF3" w14:textId="77777777" w:rsidR="00B70A36" w:rsidRPr="00F7488A" w:rsidRDefault="00B70A36" w:rsidP="00372CF7">
      <w:pPr>
        <w:pStyle w:val="SingleTxtG"/>
      </w:pPr>
      <w:r w:rsidRPr="00F7488A">
        <w:t>45.</w:t>
      </w:r>
      <w:r w:rsidRPr="00F7488A">
        <w:tab/>
        <w:t>En concreto, el proyecto apoyó la transformación de las mujeres agricultoras del ámbito rural mediante la consecución de los siguientes objetivos:</w:t>
      </w:r>
    </w:p>
    <w:p w14:paraId="26D495B0" w14:textId="364C0916" w:rsidR="00B70A36" w:rsidRPr="00F7488A" w:rsidRDefault="00B70A36" w:rsidP="00372CF7">
      <w:pPr>
        <w:pStyle w:val="Bullet1G"/>
      </w:pPr>
      <w:r w:rsidRPr="00F7488A">
        <w:t>Apoyo a las mujeres empresarias y a los grupos/asociaciones de mujeres en la creación de empresas sostenibles</w:t>
      </w:r>
      <w:r w:rsidR="00372CF7">
        <w:t>.</w:t>
      </w:r>
    </w:p>
    <w:p w14:paraId="447F56CE" w14:textId="26F4C227" w:rsidR="00B70A36" w:rsidRPr="00F7488A" w:rsidRDefault="00B70A36" w:rsidP="00372CF7">
      <w:pPr>
        <w:pStyle w:val="Bullet1G"/>
      </w:pPr>
      <w:r w:rsidRPr="00F7488A">
        <w:t>Creación de un centro de incubación sostenible para el empoderamiento económico de las mujeres en las esferas de interés del proyect</w:t>
      </w:r>
      <w:r w:rsidR="00372CF7">
        <w:t>o.</w:t>
      </w:r>
    </w:p>
    <w:p w14:paraId="6431FCD1" w14:textId="3B1DC344" w:rsidR="00B70A36" w:rsidRPr="00F7488A" w:rsidRDefault="00B70A36" w:rsidP="00372CF7">
      <w:pPr>
        <w:pStyle w:val="Bullet1G"/>
      </w:pPr>
      <w:r w:rsidRPr="00F7488A">
        <w:t>Establecimiento de un sistema de garantía de créditos que responda a las necesidades de microcréditos de las mujeres agricultoras y comerciantes del ámbito rural</w:t>
      </w:r>
      <w:r w:rsidR="00372CF7">
        <w:t>.</w:t>
      </w:r>
    </w:p>
    <w:p w14:paraId="6CBCD1EA" w14:textId="3F0C946C" w:rsidR="00B70A36" w:rsidRPr="00F7488A" w:rsidRDefault="00B70A36" w:rsidP="00372CF7">
      <w:pPr>
        <w:pStyle w:val="Bullet1G"/>
      </w:pPr>
      <w:r w:rsidRPr="00F7488A">
        <w:t>Establecimiento de una vía de acceso viable al mercado que pueda absorber los distintos productos</w:t>
      </w:r>
      <w:r w:rsidR="00372CF7">
        <w:t>.</w:t>
      </w:r>
    </w:p>
    <w:p w14:paraId="22CDDEBE" w14:textId="77777777" w:rsidR="00B70A36" w:rsidRPr="00F7488A" w:rsidRDefault="00B70A36" w:rsidP="00372CF7">
      <w:pPr>
        <w:pStyle w:val="Bullet1G"/>
      </w:pPr>
      <w:r w:rsidRPr="00F7488A">
        <w:t>Establecimiento de una estructura de gestión y gobernanza que garantice la consecución eficiente y eficaz de los objetivos del proyecto.</w:t>
      </w:r>
    </w:p>
    <w:p w14:paraId="4EE6E5AE" w14:textId="77777777" w:rsidR="00B70A36" w:rsidRPr="00F7488A" w:rsidRDefault="00B70A36" w:rsidP="00372CF7">
      <w:pPr>
        <w:pStyle w:val="SingleTxtG"/>
      </w:pPr>
      <w:r w:rsidRPr="00F7488A">
        <w:t>46.</w:t>
      </w:r>
      <w:r w:rsidRPr="00F7488A">
        <w:tab/>
        <w:t>El proyecto sirvió para ayudar concretamente a 200 beneficiarias (100 como empresarias individuales y 100 en 10 grupos formados) a crear empresas sostenibles mediante la creación de un centro de incubación de empresas que les proporcionó acceso a conocimientos y equipos tecnológicos en materia de agroindustria y adición de valor; el acceso a microcréditos a bajo interés y favorables para las mujeres, así como a vías de mercado viables que permitieron que las beneficiarias llevaran sus productos a los mercados cercanos.</w:t>
      </w:r>
    </w:p>
    <w:p w14:paraId="0B062911" w14:textId="60A6C3A1" w:rsidR="00B70A36" w:rsidRPr="00F7488A" w:rsidRDefault="00372CF7" w:rsidP="00372CF7">
      <w:pPr>
        <w:pStyle w:val="H4G"/>
      </w:pPr>
      <w:r>
        <w:tab/>
      </w:r>
      <w:r w:rsidR="00B70A36">
        <w:tab/>
      </w:r>
      <w:r w:rsidR="00B70A36" w:rsidRPr="00F7488A">
        <w:t>Violencia sexual y de género</w:t>
      </w:r>
    </w:p>
    <w:p w14:paraId="06623763" w14:textId="2CA1F6BA" w:rsidR="00B70A36" w:rsidRPr="00F7488A" w:rsidRDefault="00B70A36" w:rsidP="00372CF7">
      <w:pPr>
        <w:pStyle w:val="SingleTxtG"/>
      </w:pPr>
      <w:r w:rsidRPr="00F7488A">
        <w:t>47.</w:t>
      </w:r>
      <w:r w:rsidRPr="00F7488A">
        <w:tab/>
        <w:t>El Gobierno ha tomado medidas prácticas para combatir la violencia sexual y de género, en particular mediante la promulgación o formulación de leyes y políticas basadas en el género y la concienciación activa de la población acerca de las disposiciones de estas leyes y políticas. Entre 2009 y 2015, la Iniciativa Arcoíris, una ONG que ofrece reconocimientos médicos y presta asesoramiento psicosocial a los supervivientes de la violencia sexual y de género, registró 17.500 casos. El 91 % de estos casos fueron clasificados como violación/agresión sexual, y el 74 % de las víctimas tenían 17 años o menos. En 2018, se registraron 3.137 casos de abusos sexuales; el 93 % de las víctimas tenía menos de 17 años, y el 60 % menos de 15. En 2019, se registraron 3.701 casos, entre ellos hubo 3.041 mujeres infectadas con enfermedades de transmisión sexual, 598</w:t>
      </w:r>
      <w:r w:rsidR="00372CF7">
        <w:t> </w:t>
      </w:r>
      <w:r w:rsidRPr="00F7488A">
        <w:t>embarazos y 4 casos de VIH. En el período de enero a mayo de 2020, se registraron 1.272 casos de agresión sexual, 932 mujeres padecían enfermedades de transmisión sexual y 217 estaban embarazadas.</w:t>
      </w:r>
    </w:p>
    <w:p w14:paraId="00F38C03" w14:textId="0B1DD8F9" w:rsidR="00B70A36" w:rsidRPr="00F7488A" w:rsidRDefault="00372CF7" w:rsidP="00372CF7">
      <w:pPr>
        <w:pStyle w:val="H4G"/>
      </w:pPr>
      <w:r>
        <w:tab/>
      </w:r>
      <w:r w:rsidR="00B70A36">
        <w:tab/>
      </w:r>
      <w:r w:rsidR="00B70A36" w:rsidRPr="00F7488A">
        <w:t xml:space="preserve">Mecanismos de </w:t>
      </w:r>
      <w:r w:rsidR="00FC305A">
        <w:t>r</w:t>
      </w:r>
      <w:r w:rsidR="00B70A36" w:rsidRPr="00F7488A">
        <w:t xml:space="preserve">eparación </w:t>
      </w:r>
      <w:r w:rsidR="00FC305A">
        <w:t>i</w:t>
      </w:r>
      <w:r w:rsidR="00B70A36" w:rsidRPr="00F7488A">
        <w:t>ndependiente (Tribunal Modelo de Delitos Sexuales)</w:t>
      </w:r>
    </w:p>
    <w:p w14:paraId="1A4F07AA" w14:textId="7AFD3EE5" w:rsidR="00B70A36" w:rsidRPr="00F7488A" w:rsidRDefault="00B70A36" w:rsidP="00372CF7">
      <w:pPr>
        <w:pStyle w:val="SingleTxtG"/>
      </w:pPr>
      <w:r w:rsidRPr="00F7488A">
        <w:t>48.</w:t>
      </w:r>
      <w:r w:rsidRPr="00F7488A">
        <w:tab/>
        <w:t xml:space="preserve">Para reforzar los mecanismos de respuesta a la violencia sexual y de género, el 24 de julio de 2020 el Gobierno creó el Tribunal Modelo de Delitos Sexuales. Entre agosto y diciembre de 2020, el Tribunal Modelo recibió un total de 228 expedientes, que fueron asignados a los </w:t>
      </w:r>
      <w:r w:rsidR="00FC305A">
        <w:t>8</w:t>
      </w:r>
      <w:r w:rsidRPr="00F7488A">
        <w:t xml:space="preserve"> jueces. Entre todos esos expedientes hubo 21 condenas y 7 denuncias desestimadas. En el Tribunal Modelo se siguen tramitando 200 casos. Las principales dificultades que se plantean son:</w:t>
      </w:r>
    </w:p>
    <w:p w14:paraId="64E5BD8D" w14:textId="49F1DA95" w:rsidR="00B70A36" w:rsidRPr="00F7488A" w:rsidRDefault="00B70A36" w:rsidP="00372CF7">
      <w:pPr>
        <w:pStyle w:val="Bullet1G"/>
      </w:pPr>
      <w:r w:rsidRPr="00F7488A">
        <w:t>La limitada capacidad para aplicar/ejecutar las disposiciones legislativas relacionadas con la violencia de género</w:t>
      </w:r>
      <w:r w:rsidR="00372CF7">
        <w:t>.</w:t>
      </w:r>
    </w:p>
    <w:p w14:paraId="5CA5C9C9" w14:textId="7213238C" w:rsidR="00B70A36" w:rsidRPr="00F7488A" w:rsidRDefault="00B70A36" w:rsidP="00372CF7">
      <w:pPr>
        <w:pStyle w:val="Bullet1G"/>
      </w:pPr>
      <w:r w:rsidRPr="00F7488A">
        <w:t>Unos servicios de respuesta a la violencia de género manifiestamente insuficientes</w:t>
      </w:r>
      <w:r w:rsidR="00372CF7">
        <w:t>.</w:t>
      </w:r>
    </w:p>
    <w:p w14:paraId="5F3B1A68" w14:textId="77777777" w:rsidR="00B70A36" w:rsidRPr="00F7488A" w:rsidRDefault="00B70A36" w:rsidP="00372CF7">
      <w:pPr>
        <w:pStyle w:val="Bullet1G"/>
      </w:pPr>
      <w:r w:rsidRPr="00F7488A">
        <w:t>La falta de centros de acogida seguros y laboratorios forenses para el examen clínico eficaz de las agresiones sexuales (violaciones), entre otras cosas.</w:t>
      </w:r>
    </w:p>
    <w:p w14:paraId="7970E151" w14:textId="6347B0A3" w:rsidR="00B70A36" w:rsidRPr="00F7488A" w:rsidRDefault="00372CF7" w:rsidP="00372CF7">
      <w:pPr>
        <w:pStyle w:val="H4G"/>
      </w:pPr>
      <w:r>
        <w:tab/>
      </w:r>
      <w:r w:rsidR="00B70A36">
        <w:tab/>
      </w:r>
      <w:r w:rsidR="00B70A36" w:rsidRPr="00F7488A">
        <w:t>Reducir las desventajas económicas a las que se enfrentan las mujeres</w:t>
      </w:r>
    </w:p>
    <w:p w14:paraId="7A80E2F3" w14:textId="4CB9FABF" w:rsidR="00B70A36" w:rsidRPr="00F7488A" w:rsidRDefault="00B70A36" w:rsidP="00372CF7">
      <w:pPr>
        <w:pStyle w:val="SingleTxtG"/>
      </w:pPr>
      <w:r w:rsidRPr="00F7488A">
        <w:t>49.</w:t>
      </w:r>
      <w:r w:rsidRPr="00F7488A">
        <w:tab/>
        <w:t>Para hacer frente a las desventajas económicas a las que se enfrentan las mujeres, es preciso reconstruir las normas sociales y culturales y los estereotipos de género existentes desde hace mucho tiempo, y que rigen las relaciones, los papeles y las responsabilidades de hombres y mujeres, así como el acceso al poder, los recursos y los privilegios. Hay que empezar por formular leyes y políticas de discriminación positiva. Por ello, en febrero de</w:t>
      </w:r>
      <w:r w:rsidR="00FC305A">
        <w:t> </w:t>
      </w:r>
      <w:r w:rsidRPr="00F7488A">
        <w:t>2020, el Ministerio de Asuntos de Género y de la Infancia elaboró la Estrategia Nacional de Participación Masculina para la Reducción de la Violencia de Género como muestra del compromiso contraído por el Gobierno de Sierra Leona para erradicar la violencia sexual y de género y promover la igualdad de género y la defensa de los derechos y la dignidad de las mujeres. La Estrategia contiene un enfoque de transformación social que pretende acelerar la aplicación de una amplia participación comunitaria y, en particular, la participación de hombres y niños como agentes de cambio y defensores de la protección de las mujeres y las niñas en sus familias, comunidades, escuelas, lugares de trabajo y cualquier espacio público, al tiempo que presta atención a las víctimas masculinas de la violencia.</w:t>
      </w:r>
    </w:p>
    <w:p w14:paraId="3D8F6E4D" w14:textId="77777777" w:rsidR="00B70A36" w:rsidRPr="00F7488A" w:rsidRDefault="00B70A36" w:rsidP="00372CF7">
      <w:pPr>
        <w:pStyle w:val="SingleTxtG"/>
      </w:pPr>
      <w:r w:rsidRPr="00F7488A">
        <w:t>50.</w:t>
      </w:r>
      <w:r w:rsidRPr="00F7488A">
        <w:tab/>
        <w:t>La formulación de la Política de Igualdad de Género y Empoderamiento de las Mujeres es un paso más para abordar las desventajas económicas a las que se enfrentan las mujeres. Consta de las siguientes nueve esferas políticas de interés:</w:t>
      </w:r>
    </w:p>
    <w:p w14:paraId="42875AB6" w14:textId="55528641" w:rsidR="00B70A36" w:rsidRPr="00F7488A" w:rsidRDefault="00B70A36" w:rsidP="00372CF7">
      <w:pPr>
        <w:pStyle w:val="Bullet1G"/>
      </w:pPr>
      <w:r w:rsidRPr="00F7488A">
        <w:t>Desarrollo rural y pobreza</w:t>
      </w:r>
      <w:r w:rsidR="00372CF7">
        <w:t>.</w:t>
      </w:r>
    </w:p>
    <w:p w14:paraId="5DAFD0AE" w14:textId="59F54646" w:rsidR="00B70A36" w:rsidRPr="00F7488A" w:rsidRDefault="00B70A36" w:rsidP="00372CF7">
      <w:pPr>
        <w:pStyle w:val="Bullet1G"/>
      </w:pPr>
      <w:r w:rsidRPr="00F7488A">
        <w:t>Educación y formación</w:t>
      </w:r>
      <w:r w:rsidR="00372CF7">
        <w:t>.</w:t>
      </w:r>
    </w:p>
    <w:p w14:paraId="3CE597E0" w14:textId="3195E364" w:rsidR="00B70A36" w:rsidRPr="00F7488A" w:rsidRDefault="00B70A36" w:rsidP="00372CF7">
      <w:pPr>
        <w:pStyle w:val="Bullet1G"/>
      </w:pPr>
      <w:r w:rsidRPr="00F7488A">
        <w:t>Salud, salud reproductiva/VIH/sida</w:t>
      </w:r>
      <w:r w:rsidR="00372CF7">
        <w:t>.</w:t>
      </w:r>
    </w:p>
    <w:p w14:paraId="4F003F18" w14:textId="5E4145BF" w:rsidR="00B70A36" w:rsidRPr="00F7488A" w:rsidRDefault="00B70A36" w:rsidP="00372CF7">
      <w:pPr>
        <w:pStyle w:val="Bullet1G"/>
      </w:pPr>
      <w:r w:rsidRPr="00F7488A">
        <w:t>Comercio y desarrollo económico</w:t>
      </w:r>
      <w:r w:rsidR="00372CF7">
        <w:t>.</w:t>
      </w:r>
    </w:p>
    <w:p w14:paraId="578169F0" w14:textId="091DA91A" w:rsidR="00B70A36" w:rsidRPr="00F7488A" w:rsidRDefault="00B70A36" w:rsidP="00372CF7">
      <w:pPr>
        <w:pStyle w:val="Bullet1G"/>
      </w:pPr>
      <w:r w:rsidRPr="00F7488A">
        <w:t>Toma de decisiones y liderazgo político</w:t>
      </w:r>
      <w:r w:rsidR="00372CF7">
        <w:t>.</w:t>
      </w:r>
    </w:p>
    <w:p w14:paraId="1AC9FD72" w14:textId="51ECEF76" w:rsidR="00B70A36" w:rsidRPr="00F7488A" w:rsidRDefault="00B70A36" w:rsidP="00372CF7">
      <w:pPr>
        <w:pStyle w:val="Bullet1G"/>
      </w:pPr>
      <w:r w:rsidRPr="00F7488A">
        <w:t>Violencia de género</w:t>
      </w:r>
      <w:r w:rsidR="00372CF7">
        <w:t>.</w:t>
      </w:r>
    </w:p>
    <w:p w14:paraId="520CCF69" w14:textId="09AB515F" w:rsidR="00B70A36" w:rsidRPr="00F7488A" w:rsidRDefault="00B70A36" w:rsidP="00372CF7">
      <w:pPr>
        <w:pStyle w:val="Bullet1G"/>
      </w:pPr>
      <w:r w:rsidRPr="00F7488A">
        <w:t>Medios de comunicación y acceso a la información, tecnologías de la comunicación e innovación</w:t>
      </w:r>
      <w:r w:rsidR="00372CF7">
        <w:t>.</w:t>
      </w:r>
    </w:p>
    <w:p w14:paraId="507DD68B" w14:textId="0C5D5247" w:rsidR="00B70A36" w:rsidRPr="00F7488A" w:rsidRDefault="00B70A36" w:rsidP="00372CF7">
      <w:pPr>
        <w:pStyle w:val="Bullet1G"/>
      </w:pPr>
      <w:r w:rsidRPr="00F7488A">
        <w:t>Cuestiones jurídicas y de derechos humanos</w:t>
      </w:r>
      <w:r w:rsidR="00372CF7">
        <w:t>.</w:t>
      </w:r>
    </w:p>
    <w:p w14:paraId="069C85D1" w14:textId="732A1A13" w:rsidR="00B70A36" w:rsidRPr="00F7488A" w:rsidRDefault="00B70A36" w:rsidP="00372CF7">
      <w:pPr>
        <w:pStyle w:val="Bullet1G"/>
      </w:pPr>
      <w:r w:rsidRPr="00F7488A">
        <w:t>El medio ambiente</w:t>
      </w:r>
      <w:r w:rsidR="00372CF7">
        <w:t>.</w:t>
      </w:r>
    </w:p>
    <w:p w14:paraId="3DC644F2" w14:textId="3BD6B6D0" w:rsidR="00B70A36" w:rsidRPr="00F7488A" w:rsidRDefault="00B70A36" w:rsidP="00372CF7">
      <w:pPr>
        <w:pStyle w:val="SingleTxtG"/>
      </w:pPr>
      <w:r w:rsidRPr="00F7488A">
        <w:t>51.</w:t>
      </w:r>
      <w:r w:rsidRPr="00F7488A">
        <w:tab/>
        <w:t>Cada una de las esferas políticas de interés cuenta con estrategias de intervención e indicadores de éxito. También existe un programa de educación universitaria gratuita para las mujeres que estudian Ciencias, Tecnología, Ingeniería, Agricultura y Matemáticas (STEAM). En el curso 2020/21, 520 mujeres se beneficiaron del programa.</w:t>
      </w:r>
    </w:p>
    <w:p w14:paraId="7A4FBD38" w14:textId="77777777" w:rsidR="00B70A36" w:rsidRPr="00F7488A" w:rsidRDefault="00B70A36" w:rsidP="00372CF7">
      <w:pPr>
        <w:pStyle w:val="SingleTxtG"/>
      </w:pPr>
      <w:r w:rsidRPr="00F7488A">
        <w:t>52.</w:t>
      </w:r>
      <w:r w:rsidRPr="00F7488A">
        <w:tab/>
        <w:t>El proyecto piloto de Sierra Leona denominado Incubadora de Empresas para Mujeres Emprendedoras Africanas, un proyecto de empoderamiento de la mujer financiado por el Fondo España-NEPAD para el Empoderamiento de las Mujeres Africanas, es otra forma práctica de abordar las desventajas económicas a las que se enfrentan las mujeres. La Comisión de la CEDEAO fue la encargada de ejecutar el proyecto, a través del Ministerio de Asuntos de Género y de la Infancia de Sierra Leona, como la beneficiaria de la subvención desde el 1 de enero de 2019 hasta mediados de noviembre de 2020. El objetivo de desarrollo del proyecto era transformar la vida de las mujeres agricultoras y comerciantes pobres y vulnerables del ámbito rural, mediante el estímulo de las oportunidades económicas y el apoyo al desarrollo de la cadena de valor para lograr el empoderamiento económico y la igualdad de género.</w:t>
      </w:r>
    </w:p>
    <w:p w14:paraId="601B0E38" w14:textId="77777777" w:rsidR="00B70A36" w:rsidRPr="00F7488A" w:rsidRDefault="00B70A36" w:rsidP="00372CF7">
      <w:pPr>
        <w:pStyle w:val="SingleTxtG"/>
      </w:pPr>
      <w:r w:rsidRPr="00F7488A">
        <w:t>53.</w:t>
      </w:r>
      <w:r w:rsidRPr="00F7488A">
        <w:tab/>
        <w:t>En concreto, el proyecto apoyó la transformación de las mujeres agricultoras del ámbito rural mediante la consecución de los siguientes objetivos:</w:t>
      </w:r>
    </w:p>
    <w:p w14:paraId="08FD645F" w14:textId="5E1B9599" w:rsidR="00B70A36" w:rsidRPr="00F7488A" w:rsidRDefault="00B70A36" w:rsidP="00433C77">
      <w:pPr>
        <w:pStyle w:val="Bullet1G"/>
      </w:pPr>
      <w:r w:rsidRPr="00F7488A">
        <w:t>Apoyo a las mujeres empresarias y a los grupos/asociaciones de mujeres en la creación de empresas sostenibles</w:t>
      </w:r>
      <w:r w:rsidR="00433C77">
        <w:t>.</w:t>
      </w:r>
    </w:p>
    <w:p w14:paraId="7C0044CF" w14:textId="31B706C4" w:rsidR="00B70A36" w:rsidRPr="00F7488A" w:rsidRDefault="00B70A36" w:rsidP="00433C77">
      <w:pPr>
        <w:pStyle w:val="Bullet1G"/>
      </w:pPr>
      <w:r w:rsidRPr="00F7488A">
        <w:t>Creación de un centro de incubación sostenible para el empoderamiento económico de las mujeres en las esferas de interés del proyecto</w:t>
      </w:r>
      <w:r w:rsidR="00433C77">
        <w:t>.</w:t>
      </w:r>
    </w:p>
    <w:p w14:paraId="315CB129" w14:textId="5CCC8765" w:rsidR="00B70A36" w:rsidRPr="00F7488A" w:rsidRDefault="00B70A36" w:rsidP="00433C77">
      <w:pPr>
        <w:pStyle w:val="Bullet1G"/>
      </w:pPr>
      <w:r w:rsidRPr="00F7488A">
        <w:t>Establecimiento de un sistema de garantía de créditos que responda a las necesidades de microcréditos de las mujeres agricultoras y comerciantes del ámbito rural</w:t>
      </w:r>
      <w:r w:rsidR="00433C77">
        <w:t>.</w:t>
      </w:r>
    </w:p>
    <w:p w14:paraId="4C054464" w14:textId="33CEDD3B" w:rsidR="00B70A36" w:rsidRPr="00F7488A" w:rsidRDefault="00B70A36" w:rsidP="00433C77">
      <w:pPr>
        <w:pStyle w:val="Bullet1G"/>
      </w:pPr>
      <w:r w:rsidRPr="00F7488A">
        <w:t>Establecimiento de una vía de acceso viable al mercado que pueda absorber los distintos productos</w:t>
      </w:r>
      <w:r w:rsidR="00433C77">
        <w:t>.</w:t>
      </w:r>
    </w:p>
    <w:p w14:paraId="011D89A6" w14:textId="77777777" w:rsidR="00B70A36" w:rsidRPr="00F7488A" w:rsidRDefault="00B70A36" w:rsidP="00433C77">
      <w:pPr>
        <w:pStyle w:val="Bullet1G"/>
      </w:pPr>
      <w:r w:rsidRPr="00F7488A">
        <w:t>Establecimiento de una estructura de gestión y gobernanza que garantice la consecución eficiente y eficaz de los objetivos del proyecto.</w:t>
      </w:r>
    </w:p>
    <w:p w14:paraId="65364632" w14:textId="77777777" w:rsidR="00B70A36" w:rsidRPr="00F7488A" w:rsidRDefault="00B70A36" w:rsidP="00372CF7">
      <w:pPr>
        <w:pStyle w:val="SingleTxtG"/>
      </w:pPr>
      <w:r w:rsidRPr="00F7488A">
        <w:t>54.</w:t>
      </w:r>
      <w:r w:rsidRPr="00F7488A">
        <w:tab/>
        <w:t>El proyecto se puso a prueba en la jefatura de Kakua y en las cinco jefaturas vecinas (Gbo, Tikonko, Selenga, Jaiama y Baoma) del distrito de Bo, en la región sur de Sierra Leona. El proyecto estaba dirigido a 200 mujeres agricultoras y comerciantes dedicadas a la transformación del arroz (secado, molienda y embolsado); la transformación del aceite de palma; la transformación de la mandioca (en particular, la transformación y el envasado de garri); la conservación y comercialización de hortalizas; y la ganadería (cabras).</w:t>
      </w:r>
    </w:p>
    <w:p w14:paraId="6E2FE266" w14:textId="77777777" w:rsidR="00B70A36" w:rsidRPr="00F7488A" w:rsidRDefault="00B70A36" w:rsidP="00372CF7">
      <w:pPr>
        <w:pStyle w:val="SingleTxtG"/>
      </w:pPr>
      <w:r w:rsidRPr="00F7488A">
        <w:t>55.</w:t>
      </w:r>
      <w:r w:rsidRPr="00F7488A">
        <w:tab/>
        <w:t>El proyecto sirvió para ayudar concretamente a 200 beneficiarias (100 como empresarias individuales y 100 en 10 grupos formados) a crear empresas sostenibles mediante la creación de un centro de incubación de empresas que les proporcionó acceso a conocimientos y equipos tecnológicos en materia de agroindustria y adición de valor; el acceso a microcréditos a bajo interés y favorables a las mujeres, así como a vías de mercado viables que permitieron que las beneficiarias llevaran sus productos a los mercados cercanos.</w:t>
      </w:r>
    </w:p>
    <w:p w14:paraId="3E0D607C" w14:textId="77777777" w:rsidR="00B70A36" w:rsidRPr="00F7488A" w:rsidRDefault="00B70A36" w:rsidP="00372CF7">
      <w:pPr>
        <w:pStyle w:val="SingleTxtG"/>
      </w:pPr>
      <w:r w:rsidRPr="00F7488A">
        <w:t>56.</w:t>
      </w:r>
      <w:r w:rsidRPr="00F7488A">
        <w:tab/>
        <w:t>El acceso de las mujeres a la financiación, en particular de las mujeres pobres y marginadas, ha supuesto un enorme reto desde el final de la guerra civil en 2002. Por esta razón, el Gobierno promulgó la Ley de la Agencia de Desarrollo de la Pequeña y Mediana Empresa de 2015/16. A través de esta Ley, el Gobierno ha implantado oficinas en todo el país para impartir formación y conceder préstamos en condiciones favorables a las mujeres que gestionan pequeñas y medianas empresas en las comunidades rurales pobres. En febrero de 2021, el Presidente Julius Maada Bio inauguró el Fondo Munafa, un programa de préstamos de 100.000 millones de leones (10 millones de dólares) para 2020-2023. Únicamente en 2021, el Gobierno concedió préstamos a más de 2.000 mujeres a un interés de un dígito sobre el capital. Este programa abordará la cuestión de la baja participación económica de las mujeres de las zonas rurales y acelerará su participación en las actividades socioculturales.</w:t>
      </w:r>
    </w:p>
    <w:p w14:paraId="223B5196" w14:textId="77777777" w:rsidR="00B70A36" w:rsidRPr="00F7488A" w:rsidRDefault="00B70A36" w:rsidP="00372CF7">
      <w:pPr>
        <w:pStyle w:val="SingleTxtG"/>
      </w:pPr>
      <w:r w:rsidRPr="00F7488A">
        <w:t>57.</w:t>
      </w:r>
      <w:r w:rsidRPr="00F7488A">
        <w:tab/>
        <w:t>Sierra Leona goza de ricas creencias y prácticas culturales y tradicionales. Los matrimonios interculturales entre los 16 grupos étnicos son muy habituales, incluso entre las clases elitistas y políticas. Todos los grupos étnicos exhiben abiertamente sus prácticas tradicionales. Para fortalecer estas prácticas, el Gobierno ha creado un ministerio independiente, el Ministerio de Turismo y Asuntos Culturales, que se encarga exclusivamente de proteger las creencias culturales y tradicionales.</w:t>
      </w:r>
    </w:p>
    <w:p w14:paraId="58B5A77B" w14:textId="6797B088" w:rsidR="00B70A36" w:rsidRPr="00F7488A" w:rsidRDefault="00B70A36" w:rsidP="00372CF7">
      <w:pPr>
        <w:pStyle w:val="SingleTxtG"/>
      </w:pPr>
      <w:r w:rsidRPr="00F7488A">
        <w:t>58.</w:t>
      </w:r>
      <w:r w:rsidRPr="00F7488A">
        <w:tab/>
        <w:t>Sin embargo, la mutilación genital femenina y otras prácticas tradicionales nocivas siguen suscitando polémica. Sierra Leona ratificó el Protocolo de la Carta Africana de Derechos Humanos y de los Pueblos relativo a los Derechos de la Mujer en África (Protocolo de Maputo)</w:t>
      </w:r>
      <w:r w:rsidRPr="00F7488A">
        <w:rPr>
          <w:rStyle w:val="Refdenotaalpie"/>
        </w:rPr>
        <w:footnoteReference w:id="10"/>
      </w:r>
      <w:r w:rsidRPr="00F7488A">
        <w:t xml:space="preserve"> sin reservas. En cumplimiento del artículo 5 del Protocolo, el Gobierno de Sierra</w:t>
      </w:r>
      <w:r w:rsidR="005206E4">
        <w:t> </w:t>
      </w:r>
      <w:r w:rsidRPr="00F7488A">
        <w:t xml:space="preserve">Leona, a través del Ministerio de Asuntos de Género y de la Infancia y de los asociados que trabajan en la protección de la infancia y de las mujeres, está dando pasos graduales hacia la completa eliminación de estas prácticas. Estos pasos incluyen medidas de sensibilización y concienciación que han llevado a la firma de los memorandos de entendimiento con las </w:t>
      </w:r>
      <w:r w:rsidRPr="00F7488A">
        <w:rPr>
          <w:i/>
          <w:iCs/>
        </w:rPr>
        <w:t>soweis</w:t>
      </w:r>
      <w:r w:rsidRPr="00F7488A">
        <w:rPr>
          <w:rStyle w:val="Refdenotaalpie"/>
        </w:rPr>
        <w:footnoteReference w:id="11"/>
      </w:r>
      <w:r w:rsidRPr="00F7488A">
        <w:t xml:space="preserve"> para que desistan de la iniciación de las niñas menores de edad (0</w:t>
      </w:r>
      <w:r w:rsidR="005206E4">
        <w:t xml:space="preserve"> a</w:t>
      </w:r>
      <w:r w:rsidR="00FB0D89">
        <w:t xml:space="preserve"> </w:t>
      </w:r>
      <w:r w:rsidRPr="00F7488A">
        <w:t>18 años). En marzo de 2021, el Ministerio de Asuntos de Género y de la Infancia, con el apoyo financiero y técnico de sus asociados, llevó a cabo consultas en los distritos y validaciones regionales para revisar la Ley de Derechos del Niño de 2007. Entre las recomendaciones obtenidas del proceso consultivo figuraba la prohibición de la mutilación genital femenina y la tipificación como delito de esta práctica.</w:t>
      </w:r>
    </w:p>
    <w:p w14:paraId="4BE6F82B" w14:textId="77777777" w:rsidR="00B70A36" w:rsidRPr="00F7488A" w:rsidRDefault="00B70A36" w:rsidP="00372CF7">
      <w:pPr>
        <w:pStyle w:val="SingleTxtG"/>
      </w:pPr>
      <w:r w:rsidRPr="00F7488A">
        <w:t>59.</w:t>
      </w:r>
      <w:r w:rsidRPr="00F7488A">
        <w:tab/>
        <w:t>En la mayoría de las comunidades rurales, la escasez de recursos y las normas culturales hacían que fuera una práctica común la preferencia de enviar a la escuela a los hijos varones, en lugar de las niñas. Para hacer frente a esta situación, el Gobierno introdujo la educación gratuita de calidad para todos los niños y niñas en la enseñanza primaria y secundaria.</w:t>
      </w:r>
    </w:p>
    <w:p w14:paraId="76CB6555" w14:textId="77777777" w:rsidR="00B70A36" w:rsidRPr="00F7488A" w:rsidRDefault="00B70A36" w:rsidP="00372CF7">
      <w:pPr>
        <w:pStyle w:val="SingleTxtG"/>
      </w:pPr>
      <w:r w:rsidRPr="00F7488A">
        <w:t>60.</w:t>
      </w:r>
      <w:r w:rsidRPr="00F7488A">
        <w:tab/>
        <w:t>La mayoría de las leyes tradicionales no contemplan que las mujeres ostenten la propiedad de las tierras. En 2015, el Gobierno revisó la Política Nacional de Tierras para, entre otras cosas:</w:t>
      </w:r>
    </w:p>
    <w:p w14:paraId="73FB544E" w14:textId="6094DDC5" w:rsidR="00B70A36" w:rsidRPr="00F7488A" w:rsidRDefault="00B70A36" w:rsidP="00433C77">
      <w:pPr>
        <w:pStyle w:val="Bullet1G"/>
      </w:pPr>
      <w:r w:rsidRPr="00F7488A">
        <w:t>Insertar la protección efectiva de los derechos de la mujer a la tierra y otros recursos relacionados en toda la legislación pertinente</w:t>
      </w:r>
      <w:r w:rsidR="00433C77">
        <w:t>.</w:t>
      </w:r>
    </w:p>
    <w:p w14:paraId="0BDE19DE" w14:textId="66CFDF79" w:rsidR="00B70A36" w:rsidRPr="00F7488A" w:rsidRDefault="00B70A36" w:rsidP="00433C77">
      <w:pPr>
        <w:pStyle w:val="Bullet1G"/>
      </w:pPr>
      <w:r w:rsidRPr="00F7488A">
        <w:t>Hacer cumplir las leyes existentes y establecer un marco legislativo claro para proteger los derechos de las mujeres en cuestiones relacionadas con la tierra en términos de acceso/sucesión y uso de los recursos terrestres</w:t>
      </w:r>
      <w:r w:rsidR="00433C77">
        <w:t>.</w:t>
      </w:r>
    </w:p>
    <w:p w14:paraId="629311EB" w14:textId="214E00DC" w:rsidR="00B70A36" w:rsidRPr="00F7488A" w:rsidRDefault="00B70A36" w:rsidP="00433C77">
      <w:pPr>
        <w:pStyle w:val="Bullet1G"/>
      </w:pPr>
      <w:r w:rsidRPr="00F7488A">
        <w:t>Mejorar y garantizar el acceso de las mujeres a la tierra y su seguridad de la tenencia</w:t>
      </w:r>
      <w:r w:rsidR="00433C77">
        <w:t>.</w:t>
      </w:r>
    </w:p>
    <w:p w14:paraId="3F234E05" w14:textId="01A33394" w:rsidR="00B70A36" w:rsidRPr="00F7488A" w:rsidRDefault="00B70A36" w:rsidP="00433C77">
      <w:pPr>
        <w:pStyle w:val="Bullet1G"/>
      </w:pPr>
      <w:r w:rsidRPr="00F7488A">
        <w:t>Facilitar la adquisición de tierras por parte de las mujeres por derecho propio, no solo mediante la compra, sino también a través de asignaciones</w:t>
      </w:r>
      <w:r w:rsidR="00433C77">
        <w:t>.</w:t>
      </w:r>
    </w:p>
    <w:p w14:paraId="4874F400" w14:textId="78A9B068" w:rsidR="00B70A36" w:rsidRPr="00F7488A" w:rsidRDefault="00B70A36" w:rsidP="00433C77">
      <w:pPr>
        <w:pStyle w:val="Bullet1G"/>
      </w:pPr>
      <w:r w:rsidRPr="00F7488A">
        <w:t>Prever el registro de los títulos y la documentación de los derechos sobre la tierra de forma conjunta entre cónyuges y adultos, así como el consentimiento conjunto de los cónyuges para la enajenación de tierras, aplicable a todas las formas de tenencia</w:t>
      </w:r>
      <w:r w:rsidR="00433C77">
        <w:t>.</w:t>
      </w:r>
    </w:p>
    <w:p w14:paraId="49C18A34" w14:textId="06092FDE" w:rsidR="00B70A36" w:rsidRPr="00F7488A" w:rsidRDefault="00B70A36" w:rsidP="00433C77">
      <w:pPr>
        <w:pStyle w:val="Bullet1G"/>
      </w:pPr>
      <w:r w:rsidRPr="00F7488A">
        <w:t>Garantizar por ley los derechos de acceso/sucesión de las mujeres, en particular las hijas solteras</w:t>
      </w:r>
      <w:r w:rsidR="00433C77">
        <w:t>.</w:t>
      </w:r>
    </w:p>
    <w:p w14:paraId="20DFBD71" w14:textId="642CF468" w:rsidR="00B70A36" w:rsidRPr="00F7488A" w:rsidRDefault="00B70A36" w:rsidP="00433C77">
      <w:pPr>
        <w:pStyle w:val="Bullet1G"/>
      </w:pPr>
      <w:r w:rsidRPr="00F7488A">
        <w:t>Garantizar una representación proporcional de las mujeres en las instituciones que se ocupan de las cuestiones de la tierra a todos los niveles</w:t>
      </w:r>
      <w:r w:rsidR="00433C77">
        <w:t>.</w:t>
      </w:r>
    </w:p>
    <w:p w14:paraId="427355A4" w14:textId="77777777" w:rsidR="00B70A36" w:rsidRPr="00F7488A" w:rsidRDefault="00B70A36" w:rsidP="00433C77">
      <w:pPr>
        <w:pStyle w:val="Bullet1G"/>
      </w:pPr>
      <w:r w:rsidRPr="00F7488A">
        <w:t>Modificar el capítulo 122 de la Ley de Suelo de las Provincias para eliminar la distinción discriminatoria entre ciudadanos nativos y no nativos.</w:t>
      </w:r>
    </w:p>
    <w:p w14:paraId="5DA95A41" w14:textId="77777777" w:rsidR="00B70A36" w:rsidRPr="00F7488A" w:rsidRDefault="00B70A36" w:rsidP="00372CF7">
      <w:pPr>
        <w:pStyle w:val="SingleTxtG"/>
      </w:pPr>
      <w:r w:rsidRPr="00F7488A">
        <w:t>61.</w:t>
      </w:r>
      <w:r w:rsidRPr="00F7488A">
        <w:tab/>
        <w:t>El Gobierno ha desarrollado la Política de Igualdad de Género y Empoderamiento de las Mujeres, que tiene un eje de actuación que se centra en la participación de las mujeres en la política e incluye objetivos y acciones estratégicas. Las acciones estratégicas establecidas incluyen lograr que la Comisión de Inscripción de Partidos Políticos revise la Ley de Partidos Políticos para obligar a los partidos a que apliquen la cuota mínima del 30 % a todos los niveles, adoptar acciones afirmativas como la cuota mínima del 30 % en los partidos políticos y la gobernanza a todos los niveles, reformar la Constitución para incorporar acciones afirmativas que garanticen la participación de las mujeres en la toma de decisiones y el liderazgo político, reformar las leyes locales y tradicionales y adecuarlas a las leyes ordinarias para permitir la participación de las mujeres en el liderazgo y la toma de decisiones a nivel nacional y local, crear una base de datos sobre posibles candidatas para los puestos de liderazgo y toma de decisiones y compartirla regularmente con las partes interesadas, en particular la Oficina del Presidente y los ministerios, departamentos y organismos pertinentes, entre otros. Para que esto sea aplicable, el Ministerio de Asuntos de Género y de la Infancia va a promulgar el proyecto de ley sobre la cuota mínima del 30 % para las mujeres en todos los aspectos de la vida pública.</w:t>
      </w:r>
    </w:p>
    <w:p w14:paraId="44F85C1C" w14:textId="415C3C8E" w:rsidR="00B70A36" w:rsidRPr="00F7488A" w:rsidRDefault="00B70A36" w:rsidP="00372CF7">
      <w:pPr>
        <w:pStyle w:val="SingleTxtG"/>
        <w:rPr>
          <w:vertAlign w:val="superscript"/>
        </w:rPr>
      </w:pPr>
      <w:r w:rsidRPr="00F7488A">
        <w:t>62.</w:t>
      </w:r>
      <w:r w:rsidRPr="00F7488A">
        <w:tab/>
        <w:t xml:space="preserve">La Ley de Violencia Doméstica de 2007 brinda protección contra la violencia doméstica. Prevé formas de afrontar la violencia doméstica, y mecanismos para prevenirla y ofrecer protección a las víctimas de este tipo de violencia, que puede adoptar, entre otras, la forma de abuso físico o sexual, económico y emocional, verbal o psicológico. También se castiga con una multa de hasta </w:t>
      </w:r>
      <w:r w:rsidR="000B751D">
        <w:t>5</w:t>
      </w:r>
      <w:r w:rsidRPr="00F7488A">
        <w:t xml:space="preserve"> millones de leones, con una pena de prisión de hasta dos años, o con ambas cosas</w:t>
      </w:r>
      <w:r w:rsidRPr="00F7488A">
        <w:rPr>
          <w:rStyle w:val="Refdenotaalpie"/>
        </w:rPr>
        <w:footnoteReference w:id="12"/>
      </w:r>
      <w:r w:rsidRPr="00F7488A">
        <w:t>.</w:t>
      </w:r>
    </w:p>
    <w:p w14:paraId="06F2789D" w14:textId="12E38F99" w:rsidR="00B70A36" w:rsidRPr="00F7488A" w:rsidRDefault="00433C77" w:rsidP="00433C77">
      <w:pPr>
        <w:pStyle w:val="H4G"/>
      </w:pPr>
      <w:r>
        <w:tab/>
      </w:r>
      <w:r w:rsidR="00B70A36">
        <w:tab/>
      </w:r>
      <w:r w:rsidR="00B70A36" w:rsidRPr="00F7488A">
        <w:t xml:space="preserve">La violación conyugal está penada en el artículo 6 de la Ley de Delitos </w:t>
      </w:r>
      <w:r>
        <w:br/>
      </w:r>
      <w:r w:rsidR="00B70A36" w:rsidRPr="00F7488A">
        <w:t>Sexuales de 2012</w:t>
      </w:r>
    </w:p>
    <w:p w14:paraId="1F09DBBB" w14:textId="77777777" w:rsidR="00B70A36" w:rsidRPr="00F7488A" w:rsidRDefault="00B70A36" w:rsidP="00372CF7">
      <w:pPr>
        <w:pStyle w:val="SingleTxtG"/>
        <w:rPr>
          <w:vertAlign w:val="superscript"/>
        </w:rPr>
      </w:pPr>
      <w:bookmarkStart w:id="7" w:name="_gjdgxs" w:colFirst="0" w:colLast="0"/>
      <w:bookmarkEnd w:id="7"/>
      <w:r w:rsidRPr="00F7488A">
        <w:t>63.</w:t>
      </w:r>
      <w:r w:rsidRPr="00F7488A">
        <w:tab/>
        <w:t>Una persona comete un delito de violación si fuerza intencionadamente con su pene la vagina, el ano, la boca o cualquier parte del cuerpo de otra persona sin su consentimiento. Si queda claramente demostrado ante un tribunal que la persona ha cometido una violación, esa persona será enviada a prisión por un período de entre 5 y 15 años</w:t>
      </w:r>
      <w:r w:rsidRPr="00F7488A">
        <w:rPr>
          <w:rStyle w:val="Refdenotaalpie"/>
        </w:rPr>
        <w:footnoteReference w:id="13"/>
      </w:r>
      <w:r w:rsidRPr="00F7488A">
        <w:t>. La Ley de Delitos Sexuales (Modificación) de 2019 establece disposiciones para aumentar la pena máxima de 15 años a prisión permanente en los casos de violación y penetración sexual cometidos contra niños</w:t>
      </w:r>
      <w:r w:rsidRPr="00F7488A">
        <w:rPr>
          <w:rStyle w:val="Refdenotaalpie"/>
        </w:rPr>
        <w:footnoteReference w:id="14"/>
      </w:r>
      <w:r w:rsidRPr="00F7488A">
        <w:t>.</w:t>
      </w:r>
    </w:p>
    <w:p w14:paraId="583F4D5A" w14:textId="1541C7FE" w:rsidR="00B70A36" w:rsidRPr="00F7488A" w:rsidRDefault="00433C77" w:rsidP="00433C77">
      <w:pPr>
        <w:pStyle w:val="H23G"/>
      </w:pPr>
      <w:r>
        <w:tab/>
      </w:r>
      <w:r w:rsidR="00B70A36">
        <w:tab/>
      </w:r>
      <w:r w:rsidR="00B70A36" w:rsidRPr="00F7488A">
        <w:t>Artículos 4 y 5</w:t>
      </w:r>
      <w:r w:rsidR="00F8661A">
        <w:br/>
      </w:r>
      <w:r w:rsidR="00B70A36" w:rsidRPr="00F7488A">
        <w:t>Suspensión, restricciones o limitaciones de los derechos económicos,</w:t>
      </w:r>
      <w:r>
        <w:t> </w:t>
      </w:r>
      <w:r w:rsidR="00B70A36" w:rsidRPr="00F7488A">
        <w:t>sociales y</w:t>
      </w:r>
      <w:r w:rsidR="00F8661A">
        <w:t> </w:t>
      </w:r>
      <w:r w:rsidR="00B70A36" w:rsidRPr="00F7488A">
        <w:t>culturales</w:t>
      </w:r>
      <w:bookmarkStart w:id="8" w:name="_Toc133854431"/>
      <w:bookmarkEnd w:id="8"/>
    </w:p>
    <w:p w14:paraId="0F876D49" w14:textId="77777777" w:rsidR="00B70A36" w:rsidRPr="00F7488A" w:rsidRDefault="00B70A36" w:rsidP="00372CF7">
      <w:pPr>
        <w:pStyle w:val="SingleTxtG"/>
      </w:pPr>
      <w:r w:rsidRPr="00F7488A">
        <w:t>64.</w:t>
      </w:r>
      <w:r w:rsidRPr="00F7488A">
        <w:tab/>
        <w:t>En general, los derechos conferidos en la Constitución de Sierra Leona de 1991 (Ley núm. 6 de 1991) están sujetos a las limitaciones que figuran en las propias disposiciones que otorgan dichos derechos, en particular, que el disfrute de los derechos económicos, sociales y culturales no perjudique los derechos de los demás o el interés público. Los principios fundamentales de la política del Estado figuran en el capítulo II de la Constitución.</w:t>
      </w:r>
    </w:p>
    <w:p w14:paraId="59783919" w14:textId="7B6733E8" w:rsidR="00B70A36" w:rsidRPr="00F7488A" w:rsidRDefault="00433C77" w:rsidP="00433C77">
      <w:pPr>
        <w:pStyle w:val="H23G"/>
      </w:pPr>
      <w:r>
        <w:tab/>
      </w:r>
      <w:r w:rsidR="00B70A36">
        <w:tab/>
      </w:r>
      <w:r w:rsidR="00B70A36" w:rsidRPr="00F7488A">
        <w:t>Artículo 6</w:t>
      </w:r>
      <w:r w:rsidR="00F8661A">
        <w:br/>
      </w:r>
      <w:r w:rsidR="00B70A36" w:rsidRPr="00F7488A">
        <w:t>Derecho al trabajo</w:t>
      </w:r>
      <w:bookmarkStart w:id="9" w:name="_Toc133854432"/>
      <w:bookmarkEnd w:id="9"/>
    </w:p>
    <w:p w14:paraId="64E17181" w14:textId="77777777" w:rsidR="007B14CA" w:rsidRDefault="00B70A36" w:rsidP="00372CF7">
      <w:pPr>
        <w:pStyle w:val="SingleTxtG"/>
      </w:pPr>
      <w:r w:rsidRPr="00F7488A">
        <w:t>65.</w:t>
      </w:r>
      <w:r w:rsidRPr="00F7488A">
        <w:tab/>
        <w:t>La ley prohíbe la mayor parte de la discriminación relacionada con el empleo y la ocupación. La Constitución prohíbe la discriminación por motivos de religión, origen nacional o ciudadanía, origen social, edad, lengua, estado serológico respecto al VIH, otras enfermedades transmisibles, orientación sexual o identidad de género. Las mujeres eran objeto de discriminación en el acceso al empleo.</w:t>
      </w:r>
    </w:p>
    <w:p w14:paraId="74335B08" w14:textId="0B841334" w:rsidR="00B70A36" w:rsidRPr="00F7488A" w:rsidRDefault="00B70A36" w:rsidP="00372CF7">
      <w:pPr>
        <w:pStyle w:val="SingleTxtG"/>
      </w:pPr>
      <w:r w:rsidRPr="00F7488A">
        <w:t>66.</w:t>
      </w:r>
      <w:r w:rsidRPr="00F7488A">
        <w:tab/>
        <w:t>En 2019, el Gobierno de Sierra Leona ratificó el Convenio sobre los Trabajadores Migrantes (Revisado), 1949 (núm. 97) y el Convenio sobre los Trabajadores Migrantes (Disposiciones Complementarias), 1975 (núm.</w:t>
      </w:r>
      <w:r w:rsidR="00433C77">
        <w:t> </w:t>
      </w:r>
      <w:r w:rsidRPr="00F7488A">
        <w:t>143) de la Organización Internacional del Trabajo (OIT). En 2019, el Gobierno de Sierra Leona desarrolló y presentó el proyecto de ley titulado Ley de Empleo en el Extranjero y Migración de 2019 en el Parlamento de Sierra Leona para su promulgación.</w:t>
      </w:r>
    </w:p>
    <w:p w14:paraId="713831C6" w14:textId="77777777" w:rsidR="00B70A36" w:rsidRPr="00F7488A" w:rsidRDefault="00B70A36" w:rsidP="00372CF7">
      <w:pPr>
        <w:pStyle w:val="SingleTxtG"/>
      </w:pPr>
      <w:r w:rsidRPr="00F7488A">
        <w:t>67.</w:t>
      </w:r>
      <w:r w:rsidRPr="00F7488A">
        <w:tab/>
        <w:t xml:space="preserve">La Constitución prohíbe toda forma de trabajo forzoso y obligatorio, en particular el trabajo infantil. Las penas para ambos trabajos forzosos incluyen penas de prisión, multas o ambas cosas. La ley contempla que los jefes individuales puedan imponer trabajos forzosos (cultivo obligatorio) como castigo. Los hombres, las mujeres y los niños víctimas de trabajos forzosos procedían en su mayoría de las provincias rurales del país y habían sido reclutados en las zonas urbanas para la minería artesanal y de granito, el comercio a muy pequeña escala, el rompimiento de rocas, la pesca, la agricultura, el servicio doméstico y la mendicidad (véase también el artículo 7.C y el artículo 6, Explotación sexual de niños). </w:t>
      </w:r>
    </w:p>
    <w:p w14:paraId="13DA5A1D" w14:textId="45F4A4FF" w:rsidR="00B70A36" w:rsidRPr="00F7488A" w:rsidRDefault="00B70A36" w:rsidP="00372CF7">
      <w:pPr>
        <w:pStyle w:val="SingleTxtG"/>
      </w:pPr>
      <w:r w:rsidRPr="00F7488A">
        <w:t>68.</w:t>
      </w:r>
      <w:r w:rsidRPr="00F7488A">
        <w:tab/>
        <w:t xml:space="preserve">La ley no prohíbe ni sanciona todas las peores formas de trabajo infantil. No existe ninguna ley que prohíba utilizar, reclutar u ofrecer a niños para la realización de actividades ilícitas, en particular la producción y el tráfico de estupefacientes. La ley limita el trabajo infantil y permite el trabajo ligero, pero no define adecuadamente las condiciones a la edad de 13 años, el trabajo no peligroso a tiempo completo a los 15 años y el trabajo peligroso a los 18. La ley establece que los menores de 13 años no deben desempeñar ningún tipo de trabajo. Siempre que hayan terminado la escolarización, los niños de 15 años pueden ser aprendices y estar empleados a tiempo completo en trabajos no peligrosos. La ley también prohíbe el trabajo de cualquier niño menor de 18 años entre las </w:t>
      </w:r>
      <w:r w:rsidR="00893AAF">
        <w:t>18.00 y las 6.00</w:t>
      </w:r>
      <w:r w:rsidRPr="00F7488A">
        <w:t xml:space="preserve"> de la mañana. Si bien la ley no establece las condiciones específicas de trabajo, como las normas de salud y seguridad, sí prohíbe que los niños menores de 18 años realicen trabajos peligrosos, que la ley define como aquellos que suponen un peligro para la salud, la seguridad y la </w:t>
      </w:r>
      <w:r w:rsidR="00433C77">
        <w:t>“</w:t>
      </w:r>
      <w:r w:rsidRPr="00F7488A">
        <w:t>moral</w:t>
      </w:r>
      <w:r w:rsidR="00433C77">
        <w:t>”</w:t>
      </w:r>
      <w:r w:rsidRPr="00F7488A">
        <w:t xml:space="preserve"> de una persona, entre los que se incluyen la navegación marítima; la explotación de minas y canteras; el transporte de cargas pesadas; la fabricación de productos químicos; el trabajo en un lugar donde se utilicen máquinas; y el trabajo en lugares de ocio donde el niño pueda estar expuesto a </w:t>
      </w:r>
      <w:r w:rsidR="00433C77">
        <w:t>“</w:t>
      </w:r>
      <w:r w:rsidRPr="00F7488A">
        <w:t>comportamientos inmorales</w:t>
      </w:r>
      <w:r w:rsidR="00433C77">
        <w:t>”</w:t>
      </w:r>
      <w:r w:rsidRPr="00F7488A">
        <w:t xml:space="preserve">. </w:t>
      </w:r>
    </w:p>
    <w:p w14:paraId="3ABFD4A4" w14:textId="65EB6144" w:rsidR="00B70A36" w:rsidRPr="00F7488A" w:rsidRDefault="00B70A36" w:rsidP="00372CF7">
      <w:pPr>
        <w:pStyle w:val="SingleTxtG"/>
      </w:pPr>
      <w:r w:rsidRPr="00F7488A">
        <w:t>69.</w:t>
      </w:r>
      <w:r w:rsidRPr="00F7488A">
        <w:tab/>
        <w:t>A lo largo de los años, el Gobierno de Sierra Leona ha puesto en marcha varios programas y políticas para ayudar a los jóvenes, las personas con discapacidad, las mujeres de las comunidades rurales y los pobres de las zonas urbanas a conseguir empleo. A continuación se enumeran algunos de los programas emprendidos por el Gobierno de Sierra</w:t>
      </w:r>
      <w:r w:rsidR="00433C77">
        <w:t> </w:t>
      </w:r>
      <w:r w:rsidRPr="00F7488A">
        <w:t>Leona. El Programa de Fomento del Empleo: Sierra Leona se enfrenta a los niveles más altos de desempleo. Se calcula que la población activa actual es de 2,7 millones de personas, de las cuales 1,6 millones (59 %)</w:t>
      </w:r>
      <w:r w:rsidRPr="00F7488A">
        <w:rPr>
          <w:rStyle w:val="Refdenotaalpie"/>
        </w:rPr>
        <w:footnoteReference w:id="15"/>
      </w:r>
      <w:r w:rsidRPr="00F7488A">
        <w:t>, en particular los jóvenes, están desempleados o subempleados. El Gobierno de Sierra Leona, a través del Ministerio de Trabajo y Seguridad Social y Asuntos de la Juventud y la Agencia Alemana de Cooperación Internacional, lleva años ejecutando varios programas de fomento del empleo en el país</w:t>
      </w:r>
      <w:r w:rsidRPr="00F7488A">
        <w:rPr>
          <w:rStyle w:val="Refdenotaalpie"/>
        </w:rPr>
        <w:footnoteReference w:id="16"/>
      </w:r>
      <w:r w:rsidRPr="00F7488A">
        <w:t>. A lo largo de los años, el Gobierno de Sierra Leona ha adoptado varios programas y políticas de fomento del empleo como:</w:t>
      </w:r>
    </w:p>
    <w:p w14:paraId="6C4D63B4" w14:textId="77777777" w:rsidR="00B70A36" w:rsidRPr="00F7488A" w:rsidRDefault="00B70A36" w:rsidP="00433C77">
      <w:pPr>
        <w:pStyle w:val="Bullet1G"/>
      </w:pPr>
      <w:r w:rsidRPr="00F7488A">
        <w:t>El programa de construcción de los centros de lavado de coches en lugares estratégicos.</w:t>
      </w:r>
    </w:p>
    <w:p w14:paraId="6FF6DF35" w14:textId="77777777" w:rsidR="00B70A36" w:rsidRPr="00F7488A" w:rsidRDefault="00B70A36" w:rsidP="00433C77">
      <w:pPr>
        <w:pStyle w:val="Bullet1G"/>
      </w:pPr>
      <w:r w:rsidRPr="00F7488A">
        <w:t>El Servicio Nacional de la Juventud: oportunidades de prácticas para que los graduados adquieran experiencia laboral.</w:t>
      </w:r>
    </w:p>
    <w:p w14:paraId="6CDDE6F7" w14:textId="77777777" w:rsidR="00B70A36" w:rsidRPr="00F7488A" w:rsidRDefault="00B70A36" w:rsidP="00433C77">
      <w:pPr>
        <w:pStyle w:val="Bullet1G"/>
      </w:pPr>
      <w:r w:rsidRPr="00F7488A">
        <w:t>El Fondo Munafa: transferencia en efectivo a los empresarios afectados por la COVID-19.</w:t>
      </w:r>
    </w:p>
    <w:p w14:paraId="17F29588" w14:textId="77777777" w:rsidR="00B70A36" w:rsidRPr="00F7488A" w:rsidRDefault="00B70A36" w:rsidP="00433C77">
      <w:pPr>
        <w:pStyle w:val="Bullet1G"/>
      </w:pPr>
      <w:r w:rsidRPr="00F7488A">
        <w:t>El programa de recogida de basuras y limpieza viaria.</w:t>
      </w:r>
    </w:p>
    <w:p w14:paraId="505F495D" w14:textId="77777777" w:rsidR="00B70A36" w:rsidRPr="00F7488A" w:rsidRDefault="00B70A36" w:rsidP="00433C77">
      <w:pPr>
        <w:pStyle w:val="Bullet1G"/>
      </w:pPr>
      <w:r w:rsidRPr="00F7488A">
        <w:t>La Granjas Nacionales de la Juventud.</w:t>
      </w:r>
    </w:p>
    <w:p w14:paraId="728E4F25" w14:textId="77777777" w:rsidR="00B70A36" w:rsidRPr="00F7488A" w:rsidRDefault="00B70A36" w:rsidP="00433C77">
      <w:pPr>
        <w:pStyle w:val="Bullet1G"/>
      </w:pPr>
      <w:r w:rsidRPr="00F7488A">
        <w:t>Tractores para todos los distritos.</w:t>
      </w:r>
    </w:p>
    <w:p w14:paraId="587F40E4" w14:textId="6E36826E" w:rsidR="00B70A36" w:rsidRPr="00F7488A" w:rsidRDefault="00B70A36" w:rsidP="00433C77">
      <w:pPr>
        <w:pStyle w:val="Bullet1G"/>
      </w:pPr>
      <w:r w:rsidRPr="00F7488A">
        <w:t xml:space="preserve">El paquete de rescate para los propietarios de hoteles (pago de </w:t>
      </w:r>
      <w:r w:rsidR="00F85AAE">
        <w:t>tres</w:t>
      </w:r>
      <w:r w:rsidRPr="00F7488A">
        <w:t xml:space="preserve"> meses de salario básico para los trabajadores de los hoteles en 2020), la emisión de números personales de colegiación (códigos pin) a 8.000 profesores y enfermeras.</w:t>
      </w:r>
    </w:p>
    <w:p w14:paraId="24E94DCF" w14:textId="77777777" w:rsidR="00B70A36" w:rsidRPr="00F7488A" w:rsidRDefault="00B70A36" w:rsidP="00433C77">
      <w:pPr>
        <w:pStyle w:val="Bullet1G"/>
      </w:pPr>
      <w:r w:rsidRPr="00F7488A">
        <w:t>El levantamiento de la prohibición de contratación en el extranjero.</w:t>
      </w:r>
    </w:p>
    <w:p w14:paraId="255AD604" w14:textId="77777777" w:rsidR="00B70A36" w:rsidRPr="00F7488A" w:rsidRDefault="00B70A36" w:rsidP="00372CF7">
      <w:pPr>
        <w:pStyle w:val="SingleTxtG"/>
        <w:rPr>
          <w:vertAlign w:val="superscript"/>
        </w:rPr>
      </w:pPr>
      <w:r w:rsidRPr="00F7488A">
        <w:t>70.</w:t>
      </w:r>
      <w:r w:rsidRPr="00F7488A">
        <w:tab/>
        <w:t xml:space="preserve">El Gobierno de Sierra Leona está profundamente preocupado por los derechos de los trabajadores en el lugar de trabajo. Por esta razón, el Ministerio de Trabajo y Seguridad Social ha revisado la legislación laboral. El proyecto de ley se encuentra actualmente en el departamento jurídico. Además, se ha creado el Tribunal de lo Laboral, que se ocupa de los casos de rescisión y despidos improcedentes/ilegales. A lo largo de los años, este Tribunal se ha pronunciado sobre varios asuntos laborales que van desde la rescisión ilegal de contratos hasta el despido improcedente (por ejemplo, la </w:t>
      </w:r>
      <w:r w:rsidRPr="003A445A">
        <w:t>causa reciente de</w:t>
      </w:r>
      <w:r w:rsidRPr="00F7488A">
        <w:rPr>
          <w:i/>
          <w:iCs/>
        </w:rPr>
        <w:t xml:space="preserve"> Patrick Massaquoi c. el Banco de Sierra Leona</w:t>
      </w:r>
      <w:r w:rsidRPr="00F7488A">
        <w:t>)</w:t>
      </w:r>
      <w:r w:rsidRPr="00F7488A">
        <w:rPr>
          <w:rStyle w:val="Refdenotaalpie"/>
        </w:rPr>
        <w:footnoteReference w:id="17"/>
      </w:r>
      <w:r w:rsidRPr="00F7488A">
        <w:t>.</w:t>
      </w:r>
    </w:p>
    <w:p w14:paraId="28D12CCC" w14:textId="591D5FD7" w:rsidR="00B70A36" w:rsidRPr="00F7488A" w:rsidRDefault="00B70A36" w:rsidP="00372CF7">
      <w:pPr>
        <w:pStyle w:val="SingleTxtG"/>
      </w:pPr>
      <w:r w:rsidRPr="00F7488A">
        <w:t>71.</w:t>
      </w:r>
      <w:r w:rsidRPr="00F7488A">
        <w:tab/>
        <w:t>La Oficina del Defensor del Pueblo y la Comisión de Derechos Humanos de Sierra</w:t>
      </w:r>
      <w:r w:rsidR="003A445A">
        <w:t> </w:t>
      </w:r>
      <w:r w:rsidRPr="00F7488A">
        <w:t>Leona son otros de los mecanismos de reparación creados por el Gobierno para abordar las cuestiones de mala administración, los despidos ilegales, etc. Aquí deben citarse los casos de la Comisión de Derechos Humanos de Sierra Leona y el Defensor del Pueblo. Según el informe de 1 de julio de 2019 a 30 de junio de 2020, la Oficina del Defensor del Pueblo recibió 484 quejas contra varios departamentos ministeriales y agencias, de las que 246 se presentaron en la Oficina Central en Freetown, 121 en Bo, 71 en Kenema, 16 en Makeni y 30 en Port Loko, y hasta el momento se han resuelto 329. El Defensor del Pueblo se ocupa de las quejas relacionadas con los organismos gubernamentales, los consejos de la administración local y la conducta de los agentes de policía. En algunos casos, la Oficina del Defensor del Pueblo recibe, investiga, media y resuelve quejas presentadas contra decisiones administrativas, malas prácticas del sector público e instituciones de enseñanza superior financiadas total o parcialmente con fondos públicos. Artículos 3 y 4, párrafos a) y b), de la Ley del Defensor del Pueblo de 1997.</w:t>
      </w:r>
    </w:p>
    <w:p w14:paraId="7BB063AD" w14:textId="33AD7510" w:rsidR="00B70A36" w:rsidRPr="00F7488A" w:rsidRDefault="00B70A36" w:rsidP="00372CF7">
      <w:pPr>
        <w:pStyle w:val="SingleTxtG"/>
      </w:pPr>
      <w:r w:rsidRPr="00F7488A">
        <w:t>72.</w:t>
      </w:r>
      <w:r w:rsidRPr="00F7488A">
        <w:tab/>
        <w:t>Recientemente, el Gobierno de Sierra Leona también ha creado el Consejo de Asistencia Jurídica que proporciona, entre otras cosas, representación legal a miles de sierraleoneses que tienen pocos o ningún medio para contratar los servicios de un abogado que les represente. A pesar de las políticas y programas emprendidos por el Gobierno de Sierra Leona, el desempleo entre los jóvenes sigue siendo elevado, en particular en el sector formal. En este sentido, el Gobierno de Sierra Leona, con el apoyo de los asociados para el desarrollo, ha puesto en marcha varios programas destinados a reducir el desempleo, en particular de la mano de obra de nivel medio, a través de la Enseñanza y Formación Técnica y Profesional (TEVET). En 2019/20, el Gobierno chino, a través del Ministerio del Trabajo, impartió capacitación a los jóvenes en el oficio de sastrería.</w:t>
      </w:r>
    </w:p>
    <w:p w14:paraId="38ECCE52" w14:textId="65B54813" w:rsidR="00B70A36" w:rsidRPr="00F7488A" w:rsidRDefault="00433C77" w:rsidP="00433C77">
      <w:pPr>
        <w:pStyle w:val="H23G"/>
      </w:pPr>
      <w:r>
        <w:tab/>
      </w:r>
      <w:r w:rsidR="00B70A36">
        <w:tab/>
      </w:r>
      <w:r w:rsidR="00B70A36" w:rsidRPr="00F7488A">
        <w:t>Artículo</w:t>
      </w:r>
      <w:r w:rsidR="007B14CA">
        <w:t xml:space="preserve"> </w:t>
      </w:r>
      <w:r w:rsidR="00B70A36" w:rsidRPr="00F7488A">
        <w:t>7</w:t>
      </w:r>
      <w:r w:rsidR="00F8661A">
        <w:br/>
      </w:r>
      <w:r w:rsidR="00B70A36" w:rsidRPr="00F7488A">
        <w:t>Derecho a condiciones equitativas y satisfactorias de trabajo</w:t>
      </w:r>
      <w:bookmarkStart w:id="10" w:name="_Toc133854433"/>
      <w:bookmarkEnd w:id="10"/>
    </w:p>
    <w:p w14:paraId="6FB3FDF9" w14:textId="2F628AAF" w:rsidR="00B70A36" w:rsidRPr="00F7488A" w:rsidRDefault="00B70A36" w:rsidP="00372CF7">
      <w:pPr>
        <w:pStyle w:val="SingleTxtG"/>
        <w:rPr>
          <w:vertAlign w:val="superscript"/>
        </w:rPr>
      </w:pPr>
      <w:r w:rsidRPr="00F7488A">
        <w:t>73.</w:t>
      </w:r>
      <w:r w:rsidRPr="00F7488A">
        <w:tab/>
        <w:t>Sierra Leona, como miembro de la OIT, ha ratificado e incorporado, entre otros, los ocho convenios fundamentales de la OIT. El 23 de octubre de 2010, el Gobierno de Sierra</w:t>
      </w:r>
      <w:r w:rsidR="00433C77">
        <w:t> </w:t>
      </w:r>
      <w:r w:rsidRPr="00F7488A">
        <w:t xml:space="preserve">Leona, a través del Ministerio de Trabajo y Seguridad Social y sus interlocutores sociales, firmó el </w:t>
      </w:r>
      <w:r w:rsidR="00433C77">
        <w:t>“</w:t>
      </w:r>
      <w:r w:rsidRPr="00F7488A">
        <w:t>Programa de Trabajo Decente por País para Sierra Leona</w:t>
      </w:r>
      <w:r w:rsidR="00433C77">
        <w:t>”</w:t>
      </w:r>
      <w:r w:rsidRPr="00F7488A">
        <w:rPr>
          <w:rStyle w:val="Refdenotaalpie"/>
        </w:rPr>
        <w:footnoteReference w:id="18"/>
      </w:r>
      <w:r w:rsidRPr="00F7488A">
        <w:t>.</w:t>
      </w:r>
    </w:p>
    <w:p w14:paraId="67231FA8" w14:textId="1EC9475E" w:rsidR="00B70A36" w:rsidRPr="00F7488A" w:rsidRDefault="00433C77" w:rsidP="00433C77">
      <w:pPr>
        <w:pStyle w:val="H4G"/>
      </w:pPr>
      <w:r>
        <w:tab/>
      </w:r>
      <w:r w:rsidR="00B70A36">
        <w:tab/>
      </w:r>
      <w:r w:rsidR="00B70A36" w:rsidRPr="00F7488A">
        <w:t>Igual remuneración por trabajo de igual valor</w:t>
      </w:r>
    </w:p>
    <w:p w14:paraId="498266F1" w14:textId="43B4CA32" w:rsidR="00B70A36" w:rsidRPr="00F7488A" w:rsidRDefault="00B70A36" w:rsidP="00372CF7">
      <w:pPr>
        <w:pStyle w:val="SingleTxtG"/>
      </w:pPr>
      <w:r w:rsidRPr="00F7488A">
        <w:t>74.</w:t>
      </w:r>
      <w:r w:rsidRPr="00F7488A">
        <w:tab/>
        <w:t>Según lo que establece el artículo 8 e), de la Constitución de 1991, la administración pública de Sierra Leona ha establecido el sistema de categorías profesionales que prevé la igualdad de remuneración por un trabajo de igual valor dentro de la misma categoría profesional</w:t>
      </w:r>
      <w:r w:rsidRPr="00F7488A">
        <w:rPr>
          <w:rStyle w:val="Refdenotaalpie"/>
        </w:rPr>
        <w:footnoteReference w:id="19"/>
      </w:r>
      <w:r w:rsidRPr="00F7488A">
        <w:t>. Ahora bien, existen retos que la Comisión de Compensación de Sueldos y Salarios pretende abordar mediante la armonización de los salarios. Además, el 28</w:t>
      </w:r>
      <w:r w:rsidR="008915C8">
        <w:t> </w:t>
      </w:r>
      <w:r w:rsidRPr="00F7488A">
        <w:t>de julio de 2020, el Gobierno de Sierra Leona, a través de la Junta Nacional Conjunta de Negociación (JNB), revisó el salario mínimo nacional y lo fijó en 600.000 leones.</w:t>
      </w:r>
    </w:p>
    <w:p w14:paraId="2AB40F82" w14:textId="59DE9A1C" w:rsidR="00B70A36" w:rsidRPr="00F7488A" w:rsidRDefault="00B70A36" w:rsidP="00372CF7">
      <w:pPr>
        <w:pStyle w:val="SingleTxtG"/>
      </w:pPr>
      <w:r w:rsidRPr="00F7488A">
        <w:t>75.</w:t>
      </w:r>
      <w:r w:rsidRPr="00F7488A">
        <w:tab/>
        <w:t>Además, el artículo 3, párrafo 1), de la Ley núm. 18 de Regulación de Salarios y Relaciones Laborales de 1971, estableció la JNB</w:t>
      </w:r>
      <w:r w:rsidRPr="00F7488A">
        <w:rPr>
          <w:rStyle w:val="Refdenotaalpie"/>
        </w:rPr>
        <w:footnoteReference w:id="20"/>
      </w:r>
      <w:r w:rsidRPr="00F7488A">
        <w:t>. El artículo 7, párrafo 1), de esta Ley, a través de los distintos convenios colectivos, establece las condiciones de trabajo para las horas extraordinarias, las licencias retribuidas, las licencias no retribuidas, las licencias de maternidad, etc.</w:t>
      </w:r>
    </w:p>
    <w:p w14:paraId="58C3AD8A" w14:textId="2287EC89" w:rsidR="00B70A36" w:rsidRPr="00F7488A" w:rsidRDefault="00B70A36" w:rsidP="00372CF7">
      <w:pPr>
        <w:pStyle w:val="SingleTxtG"/>
      </w:pPr>
      <w:r w:rsidRPr="00F7488A">
        <w:t>76.</w:t>
      </w:r>
      <w:r w:rsidRPr="00F7488A">
        <w:tab/>
        <w:t>Horas extraordinarias</w:t>
      </w:r>
      <w:r w:rsidRPr="00F7488A">
        <w:rPr>
          <w:rStyle w:val="Refdenotaalpie"/>
        </w:rPr>
        <w:footnoteReference w:id="21"/>
      </w:r>
      <w:r w:rsidRPr="00F7488A">
        <w:t xml:space="preserve">: </w:t>
      </w:r>
      <w:r w:rsidR="008915C8">
        <w:t>s</w:t>
      </w:r>
      <w:r w:rsidRPr="00F7488A">
        <w:t xml:space="preserve">e considerarán horas extraordinarias todos los períodos de tiempo trabajados por encima de la jornada normal acordada. Todo trabajo realizado que supere las </w:t>
      </w:r>
      <w:r w:rsidR="008915C8">
        <w:t>ocho</w:t>
      </w:r>
      <w:r w:rsidRPr="00F7488A">
        <w:t xml:space="preserve"> horas al día (de lunes a viernes) se compensará a razón de 1,5 horas de salario por cada hora trabajada. Mientras que el trabajo realizado los domingos, los días festivos oficiales y los días de descanso de los trabajadores se remunerarán con el doble del salario base por hora. </w:t>
      </w:r>
    </w:p>
    <w:p w14:paraId="65E573A1" w14:textId="7524A342" w:rsidR="00B70A36" w:rsidRPr="00F7488A" w:rsidRDefault="00B70A36" w:rsidP="00D8268D">
      <w:pPr>
        <w:pStyle w:val="Bullet2G"/>
      </w:pPr>
      <w:r w:rsidRPr="00F7488A">
        <w:t>Vacaciones pagadas</w:t>
      </w:r>
      <w:r w:rsidR="00CA4C02">
        <w:t xml:space="preserve"> – S</w:t>
      </w:r>
      <w:r w:rsidRPr="00F7488A">
        <w:t>egún establece el convenio colectivo, todos los trabajadores que hayan prestado un año de servicio tienen derecho a vacaciones anuales o a una tasa/paga de vacaciones y asignación por vacaciones.</w:t>
      </w:r>
    </w:p>
    <w:p w14:paraId="2E91C1EE" w14:textId="7CB075EF" w:rsidR="00B70A36" w:rsidRPr="00F7488A" w:rsidRDefault="00B70A36" w:rsidP="00D8268D">
      <w:pPr>
        <w:pStyle w:val="Bullet2G"/>
      </w:pPr>
      <w:r w:rsidRPr="00F7488A">
        <w:t>Licencias no pagadas</w:t>
      </w:r>
      <w:r w:rsidR="00CA4C02">
        <w:t xml:space="preserve"> –</w:t>
      </w:r>
      <w:r w:rsidRPr="00F7488A">
        <w:t xml:space="preserve"> Licencia de enfermedad, licencia de asuntos propios, licencia por examen, licencia por razones humanitarias, etc.</w:t>
      </w:r>
    </w:p>
    <w:p w14:paraId="28C98428" w14:textId="3457B5DF" w:rsidR="00B70A36" w:rsidRPr="00F7488A" w:rsidRDefault="00B70A36" w:rsidP="00D8268D">
      <w:pPr>
        <w:pStyle w:val="Bullet2G"/>
      </w:pPr>
      <w:r w:rsidRPr="00F7488A">
        <w:t>Licencia de maternidad</w:t>
      </w:r>
      <w:r w:rsidR="00CA4C02">
        <w:t xml:space="preserve"> –</w:t>
      </w:r>
      <w:r w:rsidRPr="00F7488A">
        <w:t xml:space="preserve"> En el sector privado, una mujer trabajadora, después de un año de servicios continuos, tiene derecho a 12 o 13 semanas de licencia, y debe presentar un certificado médico firmado por un médico cualificado en el que conste la fecha aproximada del parto. Mientras que en el empleo público, como la administración pública, esta licencia tiene una duración de 90 días laborables.</w:t>
      </w:r>
    </w:p>
    <w:p w14:paraId="55DFAAF4" w14:textId="5D2FF9C3" w:rsidR="00B70A36" w:rsidRPr="00F7488A" w:rsidRDefault="00B70A36" w:rsidP="00372CF7">
      <w:pPr>
        <w:pStyle w:val="SingleTxtG"/>
      </w:pPr>
      <w:r w:rsidRPr="00F7488A">
        <w:t xml:space="preserve">En Sierra Leona, el acoso sexual en el lugar de trabajo está prohibido y es sancionable. Según la Ley de Delitos Sexuales, la persona que cometa un delito de acoso sexual puede ser condenada a una multa de hasta </w:t>
      </w:r>
      <w:r w:rsidR="0061107C">
        <w:t>10</w:t>
      </w:r>
      <w:r w:rsidRPr="00F7488A">
        <w:t xml:space="preserve"> millones o a una pena de prisión de hasta a tres años.</w:t>
      </w:r>
    </w:p>
    <w:p w14:paraId="00AE23DE" w14:textId="78A3D70B" w:rsidR="00B70A36" w:rsidRPr="00F7488A" w:rsidRDefault="00B70A36" w:rsidP="00372CF7">
      <w:pPr>
        <w:pStyle w:val="SingleTxtG"/>
      </w:pPr>
      <w:r w:rsidRPr="00F7488A">
        <w:t>77.</w:t>
      </w:r>
      <w:r w:rsidRPr="00F7488A">
        <w:tab/>
        <w:t xml:space="preserve">Las medidas legales y administrativas adoptadas para garantizar las condiciones de salud y seguridad en el lugar de trabajo. Salud y seguridad en el trabajo: </w:t>
      </w:r>
      <w:r w:rsidR="0061107C">
        <w:t>e</w:t>
      </w:r>
      <w:r w:rsidRPr="00F7488A">
        <w:t>l artículo 8 b</w:t>
      </w:r>
      <w:r w:rsidR="0061107C">
        <w:t>)</w:t>
      </w:r>
      <w:r w:rsidRPr="00F7488A">
        <w:t>, c</w:t>
      </w:r>
      <w:r w:rsidR="0061107C">
        <w:t>)</w:t>
      </w:r>
      <w:r w:rsidRPr="00F7488A">
        <w:t xml:space="preserve"> y</w:t>
      </w:r>
      <w:r w:rsidR="00893AAF">
        <w:t> </w:t>
      </w:r>
      <w:r w:rsidRPr="00F7488A">
        <w:t>e</w:t>
      </w:r>
      <w:r w:rsidR="0061107C">
        <w:t>)</w:t>
      </w:r>
      <w:r w:rsidRPr="00F7488A">
        <w:t>, de la Constitución de Sierra Leona es muy claro en cuanto a las condiciones de salud y seguridad de los trabajadores. Las condiciones de servicio y de trabajo deben ser justas, equitativas y humanas. Se deben salvaguardar la salud, la seguridad y el bienestar de todas las personas empleadas, a las que no se debe poner en peligro ni de las que se debe abusar, y en particular se deben adoptar medidas especiales para las mujeres trabajadoras con hijos. Además, la seguridad y la salud en el trabajo están reguladas por la Ley núm. 3 de las Fábricas, de 1974, la Ley de Remuneración de los Trabajadores, capítulo</w:t>
      </w:r>
      <w:r w:rsidR="0061107C">
        <w:t> </w:t>
      </w:r>
      <w:r w:rsidRPr="00F7488A">
        <w:t>219 de las Leyes de Sierra Leona de 1955, la Ley de Empleadores y Empleados, capítulo 212, la Ley de Relaciones Laborales de 1996, la Dirección de Rendimiento, la Oficina de Gestión de Recursos Humanos, etc. Estas leyes prevén una mayor protección de los trabajadores en relación con los accidentes laborales/en el lugar de trabajo, las condiciones básicas del trabajo (términos y condiciones de servicio), la salud y la seguridad en el trabajo, las condiciones favorables de servicio, el uso de equipos de protección personal (EPP), la no discriminación de las personas con VIH/sida, etc</w:t>
      </w:r>
      <w:r w:rsidR="007B14CA">
        <w:t>.</w:t>
      </w:r>
      <w:r w:rsidRPr="00F7488A">
        <w:rPr>
          <w:rStyle w:val="Refdenotaalpie"/>
        </w:rPr>
        <w:footnoteReference w:id="22"/>
      </w:r>
      <w:r w:rsidRPr="00F7488A">
        <w:t>. Mediante las inspecciones rutinarias, la Dirección de Salud y Seguridad en el Trabajo del Ministerio de Trabajo comprueba las condiciones en las que trabajan los hombres y las mujeres para cumplir las condiciones legítimas de trabajo.</w:t>
      </w:r>
    </w:p>
    <w:p w14:paraId="33A2AB3B" w14:textId="321FE4B0" w:rsidR="00B70A36" w:rsidRPr="00F7488A" w:rsidRDefault="00D8268D" w:rsidP="00D8268D">
      <w:pPr>
        <w:pStyle w:val="H23G"/>
      </w:pPr>
      <w:r>
        <w:tab/>
      </w:r>
      <w:r w:rsidR="00B70A36">
        <w:tab/>
      </w:r>
      <w:r w:rsidR="00B70A36" w:rsidRPr="00F7488A">
        <w:t>Artículo 8</w:t>
      </w:r>
      <w:r w:rsidR="00F35E56">
        <w:br/>
      </w:r>
      <w:r w:rsidR="00B70A36" w:rsidRPr="00F7488A">
        <w:t>Derecho a fundar sindicatos</w:t>
      </w:r>
      <w:bookmarkStart w:id="11" w:name="_Toc133854434"/>
      <w:bookmarkEnd w:id="11"/>
    </w:p>
    <w:p w14:paraId="028FB707" w14:textId="23D56288" w:rsidR="00B70A36" w:rsidRPr="00F7488A" w:rsidRDefault="00B70A36" w:rsidP="00372CF7">
      <w:pPr>
        <w:pStyle w:val="SingleTxtG"/>
      </w:pPr>
      <w:r w:rsidRPr="00F7488A">
        <w:t>78.</w:t>
      </w:r>
      <w:r w:rsidRPr="00F7488A">
        <w:tab/>
        <w:t xml:space="preserve">El párrafo 1 del artículo 26 de la Constitución de Sierra Leona hace referencia al artículo 8 del Pacto, que establece la libertad de reunión y de asociación pacíficas, </w:t>
      </w:r>
      <w:r w:rsidR="00433C77">
        <w:t>“</w:t>
      </w:r>
      <w:r w:rsidRPr="00F7488A">
        <w:t>en particular para fundar o pertenecer a cualquier partido político, sindicato u otra asociación económica, social o profesional</w:t>
      </w:r>
      <w:r w:rsidR="00433C77">
        <w:t>”</w:t>
      </w:r>
      <w:r w:rsidRPr="00F7488A">
        <w:t>.</w:t>
      </w:r>
    </w:p>
    <w:p w14:paraId="5E6D362F" w14:textId="171D882D" w:rsidR="00B70A36" w:rsidRPr="00F7488A" w:rsidRDefault="00B70A36" w:rsidP="00372CF7">
      <w:pPr>
        <w:pStyle w:val="SingleTxtG"/>
      </w:pPr>
      <w:r w:rsidRPr="00F7488A">
        <w:t>79.</w:t>
      </w:r>
      <w:r w:rsidRPr="00F7488A">
        <w:tab/>
        <w:t>La Constitución de Sierra Leona, Ley núm. 6 de 1991, contiene las disposiciones adecuadas para la protección de los derechos y libertades de los que tratan los convenios fundamentales y prioritarios de la OIT en relación con los trabajadores. Las leyes de Sierra</w:t>
      </w:r>
      <w:r w:rsidR="007253D5">
        <w:t> </w:t>
      </w:r>
      <w:r w:rsidRPr="00F7488A">
        <w:t>Leona no solo han logrado una adhesión amplia y coherente, sino que los miembros tripartitos en el mundo laboral les han dado debido cumplimiento y gozan de buenas relaciones sociales entre ellos. Por lo que respecta al Convenio sobre la Consulta Tripartita (Normas Internacionales del Trabajo), 1976 (núm. 144) de la OIT, la Ley núm. 18 de Regulación de Salarios y Relaciones Laborales, de 1971, prevé las disposiciones necesarias para el nombramiento del Comité Consultivo Conjunto, que es el comité asesor del Ministro de Trabajo en materia laboral.</w:t>
      </w:r>
    </w:p>
    <w:p w14:paraId="1EC498D6" w14:textId="77777777" w:rsidR="00B70A36" w:rsidRPr="00F7488A" w:rsidRDefault="00B70A36" w:rsidP="00372CF7">
      <w:pPr>
        <w:pStyle w:val="SingleTxtG"/>
      </w:pPr>
      <w:r w:rsidRPr="00F7488A">
        <w:t>80.</w:t>
      </w:r>
      <w:r w:rsidRPr="00F7488A">
        <w:tab/>
        <w:t>Las leyes establecen que el Gobierno no puede realizar consultas de forma aislada. El Ministerio del Trabajo, la Federación de Empresarios de Sierra Leona y el Congreso Laboral de Sierra Leona han mantenido reuniones consultivas conjuntas de manera periódica siempre que ha sido necesario convocarlas. A lo largo de los años, se han realizado incesantes esfuerzos para actualizar la legislación laboral del país. Es gratificante observar que el proyecto de ley del trabajo se encuentra en la fase final de elaboración para su presentación al Parlamento. ¿Qué pretende conseguir o corregir esta legislación laboral? Una vez revisada, la legislación laboral no solo promoverá y protegerá la salud, la seguridad y los derechos de los trabajadores, sino que también fomentará la confianza de los inversores.</w:t>
      </w:r>
    </w:p>
    <w:p w14:paraId="7727FDD0" w14:textId="4EF2FB08" w:rsidR="00B70A36" w:rsidRPr="00F7488A" w:rsidRDefault="00B70A36" w:rsidP="00372CF7">
      <w:pPr>
        <w:pStyle w:val="SingleTxtG"/>
      </w:pPr>
      <w:r w:rsidRPr="00F7488A">
        <w:t>81.</w:t>
      </w:r>
      <w:r w:rsidRPr="00F7488A">
        <w:tab/>
        <w:t>La Ley núm. 18 de Regulación de Salarios y Relaciones Laborales de 1971, y el capítulo 221, Ley de Sindicatos, de las leyes de Sierra Leona de 1940 garantizan el derecho a afiliarse o fundar un sindicato y el establecimiento de un Consejo Gremial de Negociación. Los sindicatos y los consejos gremiales de negociación son lo mismo en la práctica, un mecanismo o herramienta de las relaciones laborales que constituye un aspecto de la negociación. En la negociación colectiva, el sindicato y los empresarios tienen siempre un interés colectivo, ya que las negociaciones redundan en el beneficio de ambas partes en el proceso de negociación. El número de sindicatos con convenios colectivos</w:t>
      </w:r>
      <w:r w:rsidRPr="00F7488A">
        <w:rPr>
          <w:b/>
          <w:bCs/>
        </w:rPr>
        <w:t xml:space="preserve"> </w:t>
      </w:r>
      <w:r w:rsidRPr="00F7488A">
        <w:t>ha aumentado a lo largo de los años, lo que ha contribuido de manera significativa a proteger y promover las aspiraciones tanto de los trabajadores como de sus empleadores. A continuación figuran algunos de los convenios colectivos consagrados en el artículo 7, párrafo 1), de la Ley núm.</w:t>
      </w:r>
      <w:r w:rsidR="00D8268D">
        <w:t> </w:t>
      </w:r>
      <w:r w:rsidRPr="00F7488A">
        <w:t>18 de la Ley de Regulación de Salarios y Relaciones Laborales de 1971, y la Ley núm.</w:t>
      </w:r>
      <w:r w:rsidR="00D8268D">
        <w:t> </w:t>
      </w:r>
      <w:r w:rsidRPr="00F7488A">
        <w:t>6 de 1971.</w:t>
      </w:r>
    </w:p>
    <w:p w14:paraId="54411DFB" w14:textId="39A1936B" w:rsidR="00B70A36" w:rsidRPr="00F7488A" w:rsidRDefault="00B70A36" w:rsidP="00372CF7">
      <w:pPr>
        <w:pStyle w:val="SingleTxtG"/>
      </w:pPr>
      <w:r w:rsidRPr="00F7488A">
        <w:t>82.</w:t>
      </w:r>
      <w:r w:rsidRPr="00F7488A">
        <w:tab/>
        <w:t xml:space="preserve">Fundación y registro: como se establece en la Ley de Regulación de Salarios y Relaciones Laborales, el Ministro de Trabajo puede, en consulta con el Comité Consultivo Conjunto, designar a una persona para que sea el Secretario de las organizaciones sindicales y empresariales. El Secretario mantendrá un registro separado de las organizaciones sindicales y empresariales. El sindicato que solicite la inscripción deberá aplicar las disposiciones de la Ley. La solicitud debe remitirse al Secretario en la forma establecida y estar debidamente firmada. El Secretario, una vez recibida la solicitud, la hará pública en el </w:t>
      </w:r>
      <w:r w:rsidRPr="0050517C">
        <w:rPr>
          <w:i/>
          <w:iCs/>
        </w:rPr>
        <w:t>Diario Oficial</w:t>
      </w:r>
      <w:r w:rsidRPr="00F7488A">
        <w:t xml:space="preserve"> de Sierra Leona. Transcurridos tres meses desde la fecha de publicación en el </w:t>
      </w:r>
      <w:r w:rsidRPr="0050517C">
        <w:rPr>
          <w:i/>
          <w:iCs/>
        </w:rPr>
        <w:t>Diario Oficial</w:t>
      </w:r>
      <w:r w:rsidRPr="00F7488A">
        <w:t>, el Secretario examinará las objeciones que se hayan presentado. Si el Secretario no considera pertinentes ninguna de las objeciones planteadas y cree que el sindicato cumple con las disposiciones de inscripción en el registro que establece la Ley, y que su fundación respeta las cuestiones debidas, la sección procederá a la inscripción de dicho sindicato y expedirá un certificado de inscripción en la forma prescrita. Un certificado expedido en virtud de la subsección 4, a menos que se demuestre que ha sido retirado o cancelado, servirá como prueba concluyente de que se han cumplido las disposiciones de la Ley relativas a la inscripción en el registro y el sindicato pertenece al tipo de organización</w:t>
      </w:r>
      <w:r w:rsidR="00D8268D">
        <w:t> </w:t>
      </w:r>
      <w:r w:rsidRPr="00F7488A">
        <w:t>que se indica en el certificado. Ningún sindicato podrá inscribirse con una denominación</w:t>
      </w:r>
      <w:r w:rsidR="00D8268D">
        <w:t> </w:t>
      </w:r>
      <w:r w:rsidRPr="00F7488A">
        <w:t>idéntica o muy similar a la de cualquier otro sindicato existente (Ley de Sindicatos | Síndico | Multa (Sanción)).</w:t>
      </w:r>
    </w:p>
    <w:p w14:paraId="6128051E" w14:textId="1F0A84CC" w:rsidR="00B70A36" w:rsidRPr="00F7488A" w:rsidRDefault="00B70A36" w:rsidP="00372CF7">
      <w:pPr>
        <w:pStyle w:val="SingleTxtG"/>
      </w:pPr>
      <w:r w:rsidRPr="00F7488A">
        <w:t>83.</w:t>
      </w:r>
      <w:r w:rsidRPr="00F7488A">
        <w:tab/>
        <w:t xml:space="preserve">Cualquier persona que se sienta agraviada por la negativa del Secretario a inscribir en el registro un sindicato puede presentar una apelación ante el Tribunal de lo Laboral, cuya decisión será definitiva, en el plazo de los 30 días siguientes a la fecha de notificación de la negativa. Cancelación del certificado de registro: </w:t>
      </w:r>
      <w:r w:rsidR="00A96F95">
        <w:t>e</w:t>
      </w:r>
      <w:r w:rsidRPr="00F7488A">
        <w:t>l Secretario puede cancelar la inscripción de un sindicato y lo hará constar por escrito en los casos siguientes: a petición del sindicato; o cuando quede debidamente acreditado que la inscripción del sindicato no cumple los requisitos que establece la Ley.</w:t>
      </w:r>
    </w:p>
    <w:p w14:paraId="57592F0E" w14:textId="23A3E7FD" w:rsidR="00B70A36" w:rsidRPr="00F7488A" w:rsidRDefault="00B70A36" w:rsidP="00372CF7">
      <w:pPr>
        <w:pStyle w:val="SingleTxtG"/>
      </w:pPr>
      <w:r w:rsidRPr="00F7488A">
        <w:t>84.</w:t>
      </w:r>
      <w:r w:rsidRPr="00F7488A">
        <w:tab/>
        <w:t>El Gobierno de Sierra Leona respeta debidamente el Convenio sobre la Consulta Tripartita (Normas Internacionales del Trabajo), 1976 (núm. 144) de la OIT, y la Ley núm.</w:t>
      </w:r>
      <w:r w:rsidR="00D8268D">
        <w:t> </w:t>
      </w:r>
      <w:r w:rsidRPr="00F7488A">
        <w:t>18 de Regulación de Salarios y Relaciones Laborales de 1971 contiene las disposiciones pertinentes para el nombramiento del Comité Consultivo Conjunto y la Junta Nacional Conjunta de Negociación.</w:t>
      </w:r>
    </w:p>
    <w:p w14:paraId="136F2027" w14:textId="77777777" w:rsidR="00B70A36" w:rsidRPr="00F7488A" w:rsidRDefault="00B70A36" w:rsidP="00372CF7">
      <w:pPr>
        <w:pStyle w:val="SingleTxtG"/>
      </w:pPr>
      <w:r w:rsidRPr="00F7488A">
        <w:t>85.</w:t>
      </w:r>
      <w:r w:rsidRPr="00F7488A">
        <w:tab/>
        <w:t>El Gobierno no puede llevar a cabo las consultas de forma aislada, y siempre que ha sido necesario se han celebrado reuniones consultivas conjuntas de manera periódica entre el Ministerio del Trabajo, la Federación de Empresarios de Sierra Leona y el Congreso Laboral de Sierra.</w:t>
      </w:r>
    </w:p>
    <w:p w14:paraId="29313982" w14:textId="56CE66B6" w:rsidR="00B70A36" w:rsidRPr="00F7488A" w:rsidRDefault="00B70A36" w:rsidP="00372CF7">
      <w:pPr>
        <w:pStyle w:val="SingleTxtG"/>
      </w:pPr>
      <w:r w:rsidRPr="00F7488A">
        <w:t>86.</w:t>
      </w:r>
      <w:r w:rsidRPr="00F7488A">
        <w:tab/>
        <w:t>En Sierra Leona, el Congreso Laboral de Sierra Leona es el organismo nacional que representa a los sindicatos, y es miembro de la Confederación Sindical Internacional (CSI</w:t>
      </w:r>
      <w:r w:rsidR="00D8268D">
        <w:noBreakHyphen/>
      </w:r>
      <w:r w:rsidRPr="00F7488A">
        <w:t xml:space="preserve">África), que trabaja estrechamente en las iniciativas de </w:t>
      </w:r>
      <w:r w:rsidR="00433C77">
        <w:t>“</w:t>
      </w:r>
      <w:r w:rsidRPr="00F7488A">
        <w:t>cooperación sindical</w:t>
      </w:r>
      <w:r w:rsidR="00433C77">
        <w:t>”</w:t>
      </w:r>
      <w:r w:rsidRPr="00F7488A">
        <w:t>.</w:t>
      </w:r>
    </w:p>
    <w:p w14:paraId="6077F2B0" w14:textId="77777777" w:rsidR="00B70A36" w:rsidRPr="00F7488A" w:rsidRDefault="00B70A36" w:rsidP="00372CF7">
      <w:pPr>
        <w:pStyle w:val="SingleTxtG"/>
      </w:pPr>
      <w:r w:rsidRPr="00F7488A">
        <w:t>87.</w:t>
      </w:r>
      <w:r w:rsidRPr="00F7488A">
        <w:tab/>
        <w:t>Si bien la legislación de Sierra Leona garantiza el derecho de huelga, el artículo 17 de la Ley núm. 18 de Regulación de Salarios y Relaciones Laborales de 1971 describe adecuadamente el proceso y el procedimiento para emprender una huelga. Sin embargo, los miembros de las fuerzas del orden (fuerzas armadas, policía de Sierra Leona, servicio penitenciario de Sierra Leona (prisiones), bomberos, etc.), los funcionarios y las empresas de suministros básicos (la compañía de suministro de agua del Valle de Guma, Telecom, Sierra Leone Electricity Corporation) tienen limitaciones a la hora de embarcarse en acciones de huelga debido a la naturaleza y la importancia de los servicios que prestan. La ley permite a los trabajadores de los sectores público y privado afiliarse a los sindicatos independientes de su elección sin autorización previa, llevar a cabo negociaciones colectivas y realizar huelgas legales, pero prohíbe a la policía y a los miembros de las fuerzas del orden afiliarse a sindicatos o participar en huelgas. El Gobierno puede exigir a los trabajadores que notifiquen por escrito a la policía su intención de hacer huelga al menos 21 días antes de que tenga lugar. La ley prohíbe a los trabajadores de determinados servicios públicos participar en huelgas. Es gratificante observar que durante las últimas décadas no ha habido interferencias políticas en la inscripción y la fundación de sindicatos.</w:t>
      </w:r>
    </w:p>
    <w:p w14:paraId="74A62832" w14:textId="02D5249A" w:rsidR="00B70A36" w:rsidRPr="00F7488A" w:rsidRDefault="00D8268D" w:rsidP="00D8268D">
      <w:pPr>
        <w:pStyle w:val="H23G"/>
      </w:pPr>
      <w:r>
        <w:tab/>
      </w:r>
      <w:r w:rsidR="00B70A36">
        <w:tab/>
      </w:r>
      <w:r w:rsidR="00B70A36" w:rsidRPr="00F7488A">
        <w:t>Artículo 9</w:t>
      </w:r>
      <w:r w:rsidR="00F8661A">
        <w:br/>
      </w:r>
      <w:r w:rsidR="00B70A36" w:rsidRPr="00F7488A">
        <w:t>Derecho a la seguridad social</w:t>
      </w:r>
      <w:bookmarkStart w:id="12" w:name="_Toc133854435"/>
      <w:bookmarkEnd w:id="12"/>
    </w:p>
    <w:p w14:paraId="2560F356" w14:textId="2563ABD2" w:rsidR="00B70A36" w:rsidRPr="00F7488A" w:rsidRDefault="00B70A36" w:rsidP="00372CF7">
      <w:pPr>
        <w:pStyle w:val="SingleTxtG"/>
      </w:pPr>
      <w:r w:rsidRPr="00F7488A">
        <w:t>88.</w:t>
      </w:r>
      <w:r w:rsidRPr="00F7488A">
        <w:tab/>
        <w:t>El artículo 9 de las disposiciones del Pacto se asemeja a las disposiciones del capítulo</w:t>
      </w:r>
      <w:r w:rsidR="00D8268D">
        <w:t> </w:t>
      </w:r>
      <w:r w:rsidRPr="00F7488A">
        <w:t xml:space="preserve">III de la Constitución de Sierra Leona, Ley núm. 6, de 1991: </w:t>
      </w:r>
      <w:r w:rsidR="00433C77">
        <w:t>“</w:t>
      </w:r>
      <w:r w:rsidRPr="00F7488A">
        <w:t>El reconocimiento y la protección de los derechos humanos y las libertades fundamentales de la persona</w:t>
      </w:r>
      <w:r w:rsidRPr="00F7488A">
        <w:rPr>
          <w:rStyle w:val="Refdenotaalpie"/>
        </w:rPr>
        <w:footnoteReference w:id="23"/>
      </w:r>
      <w:r w:rsidR="00D8268D">
        <w:t>”</w:t>
      </w:r>
      <w:r w:rsidRPr="00F7488A">
        <w:t xml:space="preserve">. Esta disposición concede a los ciudadanos del Estado el derecho a acceder a la seguridad social para garantizar la sustitución parcial de los ingresos en forma de seguro social en el caso de que ellos o las personas a su cargo sufran alguna contingencia. En consecuencia, el Estado tiene la obligación de adoptar las medidas que sean razonables para que los ciudadanos puedan disfrutar de estos derechos. El Estado tiene la obligación de adoptar todas las medidas que sean necesarias para hacer efectivos progresivamente tales derechos año tras año. Por lo tanto, la promulgación de la Ley del Fondo Fiduciario Nacional de Seguro y Seguridad Social núm. 5 de 2001, que abarca </w:t>
      </w:r>
      <w:r w:rsidR="00A96F95">
        <w:t>tres</w:t>
      </w:r>
      <w:r w:rsidRPr="00F7488A">
        <w:t xml:space="preserve"> de las </w:t>
      </w:r>
      <w:r w:rsidR="00A96F95">
        <w:t>nueve</w:t>
      </w:r>
      <w:r w:rsidRPr="00F7488A">
        <w:t xml:space="preserve"> contingencias de la seguridad social, fue un paso positivo para abordar los derechos económicos, sociales y culturales en Sierra Leona. La Ley abarca </w:t>
      </w:r>
      <w:r w:rsidR="00A96F95">
        <w:t>tres</w:t>
      </w:r>
      <w:r w:rsidR="00A96F95" w:rsidRPr="00F7488A">
        <w:t xml:space="preserve"> de las </w:t>
      </w:r>
      <w:r w:rsidR="00A96F95">
        <w:t>nueve</w:t>
      </w:r>
      <w:r w:rsidR="00A96F95" w:rsidRPr="00F7488A">
        <w:t xml:space="preserve"> </w:t>
      </w:r>
      <w:r w:rsidRPr="00F7488A">
        <w:t xml:space="preserve">contingencias de la seguridad social, a saber: la jubilación por vejez, la invalidez y la supervivencia en caso de fallecimiento de un afiliado. Todavía hay esperanzas de que se puedan aplicar las 6 contingencias restantes, de cuya aplicación se encarga la Ley de Seguro Social de Salud de Sierra Leona núm. 46 de 2017; y el Plan de Accidentes del Trabajo y la </w:t>
      </w:r>
      <w:r w:rsidR="00433C77">
        <w:t>“</w:t>
      </w:r>
      <w:r w:rsidRPr="00F7488A">
        <w:t>Opción para ampliar la Seguridad Social al Sector Informal</w:t>
      </w:r>
      <w:r w:rsidR="00433C77">
        <w:t>”</w:t>
      </w:r>
      <w:r w:rsidRPr="00F7488A">
        <w:t xml:space="preserve"> se encuentran en una etapa avanzada.</w:t>
      </w:r>
    </w:p>
    <w:p w14:paraId="1363F6BF" w14:textId="77777777" w:rsidR="00B70A36" w:rsidRPr="00F7488A" w:rsidRDefault="00B70A36" w:rsidP="00372CF7">
      <w:pPr>
        <w:pStyle w:val="SingleTxtG"/>
      </w:pPr>
      <w:r w:rsidRPr="00F7488A">
        <w:t>89.</w:t>
      </w:r>
      <w:r w:rsidRPr="00F7488A">
        <w:tab/>
        <w:t>El Fondo Fiduciario Nacional de Seguro y Seguridad Social nació como un fideicomiso público estatutario encargado de administrar el Plan Nacional de Pensiones de Sierra Leona. En virtud de la Ley núm. 5 de Fondo Fiduciario Nacional de Seguro y Seguridad Social, de 20 de julio de 2001, se creó el Plan para proporcionar las prestaciones de jubilación y de otro tipo destinadas a atender las necesidades derivadas de las contingencias de los trabajadores y las personas a su cargo, así como para prever otros riesgos conexos. El Plan del Fondo Fiduciario Nacional de Seguro y Seguridad Social (NASSIT), como régimen del seguro social de las prestaciones definidas a largo plazo, exige a los afiliados que coticen durante su vida laboral y perciban prestaciones al producirse cualquiera de las tres contingencias de vejez, invalidez y fallecimiento. El Plan abarca de forma obligatoria a todos los empresarios y trabajadores del sector formal sin discriminación por motivos de sexo, raza, tribu, religión, nacionalidad, etc., y también ofrece la posibilidad de afiliación voluntaria a los trabajadores autónomos.</w:t>
      </w:r>
    </w:p>
    <w:p w14:paraId="7CFDC251" w14:textId="4504FEF1" w:rsidR="00B70A36" w:rsidRPr="00F7488A" w:rsidRDefault="00B70A36" w:rsidP="00372CF7">
      <w:pPr>
        <w:pStyle w:val="SingleTxtG"/>
      </w:pPr>
      <w:r w:rsidRPr="00F7488A">
        <w:t>90.</w:t>
      </w:r>
      <w:r w:rsidRPr="00F7488A">
        <w:tab/>
        <w:t>El Fondo Fiduciario Nacional de Seguro y Seguridad Social nació como un fideicomiso público estatutario encargado de administrar el Plan Nacional de Pensiones de Sierra Leona. En virtud de la Ley núm. 5 de Fondo Fiduciario Nacional de Seguro y Seguridad Social, de 20 de julio de 2001, se creó el Plan para proporcionar las prestaciones de jubilación y de otro tipo destinadas a atender las necesidades derivadas de las contingencias de los trabajadores y las personas a su cargo, así como para prever otros riesgos conexos. El NASSIT, como régimen del seguro social de las prestaciones definidas a largo plazo, exige a los afiliados que coticen durante su vida laboral y perciban prestaciones al producirse cualquiera de las tres contingencias de vejez, invalidez y fallecimiento. El Plan abarca de forma obligatoria a todos los empresarios y trabajadores del sector formal sin discriminación por motivos de sexo, raza, tribu, religión, nacionalidad, etc., y también ofrece la posibilidad de afiliación voluntaria a los trabajadores autónomos.</w:t>
      </w:r>
    </w:p>
    <w:p w14:paraId="2E14A1D3" w14:textId="31A45BC6" w:rsidR="00B70A36" w:rsidRPr="00F7488A" w:rsidRDefault="00B70A36" w:rsidP="00372CF7">
      <w:pPr>
        <w:pStyle w:val="SingleTxtG"/>
      </w:pPr>
      <w:r w:rsidRPr="00F7488A">
        <w:t>91.</w:t>
      </w:r>
      <w:r w:rsidRPr="00F7488A">
        <w:tab/>
        <w:t>Todos los convenios fundamentales de la OIT han sido firmados y ratificados, y muchos de ellos han sido incorporados en el ordenamiento jurídico nacional</w:t>
      </w:r>
      <w:r w:rsidRPr="00F7488A">
        <w:rPr>
          <w:rStyle w:val="Refdenotaalpie"/>
        </w:rPr>
        <w:footnoteReference w:id="24"/>
      </w:r>
      <w:r w:rsidRPr="00F7488A">
        <w:t>. Además, al ser Sierra Leona un Estado signatario de los convenios de la OIT, estos convenios han sido ratificados, incorporados y promulgados de acuerdo con las directrices de las normas internacionales del trabajo</w:t>
      </w:r>
      <w:r w:rsidRPr="00F7488A">
        <w:rPr>
          <w:rStyle w:val="Refdenotaalpie"/>
        </w:rPr>
        <w:footnoteReference w:id="25"/>
      </w:r>
      <w:r w:rsidRPr="00F7488A">
        <w:t>.</w:t>
      </w:r>
      <w:r w:rsidR="00111D2C">
        <w:t xml:space="preserve"> </w:t>
      </w:r>
      <w:r w:rsidRPr="00F7488A">
        <w:t>Cabe mencionar la Ley de Empresarios y Empleados, el capítulo</w:t>
      </w:r>
      <w:r w:rsidR="00825833">
        <w:t> </w:t>
      </w:r>
      <w:r w:rsidRPr="00F7488A">
        <w:t>212 de las leyes de Sierra Leona, la Ley de Indemnización por Accidentes y Enfermedades Profesionales, la Ley núm. 18 de Regulación de Salarios y Relaciones Laborales de 1971, la Ley núm. 5 del Fondo Fiduciario Nacional de Seguro y Seguridad Social de 2001, y la Ley núm. 46 de Seguro Social de Salud de Sierra Leona de 2017, que demuestran claramente la adhesión constante del Estado para hacer efectivos los derechos recogidos en este Pacto.</w:t>
      </w:r>
    </w:p>
    <w:p w14:paraId="6890F3FE" w14:textId="77777777" w:rsidR="00B70A36" w:rsidRPr="00F7488A" w:rsidRDefault="00B70A36" w:rsidP="00372CF7">
      <w:pPr>
        <w:pStyle w:val="SingleTxtG"/>
      </w:pPr>
      <w:r w:rsidRPr="00F7488A">
        <w:t>92.</w:t>
      </w:r>
      <w:r w:rsidRPr="00F7488A">
        <w:tab/>
        <w:t>Existe un programa que proporciona prestaciones en metálico a sus cotizantes/afiliados en relación con cualquiera de las tres contingencias cuando tienen lugar. Entre dichas prestaciones cabe mencionar: gratificación por vejez, pensión de jubilación por vejez, jubilación anticipada reducida y por vejez, subvención de jubilación, pensión de invalidez, subvención de invalidez, pensión de sobrevivientes y subvención de sobrevivientes.</w:t>
      </w:r>
    </w:p>
    <w:p w14:paraId="1BED3709" w14:textId="7D32134A" w:rsidR="00B70A36" w:rsidRPr="00F7488A" w:rsidRDefault="00B70A36" w:rsidP="00372CF7">
      <w:pPr>
        <w:pStyle w:val="SingleTxtG"/>
        <w:rPr>
          <w:vertAlign w:val="superscript"/>
        </w:rPr>
      </w:pPr>
      <w:r w:rsidRPr="00F7488A">
        <w:t>93.</w:t>
      </w:r>
      <w:r w:rsidRPr="00F7488A">
        <w:tab/>
        <w:t>La evolución del pago de las prestaciones del NASSIT (en millones de leones)</w:t>
      </w:r>
      <w:r w:rsidRPr="00F7488A">
        <w:rPr>
          <w:rStyle w:val="Refdenotaalpie"/>
        </w:rPr>
        <w:footnoteReference w:id="26"/>
      </w:r>
      <w:r w:rsidR="00264B43">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694"/>
        <w:gridCol w:w="1169"/>
        <w:gridCol w:w="1169"/>
        <w:gridCol w:w="1169"/>
        <w:gridCol w:w="1169"/>
      </w:tblGrid>
      <w:tr w:rsidR="00B70A36" w:rsidRPr="00264B43" w14:paraId="395CB048" w14:textId="77777777" w:rsidTr="00264B43">
        <w:trPr>
          <w:trHeight w:val="240"/>
          <w:tblHeader/>
        </w:trPr>
        <w:tc>
          <w:tcPr>
            <w:tcW w:w="2694" w:type="dxa"/>
            <w:tcBorders>
              <w:top w:val="single" w:sz="4" w:space="0" w:color="auto"/>
              <w:bottom w:val="single" w:sz="12" w:space="0" w:color="auto"/>
            </w:tcBorders>
            <w:shd w:val="clear" w:color="auto" w:fill="auto"/>
            <w:vAlign w:val="bottom"/>
          </w:tcPr>
          <w:p w14:paraId="76650CFD" w14:textId="77777777" w:rsidR="00B70A36" w:rsidRPr="00264B43" w:rsidRDefault="00B70A36" w:rsidP="00264B43">
            <w:pPr>
              <w:pStyle w:val="SingleTxtG"/>
              <w:tabs>
                <w:tab w:val="clear" w:pos="1701"/>
                <w:tab w:val="clear" w:pos="2268"/>
                <w:tab w:val="clear" w:pos="2835"/>
              </w:tabs>
              <w:spacing w:before="80" w:after="80" w:line="200" w:lineRule="exact"/>
              <w:ind w:left="0" w:right="0"/>
              <w:jc w:val="left"/>
              <w:rPr>
                <w:i/>
                <w:sz w:val="16"/>
                <w:lang w:val="en-GB"/>
              </w:rPr>
            </w:pPr>
            <w:bookmarkStart w:id="13" w:name="_30j0zll" w:colFirst="0" w:colLast="0"/>
            <w:bookmarkEnd w:id="13"/>
            <w:r w:rsidRPr="00264B43">
              <w:rPr>
                <w:i/>
                <w:sz w:val="16"/>
              </w:rPr>
              <w:t>Tipo de prestación</w:t>
            </w:r>
          </w:p>
        </w:tc>
        <w:tc>
          <w:tcPr>
            <w:tcW w:w="1169" w:type="dxa"/>
            <w:tcBorders>
              <w:top w:val="single" w:sz="4" w:space="0" w:color="auto"/>
              <w:bottom w:val="single" w:sz="12" w:space="0" w:color="auto"/>
            </w:tcBorders>
            <w:shd w:val="clear" w:color="auto" w:fill="auto"/>
            <w:vAlign w:val="bottom"/>
          </w:tcPr>
          <w:p w14:paraId="1DB03302" w14:textId="77777777" w:rsidR="00B70A36" w:rsidRPr="00264B43" w:rsidRDefault="00B70A36" w:rsidP="00264B43">
            <w:pPr>
              <w:pStyle w:val="SingleTxtG"/>
              <w:tabs>
                <w:tab w:val="clear" w:pos="1701"/>
                <w:tab w:val="clear" w:pos="2268"/>
                <w:tab w:val="clear" w:pos="2835"/>
              </w:tabs>
              <w:spacing w:before="80" w:after="80" w:line="200" w:lineRule="exact"/>
              <w:ind w:left="113" w:right="0"/>
              <w:jc w:val="right"/>
              <w:rPr>
                <w:i/>
                <w:sz w:val="16"/>
                <w:lang w:val="en-GB"/>
              </w:rPr>
            </w:pPr>
            <w:r w:rsidRPr="00264B43">
              <w:rPr>
                <w:i/>
                <w:iCs/>
                <w:sz w:val="16"/>
              </w:rPr>
              <w:t>2017</w:t>
            </w:r>
          </w:p>
        </w:tc>
        <w:tc>
          <w:tcPr>
            <w:tcW w:w="1169" w:type="dxa"/>
            <w:tcBorders>
              <w:top w:val="single" w:sz="4" w:space="0" w:color="auto"/>
              <w:bottom w:val="single" w:sz="12" w:space="0" w:color="auto"/>
            </w:tcBorders>
            <w:shd w:val="clear" w:color="auto" w:fill="auto"/>
            <w:vAlign w:val="bottom"/>
          </w:tcPr>
          <w:p w14:paraId="0BA19930" w14:textId="77777777" w:rsidR="00B70A36" w:rsidRPr="00264B43" w:rsidRDefault="00B70A36" w:rsidP="00264B43">
            <w:pPr>
              <w:pStyle w:val="SingleTxtG"/>
              <w:tabs>
                <w:tab w:val="clear" w:pos="1701"/>
                <w:tab w:val="clear" w:pos="2268"/>
                <w:tab w:val="clear" w:pos="2835"/>
              </w:tabs>
              <w:spacing w:before="80" w:after="80" w:line="200" w:lineRule="exact"/>
              <w:ind w:left="113" w:right="0"/>
              <w:jc w:val="right"/>
              <w:rPr>
                <w:i/>
                <w:sz w:val="16"/>
                <w:lang w:val="en-GB"/>
              </w:rPr>
            </w:pPr>
            <w:r w:rsidRPr="00264B43">
              <w:rPr>
                <w:i/>
                <w:iCs/>
                <w:sz w:val="16"/>
              </w:rPr>
              <w:t>2018</w:t>
            </w:r>
          </w:p>
        </w:tc>
        <w:tc>
          <w:tcPr>
            <w:tcW w:w="1169" w:type="dxa"/>
            <w:tcBorders>
              <w:top w:val="single" w:sz="4" w:space="0" w:color="auto"/>
              <w:bottom w:val="single" w:sz="12" w:space="0" w:color="auto"/>
            </w:tcBorders>
            <w:shd w:val="clear" w:color="auto" w:fill="auto"/>
            <w:vAlign w:val="bottom"/>
          </w:tcPr>
          <w:p w14:paraId="517E8886" w14:textId="77777777" w:rsidR="00B70A36" w:rsidRPr="00264B43" w:rsidRDefault="00B70A36" w:rsidP="00264B43">
            <w:pPr>
              <w:pStyle w:val="SingleTxtG"/>
              <w:tabs>
                <w:tab w:val="clear" w:pos="1701"/>
                <w:tab w:val="clear" w:pos="2268"/>
                <w:tab w:val="clear" w:pos="2835"/>
              </w:tabs>
              <w:spacing w:before="80" w:after="80" w:line="200" w:lineRule="exact"/>
              <w:ind w:left="113" w:right="0"/>
              <w:jc w:val="right"/>
              <w:rPr>
                <w:i/>
                <w:sz w:val="16"/>
                <w:lang w:val="en-GB"/>
              </w:rPr>
            </w:pPr>
            <w:r w:rsidRPr="00264B43">
              <w:rPr>
                <w:i/>
                <w:iCs/>
                <w:sz w:val="16"/>
              </w:rPr>
              <w:t>2019</w:t>
            </w:r>
          </w:p>
        </w:tc>
        <w:tc>
          <w:tcPr>
            <w:tcW w:w="1169" w:type="dxa"/>
            <w:tcBorders>
              <w:top w:val="single" w:sz="4" w:space="0" w:color="auto"/>
              <w:bottom w:val="single" w:sz="12" w:space="0" w:color="auto"/>
            </w:tcBorders>
            <w:shd w:val="clear" w:color="auto" w:fill="auto"/>
            <w:vAlign w:val="bottom"/>
          </w:tcPr>
          <w:p w14:paraId="7E485E75" w14:textId="77777777" w:rsidR="00B70A36" w:rsidRPr="00264B43" w:rsidRDefault="00B70A36" w:rsidP="00264B43">
            <w:pPr>
              <w:pStyle w:val="SingleTxtG"/>
              <w:tabs>
                <w:tab w:val="clear" w:pos="1701"/>
                <w:tab w:val="clear" w:pos="2268"/>
                <w:tab w:val="clear" w:pos="2835"/>
              </w:tabs>
              <w:spacing w:before="80" w:after="80" w:line="200" w:lineRule="exact"/>
              <w:ind w:left="113" w:right="0"/>
              <w:jc w:val="right"/>
              <w:rPr>
                <w:i/>
                <w:sz w:val="16"/>
                <w:lang w:val="en-GB"/>
              </w:rPr>
            </w:pPr>
            <w:r w:rsidRPr="00264B43">
              <w:rPr>
                <w:i/>
                <w:iCs/>
                <w:sz w:val="16"/>
              </w:rPr>
              <w:t>2020</w:t>
            </w:r>
          </w:p>
        </w:tc>
      </w:tr>
      <w:tr w:rsidR="00B70A36" w:rsidRPr="00264B43" w14:paraId="2C8FEB3E" w14:textId="77777777" w:rsidTr="00264B43">
        <w:trPr>
          <w:trHeight w:val="240"/>
        </w:trPr>
        <w:tc>
          <w:tcPr>
            <w:tcW w:w="2694" w:type="dxa"/>
            <w:tcBorders>
              <w:top w:val="single" w:sz="12" w:space="0" w:color="auto"/>
            </w:tcBorders>
            <w:shd w:val="clear" w:color="auto" w:fill="auto"/>
          </w:tcPr>
          <w:p w14:paraId="33E384B6"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rPr>
            </w:pPr>
            <w:r w:rsidRPr="00264B43">
              <w:rPr>
                <w:sz w:val="18"/>
              </w:rPr>
              <w:t>Pensión de jubilación por vejez</w:t>
            </w:r>
          </w:p>
        </w:tc>
        <w:tc>
          <w:tcPr>
            <w:tcW w:w="1169" w:type="dxa"/>
            <w:tcBorders>
              <w:top w:val="single" w:sz="12" w:space="0" w:color="auto"/>
            </w:tcBorders>
            <w:shd w:val="clear" w:color="auto" w:fill="auto"/>
            <w:vAlign w:val="bottom"/>
          </w:tcPr>
          <w:p w14:paraId="3A6709B1" w14:textId="07697C39"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86</w:t>
            </w:r>
            <w:r w:rsidR="00264B43">
              <w:rPr>
                <w:sz w:val="18"/>
              </w:rPr>
              <w:t xml:space="preserve"> </w:t>
            </w:r>
            <w:r w:rsidRPr="00264B43">
              <w:rPr>
                <w:sz w:val="18"/>
              </w:rPr>
              <w:t xml:space="preserve">439 </w:t>
            </w:r>
          </w:p>
        </w:tc>
        <w:tc>
          <w:tcPr>
            <w:tcW w:w="1169" w:type="dxa"/>
            <w:tcBorders>
              <w:top w:val="single" w:sz="12" w:space="0" w:color="auto"/>
            </w:tcBorders>
            <w:shd w:val="clear" w:color="auto" w:fill="auto"/>
            <w:vAlign w:val="bottom"/>
          </w:tcPr>
          <w:p w14:paraId="1DEBA165" w14:textId="518885C9"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98</w:t>
            </w:r>
            <w:r w:rsidR="00264B43">
              <w:rPr>
                <w:sz w:val="18"/>
              </w:rPr>
              <w:t xml:space="preserve"> </w:t>
            </w:r>
            <w:r w:rsidRPr="00264B43">
              <w:rPr>
                <w:sz w:val="18"/>
              </w:rPr>
              <w:t xml:space="preserve">813 </w:t>
            </w:r>
          </w:p>
        </w:tc>
        <w:tc>
          <w:tcPr>
            <w:tcW w:w="1169" w:type="dxa"/>
            <w:tcBorders>
              <w:top w:val="single" w:sz="12" w:space="0" w:color="auto"/>
            </w:tcBorders>
            <w:shd w:val="clear" w:color="auto" w:fill="auto"/>
            <w:vAlign w:val="bottom"/>
          </w:tcPr>
          <w:p w14:paraId="739B6E37" w14:textId="6576BD85"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144</w:t>
            </w:r>
            <w:r w:rsidR="00264B43">
              <w:rPr>
                <w:sz w:val="18"/>
              </w:rPr>
              <w:t xml:space="preserve"> </w:t>
            </w:r>
            <w:r w:rsidRPr="00264B43">
              <w:rPr>
                <w:sz w:val="18"/>
              </w:rPr>
              <w:t>826</w:t>
            </w:r>
          </w:p>
        </w:tc>
        <w:tc>
          <w:tcPr>
            <w:tcW w:w="1169" w:type="dxa"/>
            <w:tcBorders>
              <w:top w:val="single" w:sz="12" w:space="0" w:color="auto"/>
            </w:tcBorders>
            <w:shd w:val="clear" w:color="auto" w:fill="auto"/>
            <w:vAlign w:val="bottom"/>
          </w:tcPr>
          <w:p w14:paraId="2CE01B9C" w14:textId="2F1AA768"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155</w:t>
            </w:r>
            <w:r w:rsidR="00264B43">
              <w:rPr>
                <w:sz w:val="18"/>
              </w:rPr>
              <w:t xml:space="preserve"> </w:t>
            </w:r>
            <w:r w:rsidRPr="00264B43">
              <w:rPr>
                <w:sz w:val="18"/>
              </w:rPr>
              <w:t>872</w:t>
            </w:r>
          </w:p>
        </w:tc>
      </w:tr>
      <w:tr w:rsidR="00B70A36" w:rsidRPr="00264B43" w14:paraId="25EE3EA5" w14:textId="77777777" w:rsidTr="00264B43">
        <w:trPr>
          <w:trHeight w:val="240"/>
        </w:trPr>
        <w:tc>
          <w:tcPr>
            <w:tcW w:w="2694" w:type="dxa"/>
            <w:shd w:val="clear" w:color="auto" w:fill="auto"/>
          </w:tcPr>
          <w:p w14:paraId="28406C83"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rPr>
            </w:pPr>
            <w:r w:rsidRPr="00264B43">
              <w:rPr>
                <w:sz w:val="18"/>
              </w:rPr>
              <w:t>Gratificación de jubilación por vejez</w:t>
            </w:r>
          </w:p>
        </w:tc>
        <w:tc>
          <w:tcPr>
            <w:tcW w:w="1169" w:type="dxa"/>
            <w:shd w:val="clear" w:color="auto" w:fill="auto"/>
            <w:vAlign w:val="bottom"/>
          </w:tcPr>
          <w:p w14:paraId="4A8F9FE7" w14:textId="6B2605BB"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19</w:t>
            </w:r>
            <w:r w:rsidR="00264B43">
              <w:rPr>
                <w:sz w:val="18"/>
              </w:rPr>
              <w:t xml:space="preserve"> </w:t>
            </w:r>
            <w:r w:rsidRPr="00264B43">
              <w:rPr>
                <w:sz w:val="18"/>
              </w:rPr>
              <w:t xml:space="preserve">068 </w:t>
            </w:r>
          </w:p>
        </w:tc>
        <w:tc>
          <w:tcPr>
            <w:tcW w:w="1169" w:type="dxa"/>
            <w:shd w:val="clear" w:color="auto" w:fill="auto"/>
            <w:vAlign w:val="bottom"/>
          </w:tcPr>
          <w:p w14:paraId="02F6313F" w14:textId="7A37D030"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16</w:t>
            </w:r>
            <w:r w:rsidR="00264B43">
              <w:rPr>
                <w:sz w:val="18"/>
              </w:rPr>
              <w:t xml:space="preserve"> </w:t>
            </w:r>
            <w:r w:rsidRPr="00264B43">
              <w:rPr>
                <w:sz w:val="18"/>
              </w:rPr>
              <w:t xml:space="preserve">064 </w:t>
            </w:r>
          </w:p>
        </w:tc>
        <w:tc>
          <w:tcPr>
            <w:tcW w:w="1169" w:type="dxa"/>
            <w:shd w:val="clear" w:color="auto" w:fill="auto"/>
            <w:vAlign w:val="bottom"/>
          </w:tcPr>
          <w:p w14:paraId="39CBE693" w14:textId="494937BD"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28</w:t>
            </w:r>
            <w:r w:rsidR="00264B43">
              <w:rPr>
                <w:sz w:val="18"/>
              </w:rPr>
              <w:t xml:space="preserve"> </w:t>
            </w:r>
            <w:r w:rsidRPr="00264B43">
              <w:rPr>
                <w:sz w:val="18"/>
              </w:rPr>
              <w:t>809</w:t>
            </w:r>
          </w:p>
        </w:tc>
        <w:tc>
          <w:tcPr>
            <w:tcW w:w="1169" w:type="dxa"/>
            <w:shd w:val="clear" w:color="auto" w:fill="auto"/>
            <w:vAlign w:val="bottom"/>
          </w:tcPr>
          <w:p w14:paraId="5E596115" w14:textId="37244621"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27</w:t>
            </w:r>
            <w:r w:rsidR="00264B43">
              <w:rPr>
                <w:sz w:val="18"/>
              </w:rPr>
              <w:t xml:space="preserve"> </w:t>
            </w:r>
            <w:r w:rsidRPr="00264B43">
              <w:rPr>
                <w:sz w:val="18"/>
              </w:rPr>
              <w:t>039</w:t>
            </w:r>
          </w:p>
        </w:tc>
      </w:tr>
      <w:tr w:rsidR="00B70A36" w:rsidRPr="00264B43" w14:paraId="5B309E55" w14:textId="77777777" w:rsidTr="00264B43">
        <w:trPr>
          <w:trHeight w:val="240"/>
        </w:trPr>
        <w:tc>
          <w:tcPr>
            <w:tcW w:w="2694" w:type="dxa"/>
            <w:shd w:val="clear" w:color="auto" w:fill="auto"/>
          </w:tcPr>
          <w:p w14:paraId="3FE5F584"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rPr>
            </w:pPr>
            <w:r w:rsidRPr="00264B43">
              <w:rPr>
                <w:sz w:val="18"/>
              </w:rPr>
              <w:t>Subvención de jubilación por vejez</w:t>
            </w:r>
          </w:p>
        </w:tc>
        <w:tc>
          <w:tcPr>
            <w:tcW w:w="1169" w:type="dxa"/>
            <w:shd w:val="clear" w:color="auto" w:fill="auto"/>
            <w:vAlign w:val="bottom"/>
          </w:tcPr>
          <w:p w14:paraId="74089DEB" w14:textId="60C63902"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6</w:t>
            </w:r>
            <w:r w:rsidR="00264B43">
              <w:rPr>
                <w:sz w:val="18"/>
              </w:rPr>
              <w:t xml:space="preserve"> </w:t>
            </w:r>
            <w:r w:rsidRPr="00264B43">
              <w:rPr>
                <w:sz w:val="18"/>
              </w:rPr>
              <w:t xml:space="preserve">255 </w:t>
            </w:r>
          </w:p>
        </w:tc>
        <w:tc>
          <w:tcPr>
            <w:tcW w:w="1169" w:type="dxa"/>
            <w:shd w:val="clear" w:color="auto" w:fill="auto"/>
            <w:vAlign w:val="bottom"/>
          </w:tcPr>
          <w:p w14:paraId="099F3FD4" w14:textId="3D92B7DB"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10</w:t>
            </w:r>
            <w:r w:rsidR="00264B43">
              <w:rPr>
                <w:sz w:val="18"/>
              </w:rPr>
              <w:t xml:space="preserve"> </w:t>
            </w:r>
            <w:r w:rsidRPr="00264B43">
              <w:rPr>
                <w:sz w:val="18"/>
              </w:rPr>
              <w:t xml:space="preserve">468 </w:t>
            </w:r>
          </w:p>
        </w:tc>
        <w:tc>
          <w:tcPr>
            <w:tcW w:w="1169" w:type="dxa"/>
            <w:shd w:val="clear" w:color="auto" w:fill="auto"/>
            <w:vAlign w:val="bottom"/>
          </w:tcPr>
          <w:p w14:paraId="3D605A71" w14:textId="74E342E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14</w:t>
            </w:r>
            <w:r w:rsidR="00264B43">
              <w:rPr>
                <w:sz w:val="18"/>
              </w:rPr>
              <w:t xml:space="preserve"> </w:t>
            </w:r>
            <w:r w:rsidRPr="00264B43">
              <w:rPr>
                <w:sz w:val="18"/>
              </w:rPr>
              <w:t>449</w:t>
            </w:r>
          </w:p>
        </w:tc>
        <w:tc>
          <w:tcPr>
            <w:tcW w:w="1169" w:type="dxa"/>
            <w:shd w:val="clear" w:color="auto" w:fill="auto"/>
            <w:vAlign w:val="bottom"/>
          </w:tcPr>
          <w:p w14:paraId="347A8442" w14:textId="59DDC4DE"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11</w:t>
            </w:r>
            <w:r w:rsidR="00264B43">
              <w:rPr>
                <w:sz w:val="18"/>
              </w:rPr>
              <w:t xml:space="preserve"> </w:t>
            </w:r>
            <w:r w:rsidRPr="00264B43">
              <w:rPr>
                <w:sz w:val="18"/>
              </w:rPr>
              <w:t>739</w:t>
            </w:r>
          </w:p>
        </w:tc>
      </w:tr>
      <w:tr w:rsidR="00B70A36" w:rsidRPr="00264B43" w14:paraId="13DC5DB4" w14:textId="77777777" w:rsidTr="00264B43">
        <w:trPr>
          <w:trHeight w:val="240"/>
        </w:trPr>
        <w:tc>
          <w:tcPr>
            <w:tcW w:w="2694" w:type="dxa"/>
            <w:shd w:val="clear" w:color="auto" w:fill="auto"/>
          </w:tcPr>
          <w:p w14:paraId="73371238"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lang w:val="en-GB"/>
              </w:rPr>
            </w:pPr>
            <w:r w:rsidRPr="00264B43">
              <w:rPr>
                <w:sz w:val="18"/>
              </w:rPr>
              <w:t>Pensión de invalidez</w:t>
            </w:r>
          </w:p>
        </w:tc>
        <w:tc>
          <w:tcPr>
            <w:tcW w:w="1169" w:type="dxa"/>
            <w:shd w:val="clear" w:color="auto" w:fill="auto"/>
            <w:vAlign w:val="bottom"/>
          </w:tcPr>
          <w:p w14:paraId="22C2EB67"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lang w:val="en-GB"/>
              </w:rPr>
              <w:t xml:space="preserve">- </w:t>
            </w:r>
          </w:p>
        </w:tc>
        <w:tc>
          <w:tcPr>
            <w:tcW w:w="1169" w:type="dxa"/>
            <w:shd w:val="clear" w:color="auto" w:fill="auto"/>
            <w:vAlign w:val="bottom"/>
          </w:tcPr>
          <w:p w14:paraId="2ACD880A"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lang w:val="en-GB"/>
              </w:rPr>
              <w:t xml:space="preserve">- </w:t>
            </w:r>
          </w:p>
        </w:tc>
        <w:tc>
          <w:tcPr>
            <w:tcW w:w="1169" w:type="dxa"/>
            <w:shd w:val="clear" w:color="auto" w:fill="auto"/>
            <w:vAlign w:val="bottom"/>
          </w:tcPr>
          <w:p w14:paraId="29E8B543"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0</w:t>
            </w:r>
          </w:p>
        </w:tc>
        <w:tc>
          <w:tcPr>
            <w:tcW w:w="1169" w:type="dxa"/>
            <w:shd w:val="clear" w:color="auto" w:fill="auto"/>
            <w:vAlign w:val="bottom"/>
          </w:tcPr>
          <w:p w14:paraId="5F7E85B5" w14:textId="57610001"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7</w:t>
            </w:r>
            <w:r w:rsidR="00264B43">
              <w:rPr>
                <w:sz w:val="18"/>
              </w:rPr>
              <w:t xml:space="preserve"> </w:t>
            </w:r>
            <w:r w:rsidRPr="00264B43">
              <w:rPr>
                <w:sz w:val="18"/>
              </w:rPr>
              <w:t>179</w:t>
            </w:r>
          </w:p>
        </w:tc>
      </w:tr>
      <w:tr w:rsidR="00B70A36" w:rsidRPr="00264B43" w14:paraId="1395388E" w14:textId="77777777" w:rsidTr="00264B43">
        <w:trPr>
          <w:trHeight w:val="240"/>
        </w:trPr>
        <w:tc>
          <w:tcPr>
            <w:tcW w:w="2694" w:type="dxa"/>
            <w:shd w:val="clear" w:color="auto" w:fill="auto"/>
          </w:tcPr>
          <w:p w14:paraId="080379EB"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lang w:val="en-GB"/>
              </w:rPr>
            </w:pPr>
            <w:r w:rsidRPr="00264B43">
              <w:rPr>
                <w:sz w:val="18"/>
              </w:rPr>
              <w:t>Gratificación de invalidez</w:t>
            </w:r>
          </w:p>
        </w:tc>
        <w:tc>
          <w:tcPr>
            <w:tcW w:w="1169" w:type="dxa"/>
            <w:shd w:val="clear" w:color="auto" w:fill="auto"/>
            <w:vAlign w:val="bottom"/>
          </w:tcPr>
          <w:p w14:paraId="0868D057"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193 </w:t>
            </w:r>
          </w:p>
        </w:tc>
        <w:tc>
          <w:tcPr>
            <w:tcW w:w="1169" w:type="dxa"/>
            <w:shd w:val="clear" w:color="auto" w:fill="auto"/>
            <w:vAlign w:val="bottom"/>
          </w:tcPr>
          <w:p w14:paraId="380D5446"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400 </w:t>
            </w:r>
          </w:p>
        </w:tc>
        <w:tc>
          <w:tcPr>
            <w:tcW w:w="1169" w:type="dxa"/>
            <w:shd w:val="clear" w:color="auto" w:fill="auto"/>
            <w:vAlign w:val="bottom"/>
          </w:tcPr>
          <w:p w14:paraId="7266E3E2"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358</w:t>
            </w:r>
          </w:p>
        </w:tc>
        <w:tc>
          <w:tcPr>
            <w:tcW w:w="1169" w:type="dxa"/>
            <w:shd w:val="clear" w:color="auto" w:fill="auto"/>
            <w:vAlign w:val="bottom"/>
          </w:tcPr>
          <w:p w14:paraId="704148DD" w14:textId="1743E20E"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537</w:t>
            </w:r>
            <w:r w:rsidR="00264B43">
              <w:rPr>
                <w:sz w:val="18"/>
              </w:rPr>
              <w:t xml:space="preserve"> </w:t>
            </w:r>
            <w:r w:rsidRPr="00264B43">
              <w:rPr>
                <w:sz w:val="18"/>
              </w:rPr>
              <w:t>552</w:t>
            </w:r>
          </w:p>
        </w:tc>
      </w:tr>
      <w:tr w:rsidR="00B70A36" w:rsidRPr="00264B43" w14:paraId="74F020A1" w14:textId="77777777" w:rsidTr="00264B43">
        <w:trPr>
          <w:trHeight w:val="240"/>
        </w:trPr>
        <w:tc>
          <w:tcPr>
            <w:tcW w:w="2694" w:type="dxa"/>
            <w:shd w:val="clear" w:color="auto" w:fill="auto"/>
          </w:tcPr>
          <w:p w14:paraId="5EA75336"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lang w:val="en-GB"/>
              </w:rPr>
            </w:pPr>
            <w:bookmarkStart w:id="14" w:name="_1fob9te" w:colFirst="0" w:colLast="0"/>
            <w:bookmarkEnd w:id="14"/>
            <w:r w:rsidRPr="00264B43">
              <w:rPr>
                <w:sz w:val="18"/>
              </w:rPr>
              <w:t>Subvención de invalidez</w:t>
            </w:r>
          </w:p>
        </w:tc>
        <w:tc>
          <w:tcPr>
            <w:tcW w:w="1169" w:type="dxa"/>
            <w:shd w:val="clear" w:color="auto" w:fill="auto"/>
            <w:vAlign w:val="bottom"/>
          </w:tcPr>
          <w:p w14:paraId="54301E3A"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35 </w:t>
            </w:r>
          </w:p>
        </w:tc>
        <w:tc>
          <w:tcPr>
            <w:tcW w:w="1169" w:type="dxa"/>
            <w:shd w:val="clear" w:color="auto" w:fill="auto"/>
            <w:vAlign w:val="bottom"/>
          </w:tcPr>
          <w:p w14:paraId="55046837"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34 </w:t>
            </w:r>
          </w:p>
        </w:tc>
        <w:tc>
          <w:tcPr>
            <w:tcW w:w="1169" w:type="dxa"/>
            <w:shd w:val="clear" w:color="auto" w:fill="auto"/>
            <w:vAlign w:val="bottom"/>
          </w:tcPr>
          <w:p w14:paraId="251EFB52"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45</w:t>
            </w:r>
          </w:p>
        </w:tc>
        <w:tc>
          <w:tcPr>
            <w:tcW w:w="1169" w:type="dxa"/>
            <w:shd w:val="clear" w:color="auto" w:fill="auto"/>
            <w:vAlign w:val="bottom"/>
          </w:tcPr>
          <w:p w14:paraId="309C3D80"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29</w:t>
            </w:r>
          </w:p>
        </w:tc>
      </w:tr>
      <w:tr w:rsidR="00B70A36" w:rsidRPr="00264B43" w14:paraId="61ABD272" w14:textId="77777777" w:rsidTr="00264B43">
        <w:trPr>
          <w:trHeight w:val="240"/>
        </w:trPr>
        <w:tc>
          <w:tcPr>
            <w:tcW w:w="2694" w:type="dxa"/>
            <w:shd w:val="clear" w:color="auto" w:fill="auto"/>
          </w:tcPr>
          <w:p w14:paraId="3B20A51E"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lang w:val="en-GB"/>
              </w:rPr>
            </w:pPr>
            <w:r w:rsidRPr="00264B43">
              <w:rPr>
                <w:sz w:val="18"/>
              </w:rPr>
              <w:t>Pensión de sobrevivientes</w:t>
            </w:r>
          </w:p>
        </w:tc>
        <w:tc>
          <w:tcPr>
            <w:tcW w:w="1169" w:type="dxa"/>
            <w:shd w:val="clear" w:color="auto" w:fill="auto"/>
            <w:vAlign w:val="bottom"/>
          </w:tcPr>
          <w:p w14:paraId="6E6B47A3" w14:textId="21C0162F"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23</w:t>
            </w:r>
            <w:r w:rsidR="00264B43">
              <w:rPr>
                <w:sz w:val="18"/>
              </w:rPr>
              <w:t xml:space="preserve"> </w:t>
            </w:r>
            <w:r w:rsidRPr="00264B43">
              <w:rPr>
                <w:sz w:val="18"/>
              </w:rPr>
              <w:t xml:space="preserve">010 </w:t>
            </w:r>
          </w:p>
        </w:tc>
        <w:tc>
          <w:tcPr>
            <w:tcW w:w="1169" w:type="dxa"/>
            <w:shd w:val="clear" w:color="auto" w:fill="auto"/>
            <w:vAlign w:val="bottom"/>
          </w:tcPr>
          <w:p w14:paraId="24A82CF5" w14:textId="1E3FE8F8"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24</w:t>
            </w:r>
            <w:r w:rsidR="00264B43">
              <w:rPr>
                <w:sz w:val="18"/>
              </w:rPr>
              <w:t xml:space="preserve"> </w:t>
            </w:r>
            <w:r w:rsidRPr="00264B43">
              <w:rPr>
                <w:sz w:val="18"/>
              </w:rPr>
              <w:t xml:space="preserve">303 </w:t>
            </w:r>
          </w:p>
        </w:tc>
        <w:tc>
          <w:tcPr>
            <w:tcW w:w="1169" w:type="dxa"/>
            <w:shd w:val="clear" w:color="auto" w:fill="auto"/>
            <w:vAlign w:val="bottom"/>
          </w:tcPr>
          <w:p w14:paraId="62D1667A" w14:textId="6A9FB6E8"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29</w:t>
            </w:r>
            <w:r w:rsidR="00264B43">
              <w:rPr>
                <w:sz w:val="18"/>
              </w:rPr>
              <w:t xml:space="preserve"> </w:t>
            </w:r>
            <w:r w:rsidRPr="00264B43">
              <w:rPr>
                <w:sz w:val="18"/>
              </w:rPr>
              <w:t>427</w:t>
            </w:r>
          </w:p>
        </w:tc>
        <w:tc>
          <w:tcPr>
            <w:tcW w:w="1169" w:type="dxa"/>
            <w:shd w:val="clear" w:color="auto" w:fill="auto"/>
            <w:vAlign w:val="bottom"/>
          </w:tcPr>
          <w:p w14:paraId="16554E5C" w14:textId="799E0B86"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29</w:t>
            </w:r>
            <w:r w:rsidR="00264B43">
              <w:rPr>
                <w:sz w:val="18"/>
              </w:rPr>
              <w:t xml:space="preserve"> </w:t>
            </w:r>
            <w:r w:rsidRPr="00264B43">
              <w:rPr>
                <w:sz w:val="18"/>
              </w:rPr>
              <w:t>078</w:t>
            </w:r>
          </w:p>
        </w:tc>
      </w:tr>
      <w:tr w:rsidR="00B70A36" w:rsidRPr="00264B43" w14:paraId="47F716C8" w14:textId="77777777" w:rsidTr="00264B43">
        <w:trPr>
          <w:trHeight w:val="240"/>
        </w:trPr>
        <w:tc>
          <w:tcPr>
            <w:tcW w:w="2694" w:type="dxa"/>
            <w:shd w:val="clear" w:color="auto" w:fill="auto"/>
          </w:tcPr>
          <w:p w14:paraId="17B55401"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lang w:val="en-GB"/>
              </w:rPr>
            </w:pPr>
            <w:r w:rsidRPr="00264B43">
              <w:rPr>
                <w:sz w:val="18"/>
              </w:rPr>
              <w:t>Gratificación de sobrevivientes</w:t>
            </w:r>
          </w:p>
        </w:tc>
        <w:tc>
          <w:tcPr>
            <w:tcW w:w="1169" w:type="dxa"/>
            <w:shd w:val="clear" w:color="auto" w:fill="auto"/>
            <w:vAlign w:val="bottom"/>
          </w:tcPr>
          <w:p w14:paraId="2264761E" w14:textId="3CC2D50F"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26</w:t>
            </w:r>
            <w:r w:rsidR="00264B43">
              <w:rPr>
                <w:sz w:val="18"/>
              </w:rPr>
              <w:t xml:space="preserve"> </w:t>
            </w:r>
            <w:r w:rsidRPr="00264B43">
              <w:rPr>
                <w:sz w:val="18"/>
              </w:rPr>
              <w:t xml:space="preserve">841 </w:t>
            </w:r>
          </w:p>
        </w:tc>
        <w:tc>
          <w:tcPr>
            <w:tcW w:w="1169" w:type="dxa"/>
            <w:shd w:val="clear" w:color="auto" w:fill="auto"/>
            <w:vAlign w:val="bottom"/>
          </w:tcPr>
          <w:p w14:paraId="031428E1"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3 </w:t>
            </w:r>
          </w:p>
        </w:tc>
        <w:tc>
          <w:tcPr>
            <w:tcW w:w="1169" w:type="dxa"/>
            <w:shd w:val="clear" w:color="auto" w:fill="auto"/>
            <w:vAlign w:val="bottom"/>
          </w:tcPr>
          <w:p w14:paraId="3770FA42" w14:textId="20F5038E"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2</w:t>
            </w:r>
            <w:r w:rsidR="00264B43">
              <w:rPr>
                <w:sz w:val="18"/>
              </w:rPr>
              <w:t xml:space="preserve"> </w:t>
            </w:r>
            <w:r w:rsidRPr="00264B43">
              <w:rPr>
                <w:sz w:val="18"/>
              </w:rPr>
              <w:t>971</w:t>
            </w:r>
          </w:p>
        </w:tc>
        <w:tc>
          <w:tcPr>
            <w:tcW w:w="1169" w:type="dxa"/>
            <w:shd w:val="clear" w:color="auto" w:fill="auto"/>
            <w:vAlign w:val="bottom"/>
          </w:tcPr>
          <w:p w14:paraId="043D8A81" w14:textId="027C1EC6"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3</w:t>
            </w:r>
            <w:r w:rsidR="00264B43">
              <w:rPr>
                <w:sz w:val="18"/>
              </w:rPr>
              <w:t xml:space="preserve"> </w:t>
            </w:r>
            <w:r w:rsidRPr="00264B43">
              <w:rPr>
                <w:sz w:val="18"/>
              </w:rPr>
              <w:t>914</w:t>
            </w:r>
          </w:p>
        </w:tc>
      </w:tr>
      <w:tr w:rsidR="00B70A36" w:rsidRPr="00264B43" w14:paraId="5C6DB22B" w14:textId="77777777" w:rsidTr="00264B43">
        <w:trPr>
          <w:trHeight w:val="240"/>
        </w:trPr>
        <w:tc>
          <w:tcPr>
            <w:tcW w:w="2694" w:type="dxa"/>
            <w:tcBorders>
              <w:bottom w:val="single" w:sz="4" w:space="0" w:color="auto"/>
            </w:tcBorders>
            <w:shd w:val="clear" w:color="auto" w:fill="auto"/>
          </w:tcPr>
          <w:p w14:paraId="6D31DF07" w14:textId="77777777" w:rsidR="00B70A36" w:rsidRPr="00264B43" w:rsidRDefault="00B70A36" w:rsidP="00264B43">
            <w:pPr>
              <w:pStyle w:val="SingleTxtG"/>
              <w:tabs>
                <w:tab w:val="clear" w:pos="1701"/>
                <w:tab w:val="clear" w:pos="2268"/>
                <w:tab w:val="clear" w:pos="2835"/>
              </w:tabs>
              <w:spacing w:before="40" w:after="40" w:line="220" w:lineRule="exact"/>
              <w:ind w:left="0" w:right="0"/>
              <w:jc w:val="left"/>
              <w:rPr>
                <w:sz w:val="18"/>
                <w:lang w:val="en-GB"/>
              </w:rPr>
            </w:pPr>
            <w:r w:rsidRPr="00264B43">
              <w:rPr>
                <w:sz w:val="18"/>
              </w:rPr>
              <w:t>Subvención de sobrevivientes</w:t>
            </w:r>
          </w:p>
        </w:tc>
        <w:tc>
          <w:tcPr>
            <w:tcW w:w="1169" w:type="dxa"/>
            <w:tcBorders>
              <w:bottom w:val="single" w:sz="4" w:space="0" w:color="auto"/>
            </w:tcBorders>
            <w:shd w:val="clear" w:color="auto" w:fill="auto"/>
            <w:vAlign w:val="bottom"/>
          </w:tcPr>
          <w:p w14:paraId="2D4610B9"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23 </w:t>
            </w:r>
          </w:p>
        </w:tc>
        <w:tc>
          <w:tcPr>
            <w:tcW w:w="1169" w:type="dxa"/>
            <w:tcBorders>
              <w:bottom w:val="single" w:sz="4" w:space="0" w:color="auto"/>
            </w:tcBorders>
            <w:shd w:val="clear" w:color="auto" w:fill="auto"/>
            <w:vAlign w:val="bottom"/>
          </w:tcPr>
          <w:p w14:paraId="73FC4260"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 xml:space="preserve">941 </w:t>
            </w:r>
          </w:p>
        </w:tc>
        <w:tc>
          <w:tcPr>
            <w:tcW w:w="1169" w:type="dxa"/>
            <w:tcBorders>
              <w:bottom w:val="single" w:sz="4" w:space="0" w:color="auto"/>
            </w:tcBorders>
            <w:shd w:val="clear" w:color="auto" w:fill="auto"/>
            <w:vAlign w:val="bottom"/>
          </w:tcPr>
          <w:p w14:paraId="2F8B4D6B" w14:textId="77777777"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951</w:t>
            </w:r>
          </w:p>
        </w:tc>
        <w:tc>
          <w:tcPr>
            <w:tcW w:w="1169" w:type="dxa"/>
            <w:tcBorders>
              <w:bottom w:val="single" w:sz="4" w:space="0" w:color="auto"/>
            </w:tcBorders>
            <w:shd w:val="clear" w:color="auto" w:fill="auto"/>
            <w:vAlign w:val="bottom"/>
          </w:tcPr>
          <w:p w14:paraId="0E25D51F" w14:textId="39AD8A0B" w:rsidR="00B70A36" w:rsidRPr="00264B43" w:rsidRDefault="00B70A36" w:rsidP="00264B43">
            <w:pPr>
              <w:pStyle w:val="SingleTxtG"/>
              <w:tabs>
                <w:tab w:val="clear" w:pos="1701"/>
                <w:tab w:val="clear" w:pos="2268"/>
                <w:tab w:val="clear" w:pos="2835"/>
              </w:tabs>
              <w:spacing w:before="40" w:after="40" w:line="220" w:lineRule="exact"/>
              <w:ind w:left="113" w:right="0"/>
              <w:jc w:val="right"/>
              <w:rPr>
                <w:sz w:val="18"/>
                <w:lang w:val="en-GB"/>
              </w:rPr>
            </w:pPr>
            <w:r w:rsidRPr="00264B43">
              <w:rPr>
                <w:sz w:val="18"/>
              </w:rPr>
              <w:t>1</w:t>
            </w:r>
            <w:r w:rsidR="00264B43">
              <w:rPr>
                <w:sz w:val="18"/>
              </w:rPr>
              <w:t xml:space="preserve"> </w:t>
            </w:r>
            <w:r w:rsidRPr="00264B43">
              <w:rPr>
                <w:sz w:val="18"/>
              </w:rPr>
              <w:t>354</w:t>
            </w:r>
          </w:p>
        </w:tc>
      </w:tr>
      <w:tr w:rsidR="00B70A36" w:rsidRPr="00264B43" w14:paraId="6575031A" w14:textId="77777777" w:rsidTr="00264B43">
        <w:trPr>
          <w:trHeight w:val="240"/>
        </w:trPr>
        <w:tc>
          <w:tcPr>
            <w:tcW w:w="2694" w:type="dxa"/>
            <w:tcBorders>
              <w:top w:val="single" w:sz="4" w:space="0" w:color="auto"/>
              <w:bottom w:val="single" w:sz="12" w:space="0" w:color="auto"/>
            </w:tcBorders>
            <w:shd w:val="clear" w:color="auto" w:fill="auto"/>
          </w:tcPr>
          <w:p w14:paraId="77590664" w14:textId="77777777" w:rsidR="00B70A36" w:rsidRPr="00264B43" w:rsidRDefault="00B70A36" w:rsidP="00264B43">
            <w:pPr>
              <w:pStyle w:val="SingleTxtG"/>
              <w:tabs>
                <w:tab w:val="clear" w:pos="1701"/>
                <w:tab w:val="clear" w:pos="2268"/>
                <w:tab w:val="clear" w:pos="2835"/>
              </w:tabs>
              <w:spacing w:before="80" w:after="80" w:line="220" w:lineRule="exact"/>
              <w:ind w:left="283" w:right="0"/>
              <w:jc w:val="left"/>
              <w:rPr>
                <w:b/>
                <w:bCs/>
                <w:iCs/>
                <w:sz w:val="18"/>
                <w:lang w:val="en-GB"/>
              </w:rPr>
            </w:pPr>
            <w:r w:rsidRPr="00264B43">
              <w:rPr>
                <w:b/>
                <w:bCs/>
                <w:iCs/>
                <w:sz w:val="18"/>
                <w:lang w:val="en-GB"/>
              </w:rPr>
              <w:t>Total</w:t>
            </w:r>
          </w:p>
        </w:tc>
        <w:tc>
          <w:tcPr>
            <w:tcW w:w="1169" w:type="dxa"/>
            <w:tcBorders>
              <w:top w:val="single" w:sz="4" w:space="0" w:color="auto"/>
              <w:bottom w:val="single" w:sz="12" w:space="0" w:color="auto"/>
            </w:tcBorders>
            <w:shd w:val="clear" w:color="auto" w:fill="auto"/>
            <w:vAlign w:val="bottom"/>
          </w:tcPr>
          <w:p w14:paraId="2D572450" w14:textId="75939338" w:rsidR="00B70A36" w:rsidRPr="00264B43" w:rsidRDefault="00B70A36" w:rsidP="00264B43">
            <w:pPr>
              <w:pStyle w:val="SingleTxtG"/>
              <w:tabs>
                <w:tab w:val="clear" w:pos="1701"/>
                <w:tab w:val="clear" w:pos="2268"/>
                <w:tab w:val="clear" w:pos="2835"/>
              </w:tabs>
              <w:spacing w:before="80" w:after="80" w:line="220" w:lineRule="exact"/>
              <w:ind w:left="0" w:right="0"/>
              <w:jc w:val="right"/>
              <w:rPr>
                <w:b/>
                <w:bCs/>
                <w:iCs/>
                <w:sz w:val="18"/>
                <w:lang w:val="en-GB"/>
              </w:rPr>
            </w:pPr>
            <w:r w:rsidRPr="00264B43">
              <w:rPr>
                <w:b/>
                <w:bCs/>
                <w:sz w:val="18"/>
              </w:rPr>
              <w:t>161</w:t>
            </w:r>
            <w:r w:rsidR="00264B43">
              <w:rPr>
                <w:b/>
                <w:bCs/>
                <w:sz w:val="18"/>
              </w:rPr>
              <w:t xml:space="preserve"> </w:t>
            </w:r>
            <w:r w:rsidRPr="00264B43">
              <w:rPr>
                <w:b/>
                <w:bCs/>
                <w:sz w:val="18"/>
              </w:rPr>
              <w:t>864</w:t>
            </w:r>
          </w:p>
        </w:tc>
        <w:tc>
          <w:tcPr>
            <w:tcW w:w="1169" w:type="dxa"/>
            <w:tcBorders>
              <w:top w:val="single" w:sz="4" w:space="0" w:color="auto"/>
              <w:bottom w:val="single" w:sz="12" w:space="0" w:color="auto"/>
            </w:tcBorders>
            <w:shd w:val="clear" w:color="auto" w:fill="auto"/>
            <w:vAlign w:val="bottom"/>
          </w:tcPr>
          <w:p w14:paraId="0318DFD1" w14:textId="1052898A" w:rsidR="00B70A36" w:rsidRPr="00264B43" w:rsidRDefault="00B70A36" w:rsidP="00264B43">
            <w:pPr>
              <w:pStyle w:val="SingleTxtG"/>
              <w:tabs>
                <w:tab w:val="clear" w:pos="1701"/>
                <w:tab w:val="clear" w:pos="2268"/>
                <w:tab w:val="clear" w:pos="2835"/>
              </w:tabs>
              <w:spacing w:before="80" w:after="80" w:line="220" w:lineRule="exact"/>
              <w:ind w:left="0" w:right="0"/>
              <w:jc w:val="right"/>
              <w:rPr>
                <w:b/>
                <w:bCs/>
                <w:iCs/>
                <w:sz w:val="18"/>
                <w:lang w:val="en-GB"/>
              </w:rPr>
            </w:pPr>
            <w:r w:rsidRPr="00264B43">
              <w:rPr>
                <w:b/>
                <w:bCs/>
                <w:sz w:val="18"/>
              </w:rPr>
              <w:t>151</w:t>
            </w:r>
            <w:r w:rsidR="00264B43">
              <w:rPr>
                <w:b/>
                <w:bCs/>
                <w:sz w:val="18"/>
              </w:rPr>
              <w:t xml:space="preserve"> </w:t>
            </w:r>
            <w:r w:rsidRPr="00264B43">
              <w:rPr>
                <w:b/>
                <w:bCs/>
                <w:sz w:val="18"/>
              </w:rPr>
              <w:t>026</w:t>
            </w:r>
            <w:r w:rsidRPr="00264B43">
              <w:rPr>
                <w:b/>
                <w:sz w:val="18"/>
              </w:rPr>
              <w:t xml:space="preserve"> </w:t>
            </w:r>
          </w:p>
        </w:tc>
        <w:tc>
          <w:tcPr>
            <w:tcW w:w="1169" w:type="dxa"/>
            <w:tcBorders>
              <w:top w:val="single" w:sz="4" w:space="0" w:color="auto"/>
              <w:bottom w:val="single" w:sz="12" w:space="0" w:color="auto"/>
            </w:tcBorders>
            <w:shd w:val="clear" w:color="auto" w:fill="auto"/>
            <w:vAlign w:val="bottom"/>
          </w:tcPr>
          <w:p w14:paraId="6C4F04BA" w14:textId="64350278" w:rsidR="00B70A36" w:rsidRPr="00264B43" w:rsidRDefault="00B70A36" w:rsidP="00264B43">
            <w:pPr>
              <w:pStyle w:val="SingleTxtG"/>
              <w:tabs>
                <w:tab w:val="clear" w:pos="1701"/>
                <w:tab w:val="clear" w:pos="2268"/>
                <w:tab w:val="clear" w:pos="2835"/>
              </w:tabs>
              <w:spacing w:before="80" w:after="80" w:line="220" w:lineRule="exact"/>
              <w:ind w:left="0" w:right="0"/>
              <w:jc w:val="right"/>
              <w:rPr>
                <w:b/>
                <w:bCs/>
                <w:iCs/>
                <w:sz w:val="18"/>
                <w:lang w:val="en-GB"/>
              </w:rPr>
            </w:pPr>
            <w:r w:rsidRPr="00264B43">
              <w:rPr>
                <w:b/>
                <w:bCs/>
                <w:sz w:val="18"/>
              </w:rPr>
              <w:t>221</w:t>
            </w:r>
            <w:r w:rsidR="00264B43">
              <w:rPr>
                <w:b/>
                <w:bCs/>
                <w:sz w:val="18"/>
              </w:rPr>
              <w:t xml:space="preserve"> </w:t>
            </w:r>
            <w:r w:rsidRPr="00264B43">
              <w:rPr>
                <w:b/>
                <w:bCs/>
                <w:sz w:val="18"/>
              </w:rPr>
              <w:t>836</w:t>
            </w:r>
          </w:p>
        </w:tc>
        <w:tc>
          <w:tcPr>
            <w:tcW w:w="1169" w:type="dxa"/>
            <w:tcBorders>
              <w:top w:val="single" w:sz="4" w:space="0" w:color="auto"/>
              <w:bottom w:val="single" w:sz="12" w:space="0" w:color="auto"/>
            </w:tcBorders>
            <w:shd w:val="clear" w:color="auto" w:fill="auto"/>
            <w:vAlign w:val="bottom"/>
          </w:tcPr>
          <w:p w14:paraId="2E754F6E" w14:textId="58073B7C" w:rsidR="00B70A36" w:rsidRPr="00264B43" w:rsidRDefault="00B70A36" w:rsidP="00264B43">
            <w:pPr>
              <w:pStyle w:val="SingleTxtG"/>
              <w:tabs>
                <w:tab w:val="clear" w:pos="1701"/>
                <w:tab w:val="clear" w:pos="2268"/>
                <w:tab w:val="clear" w:pos="2835"/>
              </w:tabs>
              <w:spacing w:before="80" w:after="80" w:line="220" w:lineRule="exact"/>
              <w:ind w:left="0" w:right="0"/>
              <w:jc w:val="right"/>
              <w:rPr>
                <w:b/>
                <w:bCs/>
                <w:iCs/>
                <w:sz w:val="18"/>
                <w:lang w:val="en-GB"/>
              </w:rPr>
            </w:pPr>
            <w:r w:rsidRPr="00264B43">
              <w:rPr>
                <w:b/>
                <w:bCs/>
                <w:sz w:val="18"/>
              </w:rPr>
              <w:t>773</w:t>
            </w:r>
            <w:r w:rsidR="00264B43">
              <w:rPr>
                <w:b/>
                <w:bCs/>
                <w:sz w:val="18"/>
              </w:rPr>
              <w:t xml:space="preserve"> </w:t>
            </w:r>
            <w:r w:rsidRPr="00264B43">
              <w:rPr>
                <w:b/>
                <w:bCs/>
                <w:sz w:val="18"/>
              </w:rPr>
              <w:t>756</w:t>
            </w:r>
          </w:p>
        </w:tc>
      </w:tr>
    </w:tbl>
    <w:p w14:paraId="5504FBF9" w14:textId="77777777" w:rsidR="00B70A36" w:rsidRPr="00F7488A" w:rsidRDefault="00B70A36" w:rsidP="00264B43">
      <w:pPr>
        <w:pStyle w:val="SingleTxtG"/>
        <w:spacing w:before="240"/>
      </w:pPr>
      <w:r w:rsidRPr="00F7488A">
        <w:t>94.</w:t>
      </w:r>
      <w:r w:rsidRPr="00F7488A">
        <w:tab/>
        <w:t>Además de las prestaciones de la seguridad social concedidas a sus afiliados en virtud de la disposición sobre las contingencias de la Ley núm. 5 de Fondo Fiduciario Nacional de Seguro y Seguridad Social de 2001, el Estado es muy consciente de la vulnerabilidad que conlleva la vejez. En noviembre de 2006, el Gobierno puso en marcha la Red de Protección Social, un programa de asistencia social para las personas mayores. Se trata de un régimen no contributivo que aplica el Ministerio del Trabajo en colaboración con la Comisión Nacional de Acción Social</w:t>
      </w:r>
      <w:r w:rsidRPr="00F7488A">
        <w:rPr>
          <w:rStyle w:val="Refdenotaalpie"/>
        </w:rPr>
        <w:footnoteReference w:id="27"/>
      </w:r>
      <w:r w:rsidRPr="00F7488A">
        <w:t xml:space="preserve"> (NaCSA). En el marco de este programa, se han puesto en marcha numerosos programas en favor de los pobres y de la reducción de la pobreza, supervisados directamente por la Oficina del Vicepresidente de Sierra Leona.</w:t>
      </w:r>
    </w:p>
    <w:p w14:paraId="3B435F24" w14:textId="7E9546BF" w:rsidR="00B70A36" w:rsidRPr="00F7488A" w:rsidRDefault="00B70A36" w:rsidP="00372CF7">
      <w:pPr>
        <w:pStyle w:val="SingleTxtG"/>
      </w:pPr>
      <w:r w:rsidRPr="00F7488A">
        <w:t>95.</w:t>
      </w:r>
      <w:r w:rsidRPr="00F7488A">
        <w:tab/>
        <w:t>Las contingencias cubiertas por el NASSIT son de naturaleza a largo plazo, lo que permite al programa invertir los fondos excedentarios para estar en mejores condiciones de hacer frente a sus futuras obligaciones financieras cuando llegue el momento. Mejorar el rendimiento de las inversiones y obtener liquidez suficiente para pagar las prestaciones es, por tanto, fundamental para la viabilidad del Fondo. Sin embargo, conseguirlo ha supuesto un reto dada la recesión económica mundial y la lentitud con la que la economía de Sierra</w:t>
      </w:r>
      <w:r w:rsidR="00825833">
        <w:t> </w:t>
      </w:r>
      <w:r w:rsidRPr="00F7488A">
        <w:t>Leona se recupera del reciente brote epidémico de Ébola, así como de la actual enfermedad por coronavirus (COVID-19).</w:t>
      </w:r>
    </w:p>
    <w:p w14:paraId="22A5C032" w14:textId="4F0C73ED" w:rsidR="00B70A36" w:rsidRPr="00F7488A" w:rsidRDefault="00B70A36" w:rsidP="00372CF7">
      <w:pPr>
        <w:pStyle w:val="SingleTxtG"/>
        <w:rPr>
          <w:vertAlign w:val="superscript"/>
        </w:rPr>
      </w:pPr>
      <w:r w:rsidRPr="00F7488A">
        <w:t>96.</w:t>
      </w:r>
      <w:r w:rsidRPr="00F7488A">
        <w:tab/>
        <w:t>Como el mercado de capitales del país aún no ha despegado completamente, la mayor parte de los excedentes del Fondo se han destinado a las inversiones en infraestructuras, los servicios financieros y los sectores de la hostelería. La estrategia del Fondo de cara al futuro consiste en aplicar métodos de inversión rentables y de riesgo relativamente bajo en el marco de la Política de Inversión de la Institución</w:t>
      </w:r>
      <w:r w:rsidRPr="00F7488A">
        <w:rPr>
          <w:rStyle w:val="Refdenotaalpie"/>
        </w:rPr>
        <w:footnoteReference w:id="28"/>
      </w:r>
      <w:r w:rsidRPr="00F7488A">
        <w:t xml:space="preserve">. Esta Política está consagrada en la Ley de Fondo Fiduciario Nacional de Seguro y Seguridad Social de 2001, y establece que </w:t>
      </w:r>
      <w:r w:rsidR="00433C77">
        <w:t>“</w:t>
      </w:r>
      <w:r w:rsidRPr="00F7488A">
        <w:t>Previa aprobación por el Consejo Directivo, el Fondo podrá invertir cualquier parte de los fondos que no deba gastarse inmediatamente para cumplir cualquiera de sus obligaciones en virtud de esta Ley</w:t>
      </w:r>
      <w:r w:rsidR="00433C77">
        <w:t>”</w:t>
      </w:r>
      <w:r w:rsidRPr="00F7488A">
        <w:t xml:space="preserve">. Además, en el artículo 7, párrafo 1, se establece que </w:t>
      </w:r>
      <w:r w:rsidR="00433C77">
        <w:t>“</w:t>
      </w:r>
      <w:r w:rsidRPr="00F7488A">
        <w:t>El Consejo, al aprobar cualquier inversión, tendrá en cuenta las mejores prácticas que permitan mantener inversiones prudentes y exentas de riesgo para preservar la solidez financiera, incluso en el caso de perturbaciones imprevistas que pudieran afectar a las obligaciones futuras</w:t>
      </w:r>
      <w:r w:rsidR="00433C77">
        <w:t>”</w:t>
      </w:r>
      <w:r w:rsidRPr="00F7488A">
        <w:rPr>
          <w:rStyle w:val="Refdenotaalpie"/>
        </w:rPr>
        <w:footnoteReference w:id="29"/>
      </w:r>
      <w:r w:rsidRPr="00F7488A">
        <w:t>.</w:t>
      </w:r>
    </w:p>
    <w:p w14:paraId="4BCB0904" w14:textId="77777777" w:rsidR="00B70A36" w:rsidRPr="00F7488A" w:rsidRDefault="00B70A36" w:rsidP="00372CF7">
      <w:pPr>
        <w:pStyle w:val="SingleTxtG"/>
        <w:rPr>
          <w:vertAlign w:val="superscript"/>
        </w:rPr>
      </w:pPr>
      <w:r w:rsidRPr="00F7488A">
        <w:t>97.</w:t>
      </w:r>
      <w:r w:rsidRPr="00F7488A">
        <w:tab/>
        <w:t>El NASSIT, en cumplimiento del mandato establecido en la Ley, lleva años invirtiendo el excedente de los fondos según las recomendaciones del Comité de Gestión de Inversiones formuladas al Subcomité de Inversiones del Consejo y aprobadas por el Consejo Directivo</w:t>
      </w:r>
      <w:r w:rsidRPr="00F7488A">
        <w:rPr>
          <w:rStyle w:val="Refdenotaalpie"/>
        </w:rPr>
        <w:footnoteReference w:id="30"/>
      </w:r>
      <w:r w:rsidRPr="00F7488A">
        <w:t>.</w:t>
      </w:r>
    </w:p>
    <w:p w14:paraId="4725C9E6" w14:textId="77777777" w:rsidR="00B70A36" w:rsidRPr="00F7488A" w:rsidRDefault="00B70A36" w:rsidP="00372CF7">
      <w:pPr>
        <w:pStyle w:val="SingleTxtG"/>
      </w:pPr>
      <w:r w:rsidRPr="00F7488A">
        <w:t>98.</w:t>
      </w:r>
      <w:r w:rsidRPr="00F7488A">
        <w:tab/>
        <w:t>Estas inversiones en el marco de la administración nacional de pensiones se clasifican en la Declaración de la Política de Inversión del Fondo Fiduciario como: a) Perfil de liquidez con activos congruentes y b) Perfil de activos a largo plazo. Las inversiones del perfil de liquidez con activos congruentes son las inversiones en activos de renta fija que se adaptan para satisfacer las demandas de liquidez del Fondo en cada momento; mientras que las inversiones del perfil de activos a largo plazo se realizan para ajustarse al pasivo exigible a largo plazo del Fondo.</w:t>
      </w:r>
    </w:p>
    <w:p w14:paraId="0FBF6888" w14:textId="77777777" w:rsidR="00B70A36" w:rsidRPr="00F7488A" w:rsidRDefault="00B70A36" w:rsidP="00372CF7">
      <w:pPr>
        <w:pStyle w:val="SingleTxtG"/>
      </w:pPr>
      <w:r w:rsidRPr="00F7488A">
        <w:t>99.</w:t>
      </w:r>
      <w:r w:rsidRPr="00F7488A">
        <w:tab/>
        <w:t>Los activos de renta fija del Fondo incluyen principalmente el perfil de liquidez con activos congruentes. En el perfil de liquidez con activos congruentes están incluidos los activos de renta fija a corto plazo como, por ejemplo, los depósitos a la vista, los depósitos a plazo fijo y los valores del Estado, y los activos de renta fija a largo plazo, como los bonos del Estado y las colocaciones privadas en bancos comerciales. Los instrumentos que incluye el perfil de liquidez con activos congruentes se subdividen generalmente en: a) instrumentos con bancos comerciales; y b) instrumentos con el Gobierno. Los ingresos de las inversiones del Fondo proceden principalmente de sus activos de renta fija.</w:t>
      </w:r>
    </w:p>
    <w:p w14:paraId="3D19D311" w14:textId="77777777" w:rsidR="00B70A36" w:rsidRPr="00F7488A" w:rsidRDefault="00B70A36" w:rsidP="00372CF7">
      <w:pPr>
        <w:pStyle w:val="SingleTxtG"/>
        <w:rPr>
          <w:vertAlign w:val="superscript"/>
        </w:rPr>
      </w:pPr>
      <w:r w:rsidRPr="00F7488A">
        <w:t>100.</w:t>
      </w:r>
      <w:r w:rsidRPr="00F7488A">
        <w:tab/>
        <w:t>El perfil de activos a largo plazo del NASSIT incluye las tenencias de obligaciones, las sociedades de participación en el capital (básicamente denominadas sociedades de cartera), los activos inmobiliarios del Fondo (que incluyen proyectos en curso) y los bancos de tierras. En el marco de la diversificación de sus inversiones para enriquecer los fondos con el fin de hacer frente a las contingencias a largo plazo a medida que van surgiendo, el Fondo ha constituido varias empresas conjuntas en un intento por promover las bases de un mayor crecimiento económico que, a su vez, creará más puestos de trabajo y aumentará los ingresos por cotizaciones. A lo largo de los años, el Fondo ha participado en diversas sociedades de cartera de inversión de patrimonio con fines económicos y con fines sociales</w:t>
      </w:r>
      <w:r w:rsidRPr="00F7488A">
        <w:rPr>
          <w:rStyle w:val="Refdenotaalpie"/>
        </w:rPr>
        <w:footnoteReference w:id="31"/>
      </w:r>
      <w:r w:rsidRPr="00F7488A">
        <w:t>.</w:t>
      </w:r>
    </w:p>
    <w:p w14:paraId="22C30CB8" w14:textId="77777777" w:rsidR="00B70A36" w:rsidRPr="00F7488A" w:rsidRDefault="00B70A36" w:rsidP="00372CF7">
      <w:pPr>
        <w:pStyle w:val="SingleTxtG"/>
      </w:pPr>
      <w:r w:rsidRPr="00F7488A">
        <w:t>101.</w:t>
      </w:r>
      <w:r w:rsidRPr="00F7488A">
        <w:tab/>
        <w:t>El Fondo posee actualmente participaciones en 13 empresas nacionales y una inversión extraterritorial en Ecobank Transnational Incorporated (ETI). Las participaciones en el capital no han generado ingresos sustanciales debido a la influencia de los resultados macroeconómicos generales en el potencial de beneficios de las empresas. Estos activos del Fondo se adquieren como gastos de inversión en los que el valor real de los fondos está garantizado, lo que permitirá hacer frente a las contingencias a largo plazo.</w:t>
      </w:r>
    </w:p>
    <w:p w14:paraId="2FCBA4A5" w14:textId="77777777" w:rsidR="00B70A36" w:rsidRPr="00F7488A" w:rsidRDefault="00B70A36" w:rsidP="00372CF7">
      <w:pPr>
        <w:pStyle w:val="SingleTxtG"/>
      </w:pPr>
      <w:r w:rsidRPr="00F7488A">
        <w:t>102.</w:t>
      </w:r>
      <w:r w:rsidRPr="00F7488A">
        <w:tab/>
        <w:t>El Fondo, en su afán por cumplir con una estrategia a medio plazo que se adecúe a sus objetivos de seguridad, rendimiento y liquidez, intensificó su campaña de diversificación invirtiendo en el mercado inmobiliario. Si bien es cierto que la mayoría de los proyectos mencionados tienen un objetivo económico, otros se han seleccionado por el doble efecto de abordar problemas sociales y, al mismo tiempo, reportar modestos beneficios al Fondo.</w:t>
      </w:r>
    </w:p>
    <w:p w14:paraId="32781174" w14:textId="01639CC7" w:rsidR="00B70A36" w:rsidRPr="00F7488A" w:rsidRDefault="00B70A36" w:rsidP="00372CF7">
      <w:pPr>
        <w:pStyle w:val="SingleTxtG"/>
      </w:pPr>
      <w:r w:rsidRPr="00F7488A">
        <w:t>103.</w:t>
      </w:r>
      <w:r w:rsidRPr="00F7488A">
        <w:tab/>
        <w:t xml:space="preserve">Estos conjuntos de activos los gestiona Sierra Estate Management Company Ltd. (SEMCo), que es una sociedad de responsabilidad limitada debidamente registrada en enero de 2012 y constituida con arreglo a la Ley de Sociedades de 2009. SEMCo fue creada por el Consejo de Administración de la empresa matriz, NASSIT, como entidad de propósito especial para gestionar las propiedades inmobiliarias del Fondo. La empresa ha autorizado y emitido un capital social de 300 millones de leones, dividido en 100.000 acciones ordinarias de 3.000 </w:t>
      </w:r>
      <w:r w:rsidR="00616F73">
        <w:t>leones</w:t>
      </w:r>
      <w:r w:rsidRPr="00F7488A">
        <w:t xml:space="preserve"> cada una, con derecho a ampliación según lo establecido en la escritura de constitución.</w:t>
      </w:r>
    </w:p>
    <w:p w14:paraId="43425BDE" w14:textId="64612C2D" w:rsidR="00B70A36" w:rsidRPr="00F7488A" w:rsidRDefault="00B70A36" w:rsidP="00372CF7">
      <w:pPr>
        <w:pStyle w:val="SingleTxtG"/>
      </w:pPr>
      <w:r w:rsidRPr="00F7488A">
        <w:t>104.</w:t>
      </w:r>
      <w:r w:rsidRPr="00F7488A">
        <w:tab/>
        <w:t>Las acciones de SEMCo están totalmente emitidas: NASSIT posee el 99 %, mientras que el 1 % restante está en manos de un particular. Las operaciones de SEMCo no se limitan a la gestión de propiedades comerciales y la promoción inmobiliaria, sino que también presta otros servicios relacionados con la seguridad, los servicios de limpieza y muchos más. A finales de diciembre de 2018, el valor de mercado total de los activos controlados por</w:t>
      </w:r>
      <w:r w:rsidR="009D2CFA">
        <w:t> </w:t>
      </w:r>
      <w:r w:rsidRPr="00F7488A">
        <w:t>SEMCo</w:t>
      </w:r>
      <w:r w:rsidR="009D2CFA">
        <w:t> </w:t>
      </w:r>
      <w:r w:rsidRPr="00F7488A">
        <w:t>fue el siguiente: Seaview Estate, 160.000 millones de leones; Makeni Plaza</w:t>
      </w:r>
      <w:r w:rsidR="00616F73">
        <w:t xml:space="preserve">, </w:t>
      </w:r>
      <w:r w:rsidRPr="00F7488A">
        <w:t>60.0000</w:t>
      </w:r>
      <w:r w:rsidR="009D2CFA">
        <w:t xml:space="preserve"> </w:t>
      </w:r>
      <w:r w:rsidRPr="00F7488A">
        <w:t>millones de leones; Bo Plaza, 49.000 millones de leones; y Kenema Plaza</w:t>
      </w:r>
      <w:r w:rsidR="009D2CFA">
        <w:noBreakHyphen/>
      </w:r>
      <w:r w:rsidRPr="00F7488A">
        <w:t xml:space="preserve"> 51.000</w:t>
      </w:r>
      <w:r w:rsidR="009D2CFA">
        <w:t> </w:t>
      </w:r>
      <w:r w:rsidRPr="00F7488A">
        <w:t>millones de leones.</w:t>
      </w:r>
    </w:p>
    <w:p w14:paraId="63CB2D7C" w14:textId="0369FC70" w:rsidR="00B70A36" w:rsidRPr="00F7488A" w:rsidRDefault="00B70A36" w:rsidP="00372CF7">
      <w:pPr>
        <w:pStyle w:val="SingleTxtG"/>
      </w:pPr>
      <w:r w:rsidRPr="00F7488A">
        <w:t>105.</w:t>
      </w:r>
      <w:r w:rsidRPr="00F7488A">
        <w:tab/>
        <w:t xml:space="preserve">El Fondo adquirió la propiedad de terrenos en las principales ciudades provinciales con una extensión de unos 740 acres, principalmente para llevar a cabo proyectos de inversión. Estos terrenos se destinan a inversiones en viviendas asequibles y otros proyectos de infraestructuras. Estas propiedades se encuentran ubicadas en las capitales de </w:t>
      </w:r>
      <w:proofErr w:type="spellStart"/>
      <w:r w:rsidRPr="00F7488A">
        <w:t>Makeni</w:t>
      </w:r>
      <w:proofErr w:type="spellEnd"/>
      <w:r w:rsidRPr="00F7488A">
        <w:t xml:space="preserve">, Bo, </w:t>
      </w:r>
      <w:proofErr w:type="spellStart"/>
      <w:r w:rsidRPr="00F7488A">
        <w:t>Kenema</w:t>
      </w:r>
      <w:proofErr w:type="spellEnd"/>
      <w:r w:rsidRPr="00F7488A">
        <w:t xml:space="preserve"> y </w:t>
      </w:r>
      <w:proofErr w:type="spellStart"/>
      <w:r w:rsidR="00FC705B">
        <w:t>Kono</w:t>
      </w:r>
      <w:proofErr w:type="spellEnd"/>
      <w:r w:rsidR="00FC705B">
        <w:t xml:space="preserve">, y </w:t>
      </w:r>
      <w:r w:rsidRPr="00F7488A">
        <w:t>en los distritos de Oeste Urbana y Oeste Rural en las comunidades de Waterloo, Gloucester, Charlotte y Bathurst, y la Carretera Peninsular de Aberdeen.</w:t>
      </w:r>
    </w:p>
    <w:p w14:paraId="049CE616" w14:textId="77777777" w:rsidR="00B70A36" w:rsidRPr="00F7488A" w:rsidRDefault="00B70A36" w:rsidP="00372CF7">
      <w:pPr>
        <w:pStyle w:val="SingleTxtG"/>
      </w:pPr>
      <w:r w:rsidRPr="00F7488A">
        <w:t>106.</w:t>
      </w:r>
      <w:r w:rsidRPr="00F7488A">
        <w:tab/>
        <w:t>La situación actual del perfil de activos a largo plazo muestra que los préstamos en obligaciones son una parte de los activos de renta fija y representan el 26,16 % de la cartera. La asignación de fondos propios representa el 22,83 % de la cartera total y las propiedades el 51,01 %. El cuadro 18 muestra el tipo, la clase y la asignación real de activos del perfil de activos a largo plazo a finales de diciembre de 2018.</w:t>
      </w:r>
    </w:p>
    <w:p w14:paraId="12338D05" w14:textId="328DF9FC" w:rsidR="00B70A36" w:rsidRPr="00F7488A" w:rsidRDefault="00B70A36" w:rsidP="00372CF7">
      <w:pPr>
        <w:pStyle w:val="SingleTxtG"/>
      </w:pPr>
      <w:r w:rsidRPr="00F7488A">
        <w:t>107.</w:t>
      </w:r>
      <w:r w:rsidRPr="00F7488A">
        <w:tab/>
        <w:t>Cabe señalar que el mecanismo de obligaciones cooperativas con el Commerce and Mortgage Bank (CMB) es fructífero, y los ingresos obtenidos durante el período de referencia ascendieron a 3.590 millones de leones. Los ingresos en concepto de alquileres, tanto por el uso del Centro Internacional de Conferencias de Freetown (FICC) como por las remesas de SEMCo durante el período de referencia, ascendieron a 2.020 millones de leones. El total de dividendos percibidos durante el período de referencia ascendió a 634,9 millones de leones. En 2018, el total de los ingresos por inversiones obtenidos del perfil de activos a largo plazo ascendió a 6.250 millones de leones. El Fondo también participa en varios proyectos como parte de sus carteras de inversión globales. Dado que la misión del Fondo Fiduciario Nacional de Seguro y Seguridad Social es administrar un plan de seguridad social que proporcione seguridad financiera a todos los trabajadores de Sierra Leona en forma de prestaciones de vejez, invalidez y sobrevivientes basadas en los principios del seguro social, el Estado, a través de este Fondo y en colaboración con los ministerios, departamentos y organismos competentes, ha promulgado la Ley núm. 46 de Seguro Social de Salud de Sierra Leona de</w:t>
      </w:r>
      <w:r w:rsidR="009D2CFA">
        <w:t> </w:t>
      </w:r>
      <w:r w:rsidRPr="00F7488A">
        <w:t>2017, para proporcionar un sistema de seguro médico a todos los trabajadores, que ahora está a la espera de que se ponga en marcha. Como institución, vuelve a trabajar en otras dos contingencias en el marco del derecho a la seguridad social, a saber: los accidentes de trabajo</w:t>
      </w:r>
      <w:r w:rsidRPr="00F7488A">
        <w:rPr>
          <w:rStyle w:val="Refdenotaalpie"/>
        </w:rPr>
        <w:footnoteReference w:id="32"/>
      </w:r>
      <w:r w:rsidRPr="00F7488A">
        <w:t xml:space="preserve"> y la opción de ampliar la seguridad social al sector informal</w:t>
      </w:r>
      <w:r w:rsidRPr="00F7488A">
        <w:rPr>
          <w:rStyle w:val="Refdenotaalpie"/>
        </w:rPr>
        <w:footnoteReference w:id="33"/>
      </w:r>
      <w:r w:rsidRPr="00F7488A">
        <w:t xml:space="preserve">. El proyecto de </w:t>
      </w:r>
      <w:r w:rsidR="00433C77">
        <w:t>“</w:t>
      </w:r>
      <w:r w:rsidRPr="00F7488A">
        <w:t>Opción para ampliar la cobertura de la seguridad social al sector informal</w:t>
      </w:r>
      <w:r w:rsidR="00433C77">
        <w:t>”</w:t>
      </w:r>
      <w:r w:rsidRPr="00F7488A">
        <w:t xml:space="preserve"> ampliará la cobertura al sector informal.</w:t>
      </w:r>
    </w:p>
    <w:p w14:paraId="5EB5C70A" w14:textId="462816C4" w:rsidR="00B70A36" w:rsidRPr="00F7488A" w:rsidRDefault="00B70A36" w:rsidP="00372CF7">
      <w:pPr>
        <w:pStyle w:val="SingleTxtG"/>
      </w:pPr>
      <w:r w:rsidRPr="00F7488A">
        <w:t>108.</w:t>
      </w:r>
      <w:r w:rsidRPr="00F7488A">
        <w:tab/>
        <w:t xml:space="preserve">El NASSIT se define como un régimen de seguridad social contributivo con prestaciones a largo plazo que establece la condición de haber acumulado, como mínimo, 180 meses de trabajo para percibir la pensión completa y 60 meses para percibir las subvenciones. La pensión mínima </w:t>
      </w:r>
      <w:r w:rsidR="00893AAF">
        <w:t>de 300.000 le es</w:t>
      </w:r>
      <w:r w:rsidRPr="00F7488A">
        <w:t xml:space="preserve"> la mitad del salario mínimo nacional de</w:t>
      </w:r>
      <w:r w:rsidR="00893AAF">
        <w:t> 600.000 leones</w:t>
      </w:r>
      <w:r w:rsidRPr="00F7488A">
        <w:t xml:space="preserve">. Por lo tanto, esta categoría sigue estando por debajo del umbral de pobreza de menos de 2 dólares de los </w:t>
      </w:r>
      <w:r w:rsidR="009D2CFA">
        <w:t>Estados Unidos</w:t>
      </w:r>
      <w:r w:rsidRPr="00F7488A">
        <w:t>. al día.</w:t>
      </w:r>
    </w:p>
    <w:p w14:paraId="7EA1BCBF" w14:textId="77777777" w:rsidR="00B70A36" w:rsidRPr="00F7488A" w:rsidRDefault="00B70A36" w:rsidP="00372CF7">
      <w:pPr>
        <w:pStyle w:val="SingleTxtG"/>
        <w:rPr>
          <w:vertAlign w:val="superscript"/>
        </w:rPr>
      </w:pPr>
      <w:r w:rsidRPr="00F7488A">
        <w:t>109.</w:t>
      </w:r>
      <w:r w:rsidRPr="00F7488A">
        <w:tab/>
        <w:t>El régimen actual de la seguridad social es un régimen contributivo de prestaciones definidas y no ofrece cobertura a los grupos no contributivos. Se espera que el Convenio sobre la Seguridad Social (Norma Mínima), 1952 (núm. 102), recientemente ratificado, y el proceso de examen del NASSIT aporten más beneficios a los grupos pobres, vulnerables y marginados</w:t>
      </w:r>
      <w:r w:rsidRPr="00F7488A">
        <w:rPr>
          <w:rStyle w:val="Refdenotaalpie"/>
        </w:rPr>
        <w:footnoteReference w:id="34"/>
      </w:r>
      <w:r w:rsidRPr="00F7488A">
        <w:t>.</w:t>
      </w:r>
    </w:p>
    <w:p w14:paraId="1DD2DDBB" w14:textId="77777777" w:rsidR="00B70A36" w:rsidRPr="00F7488A" w:rsidRDefault="00B70A36" w:rsidP="00372CF7">
      <w:pPr>
        <w:pStyle w:val="SingleTxtG"/>
      </w:pPr>
      <w:r w:rsidRPr="00F7488A">
        <w:t>110.</w:t>
      </w:r>
      <w:r w:rsidRPr="00F7488A">
        <w:tab/>
        <w:t>La Ley núm. 5 de Fondo Fiduciario Nacional de Seguro y Seguridad Social, de 2001, prevé una cotización voluntaria para los afiliados del sector informal (autónomos). Esto no ha resultado muy atractivo para estos afiliados y siguen excluidos de la protección de la seguridad social. Más del 90 % del sector informal, que incluye a personal contratado, trabajadores ocasionales, autónomos y otras categorías de trabajadores dedicados a actividades de la economía informal, aún no se han beneficiado del actual régimen del NASSIT.</w:t>
      </w:r>
    </w:p>
    <w:p w14:paraId="3D91099A" w14:textId="5B8624F3" w:rsidR="00B70A36" w:rsidRPr="00F7488A" w:rsidRDefault="00B70A36" w:rsidP="00372CF7">
      <w:pPr>
        <w:pStyle w:val="SingleTxtG"/>
      </w:pPr>
      <w:r w:rsidRPr="00F7488A">
        <w:t>111.</w:t>
      </w:r>
      <w:r w:rsidRPr="00F7488A">
        <w:tab/>
        <w:t>En diciembre de 2020, el régimen de la seguridad social dio cobertura a 287.650</w:t>
      </w:r>
      <w:r w:rsidR="009D2CFA">
        <w:t> </w:t>
      </w:r>
      <w:r w:rsidRPr="00F7488A">
        <w:t>asegurados de todos los sectores laborales de Sierra Leona, en particular el sector público, el sector privado formal y los trabajadores autónomos informales, así como los no nacionales.</w:t>
      </w:r>
    </w:p>
    <w:p w14:paraId="002A3B68" w14:textId="77777777" w:rsidR="00B70A36" w:rsidRPr="00F7488A" w:rsidRDefault="00B70A36" w:rsidP="00372CF7">
      <w:pPr>
        <w:pStyle w:val="SingleTxtG"/>
      </w:pPr>
      <w:r w:rsidRPr="00F7488A">
        <w:t>112.</w:t>
      </w:r>
      <w:r w:rsidRPr="00F7488A">
        <w:tab/>
        <w:t>Entre los desafíos que se plantean figuran los siguientes: el Fondo Fiduciario Nacional de Seguro y Seguridad Social, como cualquier otra institución de la seguridad social en el mundo, se enfrenta a muchos desafíos, en particular en el África Subsahariana. Estos desafíos van desde el creciente tamaño del sector informal hasta la falta de infraestructuras de inversión y el entorno macroeconómico desfavorable. Como institución, algunos de los desafíos específicos a los que nos enfrentamos son los siguientes: en Sierra Leona, varios grupos vulnerables, en particular la población rural, que suele ser más pobre y vulnerable, así como los autónomos y los trabajadores del sector informal, siguen excluidos de la protección de la seguridad social.</w:t>
      </w:r>
    </w:p>
    <w:p w14:paraId="6F35ABD1" w14:textId="58BC0F47" w:rsidR="00B70A36" w:rsidRPr="00F7488A" w:rsidRDefault="009D2CFA" w:rsidP="009D2CFA">
      <w:pPr>
        <w:pStyle w:val="H23G"/>
      </w:pPr>
      <w:r>
        <w:tab/>
      </w:r>
      <w:r w:rsidR="00B70A36">
        <w:tab/>
      </w:r>
      <w:r w:rsidR="00B70A36" w:rsidRPr="00F7488A">
        <w:t>Artículo 10</w:t>
      </w:r>
      <w:r w:rsidR="00F8661A">
        <w:br/>
      </w:r>
      <w:r w:rsidR="00B70A36" w:rsidRPr="00F7488A">
        <w:t>Derecho a la vida familiar</w:t>
      </w:r>
      <w:bookmarkStart w:id="15" w:name="_Toc133854436"/>
      <w:bookmarkEnd w:id="15"/>
    </w:p>
    <w:p w14:paraId="790D631D" w14:textId="77777777" w:rsidR="00B70A36" w:rsidRPr="00F7488A" w:rsidRDefault="00B70A36" w:rsidP="00372CF7">
      <w:pPr>
        <w:pStyle w:val="SingleTxtG"/>
      </w:pPr>
      <w:r w:rsidRPr="00F7488A">
        <w:t>113.</w:t>
      </w:r>
      <w:r w:rsidRPr="00F7488A">
        <w:tab/>
        <w:t>En el contexto de Sierra Leona, la familia no está formada únicamente por los miembros inmediatos de la familia nuclear, sino por la familia extensa basada en la vida comunal, con implicaciones de gran alcance para el bienestar de todos los implicados, así como para las fuentes y la disponibilidad de recursos para el sustento de la familia.</w:t>
      </w:r>
    </w:p>
    <w:p w14:paraId="11A0573C" w14:textId="77777777" w:rsidR="00B70A36" w:rsidRPr="00F7488A" w:rsidRDefault="00B70A36" w:rsidP="00372CF7">
      <w:pPr>
        <w:pStyle w:val="SingleTxtG"/>
      </w:pPr>
      <w:r w:rsidRPr="00F7488A">
        <w:t>114.</w:t>
      </w:r>
      <w:r w:rsidRPr="00F7488A">
        <w:tab/>
        <w:t>Las leyes consuetudinarias y civiles del ordenamiento jurídico de Sierra Leona velan por el carácter sagrado de la vida familiar, respetan el modo de contraer matrimonio, confieren derechos y responsabilidades a las partes implicadas y consideran a los hombres y las mujeres como adultos que otorgan su consentimiento, al tiempo que desaprueban el matrimonio infantil. El matrimonio se considera un elemento central de la vida familiar, tanto desde el punto de vista social como jurídico. La bigamia no se trata con benevolencia y es punible conforme a la ley, en un serio intento por proteger especialmente a las mujeres mediante la acción afirmativa para corregir el desequilibrio que existía en el pasado, en el que los hombres asumían papeles dominantes. Las tres Leyes de Género de 2007, en general, y la Ley de Registro de Matrimonio y Divorcios Consuetudinarios de 2007</w:t>
      </w:r>
      <w:r w:rsidRPr="00F7488A">
        <w:rPr>
          <w:rStyle w:val="Refdenotaalpie"/>
        </w:rPr>
        <w:footnoteReference w:id="35"/>
      </w:r>
      <w:r w:rsidRPr="00F7488A">
        <w:t>, en particular, abordan las cuestiones sustantivas relativas a los matrimonios tradicionales, equiparándolos a los matrimonios civiles, además de los matrimonios cristianos y musulmanes. Cabe señalar que existen diferencias significativas entre los distintos tipos de matrimonios contraídos en Sierra Leona en lo que respecta a lo que es aceptable y lo que no, en particular en el caso de la poligamia y la monogamia, ya que la primera se refiere a los matrimonios consuetudinarios y musulmanes y la segunda a los matrimonios civiles y cristianos. La tasa de nupcialidad es del 62,5 %</w:t>
      </w:r>
      <w:r w:rsidRPr="00F7488A">
        <w:rPr>
          <w:rStyle w:val="Refdenotaalpie"/>
        </w:rPr>
        <w:footnoteReference w:id="36"/>
      </w:r>
      <w:r w:rsidRPr="00F7488A">
        <w:t xml:space="preserve"> y la de divorcios del 0,5 %, con implicaciones en la importancia que se concede a la vida matrimonial.</w:t>
      </w:r>
    </w:p>
    <w:p w14:paraId="4F3F4A79" w14:textId="2A1BEDEA" w:rsidR="00B70A36" w:rsidRPr="00F7488A" w:rsidRDefault="00B70A36" w:rsidP="00372CF7">
      <w:pPr>
        <w:pStyle w:val="SingleTxtG"/>
      </w:pPr>
      <w:r w:rsidRPr="00F7488A">
        <w:t>115.</w:t>
      </w:r>
      <w:r w:rsidRPr="00F7488A">
        <w:tab/>
        <w:t>Hay que reconocer que la pobreza es una realidad en Sierra Leona y que las comunidades rurales son las que la sufren en mayor medida. Sin embargo, a lo largo de los años, el Gobierno de Sierra Leona, a través de la Comisión Nacional de Acción Social, ha tomado medidas para ofrecer programas de redes de protección social a intervalos regulares con el fin de atender las necesidades de las personas especialmente indigentes, lo que permite prestar apoyo a las familias pobres en el proceso. Tanto durante la epidemia de Ébola como durante la pandemia de COVID-19 se han realizado transferencias directas de efectivo a familias vulnerables y personas afectadas en los sectores público y privado. Hay Fondos Munafa de los que seguramente se beneficiarán las familias pobres, en particular mediante la provisión de microfinanciación a las pequeñas y medianas empresas, como parte del esfuerzo continuado del Gobierno de Sierra Leona para hacer frente a la pobreza extrema en Sierra</w:t>
      </w:r>
      <w:r w:rsidR="00040313">
        <w:t> </w:t>
      </w:r>
      <w:r w:rsidRPr="00F7488A">
        <w:t>Leona. En apoyo a los medios de vida</w:t>
      </w:r>
      <w:r w:rsidRPr="00F7488A">
        <w:rPr>
          <w:rStyle w:val="Refdenotaalpie"/>
        </w:rPr>
        <w:footnoteReference w:id="37"/>
      </w:r>
      <w:r w:rsidRPr="00F7488A">
        <w:t>, se aportaron redes de protección social a los grupos vulnerables en forma de programas ampliados de transferencia de efectivo por una cuantía de entre 35.000 y 100.000 leones destinados a los hogares a cargo de una o varias personas con discapacidad. Los trabajadores, tanto del sector informal como del formal, también se beneficiaron de ayudas. Los pequeños comerciantes, las vendedoras de los mercados y los trabajadores con bajos salarios del sector informal, que representan un total de 29.000</w:t>
      </w:r>
      <w:r w:rsidR="00680193">
        <w:t> </w:t>
      </w:r>
      <w:r w:rsidRPr="00F7488A">
        <w:t>personas, recibieron ayudas en efectivo por valor de 1.300.000 leones por persona</w:t>
      </w:r>
      <w:r w:rsidR="00462E79">
        <w:t xml:space="preserve"> </w:t>
      </w:r>
      <w:r w:rsidRPr="00F7488A">
        <w:t>(Asamblea General de las Naciones Unidas, A/HRC/</w:t>
      </w:r>
      <w:proofErr w:type="spellStart"/>
      <w:r w:rsidRPr="00F7488A">
        <w:t>WG.6</w:t>
      </w:r>
      <w:proofErr w:type="spellEnd"/>
      <w:r w:rsidRPr="00F7488A">
        <w:t>/38/</w:t>
      </w:r>
      <w:proofErr w:type="spellStart"/>
      <w:r w:rsidRPr="00F7488A">
        <w:t>SLE</w:t>
      </w:r>
      <w:proofErr w:type="spellEnd"/>
      <w:r w:rsidRPr="00F7488A">
        <w:t>/1).</w:t>
      </w:r>
    </w:p>
    <w:p w14:paraId="4A18EE34" w14:textId="15495AC5" w:rsidR="00B70A36" w:rsidRPr="00F7488A" w:rsidRDefault="00B70A36" w:rsidP="00372CF7">
      <w:pPr>
        <w:pStyle w:val="SingleTxtG"/>
      </w:pPr>
      <w:r w:rsidRPr="00F7488A">
        <w:t>116.</w:t>
      </w:r>
      <w:r w:rsidRPr="00F7488A">
        <w:tab/>
        <w:t>Con la Ley de Derechos del Niño de 2007, el Gobierno de Sierra Leona dispone de un marco para el cuidado de los niños y la prevención del trabajo infantil, con graves sanciones contra cualquier forma de infracción, ya que proporciona un entorno seguro para la crianza de los niños. En Sierra Leona, la Política de Modalidades Alternativas de Cuidado de 2014 también crea un ambiente favorable para el cuidado de los niños eficaz y eficiente. La Ley de Adopción de 1989 forma parte de las medidas adoptadas por el Gobierno de Sierra</w:t>
      </w:r>
      <w:r w:rsidR="00680193">
        <w:t> </w:t>
      </w:r>
      <w:r w:rsidRPr="00F7488A">
        <w:t xml:space="preserve">Leona para hacer del cuidado infantil una realidad legal, en un esfuerzo consciente por prevenir la trata de niños. También se ha dado un impulso al cuidado de los niños con la iniciativa de la atención médica gratuita para madres lactantes y niños menores de </w:t>
      </w:r>
      <w:r w:rsidR="00462E79">
        <w:t>5</w:t>
      </w:r>
      <w:r w:rsidRPr="00F7488A">
        <w:t xml:space="preserve"> años, con la posibilidad de incluir a los niños de otras edades más adelante. Además, el cuidado infantil ha cobrado importancia con el auge de las guarderías y la educación infantil. Ahora las madres lactantes de la clase trabajadora pueden llevar a sus bebés a estas guarderías, lo que les permite volver al trabajo tras la licencia de maternidad. A pesar de los retos que plantea el cuidado infantil, la tasa de niños que viven en entornos peligrosos</w:t>
      </w:r>
      <w:r w:rsidRPr="00F7488A">
        <w:rPr>
          <w:rStyle w:val="Refdenotaalpie"/>
        </w:rPr>
        <w:footnoteReference w:id="38"/>
      </w:r>
      <w:r w:rsidRPr="00F7488A">
        <w:t xml:space="preserve"> es del 6,7 %, y el Gobierno de Sierra Leona ha tomado medidas concretas para mejorar la situación.</w:t>
      </w:r>
    </w:p>
    <w:p w14:paraId="39773076" w14:textId="287954FC" w:rsidR="00B70A36" w:rsidRPr="00F7488A" w:rsidRDefault="00B70A36" w:rsidP="00372CF7">
      <w:pPr>
        <w:pStyle w:val="SingleTxtG"/>
      </w:pPr>
      <w:r w:rsidRPr="00F7488A">
        <w:t>117.</w:t>
      </w:r>
      <w:r w:rsidRPr="00F7488A">
        <w:tab/>
        <w:t>Los servicios sociales para las personas de edad avanzada y las personas con discapacidad han atraído mucha atención, ya que los agentes estatales y no estatales son conscientes de la importancia de dichos servicios. Como país en desarrollo, huelga decir que los retos para atender las necesidades de todas las personas son evidentes, pero existe un núcleo mínimo</w:t>
      </w:r>
      <w:r w:rsidR="00111D2C">
        <w:t xml:space="preserve"> </w:t>
      </w:r>
      <w:r w:rsidRPr="00F7488A">
        <w:t>al que se presta la debida consideración, ya que se ofrecen servicios sociales concretamente a las personas mayores y las personas con discapacidad. La Política Nacional de Protección Social de Sierra Leona (revisada) de 2014 ha ayudado al Gobierno de Sierra</w:t>
      </w:r>
      <w:r w:rsidR="00040313">
        <w:t> </w:t>
      </w:r>
      <w:r w:rsidRPr="00F7488A">
        <w:t>Leona a abordar las necesidades de las personas mayores y las personas con discapacidad. La Política Nacional de Envejecimiento de 2019 a 2030 constituye un marco regulador específico para satisfacer las necesidades de las personas mayores. La Ley de Discapacidad de 2011 y la Política de Inclusión Radical de 2020 han ayudado enormemente a atender las necesidades sociales de las personas con discapacidad. También hay que señalar que el Gobierno de Sierra Leona ha creado un entorno propicio para que los grupos de interés y de presión defiendan los intereses de las personas mayores y las personas con discapacidad.</w:t>
      </w:r>
    </w:p>
    <w:p w14:paraId="2C8AE41A" w14:textId="77777777" w:rsidR="00B70A36" w:rsidRPr="00F7488A" w:rsidRDefault="00B70A36" w:rsidP="00372CF7">
      <w:pPr>
        <w:pStyle w:val="SingleTxtG"/>
      </w:pPr>
      <w:r w:rsidRPr="00F7488A">
        <w:t>118.</w:t>
      </w:r>
      <w:r w:rsidRPr="00F7488A">
        <w:tab/>
        <w:t>En cuanto a las licencias de paternidad y maternidad, se ha creado una mayor conciencia sobre ellas con el Código de la Función Pública de 2009, en el que se tienen debidamente en cuenta las licencias de maternidad y las licencias especiales al requerirse la aprobación del Director General de la Oficina de Gestión de Recursos Humanos. Sin embargo, en la función pública y en el Manual del Personal de la Comisión Nacional para la Democracia, la licencia de paternidad forma parte del paquete de beneficios.</w:t>
      </w:r>
    </w:p>
    <w:p w14:paraId="675D8CFD" w14:textId="19B55E74" w:rsidR="00B70A36" w:rsidRPr="00F7488A" w:rsidRDefault="00B70A36" w:rsidP="00372CF7">
      <w:pPr>
        <w:pStyle w:val="SingleTxtG"/>
      </w:pPr>
      <w:r w:rsidRPr="00F7488A">
        <w:t>119.</w:t>
      </w:r>
      <w:r w:rsidRPr="00F7488A">
        <w:tab/>
        <w:t>La discriminación por razón de género en el empleo de mujeres embarazadas siempre ha sido motivo de preocupación para el Gobierno de Sierra Leona, que presta gran atención a las cuestiones de fondo. Hay que señalar que el Gobierno de Sierra Leona emplea a 1.004.618 mujeres</w:t>
      </w:r>
      <w:r w:rsidRPr="00F7488A">
        <w:rPr>
          <w:rStyle w:val="Refdenotaalpie"/>
        </w:rPr>
        <w:footnoteReference w:id="39"/>
      </w:r>
      <w:r w:rsidRPr="00F7488A">
        <w:t>, lo que representa el 88,2 % de las mujeres económicamente activas del país. Para dar cumplimiento al artículo 27 de la Constitución de Sierra Leona, Ley núm. 6 de</w:t>
      </w:r>
      <w:r w:rsidR="00680193">
        <w:t> </w:t>
      </w:r>
      <w:r w:rsidRPr="00F7488A">
        <w:t>1991, se ha aprobado la Política de Igualdad de Género y Empoderamiento de las Mujeres de 2020, que presta especial atención a la protección frente a la discriminación para que las mujeres no sean víctimas de una discriminación evidente en el lugar de trabajo. También está la Política de Inclusión Radical de 2020, que se centra en la educación sin dejar a nadie atrás.</w:t>
      </w:r>
    </w:p>
    <w:p w14:paraId="0AF6B40F" w14:textId="77777777" w:rsidR="00B70A36" w:rsidRPr="00F7488A" w:rsidRDefault="00B70A36" w:rsidP="00372CF7">
      <w:pPr>
        <w:pStyle w:val="SingleTxtG"/>
      </w:pPr>
      <w:r w:rsidRPr="00F7488A">
        <w:t>120.</w:t>
      </w:r>
      <w:r w:rsidRPr="00F7488A">
        <w:tab/>
        <w:t>El Gobierno de Sierra Leona es consciente de que la violencia doméstica es un problema grave en la mayoría de los hogares y las familias, y está tomando medidas tangibles para minimizar este tipo de sucesos y las consecuencias. El Gobierno de Sierra Leona también es consciente de las implicaciones de la violencia doméstica para la consolidación de la paz y el desarrollo nacional, ya que la violencia física representa el 61 % y la violencia sexual</w:t>
      </w:r>
      <w:r w:rsidRPr="00F7488A">
        <w:rPr>
          <w:rStyle w:val="Refdenotaalpie"/>
        </w:rPr>
        <w:footnoteReference w:id="40"/>
      </w:r>
      <w:r w:rsidRPr="00F7488A">
        <w:t xml:space="preserve"> el 11 %, por lo que es necesario abordar las causas subyacentes y las consecuencias. Para frenar la violencia doméstica, en particular los delitos de violencia de género, existen la Ley de Violencia Doméstica de 2007, la Ley de Delitos Sexuales de 2012 y las políticas y normativas conexas. Para abordar los problemas relacionados con la familia, en particular la violencia doméstica, el Gobierno de Sierra Leona también ha creado las Unidades de Apoyo a la Familia a través de la policía de Sierra Leona. El Consejo de Asistencia Jurídica también trabaja en el ámbito familiar para garantizar que se abordan otras cuestiones relacionadas, como el cuidado de los hijos, las ayudas sociales, la pensión alimenticia, la violencia doméstica, etc. Según el informe presentado para el examen periódico universal en 2021, el Consejo de Asistencia Jurídica contrató y desplegó a 35 asistentes jurídicos para abordar estas cuestiones a través de las vías alternativas de solución de controversias, y un total de 97.838 personas se beneficiaron del plan desde su inicio en 2016, en particular 23.789 niños.</w:t>
      </w:r>
    </w:p>
    <w:p w14:paraId="35665760" w14:textId="77777777" w:rsidR="00B70A36" w:rsidRPr="00F7488A" w:rsidRDefault="00B70A36" w:rsidP="00372CF7">
      <w:pPr>
        <w:pStyle w:val="SingleTxtG"/>
      </w:pPr>
      <w:r w:rsidRPr="00F7488A">
        <w:t>121.</w:t>
      </w:r>
      <w:r w:rsidRPr="00F7488A">
        <w:tab/>
        <w:t>Se han dado pasos importantes mediante la legislación, las políticas y la normativa para hacer la vida familiar mucho más propicia, lo que no quiere decir que no siga habiendo retos.</w:t>
      </w:r>
    </w:p>
    <w:p w14:paraId="3232D2FF" w14:textId="4F9B824D" w:rsidR="00B70A36" w:rsidRPr="00F7488A" w:rsidRDefault="00680193" w:rsidP="00680193">
      <w:pPr>
        <w:pStyle w:val="H23G"/>
      </w:pPr>
      <w:r>
        <w:tab/>
      </w:r>
      <w:r w:rsidR="00B70A36">
        <w:tab/>
      </w:r>
      <w:r w:rsidR="00B70A36" w:rsidRPr="00F7488A">
        <w:t>Artículo 11</w:t>
      </w:r>
      <w:r w:rsidR="00F8661A">
        <w:br/>
      </w:r>
      <w:r w:rsidR="00B70A36" w:rsidRPr="00F7488A">
        <w:t>Derecho a un nivel de vida adecuado</w:t>
      </w:r>
      <w:bookmarkStart w:id="16" w:name="_Toc133854437"/>
      <w:bookmarkEnd w:id="16"/>
    </w:p>
    <w:p w14:paraId="62D5414C" w14:textId="77777777" w:rsidR="00B70A36" w:rsidRPr="00F7488A" w:rsidRDefault="00B70A36" w:rsidP="00372CF7">
      <w:pPr>
        <w:pStyle w:val="SingleTxtG"/>
      </w:pPr>
      <w:r w:rsidRPr="00F7488A">
        <w:t>122.</w:t>
      </w:r>
      <w:r w:rsidRPr="00F7488A">
        <w:tab/>
        <w:t>Todos los ciudadanos de Sierra Leona tienen derecho a un nivel de vida adecuado para ellos y sus familias que les asegure la salud y el bienestar, en particular, la alimentación, el vestido, la vivienda, la asistencia médica y los servicios sociales necesarios; tienen asimismo derecho a la seguridad en caso de desempleo, enfermedad, invalidez, viudez, vejez y otros casos de pérdida de sus medios de subsistencia por circunstancias ajenas a su voluntad.</w:t>
      </w:r>
    </w:p>
    <w:p w14:paraId="2A36F773" w14:textId="502446D3" w:rsidR="00B70A36" w:rsidRPr="00F7488A" w:rsidRDefault="00B70A36" w:rsidP="00372CF7">
      <w:pPr>
        <w:pStyle w:val="SingleTxtG"/>
      </w:pPr>
      <w:r w:rsidRPr="00F7488A">
        <w:t>123.</w:t>
      </w:r>
      <w:r w:rsidRPr="00F7488A">
        <w:tab/>
        <w:t xml:space="preserve">En los últimos años, el Gobierno de Sierra Leona ha tomado medidas para mejorar las condiciones socioeconómicas de sus ciudadanos. Por ejemplo, el anterior Gobierno del expresidente Ernest Bai Koroma puso en marcha el Programa para la Prosperidad, orientado a mejorar el bienestar de los ciudadanos. En febrero de 2019, el Presidente Julius Maada Bio estableció </w:t>
      </w:r>
      <w:r w:rsidR="00433C77">
        <w:t>“</w:t>
      </w:r>
      <w:r w:rsidRPr="00F7488A">
        <w:t>El Plan Nacional de Desarrollo</w:t>
      </w:r>
      <w:r w:rsidR="00433C77">
        <w:t>”</w:t>
      </w:r>
      <w:r w:rsidRPr="00F7488A">
        <w:t>, que está vinculado con las aspiraciones de la Unión Africana y los Objetivos de Desarrollo Sostenible, y en el que la Comisión Nacional de Acción Social ha sido la parte actora por parte del Gobierno.</w:t>
      </w:r>
    </w:p>
    <w:p w14:paraId="19BFAD67" w14:textId="642867A5" w:rsidR="00B70A36" w:rsidRPr="00F7488A" w:rsidRDefault="00B70A36" w:rsidP="00372CF7">
      <w:pPr>
        <w:pStyle w:val="SingleTxtG"/>
      </w:pPr>
      <w:r w:rsidRPr="00F7488A">
        <w:t>124.</w:t>
      </w:r>
      <w:r w:rsidRPr="00F7488A">
        <w:tab/>
        <w:t>Los gobiernos, anteriores y actuales, se han esforzado y siguen esforzándose por reducir la pobreza al mínimo, de manera que los ciudadanos puedan disfrutar del derecho a un nivel de vida adecuado. En ese sentido, se ha establecido el sistema de protección social, que está orientado a proporcionar los recursos financieros necesarios para el desarrollo de las pequeñas empresas mediante la aprobación de leyes o la mejora de políticas o leyes como la Ley de la Compañía de Suministro de Agua de Sierra Leona de 2017, la Ley de la Agencia Nacional de Suministro de Agua de 2017, y la Ley de la Compañía de Suministro de Agua del Valle de Guma de 2017, y todo ello con el fin de mejorar y facilitar el suministro y la disponibilidad del agua para sus ciudadanos (el establecimiento del Fondo Fiduciario Nacional de Seguro y Seguridad Social y la introducción de la pensión mínima de 21.000</w:t>
      </w:r>
      <w:r w:rsidR="00680193">
        <w:t> </w:t>
      </w:r>
      <w:r w:rsidRPr="00F7488A">
        <w:t>Le</w:t>
      </w:r>
      <w:r w:rsidR="00462E79">
        <w:t> –</w:t>
      </w:r>
      <w:r w:rsidRPr="00F7488A">
        <w:t xml:space="preserve"> 250.000 Le).</w:t>
      </w:r>
    </w:p>
    <w:p w14:paraId="696C0BDA" w14:textId="77777777" w:rsidR="00B70A36" w:rsidRPr="00F7488A" w:rsidRDefault="00B70A36" w:rsidP="00372CF7">
      <w:pPr>
        <w:pStyle w:val="SingleTxtG"/>
      </w:pPr>
      <w:r w:rsidRPr="00F7488A">
        <w:t>125.</w:t>
      </w:r>
      <w:r w:rsidRPr="00F7488A">
        <w:tab/>
        <w:t>Ahora bien, el ejercicio de los derechos económicos, sociales y culturales en el país y, por tanto, el nivel de vida adecuado de los ciudadanos, sigue suponiendo un gran reto. De este modo, los servicios de agua potable, saneamiento y vivienda adecuada son de difícil acceso y son caros, y, por lo tanto, no están al alcance de todos. Hay pobreza masiva, es decir, el estado o condición en el que las necesidades humanas básicas no están cubiertas al carecer de los recursos financieros y los elementos esenciales para gozar de un nivel de vida mínimo.</w:t>
      </w:r>
    </w:p>
    <w:p w14:paraId="710F9650" w14:textId="77777777" w:rsidR="00B70A36" w:rsidRPr="00F7488A" w:rsidRDefault="00B70A36" w:rsidP="00372CF7">
      <w:pPr>
        <w:pStyle w:val="SingleTxtG"/>
      </w:pPr>
      <w:r w:rsidRPr="00F7488A">
        <w:t>126.</w:t>
      </w:r>
      <w:r w:rsidRPr="00F7488A">
        <w:tab/>
        <w:t>Cabe señalar que no existe una definición nacional generalmente aceptable de umbral de pobreza. Sin embargo, se han identificado dos líneas de pobreza e índices de desarrollo humano relacionados con las privaciones económicas en el Cuarto Informe Nacional de Desarrollo Humano de Sierra Leona de 2019: Pobreza de Ingresos/Monetaria y Pobreza Multidimensional. La pobreza de ingresos/monetaria se refiere a cuando se mide el porcentaje de las personas que residen en un hogar y el nivel de vida de esas personas está por debajo de los umbrales de pobreza nacionales e internacionales</w:t>
      </w:r>
      <w:r w:rsidRPr="00F7488A">
        <w:rPr>
          <w:rStyle w:val="Refdenotaalpie"/>
        </w:rPr>
        <w:footnoteReference w:id="41"/>
      </w:r>
      <w:r w:rsidRPr="00F7488A">
        <w:t>. El Estudio sobre Vivienda Integrada de Sierra Leona de 2018 (únicamente los datos de enero a junio) señala que la pobreza (pobreza de ingresos/monetaria) había aumentado hasta el 57 %, con el 10,8 % de la población viviendo en la pobreza extrema, registrándose la tasa más alta de pobreza en las zonas rurales (72,4 %)</w:t>
      </w:r>
      <w:r w:rsidRPr="00F7488A">
        <w:rPr>
          <w:rStyle w:val="Refdenotaalpie"/>
        </w:rPr>
        <w:footnoteReference w:id="42"/>
      </w:r>
      <w:r w:rsidRPr="00F7488A">
        <w:t xml:space="preserve"> y la más baja en Freetown (18 %). Para obtener esta estimación y definición de la pobreza de ingresos/monetaria, se han tenido en cuenta diversos aspectos como las características socioeconómicas y demográficas, los logros educativos por género, la ocupación principal del cabeza de familia, la diversificación económica, la propiedad de activos, la salud y el acceso a los servicios públicos.</w:t>
      </w:r>
    </w:p>
    <w:p w14:paraId="7E067F62" w14:textId="77777777" w:rsidR="00B70A36" w:rsidRPr="00F7488A" w:rsidRDefault="00B70A36" w:rsidP="00372CF7">
      <w:pPr>
        <w:pStyle w:val="SingleTxtG"/>
      </w:pPr>
      <w:r w:rsidRPr="00F7488A">
        <w:t>127.</w:t>
      </w:r>
      <w:r w:rsidRPr="00F7488A">
        <w:tab/>
        <w:t>El Plan Nacional de Desarrollo a Medio Plazo 2019-2023 sitúa la tasa de pobreza general en Sierra Leona en el 57 %, con una tasa de pobreza extrema del 10,8 % y la tasa más elevada en las zonas rurales con el 72,4 %. Por lo tanto, la pobreza en Sierra Leona sigue siendo un problema rural. Desde el punto de vista socioeconómico, la pobreza se redujo significativamente con el aumento del nivel educativo. Los hogares con un cabeza de familia que ha finalizado la educación secundaria tienen menos probabilidades de ser pobres que aquellos que solo han completado la educación primaria. En lo que se refiere a la ocupación, los hogares más pobres son los que tienen un cabeza de familia que se dedica a la agricultura, con una incidencia de la pobreza del 72 % (según el Plan Nacional de Desarrollo a Medio Plazo 2019-2023).</w:t>
      </w:r>
    </w:p>
    <w:p w14:paraId="5A51CA69" w14:textId="77777777" w:rsidR="00B70A36" w:rsidRPr="00F7488A" w:rsidRDefault="00B70A36" w:rsidP="00372CF7">
      <w:pPr>
        <w:pStyle w:val="SingleTxtG"/>
      </w:pPr>
      <w:r w:rsidRPr="00F7488A">
        <w:t>128.</w:t>
      </w:r>
      <w:r w:rsidRPr="00F7488A">
        <w:tab/>
        <w:t>El índice de la pobreza multidimensional se basa en los recientes avances logrados en los ámbitos de la teoría y los datos que complementan de forma valiosa las medidas de pobreza basadas en los ingresos. El último índice nacional de pobreza multidimensional (IPM) para Sierra Leona, calculado con el apoyo del Oxford Poverty and Human Development Initiative (OPHI) y basado en la Encuestas de Indicadores Múltiples por Conglomerados (MICS) de 2017, utiliza 5 dimensiones y 14 indicadores, a saber:</w:t>
      </w:r>
    </w:p>
    <w:p w14:paraId="0ECF0912" w14:textId="77777777" w:rsidR="00B70A36" w:rsidRPr="00F7488A" w:rsidRDefault="00B70A36" w:rsidP="00680193">
      <w:pPr>
        <w:pStyle w:val="Bullet1G"/>
      </w:pPr>
      <w:r w:rsidRPr="00F7488A">
        <w:t>Educación (años de escolarización y asistencia escolar), salud (nutrición, mortalidad niños menores de 5 años y vacunación), vivienda (materiales de las viviendas, activos, propiedad y hacinamiento), nivel de vida (agua, saneamiento y cuentas bancarias) y energía (combustible para cocinar, electricidad e Internet).</w:t>
      </w:r>
    </w:p>
    <w:p w14:paraId="379BB2BC" w14:textId="7324D972" w:rsidR="00B70A36" w:rsidRPr="00F7488A" w:rsidRDefault="00B70A36" w:rsidP="00372CF7">
      <w:pPr>
        <w:pStyle w:val="SingleTxtG"/>
      </w:pPr>
      <w:r w:rsidRPr="00F7488A">
        <w:t>129.</w:t>
      </w:r>
      <w:r w:rsidRPr="00F7488A">
        <w:tab/>
        <w:t>Las estimaciones del índice de pobreza multidimensional basadas en los indicadores</w:t>
      </w:r>
      <w:r w:rsidR="00370A03">
        <w:t> </w:t>
      </w:r>
      <w:r w:rsidRPr="00F7488A">
        <w:t>de pobreza multidimensional de 2017 y el Plan Nacional de Desarrollo a Medio Plazo 2019</w:t>
      </w:r>
      <w:r w:rsidR="00680193">
        <w:noBreakHyphen/>
      </w:r>
      <w:r w:rsidRPr="00F7488A">
        <w:t>2023 indican que el 64,8</w:t>
      </w:r>
      <w:r w:rsidR="00370A03">
        <w:t xml:space="preserve"> </w:t>
      </w:r>
      <w:r w:rsidRPr="00F7488A">
        <w:t>% de la población (es decir</w:t>
      </w:r>
      <w:r w:rsidR="00370A03">
        <w:t>, dos tercios</w:t>
      </w:r>
      <w:r w:rsidRPr="00F7488A">
        <w:t>) era multidimensionalmente pobre con una intensidad de 57,9, y el Área Oeste Urbana es la región con los niveles más bajos de pobreza con el 28,5 % de su población en situación de pobreza. El índice de pobreza multidimensional muestra que los sierraleoneses sufren otras privaciones además de los ingresos. Entre ellas figuran la salud, la nutrición, la educación y el desarrollo de aptitudes, los medios de subsistencia insuficientes y las malas condiciones de los hogares</w:t>
      </w:r>
      <w:r w:rsidRPr="00F7488A">
        <w:rPr>
          <w:rStyle w:val="Refdenotaalpie"/>
        </w:rPr>
        <w:footnoteReference w:id="43"/>
      </w:r>
      <w:r w:rsidRPr="00F7488A">
        <w:t>. Cuando se analizan los niveles de la pobreza multidimensional por grupo de edad, los niños menores de 18 años presentan los niveles más altos (el 69,6 % según el Plan Nacional de Desarrollo a Medio Plazo 2019-2023) en comparación con cualquier otro grupo de edad. El grupo con los niveles más bajos de pobreza es el de las personas en edad de trabajar (18</w:t>
      </w:r>
      <w:r w:rsidR="00370A03">
        <w:t xml:space="preserve"> a </w:t>
      </w:r>
      <w:r w:rsidRPr="00F7488A">
        <w:t>40 años).</w:t>
      </w:r>
    </w:p>
    <w:p w14:paraId="6B249CCD" w14:textId="77777777" w:rsidR="00B70A36" w:rsidRPr="00F7488A" w:rsidRDefault="00B70A36" w:rsidP="00372CF7">
      <w:pPr>
        <w:pStyle w:val="SingleTxtG"/>
        <w:rPr>
          <w:vertAlign w:val="superscript"/>
        </w:rPr>
      </w:pPr>
      <w:r w:rsidRPr="00F7488A">
        <w:t>130.</w:t>
      </w:r>
      <w:r w:rsidRPr="00F7488A">
        <w:tab/>
        <w:t>El índice de pobreza multidimensional de Sierra Leona de 2019 utiliza un umbral de pobreza igual al 40 % para determinar la definición de umbral de pobreza. Por lo tanto, se considera que una persona es pobre multidimensionalmente si sufre privaciones en dos o más dimensiones o menos del 40 % de la suma ponderada como se indica en la tabla por debajo de los indicadores</w:t>
      </w:r>
      <w:r w:rsidRPr="00F7488A">
        <w:rPr>
          <w:rStyle w:val="Refdenotaalpie"/>
        </w:rPr>
        <w:footnoteReference w:id="44"/>
      </w:r>
      <w:r w:rsidRPr="00F7488A">
        <w:t>.</w:t>
      </w:r>
    </w:p>
    <w:p w14:paraId="76A061C0" w14:textId="77777777" w:rsidR="00B70A36" w:rsidRPr="00F7488A" w:rsidRDefault="00B70A36" w:rsidP="00372CF7">
      <w:pPr>
        <w:pStyle w:val="SingleTxtG"/>
      </w:pPr>
      <w:r w:rsidRPr="00F7488A">
        <w:t>131.</w:t>
      </w:r>
      <w:r w:rsidRPr="00F7488A">
        <w:tab/>
        <w:t>Según el Censo Nacional de Población y Vivienda de 2015, el 68,3 % de los sierraleoneses eran considerados pobres. Según el método Alkire-Foster con sus dimensiones e indicadores, en 2017, utilizando los mismos datos, es decir, el Censo Nacional de Población y Vivienda de 2015, se reveló que la tasa de pobreza multidimensional fue del 64,8 %, lo que representaba dos tercios de la población de Sierra Leona</w:t>
      </w:r>
      <w:r w:rsidRPr="00F7488A">
        <w:rPr>
          <w:rStyle w:val="Refdenotaalpie"/>
        </w:rPr>
        <w:footnoteReference w:id="45"/>
      </w:r>
      <w:r w:rsidRPr="00F7488A">
        <w:t>. Por lo que se declara oficialmente que el 64,8 % de los sierraleoneses viven por debajo del umbral nacional de pobreza.</w:t>
      </w:r>
    </w:p>
    <w:p w14:paraId="01D2F791" w14:textId="77777777" w:rsidR="00B70A36" w:rsidRPr="00F7488A" w:rsidRDefault="00B70A36" w:rsidP="00372CF7">
      <w:pPr>
        <w:pStyle w:val="SingleTxtG"/>
      </w:pPr>
      <w:r w:rsidRPr="00F7488A">
        <w:t>132.</w:t>
      </w:r>
      <w:r w:rsidRPr="00F7488A">
        <w:tab/>
        <w:t>Desde el final del conflicto en 2002, el Gobierno de Sierra Leona ha elaborado Planes Nacionales de Desarrollo, también conocidos como Documentos de Estrategia de Lucha contra la Pobreza (DELP), que empezaron con el DELP provisional para 2002-2003, seguido por la Estrategia de Recuperación Nacional que se aplicó en 2003-2004. El primer DELP completo fue el Programa Nacional para la Seguridad Alimentaria, la Creación de Empleo y la Buena Gobernanza 2005-2007, que debía establecer la plataforma para una sociedad estable centrada en la consolidación de la paz. El Programa para el Cambio 2008-2012 tenía como objetivo mejorar las condiciones socioeconómicas de la población y sentar las bases para el crecimiento sostenido. El tercer DELP, el Programa para la Prosperidad 2013-2018, se basó en el éxito del Programa para el Cambio y debía continuar la transformación de la economía y acelerar el crecimiento hacia una categoría de país de renta media, al tiempo que mejoraba la vida de todos los ciudadanos.</w:t>
      </w:r>
    </w:p>
    <w:p w14:paraId="1570300C" w14:textId="77777777" w:rsidR="00B70A36" w:rsidRPr="00F7488A" w:rsidRDefault="00B70A36" w:rsidP="00372CF7">
      <w:pPr>
        <w:pStyle w:val="SingleTxtG"/>
      </w:pPr>
      <w:r w:rsidRPr="00F7488A">
        <w:t>133.</w:t>
      </w:r>
      <w:r w:rsidRPr="00F7488A">
        <w:tab/>
        <w:t>En la actualidad, Sierra Leona cuenta con el Plan Nacional de Desarrollo a Medio Plazo (2019-2023), que se basa en un optimismo renovado a medida que la democracia del país madura y la participación pública en el proceso de desarrollo alcanza nuevas cotas. Este Plan representa la visión de un país de renta media, con un marco de gobernanza adecuado basado en la inclusión, la unidad y el estado de derecho, y con una economía resiliente y diversificada, que ofrezca pleno empleo y tenga en cuenta las necesidades especiales de las mujeres, los niños y los grupos vulnerables. El objetivo principal del Plan es que Sierra Leona se convierta en una nación unida, pacífica, progresista, dinámica, segura de sí misma, emprendedora y feliz, en la que la población tenga acceso al empleo, la alimentación, la educación y los servicios sanitarios, y en la que todas las personas tengan igualdad de acceso a la justicia e igualdad de oportunidades</w:t>
      </w:r>
      <w:r w:rsidRPr="00F7488A">
        <w:rPr>
          <w:rStyle w:val="Refdenotaalpie"/>
        </w:rPr>
        <w:footnoteReference w:id="46"/>
      </w:r>
      <w:r w:rsidRPr="00F7488A">
        <w:t>. Los objetivos también se enumeran como sigue:</w:t>
      </w:r>
    </w:p>
    <w:p w14:paraId="0BF002F3" w14:textId="1E9EF8D3" w:rsidR="00B70A36" w:rsidRPr="00F7488A" w:rsidRDefault="00B70A36" w:rsidP="00680193">
      <w:pPr>
        <w:pStyle w:val="Bullet1G"/>
      </w:pPr>
      <w:r w:rsidRPr="00F7488A">
        <w:t>El primer objetivo es tener una economía verde diversificada y resiliente</w:t>
      </w:r>
      <w:r w:rsidR="00680193">
        <w:t>.</w:t>
      </w:r>
    </w:p>
    <w:p w14:paraId="11ADCC71" w14:textId="73EC046B" w:rsidR="00B70A36" w:rsidRPr="00F7488A" w:rsidRDefault="00B70A36" w:rsidP="00680193">
      <w:pPr>
        <w:pStyle w:val="Bullet1G"/>
      </w:pPr>
      <w:r w:rsidRPr="00F7488A">
        <w:t>El segundo, una nación con ciudadanos que han recibido educación y capacitación, tienen un buen estado de salud y son capaces de desarrollar todo su potencial (Sierra</w:t>
      </w:r>
      <w:r w:rsidR="00370A03">
        <w:t> </w:t>
      </w:r>
      <w:r w:rsidRPr="00F7488A">
        <w:t xml:space="preserve">Leona: Una Nueva Dirección </w:t>
      </w:r>
      <w:r w:rsidR="00370A03">
        <w:t>–</w:t>
      </w:r>
      <w:r w:rsidRPr="00F7488A">
        <w:t xml:space="preserve"> Héroes Africanos)</w:t>
      </w:r>
      <w:r w:rsidR="00680193">
        <w:t>.</w:t>
      </w:r>
    </w:p>
    <w:p w14:paraId="5388CC50" w14:textId="7D7382E3" w:rsidR="00B70A36" w:rsidRPr="00F7488A" w:rsidRDefault="00B70A36" w:rsidP="00680193">
      <w:pPr>
        <w:pStyle w:val="Bullet1G"/>
      </w:pPr>
      <w:r w:rsidRPr="00F7488A">
        <w:t>El tercero, una sociedad pacífica, cohesionada, segura y justa</w:t>
      </w:r>
      <w:r w:rsidR="00680193">
        <w:t>.</w:t>
      </w:r>
    </w:p>
    <w:p w14:paraId="4212FAEB" w14:textId="77777777" w:rsidR="00B70A36" w:rsidRPr="00F7488A" w:rsidRDefault="00B70A36" w:rsidP="00680193">
      <w:pPr>
        <w:pStyle w:val="Bullet1G"/>
      </w:pPr>
      <w:r w:rsidRPr="00F7488A">
        <w:t>Y el cuarto, una economía competitiva con una infraestructura bien desarrollada.</w:t>
      </w:r>
    </w:p>
    <w:p w14:paraId="6D30EBC0" w14:textId="77777777" w:rsidR="00B70A36" w:rsidRPr="00F7488A" w:rsidRDefault="00B70A36" w:rsidP="00372CF7">
      <w:pPr>
        <w:pStyle w:val="SingleTxtG"/>
      </w:pPr>
      <w:r w:rsidRPr="00F7488A">
        <w:t>134.</w:t>
      </w:r>
      <w:r w:rsidRPr="00F7488A">
        <w:tab/>
        <w:t>Los resultados previstos del Plan Nacional de Desarrollo a Medio Plazo son:</w:t>
      </w:r>
    </w:p>
    <w:p w14:paraId="08D1118D" w14:textId="77777777" w:rsidR="00B70A36" w:rsidRPr="00F7488A" w:rsidRDefault="00B70A36" w:rsidP="00680193">
      <w:pPr>
        <w:pStyle w:val="Bullet1G"/>
        <w:rPr>
          <w:b/>
        </w:rPr>
      </w:pPr>
      <w:r w:rsidRPr="00F7488A">
        <w:t>El desarrollo del capital humano (seis subresultados/grupos temáticos).</w:t>
      </w:r>
    </w:p>
    <w:p w14:paraId="579AF7CF" w14:textId="77777777" w:rsidR="00B70A36" w:rsidRPr="00F7488A" w:rsidRDefault="00B70A36" w:rsidP="00680193">
      <w:pPr>
        <w:pStyle w:val="Bullet1G"/>
        <w:rPr>
          <w:b/>
        </w:rPr>
      </w:pPr>
      <w:r w:rsidRPr="00F7488A">
        <w:t>La enseñanza secundaria básica y superior gratuitas y de calidad.</w:t>
      </w:r>
    </w:p>
    <w:p w14:paraId="6F2192C5" w14:textId="77777777" w:rsidR="00B70A36" w:rsidRPr="00F7488A" w:rsidRDefault="00B70A36" w:rsidP="00680193">
      <w:pPr>
        <w:pStyle w:val="Bullet1G"/>
        <w:rPr>
          <w:b/>
        </w:rPr>
      </w:pPr>
      <w:r w:rsidRPr="00F7488A">
        <w:t>El fortalecimiento de la educación terciaria y superior.</w:t>
      </w:r>
    </w:p>
    <w:p w14:paraId="76086FD9" w14:textId="77777777" w:rsidR="00B70A36" w:rsidRPr="00F7488A" w:rsidRDefault="00B70A36" w:rsidP="00680193">
      <w:pPr>
        <w:pStyle w:val="Bullet1G"/>
        <w:rPr>
          <w:b/>
        </w:rPr>
      </w:pPr>
      <w:r w:rsidRPr="00F7488A">
        <w:t>La mejora de la atención de la salud.</w:t>
      </w:r>
    </w:p>
    <w:p w14:paraId="3CB7C168" w14:textId="77777777" w:rsidR="00B70A36" w:rsidRPr="00F7488A" w:rsidRDefault="00B70A36" w:rsidP="00680193">
      <w:pPr>
        <w:pStyle w:val="Bullet1G"/>
        <w:rPr>
          <w:b/>
        </w:rPr>
      </w:pPr>
      <w:r w:rsidRPr="00F7488A">
        <w:t>El saneamiento ambiental y la higiene.</w:t>
      </w:r>
    </w:p>
    <w:p w14:paraId="70838A12" w14:textId="77777777" w:rsidR="00B70A36" w:rsidRPr="00F7488A" w:rsidRDefault="00B70A36" w:rsidP="00680193">
      <w:pPr>
        <w:pStyle w:val="Bullet1G"/>
        <w:rPr>
          <w:b/>
        </w:rPr>
      </w:pPr>
      <w:r w:rsidRPr="00F7488A">
        <w:t>La protección social.</w:t>
      </w:r>
    </w:p>
    <w:p w14:paraId="0154C5D6" w14:textId="77777777" w:rsidR="00B70A36" w:rsidRPr="00F7488A" w:rsidRDefault="00B70A36" w:rsidP="00680193">
      <w:pPr>
        <w:pStyle w:val="Bullet1G"/>
        <w:rPr>
          <w:b/>
        </w:rPr>
      </w:pPr>
      <w:r w:rsidRPr="00F7488A">
        <w:t>Las tierras y la vivienda.</w:t>
      </w:r>
    </w:p>
    <w:p w14:paraId="2C36486F" w14:textId="77777777" w:rsidR="00B70A36" w:rsidRPr="00F7488A" w:rsidRDefault="00B70A36" w:rsidP="00680193">
      <w:pPr>
        <w:pStyle w:val="Bullet1G"/>
        <w:rPr>
          <w:b/>
        </w:rPr>
      </w:pPr>
      <w:r w:rsidRPr="00F7488A">
        <w:t>La diversificación de la economía y el fomento del crecimiento (siete subresultados/grupos temáticos).</w:t>
      </w:r>
    </w:p>
    <w:p w14:paraId="39858BD0" w14:textId="77777777" w:rsidR="00B70A36" w:rsidRPr="00F7488A" w:rsidRDefault="00B70A36" w:rsidP="00680193">
      <w:pPr>
        <w:pStyle w:val="Bullet1G"/>
        <w:rPr>
          <w:b/>
        </w:rPr>
      </w:pPr>
      <w:r w:rsidRPr="00F7488A">
        <w:t>Las infraestructuras y la competitividad económica (siete subresultados/grupos temáticos).</w:t>
      </w:r>
    </w:p>
    <w:p w14:paraId="53518676" w14:textId="77777777" w:rsidR="00B70A36" w:rsidRPr="00F7488A" w:rsidRDefault="00B70A36" w:rsidP="00680193">
      <w:pPr>
        <w:pStyle w:val="Bullet1G"/>
        <w:rPr>
          <w:b/>
        </w:rPr>
      </w:pPr>
      <w:r w:rsidRPr="00F7488A">
        <w:t>La gobernanza y rendición de cuentas por los resultados (diez subresultados/grupos temáticos).</w:t>
      </w:r>
    </w:p>
    <w:p w14:paraId="79A04191" w14:textId="77777777" w:rsidR="00B70A36" w:rsidRPr="00F7488A" w:rsidRDefault="00B70A36" w:rsidP="00680193">
      <w:pPr>
        <w:pStyle w:val="Bullet1G"/>
        <w:rPr>
          <w:b/>
        </w:rPr>
      </w:pPr>
      <w:r w:rsidRPr="00F7488A">
        <w:t>El empoderamiento de las mujeres, los niños y las personas con discapacidad (tres subresultados/grupos temáticos).</w:t>
      </w:r>
    </w:p>
    <w:p w14:paraId="14005CAD" w14:textId="77777777" w:rsidR="00B70A36" w:rsidRPr="00F7488A" w:rsidRDefault="00B70A36" w:rsidP="00680193">
      <w:pPr>
        <w:pStyle w:val="Bullet1G"/>
        <w:rPr>
          <w:b/>
        </w:rPr>
      </w:pPr>
      <w:r w:rsidRPr="00F7488A">
        <w:t>La juventud, el empleo, los deportes y la migración (tres subresultados/grupos temáticos).</w:t>
      </w:r>
    </w:p>
    <w:p w14:paraId="6CF01C35" w14:textId="77777777" w:rsidR="00B70A36" w:rsidRPr="00F7488A" w:rsidRDefault="00B70A36" w:rsidP="00680193">
      <w:pPr>
        <w:pStyle w:val="Bullet1G"/>
        <w:rPr>
          <w:b/>
        </w:rPr>
      </w:pPr>
      <w:r w:rsidRPr="00F7488A">
        <w:t>El tratamiento de las vulnerabilidades y el aumento de la resiliencia (tres subresultados/grupos temáticos).</w:t>
      </w:r>
    </w:p>
    <w:p w14:paraId="52770268" w14:textId="77777777" w:rsidR="00B70A36" w:rsidRPr="00F7488A" w:rsidRDefault="00B70A36" w:rsidP="00680193">
      <w:pPr>
        <w:pStyle w:val="Bullet1G"/>
        <w:rPr>
          <w:b/>
        </w:rPr>
      </w:pPr>
      <w:r w:rsidRPr="00F7488A">
        <w:t>La aplicación del Plan.</w:t>
      </w:r>
    </w:p>
    <w:p w14:paraId="3AA43203" w14:textId="77777777" w:rsidR="00B70A36" w:rsidRPr="00F7488A" w:rsidRDefault="00B70A36" w:rsidP="00372CF7">
      <w:pPr>
        <w:pStyle w:val="SingleTxtG"/>
      </w:pPr>
      <w:r w:rsidRPr="00F7488A">
        <w:t>135.</w:t>
      </w:r>
      <w:r w:rsidRPr="00F7488A">
        <w:tab/>
        <w:t>Por primera vez en la historia de Sierra Leona, el volumen dos del Plan Nacional de Desarrollo a Medio Plazo establece sus indicadores para todos los grupos temáticos</w:t>
      </w:r>
      <w:r w:rsidRPr="00F7488A">
        <w:rPr>
          <w:rStyle w:val="Refdenotaalpie"/>
        </w:rPr>
        <w:footnoteReference w:id="47"/>
      </w:r>
      <w:r w:rsidRPr="00F7488A">
        <w:t>. El objetivo del Plan incluye a las mujeres, por lo que la estrategia del Plan contempla en uno de los grupos (el cinco) no solo a las mujeres, sino también a los niños y las personas con discapacidad. Este grupo también tiene sus objetivos:</w:t>
      </w:r>
    </w:p>
    <w:p w14:paraId="481F7BF3" w14:textId="24860AD8" w:rsidR="00B70A36" w:rsidRPr="00F7488A" w:rsidRDefault="00B70A36" w:rsidP="00680193">
      <w:pPr>
        <w:pStyle w:val="Bullet1G"/>
      </w:pPr>
      <w:r w:rsidRPr="00F7488A">
        <w:t>El primer objetivo del grupo cinco prevé lograr que haya más mujeres en puestos de liderazgo en el Gobierno en 2028</w:t>
      </w:r>
      <w:r w:rsidR="00680193">
        <w:t>.</w:t>
      </w:r>
    </w:p>
    <w:p w14:paraId="7AE2F177" w14:textId="493C5CF5" w:rsidR="00B70A36" w:rsidRPr="00F7488A" w:rsidRDefault="00B70A36" w:rsidP="00680193">
      <w:pPr>
        <w:pStyle w:val="Bullet1G"/>
      </w:pPr>
      <w:r w:rsidRPr="00F7488A">
        <w:t>El segundo, ayudar a más mujeres a emprender actividades empresariales</w:t>
      </w:r>
      <w:r w:rsidR="00680193">
        <w:t>.</w:t>
      </w:r>
    </w:p>
    <w:p w14:paraId="6F565A6A" w14:textId="0CA7F317" w:rsidR="00B70A36" w:rsidRPr="00F7488A" w:rsidRDefault="00B70A36" w:rsidP="00680193">
      <w:pPr>
        <w:pStyle w:val="Bullet1G"/>
      </w:pPr>
      <w:r w:rsidRPr="00F7488A">
        <w:t>Desarrollar y aplicar un sistema nacional de gestión de datos e información sobre los casos de violencia de género</w:t>
      </w:r>
      <w:r w:rsidR="00680193">
        <w:t>.</w:t>
      </w:r>
    </w:p>
    <w:p w14:paraId="5ED77BD5" w14:textId="77777777" w:rsidR="00B70A36" w:rsidRPr="00F7488A" w:rsidRDefault="00B70A36" w:rsidP="00680193">
      <w:pPr>
        <w:pStyle w:val="Bullet1G"/>
      </w:pPr>
      <w:r w:rsidRPr="00F7488A">
        <w:t>Reducir drásticamente en un 50 % el número de mujeres víctimas de violencia de género.</w:t>
      </w:r>
    </w:p>
    <w:p w14:paraId="0BB686CE" w14:textId="77777777" w:rsidR="00B70A36" w:rsidRPr="00F7488A" w:rsidRDefault="00B70A36" w:rsidP="00372CF7">
      <w:pPr>
        <w:pStyle w:val="SingleTxtG"/>
      </w:pPr>
      <w:r w:rsidRPr="00F7488A">
        <w:t>136.</w:t>
      </w:r>
      <w:r w:rsidRPr="00F7488A">
        <w:tab/>
        <w:t>En el caso de las personas socialmente excluidas, las minorías étnicas, las comunidades rurales y los pobres en las zonas urbanas, este Plan es ampliamente consultivo, ya que incluye la representación de todos los sierraleoneses a nivel de distrito, regional y nacional. Es único en el sentido de que incluye las ideas y la visión de las personas que viven en los centros penitenciarios, los mercados, e incluso también se consultó a los ciclistas comerciales, taxistas, etc.</w:t>
      </w:r>
    </w:p>
    <w:p w14:paraId="745E39F1" w14:textId="22257ED1" w:rsidR="00B70A36" w:rsidRPr="00F7488A" w:rsidRDefault="00680193" w:rsidP="00680193">
      <w:pPr>
        <w:pStyle w:val="H4G"/>
      </w:pPr>
      <w:r>
        <w:tab/>
      </w:r>
      <w:r w:rsidR="00B70A36">
        <w:tab/>
      </w:r>
      <w:r w:rsidR="00B70A36" w:rsidRPr="00F7488A">
        <w:t>Alimentación adecuada y asequible</w:t>
      </w:r>
    </w:p>
    <w:p w14:paraId="5DE1B9BA" w14:textId="77777777" w:rsidR="00B70A36" w:rsidRPr="00F7488A" w:rsidRDefault="00B70A36" w:rsidP="00372CF7">
      <w:pPr>
        <w:pStyle w:val="SingleTxtG"/>
      </w:pPr>
      <w:r w:rsidRPr="00F7488A">
        <w:t>137.</w:t>
      </w:r>
      <w:r w:rsidRPr="00F7488A">
        <w:tab/>
        <w:t>Según los resultados del análisis de la situación actual de inseguridad alimentaria aguda en Sierra Leona realizado por el Ministerio de Agricultura y Silvicultura, el 33,9 % de los hogares de Sierra Leona tienen una puntuación de consumo de alimentos deficiente, mientras que algo más del 33,5 % de los hogares consumen tres grupos de alimentos o menos. A excepción de Bo, el Oeste Rural del Área Occidental, Koinadugu, Bonthe y Kono, el consumo de alimentos en todos los demás distritos planteaba problemas (Ministerio de Agricultura y Silvicultura, 2020). El derecho a una alimentación adecuada es el derecho a todos los elementos nutricionales que las personas necesitan para llevar una vida sana y activa con los medios necesarios para acceder a ellos (Derechos Humanos Naciones Unidas, 2010).</w:t>
      </w:r>
    </w:p>
    <w:p w14:paraId="379EF30E" w14:textId="4395C427" w:rsidR="00B70A36" w:rsidRPr="00F7488A" w:rsidRDefault="00B70A36" w:rsidP="00372CF7">
      <w:pPr>
        <w:pStyle w:val="SingleTxtG"/>
      </w:pPr>
      <w:r w:rsidRPr="00F7488A">
        <w:t>138.</w:t>
      </w:r>
      <w:r w:rsidRPr="00F7488A">
        <w:tab/>
        <w:t>Según la Encuesta Demográfica y de Salud, el 30 % de los niños de Sierra Leona menores de 5 años padecen retraso en el crecimiento (talla baja para su edad). El 5 % presenta emaciación (bajo peso para su edad) y el 5 % presenta sobrepeso (peso elevado para su estatura), mientras que el 56 % de las mujeres con edades entre 15 y 49 años consume alimentos de 5 o más de los 10 grupos de alimentos especificados durante el día o la noche, con anterioridad a la entrevista</w:t>
      </w:r>
      <w:r w:rsidRPr="00F7488A">
        <w:rPr>
          <w:rStyle w:val="Refdenotaalpie"/>
        </w:rPr>
        <w:footnoteReference w:id="48"/>
      </w:r>
      <w:r w:rsidRPr="00F7488A">
        <w:t>. En este contexto, el Gobierno introdujo el Programa de Alimentación Escolar 2019, del que se han beneficiado hasta la fecha 460.358 alumnos en</w:t>
      </w:r>
      <w:r w:rsidR="00680193">
        <w:t> </w:t>
      </w:r>
      <w:r w:rsidRPr="00F7488A">
        <w:t>2</w:t>
      </w:r>
      <w:r w:rsidR="00680193">
        <w:t>.</w:t>
      </w:r>
      <w:r w:rsidRPr="00F7488A">
        <w:t>999 escuelas de las zonas provinciales.</w:t>
      </w:r>
    </w:p>
    <w:p w14:paraId="67DF3BCC" w14:textId="137EDA04" w:rsidR="00B70A36" w:rsidRPr="00F7488A" w:rsidRDefault="00680193" w:rsidP="00680193">
      <w:pPr>
        <w:pStyle w:val="H4G"/>
      </w:pPr>
      <w:r>
        <w:tab/>
      </w:r>
      <w:r w:rsidR="00B70A36">
        <w:tab/>
      </w:r>
      <w:r w:rsidR="00B70A36" w:rsidRPr="00F7488A">
        <w:t>Políticas de seguridad alimentaria</w:t>
      </w:r>
    </w:p>
    <w:p w14:paraId="7A05E788" w14:textId="77777777" w:rsidR="00B70A36" w:rsidRPr="00F7488A" w:rsidRDefault="00B70A36" w:rsidP="00372CF7">
      <w:pPr>
        <w:pStyle w:val="SingleTxtG"/>
      </w:pPr>
      <w:r w:rsidRPr="00F7488A">
        <w:t>139.</w:t>
      </w:r>
      <w:r w:rsidRPr="00F7488A">
        <w:tab/>
        <w:t>Para garantizar la seguridad alimentaria, el Gobierno y otros asociados para el desarrollo han diseñado el Programa Nacional de Transformación de 2023, que tiene el objetivo de duplicar la producción en cuatro cadenas de valor, a saber, el arroz, la ganadería, los cultivos comerciales y la silvicultura, mediante la aplicación de ideas ambiciosas e innovadoras y la inversión en los sistemas de riego a gran escala, la mecanización y el suministro de insumos tecnológicos, lo que está en consonancia con el Instrumento de Planificación Agrícola Regional y Global firmado por Sierra Leona, y que forma parte del Plan Nacional de Inversiones Agrícolas de 2025, que tiene un alcance más amplio, ya que supone la participación activa de otros ministerios, como el de Pesca y Recursos Marinos.</w:t>
      </w:r>
    </w:p>
    <w:p w14:paraId="4F905839" w14:textId="68FBE6DF" w:rsidR="00B70A36" w:rsidRPr="00F7488A" w:rsidRDefault="00B70A36" w:rsidP="00372CF7">
      <w:pPr>
        <w:pStyle w:val="SingleTxtG"/>
      </w:pPr>
      <w:r w:rsidRPr="00F7488A">
        <w:t>140.</w:t>
      </w:r>
      <w:r w:rsidRPr="00F7488A">
        <w:tab/>
        <w:t>El Programa Nacional de Transformación de 2023 se centra plenamente en abordar las necesidades agrícolas, mientras que el Plan Nacional de Inversiones Agrícolas de 2025 refleja una adhesión más amplia a los pactos regionales, continentales e internacionales alcanzados por el Gobierno de Sierra Leona, el Instituto de Investigación Agrícola de Sierra</w:t>
      </w:r>
      <w:r w:rsidR="001C5D0C">
        <w:t> </w:t>
      </w:r>
      <w:r w:rsidRPr="00F7488A">
        <w:t>Leona, los proyectos y los asociados para formular el cambio de política que pretende inyectar 800</w:t>
      </w:r>
      <w:r w:rsidR="00893AAF">
        <w:t xml:space="preserve"> millones de</w:t>
      </w:r>
      <w:r w:rsidRPr="00F7488A">
        <w:t xml:space="preserve"> </w:t>
      </w:r>
      <w:r w:rsidR="001C5D0C">
        <w:t xml:space="preserve">dólares </w:t>
      </w:r>
      <w:r w:rsidRPr="00F7488A">
        <w:t>en la economía a lo largo del período para lograr la autosuficiencia arrocera en Sierra Leona. De hecho, antes de que se produjeran estos cambios de políticas, los agricultores que llevaban a cabo los cultivos de forma tradicional con herramientas manuales creaban un espacio en el que la nación dependía de la importación de arroz, pero ahora dispondrán de maquinaria operada por agentes del sector privado. Para mejorar esta situación, el Gobierno se asociará con el Ministerio de Finanzas y el Banco de Sierra Leona, y establecerá un Banco de Inversión Agrícola para proporcionar una financiación de 50</w:t>
      </w:r>
      <w:r w:rsidR="00893AAF">
        <w:t xml:space="preserve"> millones de</w:t>
      </w:r>
      <w:r w:rsidRPr="00F7488A">
        <w:t xml:space="preserve"> </w:t>
      </w:r>
      <w:r w:rsidR="00080751">
        <w:t>dólares</w:t>
      </w:r>
      <w:r w:rsidRPr="00F7488A">
        <w:t xml:space="preserve"> a lo largo de la cadena de valor agrícola.</w:t>
      </w:r>
    </w:p>
    <w:p w14:paraId="6F955A72" w14:textId="4DD80A57" w:rsidR="00B70A36" w:rsidRPr="00F7488A" w:rsidRDefault="00680193" w:rsidP="00680193">
      <w:pPr>
        <w:pStyle w:val="H23G"/>
      </w:pPr>
      <w:r>
        <w:tab/>
      </w:r>
      <w:r w:rsidR="00B70A36">
        <w:tab/>
      </w:r>
      <w:r w:rsidR="00B70A36" w:rsidRPr="00F7488A">
        <w:t>Artículo 12</w:t>
      </w:r>
      <w:r w:rsidR="00F8661A">
        <w:br/>
      </w:r>
      <w:r w:rsidR="00302E5D">
        <w:t>D</w:t>
      </w:r>
      <w:r w:rsidR="00B70A36" w:rsidRPr="00F7488A">
        <w:t>erecho de toda persona al disfrute del más alto nivel posible de</w:t>
      </w:r>
      <w:r>
        <w:t> </w:t>
      </w:r>
      <w:r w:rsidR="00B70A36" w:rsidRPr="00F7488A">
        <w:t>salud</w:t>
      </w:r>
      <w:r>
        <w:t> </w:t>
      </w:r>
      <w:r w:rsidR="00B70A36" w:rsidRPr="00F7488A">
        <w:t>física</w:t>
      </w:r>
      <w:r w:rsidR="00006E48">
        <w:br/>
      </w:r>
      <w:r w:rsidR="00B70A36" w:rsidRPr="00F7488A">
        <w:t>y mental</w:t>
      </w:r>
      <w:bookmarkStart w:id="17" w:name="_Toc133854438"/>
      <w:bookmarkEnd w:id="17"/>
    </w:p>
    <w:p w14:paraId="4FBBBC27" w14:textId="2B54D468" w:rsidR="00B70A36" w:rsidRPr="00F7488A" w:rsidRDefault="00B70A36" w:rsidP="00372CF7">
      <w:pPr>
        <w:pStyle w:val="SingleTxtG"/>
      </w:pPr>
      <w:r w:rsidRPr="00F7488A">
        <w:t>141.</w:t>
      </w:r>
      <w:r w:rsidRPr="00F7488A">
        <w:tab/>
        <w:t xml:space="preserve">La prestación de los servicios sanitarios en Sierra Leona está diversificada. En el país, los servicios sanitarios los prestan el Gobierno, el sector privado, </w:t>
      </w:r>
      <w:r w:rsidR="002D6470">
        <w:t>ONG</w:t>
      </w:r>
      <w:r w:rsidRPr="00F7488A">
        <w:t xml:space="preserve"> locales e internacionales y las organizaciones confesionales. Hay consultas médicas públicas, privadas con ánimo de lucro, privadas sin ánimo de lucro y de medicina tradicional (Plan Integrado del Servicio de Salud </w:t>
      </w:r>
      <w:r w:rsidR="00080751">
        <w:t>–</w:t>
      </w:r>
      <w:r w:rsidRPr="00F7488A">
        <w:t xml:space="preserve"> </w:t>
      </w:r>
      <w:proofErr w:type="spellStart"/>
      <w:r w:rsidRPr="00F7488A">
        <w:t>Gob</w:t>
      </w:r>
      <w:proofErr w:type="spellEnd"/>
      <w:r w:rsidRPr="00F7488A">
        <w:t>)</w:t>
      </w:r>
      <w:r w:rsidR="00080751">
        <w:t>.</w:t>
      </w:r>
      <w:r w:rsidRPr="00F7488A">
        <w:t xml:space="preserve"> La asistencia sanitaria se presta en los niveles de la atención primaria, secundaria y terciaria.</w:t>
      </w:r>
    </w:p>
    <w:p w14:paraId="702DFE01" w14:textId="77777777" w:rsidR="00B70A36" w:rsidRPr="00F7488A" w:rsidRDefault="00B70A36" w:rsidP="00372CF7">
      <w:pPr>
        <w:pStyle w:val="SingleTxtG"/>
      </w:pPr>
      <w:r w:rsidRPr="00F7488A">
        <w:t>142.</w:t>
      </w:r>
      <w:r w:rsidRPr="00F7488A">
        <w:tab/>
        <w:t>Las unidades sanitarias de atención primaria son los servicios sanitarios de primera línea y, a su vez, se clasifican en tres niveles: los puestos de salud maternoinfantil están situados en las aldeas con una población inferior a 5.000 habitantes; los puestos de salud comunitarios se encuentran en las pequeñas poblaciones de entre 5.000 y 10.000 habitantes; y los centros de salud comunitarios, situados en las jefaturas, suelen abarcar una población de entre 10.000 y 20.000 habitantes.</w:t>
      </w:r>
    </w:p>
    <w:p w14:paraId="2F766466" w14:textId="4E548BFB" w:rsidR="00B70A36" w:rsidRPr="00F7488A" w:rsidRDefault="00B70A36" w:rsidP="00372CF7">
      <w:pPr>
        <w:pStyle w:val="SingleTxtG"/>
        <w:rPr>
          <w:vertAlign w:val="superscript"/>
        </w:rPr>
      </w:pPr>
      <w:r w:rsidRPr="00F7488A">
        <w:t>143.</w:t>
      </w:r>
      <w:r w:rsidRPr="00F7488A">
        <w:tab/>
        <w:t>La Ley estatal de Juntas Hospitalarias de 2003 y la Ley de Administración Local de</w:t>
      </w:r>
      <w:r w:rsidR="00680193">
        <w:t> </w:t>
      </w:r>
      <w:r w:rsidRPr="00F7488A">
        <w:t>2004 devolvieron algunas funciones gubernamentales a los consejos locales para lograr una prestación de servicios eficaz y eficiente. Los consejos locales trabajan ahora en colaboración con el Equipo de Gestión Sanitaria de Distrito</w:t>
      </w:r>
      <w:r w:rsidR="00111D2C">
        <w:t xml:space="preserve"> </w:t>
      </w:r>
      <w:r w:rsidRPr="00F7488A">
        <w:t>para ejecutar los programas sanitarios en los distritos. La atención sanitaria secundaria se presta en los hospitales de distrito y no estatales. La atención sanitaria terciaria se presta a nivel regional y en algunos hospitales no estatales</w:t>
      </w:r>
      <w:r w:rsidRPr="00F7488A">
        <w:rPr>
          <w:rStyle w:val="Refdenotaalpie"/>
        </w:rPr>
        <w:footnoteReference w:id="49"/>
      </w:r>
      <w:r w:rsidRPr="00F7488A">
        <w:t>.</w:t>
      </w:r>
    </w:p>
    <w:p w14:paraId="6BF67697" w14:textId="78958F22" w:rsidR="00B70A36" w:rsidRPr="00F7488A" w:rsidRDefault="00680193" w:rsidP="00680193">
      <w:pPr>
        <w:pStyle w:val="H4G"/>
      </w:pPr>
      <w:r>
        <w:tab/>
      </w:r>
      <w:r w:rsidR="00B70A36">
        <w:tab/>
      </w:r>
      <w:r w:rsidR="00B70A36" w:rsidRPr="00F7488A">
        <w:t>La disposición relativa a la reducción de la mortinatalidad y la mortalidad de niños menores de 1 año, y el desarrollo saludable del niño</w:t>
      </w:r>
    </w:p>
    <w:p w14:paraId="69308161" w14:textId="77777777" w:rsidR="00B70A36" w:rsidRPr="00F7488A" w:rsidRDefault="00B70A36" w:rsidP="00372CF7">
      <w:pPr>
        <w:pStyle w:val="SingleTxtG"/>
      </w:pPr>
      <w:r w:rsidRPr="00F7488A">
        <w:t>144.</w:t>
      </w:r>
      <w:r w:rsidRPr="00F7488A">
        <w:tab/>
        <w:t>Según la tasa de mortinatalidad estimada para Sierra Leona (30 por cada 1.000 nacidos vivos). Se esperaba que la encuesta arrojase el dato de un total de 7.596 mortinatos. Sin embargo, solo se documentaron 5.608 mortinatos en todos los centros, lo que arroja una tasa de 25,6 mortinatos por cada 1.000 nacidos vivos. De los 5.608 mortinatos notificados a través del sistema de la Encuesta Demográfica y de Salud, un total de 3.118 (55,5 %) fueron mortinatos macerados, mientras que el resto, 2.490 (44,5 %), fueron mortinatos frescos. En Sierra Leona, las principales causas de muerte neonatal son el nacimiento prematuro, la asfixia y la sepsis.</w:t>
      </w:r>
    </w:p>
    <w:p w14:paraId="04E05044" w14:textId="68B55ECC" w:rsidR="00B70A36" w:rsidRPr="00F7488A" w:rsidRDefault="00B70A36" w:rsidP="00372CF7">
      <w:pPr>
        <w:pStyle w:val="SingleTxtG"/>
      </w:pPr>
      <w:r w:rsidRPr="00F7488A">
        <w:t>145.</w:t>
      </w:r>
      <w:r w:rsidRPr="00F7488A">
        <w:tab/>
        <w:t>Para reducir la mortinatalidad, el Gobierno ha establecido la Asistencia Sanitaria Gratuita para las embarazadas, que permite acudir a citas médicas en las que se proporciona información relevante a medida que avanza el embarazo. Para acceder eficazmente a este servicio, el Gobierno también ofrece el servicio de ambulancia en todo el país, lo que ha impulsado la asistencia sanitaria gratuita que ahora está resultando enormemente beneficiosa. La asistencia sanitaria gratuita en colaboración con los servicios de ambulancias ha contribuido a reducir significativamente la mortalidad de los niños menores de 1 año. Esto resulta evidente ya que la tasa de mortalidad de estos niños de 2009 a 2019 se sitúa en 80,9</w:t>
      </w:r>
      <w:r w:rsidR="00080751">
        <w:t> </w:t>
      </w:r>
      <w:r w:rsidRPr="00F7488A">
        <w:t>muertes por cada 1.000 nacidos vivos. Se espera que esta tendencia de reducción de la mortalidad de lactantes siga aumentando.</w:t>
      </w:r>
    </w:p>
    <w:p w14:paraId="2C73F501" w14:textId="07AE762C" w:rsidR="00B70A36" w:rsidRPr="00F7488A" w:rsidRDefault="00680193" w:rsidP="00680193">
      <w:pPr>
        <w:pStyle w:val="H4G"/>
      </w:pPr>
      <w:r>
        <w:tab/>
      </w:r>
      <w:r w:rsidR="00B70A36">
        <w:tab/>
      </w:r>
      <w:r w:rsidR="00B70A36" w:rsidRPr="00F7488A">
        <w:t>La mejora de todos los aspectos de la higiene del trabajo y del medio ambiente</w:t>
      </w:r>
    </w:p>
    <w:p w14:paraId="778AF8F5" w14:textId="77777777" w:rsidR="00B70A36" w:rsidRPr="00F7488A" w:rsidRDefault="00B70A36" w:rsidP="00372CF7">
      <w:pPr>
        <w:pStyle w:val="SingleTxtG"/>
      </w:pPr>
      <w:r w:rsidRPr="00F7488A">
        <w:t>146.</w:t>
      </w:r>
      <w:r w:rsidRPr="00F7488A">
        <w:tab/>
        <w:t>Para mejorar la higiene del trabajo y del medio ambiente, se creó la Estrategia Nacional de Salud Ambiental y Saneamiento para 2015-2020.</w:t>
      </w:r>
    </w:p>
    <w:p w14:paraId="297DC7CA" w14:textId="3CBBEC0E" w:rsidR="00B70A36" w:rsidRPr="00F7488A" w:rsidRDefault="00B70A36" w:rsidP="00372CF7">
      <w:pPr>
        <w:pStyle w:val="SingleTxtG"/>
        <w:rPr>
          <w:vertAlign w:val="superscript"/>
        </w:rPr>
      </w:pPr>
      <w:r w:rsidRPr="00F7488A">
        <w:t>147.</w:t>
      </w:r>
      <w:r w:rsidRPr="00F7488A">
        <w:tab/>
        <w:t>Esta Estrategia articula las principales prioridades de la prestación de servicios de salud ambiental y saneamiento. El objetivo de la Estrategia es proporcionar un marco para la prestación de los servicios de salud ambiental y saneamiento para todos los sierraleoneses. Este plan estratégico pretende lograr el cambio de políticas de los enfoques impulsados por la oferta a los enfoques impulsados por la demanda, haciendo mayor hincapié en la secuenciación tecnológica. La Estrategia pretende abordar los retos que han impedido el crecimiento y el progreso en los sectores de la salud ambiental y el saneamiento (Estrategia Nacional de Salud Ambiental y Saneamiento 2015)</w:t>
      </w:r>
      <w:r w:rsidR="00176E1A">
        <w:t>.</w:t>
      </w:r>
      <w:r w:rsidRPr="00F7488A">
        <w:t xml:space="preserve"> Esta política identificó siete programas prioritarios de prestación de servicios básicos, a saber: vivienda; seguridad alimentaria y control de calidad; gestión integrada de desechos; gestión integrada de vectores; salud y seguridad en el trabajo; servicios de salud portuarios y agua, saneamiento e higiene</w:t>
      </w:r>
      <w:r w:rsidRPr="00F7488A">
        <w:rPr>
          <w:rStyle w:val="Refdenotaalpie"/>
        </w:rPr>
        <w:footnoteReference w:id="50"/>
      </w:r>
      <w:r w:rsidRPr="00F7488A">
        <w:t>.</w:t>
      </w:r>
    </w:p>
    <w:p w14:paraId="596662BA" w14:textId="4AF82317" w:rsidR="00B70A36" w:rsidRPr="00F7488A" w:rsidRDefault="00680193" w:rsidP="00680193">
      <w:pPr>
        <w:pStyle w:val="H4G"/>
      </w:pPr>
      <w:r>
        <w:tab/>
      </w:r>
      <w:r w:rsidR="00B70A36">
        <w:tab/>
      </w:r>
      <w:r w:rsidR="00B70A36" w:rsidRPr="00F7488A">
        <w:t>Vivienda</w:t>
      </w:r>
    </w:p>
    <w:p w14:paraId="47E66B50" w14:textId="77777777" w:rsidR="00B70A36" w:rsidRPr="00F7488A" w:rsidRDefault="00B70A36" w:rsidP="00372CF7">
      <w:pPr>
        <w:pStyle w:val="SingleTxtG"/>
      </w:pPr>
      <w:r w:rsidRPr="00F7488A">
        <w:t>148.</w:t>
      </w:r>
      <w:r w:rsidRPr="00F7488A">
        <w:tab/>
        <w:t>El objetivo de la estrategia de vivienda es desarrollar el marco para la inspección y el control de las actividades en materia de vivienda y ordenación urbanística con el fin de abordar las cuestiones sanitarias y de salubridad en los planos de los edificios y los trazados de los recintos. La aplicación de esta estrategia plantea numerosos retos, ya que las actividades del programa de vivienda adolecen de una gran falta de recursos; la legislación sobre los programas de vivienda es inadecuada o está anticuada; falta coordinación y cooperación entre los organismos gubernamentales de control; y no hay ninguna política eficaz sobre los programas de vivienda en Sierra Leona.</w:t>
      </w:r>
    </w:p>
    <w:p w14:paraId="6DAFAB8F" w14:textId="77777777" w:rsidR="00B70A36" w:rsidRPr="00F7488A" w:rsidRDefault="00B70A36" w:rsidP="00372CF7">
      <w:pPr>
        <w:pStyle w:val="SingleTxtG"/>
      </w:pPr>
      <w:r w:rsidRPr="00F7488A">
        <w:t>149.</w:t>
      </w:r>
      <w:r w:rsidRPr="00F7488A">
        <w:tab/>
        <w:t>No obstante, el Gobierno ha hecho algunos progresos en materia ambiental y de saneamiento. En 2015, para hacer frente a los problemas de salud y saneamiento en las viviendas, se distribuyeron periódicamente mosquiteras antipalúdicas entre los hogares para luchar contra la malaria, una de las principales causas de morbilidad y mortalidad, en particular entre los niños menores de 5 años.</w:t>
      </w:r>
    </w:p>
    <w:p w14:paraId="07558271" w14:textId="77777777" w:rsidR="00B70A36" w:rsidRPr="00F7488A" w:rsidRDefault="00B70A36" w:rsidP="00372CF7">
      <w:pPr>
        <w:pStyle w:val="SingleTxtG"/>
      </w:pPr>
      <w:r w:rsidRPr="00F7488A">
        <w:t>150.</w:t>
      </w:r>
      <w:r w:rsidRPr="00F7488A">
        <w:tab/>
        <w:t>En la Política Nacional de Agua y Saneamiento de 2018, el Gobierno declaró que el acceso a agua segura y adecuada para las necesidades básicas es un derecho humano fundamental. Por lo tanto, el Gobierno ha proporcionado grifos públicos para facilitar el acceso a la principal fuente de agua potable de calidad en todas las regiones, aunque no son suficientes, y saneamiento que incluye retretes e instalaciones para el baño. Sigue habiendo dificultades para acceder al suministro de agua seguro y adecuado, en particular en la ciudad de Freetown.</w:t>
      </w:r>
    </w:p>
    <w:p w14:paraId="7679D555" w14:textId="77777777" w:rsidR="00B70A36" w:rsidRPr="00F7488A" w:rsidRDefault="00B70A36" w:rsidP="00372CF7">
      <w:pPr>
        <w:pStyle w:val="SingleTxtG"/>
      </w:pPr>
      <w:r w:rsidRPr="00F7488A">
        <w:t>151.</w:t>
      </w:r>
      <w:r w:rsidRPr="00F7488A">
        <w:tab/>
        <w:t>En el censo de 2015, el Gobierno mejoró el método de eliminación de basuras en el país a lo largo de la década. La proporción de hogares que utiliza el método principal de eliminación de basuras no ha cambiado demasiado (55,4 %), pero la proporción de hogares que tiran la basura en cualquier lugar se ha reducido a la mitad (14,9 %). Los hogares que queman sus residuos se han multiplicado por 2,5 (4,7 %) y la proporción de hogares que depositan sus residuos para la recogida se ha más que duplicado (8,8 %).</w:t>
      </w:r>
    </w:p>
    <w:p w14:paraId="3AFA0521" w14:textId="77777777" w:rsidR="00B70A36" w:rsidRPr="00F7488A" w:rsidRDefault="00B70A36" w:rsidP="00372CF7">
      <w:pPr>
        <w:pStyle w:val="SingleTxtG"/>
        <w:rPr>
          <w:vertAlign w:val="superscript"/>
        </w:rPr>
      </w:pPr>
      <w:r w:rsidRPr="00F7488A">
        <w:t>152.</w:t>
      </w:r>
      <w:r w:rsidRPr="00F7488A">
        <w:tab/>
        <w:t>En 2004, la mayoría de los hogares (80 %) tenían el baño fuera de casa. Pero en 2015 la calidad de las instalaciones de baño experimentó una mejora que pronto se moderó. Las instalaciones de baño han mejorado mucho, ya que numerosos hogares utilizan inodoros de cisterna en lugar de fosas ventiladas mejoradas. Es necesario que el sector de la salud ambiental y el saneamiento pasen de una situación de ventaja comparativa a una de ventaja competitiva</w:t>
      </w:r>
      <w:r w:rsidRPr="00F7488A">
        <w:rPr>
          <w:rStyle w:val="Refdenotaalpie"/>
        </w:rPr>
        <w:footnoteReference w:id="51"/>
      </w:r>
      <w:r w:rsidRPr="00F7488A">
        <w:t>.</w:t>
      </w:r>
    </w:p>
    <w:p w14:paraId="24A3A885" w14:textId="2C671089" w:rsidR="00B70A36" w:rsidRPr="00F7488A" w:rsidRDefault="00680193" w:rsidP="00680193">
      <w:pPr>
        <w:pStyle w:val="H4G"/>
      </w:pPr>
      <w:r>
        <w:tab/>
      </w:r>
      <w:r w:rsidR="00B70A36">
        <w:tab/>
      </w:r>
      <w:r w:rsidR="00B70A36" w:rsidRPr="00F7488A">
        <w:t>Inocuidad alimentaria y control de calidad</w:t>
      </w:r>
    </w:p>
    <w:p w14:paraId="3584AE83" w14:textId="77777777" w:rsidR="00B70A36" w:rsidRPr="00F7488A" w:rsidRDefault="00B70A36" w:rsidP="00372CF7">
      <w:pPr>
        <w:pStyle w:val="SingleTxtG"/>
      </w:pPr>
      <w:r w:rsidRPr="00F7488A">
        <w:t>153.</w:t>
      </w:r>
      <w:r w:rsidRPr="00F7488A">
        <w:tab/>
        <w:t>La inocuidad alimentaria y el control de calidad como programa básico de prestación de servicios consiste en garantizar que todos los alimentos locales e importados que se sirven al público y los locales donde se sirven están regulados para proteger la salud pública. Todavía queda mucho por hacer en materia de inocuidad alimentaria y control de calidad, ya que la Ley de la Autoridad de Inocuidad Alimentaria que se aprobó en el Parlamento en 2017 está pendiente de aplicación. La aplicación de esta Ley velará por la inocuidad y la calidad de los alimentos y piensos de manera que se proteja a la población frente a los peligros que suponen para la salud las personas que infringen las normas relativas a la inocuidad alimentaria, que deberían haber sido juzgadas por un Tribunal de Salud establecido por el Gobierno. Los laboratorios no disponen de las instalaciones adecuadas para analizar la calidad de los alimentos antes de su consumo por el público en general.</w:t>
      </w:r>
    </w:p>
    <w:p w14:paraId="3E27BA45" w14:textId="08F20FD2" w:rsidR="00B70A36" w:rsidRPr="00F7488A" w:rsidRDefault="00680193" w:rsidP="00680193">
      <w:pPr>
        <w:pStyle w:val="H4G"/>
      </w:pPr>
      <w:r>
        <w:tab/>
      </w:r>
      <w:r w:rsidR="00B70A36">
        <w:tab/>
      </w:r>
      <w:r w:rsidR="00B70A36" w:rsidRPr="00F7488A">
        <w:t>Gestión integrada de residuos</w:t>
      </w:r>
    </w:p>
    <w:p w14:paraId="1521CB60" w14:textId="77777777" w:rsidR="00B70A36" w:rsidRPr="00F7488A" w:rsidRDefault="00B70A36" w:rsidP="00372CF7">
      <w:pPr>
        <w:pStyle w:val="SingleTxtG"/>
      </w:pPr>
      <w:r w:rsidRPr="00F7488A">
        <w:t>154.</w:t>
      </w:r>
      <w:r w:rsidRPr="00F7488A">
        <w:tab/>
        <w:t>Con la aplicación del programa de Gestión Integrada de Residuos, el Gobierno pretende garantizar que todos los centros sanitarios, los centros educativos, las industrias manufactureras y mineras, las empresas comerciales, los edificios públicos, los mercados, los parques, los hogares y las comunidades rurales utilicen métodos de eliminación de residuos prácticamente inocuos para el medio ambiente.</w:t>
      </w:r>
    </w:p>
    <w:p w14:paraId="4C83E157" w14:textId="77777777" w:rsidR="00B70A36" w:rsidRPr="00F7488A" w:rsidRDefault="00B70A36" w:rsidP="00372CF7">
      <w:pPr>
        <w:pStyle w:val="SingleTxtG"/>
      </w:pPr>
      <w:r w:rsidRPr="00F7488A">
        <w:t>155.</w:t>
      </w:r>
      <w:r w:rsidRPr="00F7488A">
        <w:tab/>
        <w:t>Aunque hay pocas empresas privadas, el Gobierno todavía tiene que ser más proactivo, ya que es evidente que en el país, en la mayoría de los casos, los efluentes de los tanques sépticos y las aguas grises domésticas se vierten en las calles y en las alcantarillas de aguas de lluvia; las bolsas de plástico, el papel, los productos de caucho, las latas de tomate y otros residuos sólidos envasados acaban en las alcantarillas de aguas de lluvia. En cuanto al programa de Gestión Integrada de Vectores, se espera que el Gobierno reduzca en un 80 % la incidencia de las enfermedades atribuibles a vectores y las enfermedades tropicales desatendidas.</w:t>
      </w:r>
    </w:p>
    <w:p w14:paraId="7A689AAC" w14:textId="77777777" w:rsidR="00B70A36" w:rsidRPr="00F7488A" w:rsidRDefault="00B70A36" w:rsidP="00372CF7">
      <w:pPr>
        <w:pStyle w:val="SingleTxtG"/>
      </w:pPr>
      <w:r w:rsidRPr="00F7488A">
        <w:t>156.</w:t>
      </w:r>
      <w:r w:rsidRPr="00F7488A">
        <w:tab/>
        <w:t xml:space="preserve">Este programa tiene margen de mejora, ya que hay poca coordinación interministerial e interinstitucional; la capacidad de vigilancia, seguimiento y evaluación es reducida; existe una elevada densidad de la población con alto riesgo de sufrir malaria; y no hay datos sobre la cartografía ecológica de la distribución de los vectores. </w:t>
      </w:r>
    </w:p>
    <w:p w14:paraId="1A02B10C" w14:textId="495599AB" w:rsidR="00B70A36" w:rsidRPr="00F7488A" w:rsidRDefault="00680193" w:rsidP="00680193">
      <w:pPr>
        <w:pStyle w:val="H4G"/>
      </w:pPr>
      <w:r>
        <w:tab/>
      </w:r>
      <w:r w:rsidR="00B70A36">
        <w:tab/>
      </w:r>
      <w:r w:rsidR="00B70A36" w:rsidRPr="00F7488A">
        <w:t>Seguridad y salud en el trabajo</w:t>
      </w:r>
    </w:p>
    <w:p w14:paraId="744ED6DF" w14:textId="77777777" w:rsidR="00B70A36" w:rsidRPr="00F7488A" w:rsidRDefault="00B70A36" w:rsidP="00372CF7">
      <w:pPr>
        <w:pStyle w:val="SingleTxtG"/>
      </w:pPr>
      <w:r w:rsidRPr="00F7488A">
        <w:t>157.</w:t>
      </w:r>
      <w:r w:rsidRPr="00F7488A">
        <w:tab/>
        <w:t>El programa de Seguridad y Salud en el Trabajo se diseñó con el fin de proporcionar herramientas para la aplicación eficaz del programa. El Gobierno carece de los recursos humanos suficientes para aplicar este programa. También carece de las políticas, las directrices y las normas necesarias para la correcta ejecución de las actividades en materia de seguridad y salud en el trabajo, las vendedoras de los mercados trabajan en entornos pobres e insalubres, y los equipos de protección personal para los trabajadores en el lugar de trabajo son insuficientes y su uso es limitado.</w:t>
      </w:r>
    </w:p>
    <w:p w14:paraId="0F962E16" w14:textId="73F51FAB" w:rsidR="00B70A36" w:rsidRPr="00F7488A" w:rsidRDefault="00680193" w:rsidP="00680193">
      <w:pPr>
        <w:pStyle w:val="H4G"/>
      </w:pPr>
      <w:r>
        <w:tab/>
      </w:r>
      <w:r w:rsidR="00B70A36">
        <w:tab/>
      </w:r>
      <w:r w:rsidR="00B70A36" w:rsidRPr="00F7488A">
        <w:t>Servicios de salud portuarios</w:t>
      </w:r>
    </w:p>
    <w:p w14:paraId="0F72CC40" w14:textId="77777777" w:rsidR="00B70A36" w:rsidRPr="00F7488A" w:rsidRDefault="00B70A36" w:rsidP="00372CF7">
      <w:pPr>
        <w:pStyle w:val="SingleTxtG"/>
      </w:pPr>
      <w:r w:rsidRPr="00F7488A">
        <w:t>158.</w:t>
      </w:r>
      <w:r w:rsidRPr="00F7488A">
        <w:tab/>
        <w:t>El programa de Servicios de Salud Portuarios tiene por objeto que el Ministerio de Salud y Saneamiento elabore un plan de acción estratégico para este programa y establezca el marco que regule el tráfico de drogas y sustancias ilegales y nocivas importantes para el medio ambiente y la salud pública a través de los puertos de entrada y salida de Sierra Leona.</w:t>
      </w:r>
    </w:p>
    <w:p w14:paraId="421266F3" w14:textId="77777777" w:rsidR="00B70A36" w:rsidRPr="00F7488A" w:rsidRDefault="00B70A36" w:rsidP="00372CF7">
      <w:pPr>
        <w:pStyle w:val="SingleTxtG"/>
      </w:pPr>
      <w:r w:rsidRPr="00F7488A">
        <w:t>159.</w:t>
      </w:r>
      <w:r w:rsidRPr="00F7488A">
        <w:tab/>
        <w:t>Dados los numerosos puntos de entrada ilegales con nuestros países vecinos, no hay personal suficiente para inspeccionar y controlar a las personas en busca de enfermedades de declaración obligatoria y sustancias nocivas. El Gobierno debe garantizar el saneamiento ambiental en los puertos y puestos fronterizos.</w:t>
      </w:r>
    </w:p>
    <w:p w14:paraId="57045EDA" w14:textId="1DCCC834" w:rsidR="00B70A36" w:rsidRPr="00F7488A" w:rsidRDefault="00680193" w:rsidP="00680193">
      <w:pPr>
        <w:pStyle w:val="H4G"/>
      </w:pPr>
      <w:r>
        <w:tab/>
      </w:r>
      <w:r w:rsidR="00B70A36">
        <w:tab/>
      </w:r>
      <w:r w:rsidR="00B70A36" w:rsidRPr="00F7488A">
        <w:t>Agua, saneamiento e higiene (aseo personal)</w:t>
      </w:r>
    </w:p>
    <w:p w14:paraId="5DB7C495" w14:textId="5CF4D660" w:rsidR="00B70A36" w:rsidRPr="00F7488A" w:rsidRDefault="00B70A36" w:rsidP="00372CF7">
      <w:pPr>
        <w:pStyle w:val="SingleTxtG"/>
      </w:pPr>
      <w:r w:rsidRPr="00F7488A">
        <w:t>160.</w:t>
      </w:r>
      <w:r w:rsidRPr="00F7488A">
        <w:tab/>
        <w:t>Con el programa de Agua, Saneamiento e Higiene (WASH), el Gobierno va a elaborar las directrices para la construcción y el mantenimiento de instalaciones de saneamiento rurales y urbanas. Con el fin de establecer las directrices para la construcción y el mantenimiento de las instalaciones de saneamiento rurales y urbanas, el Gobierno prácticamente ha completado el Proyecto de Abastecimiento de Agua y Saneamiento de las Tres Ciudades, cuyo objetivo es mejorar el acceso al suministro de agua adecuado, seguro y fiable y los servicios de saneamiento públicos para las tres ciudades de Bo, Kenema y Makeni, así como las capacidades institucionales, operativas y de gestión de la Compañía de Suministro de Agua de Sierra Leona, que es la principal proveedora de servicios de suministro de agua y saneamiento.</w:t>
      </w:r>
    </w:p>
    <w:p w14:paraId="6DFD7DD7" w14:textId="1475E873" w:rsidR="00B70A36" w:rsidRPr="00F7488A" w:rsidRDefault="00B70A36" w:rsidP="00372CF7">
      <w:pPr>
        <w:pStyle w:val="SingleTxtG"/>
      </w:pPr>
      <w:r w:rsidRPr="00F7488A">
        <w:t>161.</w:t>
      </w:r>
      <w:r w:rsidRPr="00F7488A">
        <w:tab/>
        <w:t>Para mejorar el programa WASH, el Gobierno ha creado el Organismo de Gestión de los Recursos Hídricos Nacionales</w:t>
      </w:r>
      <w:r w:rsidR="00111D2C">
        <w:t xml:space="preserve"> </w:t>
      </w:r>
      <w:r w:rsidRPr="00F7488A">
        <w:t>para proteger, gestionar y regular los recursos hídricos superficiales y subterráneos. Este Organismo también es el responsable de garantizar el ejercicio de los derechos al uso del agua, de la asignación de los recursos hídricos entre usuarios competidores y de la recopilación y el intercambio de datos sobre los recursos hídricos, con miras también a controlar la contaminación (Organismo de Gestión de los Recursos Hídricos Nacionales, Sierra Leona).</w:t>
      </w:r>
    </w:p>
    <w:p w14:paraId="30D188A8" w14:textId="028C84B7" w:rsidR="00B70A36" w:rsidRPr="00F7488A" w:rsidRDefault="00680193" w:rsidP="00680193">
      <w:pPr>
        <w:pStyle w:val="H4G"/>
      </w:pPr>
      <w:r>
        <w:tab/>
      </w:r>
      <w:r w:rsidR="00B70A36">
        <w:tab/>
      </w:r>
      <w:r w:rsidR="00B70A36" w:rsidRPr="00F7488A">
        <w:t>La prevención, el tratamiento y el control de las enfermedades epidémicas, endémicas,</w:t>
      </w:r>
      <w:r>
        <w:t> </w:t>
      </w:r>
      <w:r w:rsidR="00B70A36" w:rsidRPr="00F7488A">
        <w:t>profesionales y de otra índole</w:t>
      </w:r>
    </w:p>
    <w:p w14:paraId="71747011" w14:textId="7C8D1C93" w:rsidR="00B70A36" w:rsidRPr="00F7488A" w:rsidRDefault="00B70A36" w:rsidP="00372CF7">
      <w:pPr>
        <w:pStyle w:val="SingleTxtG"/>
      </w:pPr>
      <w:r w:rsidRPr="00F7488A">
        <w:t>162.</w:t>
      </w:r>
      <w:r w:rsidRPr="00F7488A">
        <w:tab/>
        <w:t xml:space="preserve">El Gobierno ha destacado enormemente en las labores de prevención, tratamiento y control de las enfermedades epidémicas, endémicas, profesionales y </w:t>
      </w:r>
      <w:r w:rsidR="00893AAF" w:rsidRPr="00893AAF">
        <w:t>de otra índole</w:t>
      </w:r>
      <w:r w:rsidRPr="00F7488A">
        <w:t xml:space="preserve">, en particular el Ébola y la COVID-19. Sin embargo, la prevención, el tratamiento y el control de otras enfermedades como la malaria, la hipertensión y la diabetes sigue planteando problemas. Estas enfermedades aún no están controladas. El éxito logrado en este ámbito se debe a la estrategia de colaboración del Gobierno con los Centros para el Control y la Prevención de Enfermedades (CDC), que empezaron a trabajar en Sierra Leona en los años </w:t>
      </w:r>
      <w:r w:rsidR="005D6F7D">
        <w:t>setenta</w:t>
      </w:r>
      <w:r w:rsidRPr="00F7488A">
        <w:t xml:space="preserve"> centrándose en la fiebre de Lassa. La intervención de los CDC se intensificó para centrarse en la seguridad sanitaria mundial y la respuesta a la enfermedad del Ébola.</w:t>
      </w:r>
    </w:p>
    <w:p w14:paraId="1AFC309E" w14:textId="266B9816" w:rsidR="00B70A36" w:rsidRPr="00F7488A" w:rsidRDefault="00B70A36" w:rsidP="00372CF7">
      <w:pPr>
        <w:pStyle w:val="SingleTxtG"/>
      </w:pPr>
      <w:r w:rsidRPr="00F7488A">
        <w:t>163.</w:t>
      </w:r>
      <w:r w:rsidRPr="00F7488A">
        <w:tab/>
        <w:t>Para responder a los brotes epidémicos, Sierra Leona cuenta con un laboratorio de vigilancia y unos mecanismos de vigilancia y gestión de emergencias eficaces, así como con los recursos humanos suficientes. A medida que surgen nuevas amenazas para la salud (por ejemplo, la COVID-19), los CDC y los asociados nacionales están bien posicionados para aprovechar las iniciativas que han resultado exitosas en el pasado y responder rápidamente a los nuevos retos de salud pública. El Gobierno ha respondido bien a los brotes, ha controlado la tuberculosis y la malaria, ha erradicado la poliomielitis y se ha preparado para la gripe y otras enfermedades pandémicas sentando unas bases sólidas que permiten hacer frente a la</w:t>
      </w:r>
      <w:r w:rsidR="00680193">
        <w:t> </w:t>
      </w:r>
      <w:r w:rsidRPr="00F7488A">
        <w:t>COVID-19.</w:t>
      </w:r>
    </w:p>
    <w:p w14:paraId="57E1DB5D" w14:textId="77777777" w:rsidR="00B70A36" w:rsidRPr="00F7488A" w:rsidRDefault="00B70A36" w:rsidP="00372CF7">
      <w:pPr>
        <w:pStyle w:val="SingleTxtG"/>
      </w:pPr>
      <w:r w:rsidRPr="00F7488A">
        <w:t>164.</w:t>
      </w:r>
      <w:r w:rsidRPr="00F7488A">
        <w:tab/>
        <w:t xml:space="preserve">El Gobierno puede presumir de contar con unos sistemas de laboratorio eficaces para responder de forma rápida y eficaz a las epidemias. Recientemente, en Makeni se ha puesto en marcha el laboratorio molecular de pruebas COVID-19, que es el sexto centro de pruebas COVID-19, además del Laboratorio Central de Referencia de Salud Pública, el Laboratorio Jiu P3, el Laboratorio del Connaught National Teaching and Referral Hospital, el Laboratorio del Hospital Militar 34 y del Hospital Estatal de Kenema. </w:t>
      </w:r>
    </w:p>
    <w:p w14:paraId="0EA960F2" w14:textId="77777777" w:rsidR="00B70A36" w:rsidRPr="00F7488A" w:rsidRDefault="00B70A36" w:rsidP="00372CF7">
      <w:pPr>
        <w:pStyle w:val="SingleTxtG"/>
      </w:pPr>
      <w:r w:rsidRPr="00F7488A">
        <w:t>165.</w:t>
      </w:r>
      <w:r w:rsidRPr="00F7488A">
        <w:tab/>
        <w:t>Se trata de un progreso notable para el sector sanitario de Sierra Leona. No solo porque vamos a tener un nuevo laboratorio molecular en Makeni, sino porque nuestro país ha avanzado enormemente en la mejora de nuestra preparación y capacidad de respuesta ante los brotes epidémicos. En 2016, Sierra Leona introdujo el sistema electrónico de Vigilancia y Respuesta Integradas para las Enfermedades (elDSR) que transmite datos a un sistema web de información sanitaria de los distritos (DHIS2).</w:t>
      </w:r>
    </w:p>
    <w:p w14:paraId="12F8D572" w14:textId="08B64D5A" w:rsidR="00B70A36" w:rsidRPr="00F7488A" w:rsidRDefault="00680193" w:rsidP="00680193">
      <w:pPr>
        <w:pStyle w:val="H4G"/>
      </w:pPr>
      <w:r>
        <w:tab/>
      </w:r>
      <w:r w:rsidR="00B70A36">
        <w:tab/>
      </w:r>
      <w:r w:rsidR="00B70A36" w:rsidRPr="00F7488A">
        <w:t>Enfermedad por el virus del Ébola (EVE)</w:t>
      </w:r>
    </w:p>
    <w:p w14:paraId="6F212C5C" w14:textId="78E1B42C" w:rsidR="00B70A36" w:rsidRPr="00F7488A" w:rsidRDefault="00B70A36" w:rsidP="00372CF7">
      <w:pPr>
        <w:pStyle w:val="SingleTxtG"/>
      </w:pPr>
      <w:r w:rsidRPr="00F7488A">
        <w:t>166.</w:t>
      </w:r>
      <w:r w:rsidRPr="00F7488A">
        <w:tab/>
        <w:t>El primer caso de enfermedad por el virus del Ébola (EVE) en Sierra Leona se notificó el 25 de mayo de 2014 en el distrito de Kailahun. Se confirmaron un total de 3.589 muertes y hubo 4.051 supervivientes. Este virus asoló el país en todos los ámbitos de la sociedad. Diezmó familias, el sistema sanitario, la economía y las estructuras sociales (</w:t>
      </w:r>
      <w:r w:rsidR="00433C77">
        <w:t>“</w:t>
      </w:r>
      <w:r w:rsidRPr="00F7488A">
        <w:t>La transmisión del virus del Ébola se ha detenido en Sierra Leona [...]</w:t>
      </w:r>
      <w:r w:rsidR="00433C77">
        <w:t>”</w:t>
      </w:r>
      <w:r w:rsidRPr="00F7488A">
        <w:t>)</w:t>
      </w:r>
      <w:r w:rsidR="005D6F7D">
        <w:t xml:space="preserve">. </w:t>
      </w:r>
      <w:r w:rsidRPr="00F7488A">
        <w:t>El Ébola era desconocido en nuestra región, desconocido en Sierra Leona, desconocido para nuestro personal sanitario, y nos atacó con tal ferocidad que dejó atónitos a los que finalmente superamos aquel extraño virus. El virus propagó el miedo entre los ciudadanos, devastó comunidades, perturbó la vida social y paralizó nuestra economía. Pero pronto aprendimos que debíamos superar nuestros miedos, enfrentarnos al enemigo y liberar a nuestro país del virus. Aprendimos y nos adaptamos mientras luchábamos y, finalmente, superamos ese extraño virus. Logramos esta victoria gracias a la valentía de nuestros trabajadores sanitarios, la resiliencia de nuestras comunidades y el compromiso de nuestros asociados.</w:t>
      </w:r>
    </w:p>
    <w:p w14:paraId="66AFBD3B" w14:textId="05C9F54C" w:rsidR="00B70A36" w:rsidRPr="00F7488A" w:rsidRDefault="00B70A36" w:rsidP="00372CF7">
      <w:pPr>
        <w:pStyle w:val="SingleTxtG"/>
        <w:rPr>
          <w:vertAlign w:val="superscript"/>
        </w:rPr>
      </w:pPr>
      <w:r w:rsidRPr="00F7488A">
        <w:t>167.</w:t>
      </w:r>
      <w:r w:rsidRPr="00F7488A">
        <w:tab/>
        <w:t>Se han extraído lecciones de la crisis del Ébola. Una de ellas es que, para que cualquier iniciativa alcance los resultados deseados, el refuerzo de las relaciones de confianza entre los dirigentes y los ciudadanos es fundamental, así como la participación y la implicación de la comunidad, y la elaboración de normativa. El papel que desempeñó el Jefe de Movilización Social en la lucha contra el Ébola resultó positivo para derrotarlo. Para luchar contra el Ébola se establecieron centros aislados y centros de tratamiento del Ébola, así como entierros dignos y seguros. Para notificar y dar una respuesta rápida durante el período, también se estableció un sistema de alerta a través de un número de teléfono gratuito en todo el país (</w:t>
      </w:r>
      <w:r w:rsidR="00433C77">
        <w:t>“</w:t>
      </w:r>
      <w:r w:rsidRPr="00F7488A">
        <w:t>El sistema de alerta mediante las llamadas al 117 en Sierra Leona: desde la rápida [...]</w:t>
      </w:r>
      <w:r w:rsidR="00433C77">
        <w:t>”</w:t>
      </w:r>
      <w:r w:rsidRPr="00F7488A">
        <w:t>)</w:t>
      </w:r>
      <w:r w:rsidR="005D6F7D">
        <w:t>.</w:t>
      </w:r>
      <w:r w:rsidRPr="00F7488A">
        <w:t xml:space="preserve"> Este sistema se mantuvo tras las notificaciones obligatorias y las pruebas de detección del Ébola para todos los fallecimientos y, a partir de junio de 2016, las pruebas se realizaron solo en caso de sospecha de Ébola</w:t>
      </w:r>
      <w:r w:rsidRPr="00F7488A">
        <w:rPr>
          <w:rStyle w:val="Refdenotaalpie"/>
        </w:rPr>
        <w:footnoteReference w:id="52"/>
      </w:r>
      <w:r w:rsidRPr="00F7488A">
        <w:t>.</w:t>
      </w:r>
    </w:p>
    <w:p w14:paraId="7EFB6B5A" w14:textId="40F283D4" w:rsidR="00B70A36" w:rsidRPr="00F7488A" w:rsidRDefault="00B70A36" w:rsidP="00372CF7">
      <w:pPr>
        <w:pStyle w:val="SingleTxtG"/>
      </w:pPr>
      <w:r w:rsidRPr="00F7488A">
        <w:t>168.</w:t>
      </w:r>
      <w:r w:rsidRPr="00F7488A">
        <w:tab/>
        <w:t>Antes de que la COVID-19 llegara a Sierra Leona el 30 de marzo de 2020, el Gobierno había preparado medidas ante la eventual entrada del virus en el país. Se reactivó el Centro Operativo de Emergencias que había sido creado durante el período del Ébola. El 16 de marzo de 2020, el Presidente de Sierra Leona declaró el estado de emergencia durante un año como medida adicional de precaución y extraordinaria. También se impusieron restricciones a la libertad de circulación en lo referente a los viajes internacionales y, entre el 13 de julio y el 17 de noviembre</w:t>
      </w:r>
      <w:r w:rsidR="0011199B">
        <w:t xml:space="preserve"> de 2020</w:t>
      </w:r>
      <w:r w:rsidRPr="00F7488A">
        <w:t>, se fueron retirando las diferentes restricciones que habían sido impuestas en diferentes momentos a la celebración de cultos religiosos, los toques de queda nocturnos impuestos en todo el país y la prohibición de celebrar reuniones públicas y realizar viajes en avión internacionales y entre distritos.</w:t>
      </w:r>
    </w:p>
    <w:p w14:paraId="0E52639E" w14:textId="7BBBA88A" w:rsidR="00B70A36" w:rsidRPr="00F7488A" w:rsidRDefault="00B70A36" w:rsidP="00372CF7">
      <w:pPr>
        <w:pStyle w:val="SingleTxtG"/>
        <w:rPr>
          <w:vertAlign w:val="superscript"/>
        </w:rPr>
      </w:pPr>
      <w:r w:rsidRPr="00F7488A">
        <w:t>169.</w:t>
      </w:r>
      <w:r w:rsidRPr="00F7488A">
        <w:tab/>
        <w:t xml:space="preserve">El Gobierno también respondió al virus con una estrategia compatible con el Plan Nacional de Desarrollo a Medio Plazo 2019-2023. La estrategia constaba de dos componentes: un Plan de Preparación y Respuesta Sanitaria frente a la COVID-19, centrado en </w:t>
      </w:r>
      <w:r w:rsidR="00893AAF" w:rsidRPr="00F7488A">
        <w:t>salvar vidas</w:t>
      </w:r>
      <w:r w:rsidRPr="00F7488A">
        <w:t xml:space="preserve">, y un Programa de Acción Rápida de Respuesta Económica, centrado en </w:t>
      </w:r>
      <w:r w:rsidR="00893AAF" w:rsidRPr="00F7488A">
        <w:t>salvar los medios de vida</w:t>
      </w:r>
      <w:r w:rsidRPr="00F7488A">
        <w:t>. En el sector sanitario, el número de camas de hospital pasó de 30, en marzo de 2020, a más de 720 en junio de 2020 (Asamblea General de las Naciones Unidas, A/HRC/WG.6/38/SLE/1). Se proporcionaron 1.000 camas para la COVID-19, además de una póliza de seguro de vida para 11.039 trabajadores sanitarios. En apoyo a los medios de vida, se aportaron redes de protección social a los grupos vulnerables en forma de programas ampliados de transferencias de efectivo por una cuantía de entre 35.000 y 100.000</w:t>
      </w:r>
      <w:r w:rsidR="0011199B">
        <w:t> </w:t>
      </w:r>
      <w:r w:rsidRPr="00F7488A">
        <w:t>leones destinados a los hogares a cargo de una o varias personas con discapacidad. Los trabajadores, tanto del sector formal como informal, también se beneficiaron de las ayudas</w:t>
      </w:r>
      <w:r w:rsidRPr="00F7488A">
        <w:rPr>
          <w:rStyle w:val="Refdenotaalpie"/>
        </w:rPr>
        <w:footnoteReference w:id="53"/>
      </w:r>
      <w:r w:rsidRPr="00F7488A">
        <w:t>.</w:t>
      </w:r>
    </w:p>
    <w:p w14:paraId="09C46B0F" w14:textId="77777777" w:rsidR="00B70A36" w:rsidRPr="00F7488A" w:rsidRDefault="00B70A36" w:rsidP="00372CF7">
      <w:pPr>
        <w:pStyle w:val="SingleTxtG"/>
      </w:pPr>
      <w:r w:rsidRPr="00F7488A">
        <w:t>170.</w:t>
      </w:r>
      <w:r w:rsidRPr="00F7488A">
        <w:tab/>
        <w:t>El Gobierno estableció el Centro Nacional de Respuesta a la Emergencia de la COVID-19 (NaCOVERC), que es el principal organismo de lucha contra este virus. También está trabajando con el Ministerio de Salud y Saneamiento y otros ministerios, departamentos y organismos pertinentes en la aplicación de los protocolos de lucha contra la COVID-19.</w:t>
      </w:r>
    </w:p>
    <w:p w14:paraId="4F4BDCF0" w14:textId="4C2869D6" w:rsidR="00B70A36" w:rsidRPr="00F7488A" w:rsidRDefault="00680193" w:rsidP="00680193">
      <w:pPr>
        <w:pStyle w:val="H4G"/>
      </w:pPr>
      <w:r>
        <w:tab/>
      </w:r>
      <w:r w:rsidR="00B70A36">
        <w:tab/>
      </w:r>
      <w:r w:rsidR="00B70A36" w:rsidRPr="00F7488A">
        <w:t>La creación de las condiciones que aseguren a todos la asistencia médica y</w:t>
      </w:r>
      <w:r>
        <w:t> </w:t>
      </w:r>
      <w:r w:rsidR="00B70A36" w:rsidRPr="00F7488A">
        <w:t>los</w:t>
      </w:r>
      <w:r>
        <w:t> </w:t>
      </w:r>
      <w:r w:rsidR="00B70A36" w:rsidRPr="00F7488A">
        <w:t>servicios</w:t>
      </w:r>
      <w:r>
        <w:t> </w:t>
      </w:r>
      <w:r w:rsidR="00B70A36" w:rsidRPr="00F7488A">
        <w:t>médicos en caso de enfermedad</w:t>
      </w:r>
    </w:p>
    <w:p w14:paraId="2C67CFC3" w14:textId="3875B050" w:rsidR="00B70A36" w:rsidRPr="00F7488A" w:rsidRDefault="00B70A36" w:rsidP="00372CF7">
      <w:pPr>
        <w:pStyle w:val="SingleTxtG"/>
      </w:pPr>
      <w:r w:rsidRPr="00F7488A">
        <w:t>171.</w:t>
      </w:r>
      <w:r w:rsidRPr="00F7488A">
        <w:tab/>
        <w:t xml:space="preserve">Construcción de laboratorios en los hospitales de distrito. Adquisición de material de laboratorio. Puesta en marcha del sistema del Seguro Social de Salud en Sierra Leona para ofrecer la cobertura sanitaria universal en todo el país. La Iniciativa de Atención Sanitaria Gratuita ofrece servicios de salud maternoinfantil gratuitos a las mujeres embarazadas, las madres lactantes y los niños menores de 5 años. Además, desde 2010 se prestan servicios gratuitos de pruebas y tratamiento de la malaria para toda la población. Este sistema ha ampliado sus beneficiarios a las personas con discapacidad física y los supervivientes del Ébola, y muy pronto lo hará también a los niños escolarizados (Salud Escolar). Se va a promulgar una nueva </w:t>
      </w:r>
      <w:r w:rsidR="00F64DD4" w:rsidRPr="00F7488A">
        <w:t xml:space="preserve">ley de salud pública </w:t>
      </w:r>
      <w:r w:rsidRPr="00F7488A">
        <w:t>en sustitución de la Ordenanza de Salud Pública de 1960. Se va a reforzar el Sistema de Información sobre la Gestión Sanitaria</w:t>
      </w:r>
      <w:r w:rsidR="00111D2C">
        <w:t xml:space="preserve"> </w:t>
      </w:r>
      <w:r w:rsidRPr="00F7488A">
        <w:t>para apoyar la toma de decisiones informadas proporcionando datos de calidad en todo momento. Se va a aumentar la vacunación de los niños (12</w:t>
      </w:r>
      <w:r w:rsidR="00F64DD4">
        <w:t xml:space="preserve"> a </w:t>
      </w:r>
      <w:r w:rsidRPr="00F7488A">
        <w:t>23 meses) contra las enfermedades prevenibles</w:t>
      </w:r>
      <w:r w:rsidR="00F64DD4">
        <w:t> </w:t>
      </w:r>
      <w:r w:rsidRPr="00F7488A">
        <w:t>mediante vacunación (tuberculosis, difteria, tosferina, tétanos, poliomielitis y sarampión). En</w:t>
      </w:r>
      <w:r w:rsidR="00893AAF">
        <w:t xml:space="preserve"> </w:t>
      </w:r>
      <w:r w:rsidRPr="00F7488A">
        <w:t>2023 se prevé reducir la tasa global de fecundidad de las mujeres en edad fértil (15</w:t>
      </w:r>
      <w:r w:rsidR="00F64DD4">
        <w:t xml:space="preserve"> a </w:t>
      </w:r>
      <w:r w:rsidRPr="00F7488A">
        <w:t>49 años) de 4,1 en 2017 a 3,5 en 2023. Se pretenden reducir los embarazos en la adolescencia del 28</w:t>
      </w:r>
      <w:r w:rsidR="00893AAF">
        <w:t xml:space="preserve"> </w:t>
      </w:r>
      <w:r w:rsidRPr="00F7488A">
        <w:t>% en 2013 al 10</w:t>
      </w:r>
      <w:r w:rsidR="00893AAF">
        <w:t xml:space="preserve"> </w:t>
      </w:r>
      <w:r w:rsidRPr="00F7488A">
        <w:t>% en 2023. Está previsto que el Gobierno suministre medicamentos mediante sistemas de recuperación de costos para atender las necesidades de toda la población del país. Estos medicamentos servirán eficazmente a la nación si se asegura una garantía de calidad</w:t>
      </w:r>
      <w:r w:rsidRPr="00F7488A">
        <w:rPr>
          <w:rStyle w:val="Refdenotaalpie"/>
        </w:rPr>
        <w:footnoteReference w:id="54"/>
      </w:r>
      <w:r w:rsidRPr="00F7488A">
        <w:t>.</w:t>
      </w:r>
      <w:r w:rsidR="00111D2C">
        <w:t xml:space="preserve"> </w:t>
      </w:r>
      <w:r w:rsidRPr="00F7488A">
        <w:t>El Gobierno ha logrado grandes mejoras en el empleo de médicos y enfermeras en el sistema sanitario. Algunas de estas enfermeras trabajaban como voluntarias sin número personal de colegiación (código pin), lo que explica que la mayoría de ellas no se comprometiera plenamente con su trabajo, a diferencia de las que sí tenían número de colegiación. De 2018 a 2020, el Gobierno empleó a 4.000 trabajadores sanitarios y seguirá empleando a 3.000</w:t>
      </w:r>
      <w:r w:rsidR="00680193">
        <w:t> </w:t>
      </w:r>
      <w:r w:rsidRPr="00F7488A">
        <w:t>enfermeros y trabajadores esenciales.</w:t>
      </w:r>
    </w:p>
    <w:p w14:paraId="259A26E3" w14:textId="22D75C2A" w:rsidR="00B70A36" w:rsidRPr="00F7488A" w:rsidRDefault="00680193" w:rsidP="00680193">
      <w:pPr>
        <w:pStyle w:val="H4G"/>
      </w:pPr>
      <w:r>
        <w:tab/>
      </w:r>
      <w:r w:rsidR="00B70A36">
        <w:tab/>
      </w:r>
      <w:r w:rsidR="00B70A36" w:rsidRPr="00F7488A">
        <w:t>Asignación presupuestaria</w:t>
      </w:r>
    </w:p>
    <w:p w14:paraId="25D28B0A" w14:textId="77777777" w:rsidR="00B70A36" w:rsidRPr="00F7488A" w:rsidRDefault="00B70A36" w:rsidP="00372CF7">
      <w:pPr>
        <w:pStyle w:val="SingleTxtG"/>
      </w:pPr>
      <w:r w:rsidRPr="00F7488A">
        <w:t>172.</w:t>
      </w:r>
      <w:r w:rsidRPr="00F7488A">
        <w:tab/>
        <w:t>Sierra Leona ha seguido aumentando la asignación presupuestaria del Gobierno destinada a la atención sanitaria en cumplimiento de la Declaración de Abuya para que los países africanos destinen a la atención de la salud un 15 % del presupuesto nacional. Se ha realizado un aumento progresivo del presupuesto nacional para la sanidad, que ha pasado del 7,4 % en 2012 al 11 % en 2020.</w:t>
      </w:r>
    </w:p>
    <w:p w14:paraId="192CB76E" w14:textId="3AF76F3B" w:rsidR="00B70A36" w:rsidRPr="00F7488A" w:rsidRDefault="00680193" w:rsidP="00680193">
      <w:pPr>
        <w:pStyle w:val="H4G"/>
      </w:pPr>
      <w:r>
        <w:tab/>
      </w:r>
      <w:r w:rsidR="00B70A36">
        <w:tab/>
      </w:r>
      <w:r w:rsidR="00B70A36" w:rsidRPr="00F7488A">
        <w:t>Educación para la salud</w:t>
      </w:r>
    </w:p>
    <w:p w14:paraId="6385C4A9" w14:textId="77777777" w:rsidR="00B70A36" w:rsidRPr="00F7488A" w:rsidRDefault="00B70A36" w:rsidP="00372CF7">
      <w:pPr>
        <w:pStyle w:val="SingleTxtG"/>
      </w:pPr>
      <w:r w:rsidRPr="00F7488A">
        <w:t>173.</w:t>
      </w:r>
      <w:r w:rsidRPr="00F7488A">
        <w:tab/>
        <w:t>La División de Educación para la Salud es uno de los Programas Técnicos dependientes de la Dirección de Atención Primaria del Ministerio de Salud y Saneamiento. Se encarga de impartir formación sobre la educación para la salud y la promoción de la salud para cambiar comportamientos. La educación para la salud proporciona mucha información sobre las prestaciones sanitarias, y esto ha adquirido cierta importancia con el nivel de interacción en la lucha contra los diferentes brotes de epidemias y de otra índole. Sierra Leona está mejorando en todos los retos mencionados y mejorará las condiciones de su población para que disfrute del más alto nivel posible de salud física y mental.</w:t>
      </w:r>
    </w:p>
    <w:p w14:paraId="1DD66F19" w14:textId="2B1779F2" w:rsidR="00B70A36" w:rsidRPr="00F7488A" w:rsidRDefault="00680193" w:rsidP="00680193">
      <w:pPr>
        <w:pStyle w:val="H23G"/>
      </w:pPr>
      <w:r>
        <w:tab/>
      </w:r>
      <w:r w:rsidR="00B70A36">
        <w:tab/>
      </w:r>
      <w:r w:rsidR="00B70A36" w:rsidRPr="00F7488A">
        <w:t>Artículo 13</w:t>
      </w:r>
      <w:r w:rsidR="00006E48">
        <w:br/>
      </w:r>
      <w:r w:rsidR="00B70A36" w:rsidRPr="00F7488A">
        <w:t>Derecho a la educación</w:t>
      </w:r>
      <w:bookmarkStart w:id="18" w:name="_Toc133854439"/>
      <w:bookmarkEnd w:id="18"/>
    </w:p>
    <w:p w14:paraId="4670D48B" w14:textId="27323D48" w:rsidR="00B70A36" w:rsidRPr="00F7488A" w:rsidRDefault="00B70A36" w:rsidP="00372CF7">
      <w:pPr>
        <w:pStyle w:val="SingleTxtG"/>
      </w:pPr>
      <w:r w:rsidRPr="00F7488A">
        <w:t>174.</w:t>
      </w:r>
      <w:r w:rsidRPr="00F7488A">
        <w:tab/>
        <w:t xml:space="preserve">El Presidente, en su Agenda de Nueva Dirección de Gobierno, identifica la educación como su programa insignia para desarrollar el capital humano del país. Esta es la razón principal por la que el Plan Nacional de Desarrollo a Medio Plazo 2019-2023 se denomina </w:t>
      </w:r>
      <w:r w:rsidR="00433C77">
        <w:t>“</w:t>
      </w:r>
      <w:r w:rsidRPr="00F7488A">
        <w:t>Educación para el Desarrollo</w:t>
      </w:r>
      <w:r w:rsidR="00433C77">
        <w:t>”</w:t>
      </w:r>
      <w:r w:rsidRPr="00F7488A">
        <w:t>. En el Plan se identifican los objetivos principales: para 2023, implantar la educación básica y secundaria superior gratuita y de calidad mediante el aumento de las tasas de acceso, la equidad y la finalización en todos los niveles de escolarización (formal y no formal) por encima de la tasa de 2018. La nueva dirección de Gobierno reconoce la importancia de la educación para el desarrollo nacional y, por ello, asignó casi una cuarta parte del 22 % del presupuesto nacional a la educación en Sierra Leona. El Gobierno ha tomado algunas medidas relativas a la provisión y gestión de la educación para intensificar y fortalecer las iniciativas de mejora educativa en todos los niveles del sistema educativo, desde el ciclo inicial hasta el nivel terciario. Tras las elecciones de 2018, la nueva administración dividió el Ministerio de Educación en dos: el Ministerio de Educación Básica y Secundaria Superior, que es el responsable de supervisar la educación preescolar, primaria y secundaria, y</w:t>
      </w:r>
      <w:r w:rsidR="00111D2C">
        <w:t xml:space="preserve"> </w:t>
      </w:r>
      <w:r w:rsidRPr="00F7488A">
        <w:t>el Ministerio de Educación Técnica y Superior, que es el responsable de la educación técnica y terciaria.</w:t>
      </w:r>
    </w:p>
    <w:p w14:paraId="7196B6C1" w14:textId="1BD87A37" w:rsidR="00B70A36" w:rsidRPr="00F7488A" w:rsidRDefault="00680193" w:rsidP="00680193">
      <w:pPr>
        <w:pStyle w:val="H4G"/>
      </w:pPr>
      <w:r>
        <w:tab/>
      </w:r>
      <w:r w:rsidR="00B70A36">
        <w:tab/>
      </w:r>
      <w:r w:rsidR="00B70A36" w:rsidRPr="00F7488A">
        <w:t>Ley de Administración Local de 2004, parte V, artículo 20, párrafo k), apartado i), tercer</w:t>
      </w:r>
      <w:r>
        <w:t> </w:t>
      </w:r>
      <w:r w:rsidR="00B70A36" w:rsidRPr="00F7488A">
        <w:t>anexo</w:t>
      </w:r>
    </w:p>
    <w:p w14:paraId="3DEDF749" w14:textId="2CF106E1" w:rsidR="00B70A36" w:rsidRPr="00F7488A" w:rsidRDefault="00B70A36" w:rsidP="00372CF7">
      <w:pPr>
        <w:pStyle w:val="SingleTxtG"/>
      </w:pPr>
      <w:r w:rsidRPr="00F7488A">
        <w:t>175.</w:t>
      </w:r>
      <w:r w:rsidRPr="00F7488A">
        <w:tab/>
        <w:t>Prevé la transferencia de las responsabilidades de gestión y supervisión de la educación básica del gobierno central al gobierno local (Marco Curricular Nacional y Directrices para la Educación Básica)</w:t>
      </w:r>
      <w:r w:rsidR="00F64DD4">
        <w:t>.</w:t>
      </w:r>
      <w:r w:rsidRPr="00F7488A">
        <w:t xml:space="preserve"> El Libro Blanco sobre la Educación de 2010: </w:t>
      </w:r>
      <w:r w:rsidR="00F64DD4">
        <w:t>p</w:t>
      </w:r>
      <w:r w:rsidRPr="00F7488A">
        <w:t xml:space="preserve">revé la reducción del número de alumnos por clase; los contratos por resultados para los directores de los centros de enseñanza; y los servicios de biblioteca en todas las escuelas. La Política Nacional de Educación de 2010: </w:t>
      </w:r>
      <w:r w:rsidR="00F64DD4">
        <w:t>a</w:t>
      </w:r>
      <w:r w:rsidRPr="00F7488A">
        <w:t xml:space="preserve">firma que el objetivo de la educación es </w:t>
      </w:r>
      <w:r w:rsidR="00433C77">
        <w:t>“</w:t>
      </w:r>
      <w:r w:rsidRPr="00F7488A">
        <w:t>formar ciudadanos que puedan contribuir a construir una nación cohesionada, sana y fuerte, con una economía sostenible y dinámica; una sociedad libre, justa y amante de la paz; una sociedad democrática y armoniosa; y una sociedad moral y disciplinada</w:t>
      </w:r>
      <w:r w:rsidR="00433C77">
        <w:t>”</w:t>
      </w:r>
      <w:r w:rsidRPr="00F7488A">
        <w:t xml:space="preserve">. La Ley de la Comisión del Servicio Docente de 2011 establece la transferencia de la responsabilidad de los docentes del Ministerio a una Comisión del Servicio Docente semiautónoma, que tiene el mandato de </w:t>
      </w:r>
      <w:r w:rsidR="00433C77">
        <w:t>“</w:t>
      </w:r>
      <w:r w:rsidRPr="00F7488A">
        <w:t>gestionar los asuntos de los docentes para mejorar su situación profesional y bienestar económico, y otros asuntos relacionados</w:t>
      </w:r>
      <w:r w:rsidR="00433C77">
        <w:t>”</w:t>
      </w:r>
      <w:r w:rsidRPr="00F7488A">
        <w:t xml:space="preserve">. </w:t>
      </w:r>
    </w:p>
    <w:p w14:paraId="6D347805" w14:textId="5A176250" w:rsidR="00B70A36" w:rsidRPr="00F7488A" w:rsidRDefault="00680193" w:rsidP="00680193">
      <w:pPr>
        <w:pStyle w:val="H4G"/>
      </w:pPr>
      <w:r>
        <w:tab/>
      </w:r>
      <w:r w:rsidR="00B70A36">
        <w:tab/>
      </w:r>
      <w:r w:rsidR="00B70A36" w:rsidRPr="00F7488A">
        <w:t>Instrumentos jurídicos y políticos pertinentes que regulan la educación</w:t>
      </w:r>
      <w:r>
        <w:br/>
      </w:r>
      <w:r w:rsidR="00B70A36" w:rsidRPr="00F7488A">
        <w:t>en Sierra Leona</w:t>
      </w:r>
    </w:p>
    <w:p w14:paraId="10ED431E" w14:textId="77777777" w:rsidR="00B70A36" w:rsidRPr="00F7488A" w:rsidRDefault="00B70A36" w:rsidP="00372CF7">
      <w:pPr>
        <w:pStyle w:val="SingleTxtG"/>
      </w:pPr>
      <w:bookmarkStart w:id="19" w:name="_3znysh7" w:colFirst="0" w:colLast="0"/>
      <w:bookmarkEnd w:id="19"/>
      <w:r w:rsidRPr="00F7488A">
        <w:t>176.</w:t>
      </w:r>
      <w:r w:rsidRPr="00F7488A">
        <w:tab/>
        <w:t>La Constitución de 1991, en el capítulo 2, artículo 9, párrafos 1 y 2, identifica la educación como instrumento para el desarrollo nacional. Compromete al Gobierno con la igualdad de derechos y la provisión de oportunidades educativas para todos los ciudadanos en todos los niveles (primaria, secundaria, formación profesional, institutos y universidades). Más concretamente, establece que el Gobierno debe desarrollar políticas que ofrezcan la educación básica gratuita y obligatoria en los niveles de primaria y secundaria inferior, siempre y cuando sea posible (Marco Curricular Nacional y Directrices para la Educación Básica). La Ley de Educación de Sierra Leona de 2004. Educación obligatoria, parte II, artículo 3, párrafo 2: Todo ciudadano de Sierra Leona tendrá derecho a la educación básica que, por lo tanto, será obligatoria y estará destinada a:</w:t>
      </w:r>
    </w:p>
    <w:p w14:paraId="79348D91" w14:textId="6F70C509" w:rsidR="00B70A36" w:rsidRPr="00F7488A" w:rsidRDefault="00B70A36" w:rsidP="00680193">
      <w:pPr>
        <w:pStyle w:val="Bullet1G"/>
      </w:pPr>
      <w:r w:rsidRPr="00F7488A">
        <w:t>Facilitar que todos los ciudadanos aprendan a leer, escribir y contar y ayudarles a cultivar los conocimientos, las habilidades y las actitudes que les permitan ganarse bien la vida</w:t>
      </w:r>
      <w:r w:rsidR="00680193">
        <w:t>.</w:t>
      </w:r>
    </w:p>
    <w:p w14:paraId="7027F24D" w14:textId="77777777" w:rsidR="00B70A36" w:rsidRPr="00F7488A" w:rsidRDefault="00B70A36" w:rsidP="00680193">
      <w:pPr>
        <w:pStyle w:val="Bullet1G"/>
      </w:pPr>
      <w:r w:rsidRPr="00F7488A">
        <w:t>Mejorar las circunstancias sociales y de salud de los ciudadanos.</w:t>
      </w:r>
    </w:p>
    <w:p w14:paraId="47877347" w14:textId="17177B45" w:rsidR="00B70A36" w:rsidRPr="00F7488A" w:rsidRDefault="00B70A36" w:rsidP="00372CF7">
      <w:pPr>
        <w:pStyle w:val="SingleTxtG"/>
      </w:pPr>
      <w:bookmarkStart w:id="20" w:name="_tyjcwt" w:colFirst="0" w:colLast="0"/>
      <w:bookmarkEnd w:id="20"/>
      <w:r w:rsidRPr="00F7488A">
        <w:t>177.</w:t>
      </w:r>
      <w:r w:rsidRPr="00F7488A">
        <w:tab/>
        <w:t xml:space="preserve">Inculcar el patriotismo para que el ciudadano comprenda las complejidades y oportunidades del mundo moderno. Penas para los padres, parte II, artículo 3, párrafo 4: El padre o tutor que no envíe a su hijo a la escuela para que reciba la educación básica estará cometiendo un delito y podrá ser condenado a una multa de hasta 500.000 Le o a una pena de prisión de hasta un año, o a ambas cosas. Admisión de niños y niñas sin discriminación, parte II, artículo 4, párrafo 1: Esta Ley y cualquier otra promulgación o instrucción administrativa relativa a la educación se administrarán e interpretarán de tal manera que se garantice que no existe discriminación entre alumnos o estudiantes en lo que respecta a su admisión y trato en cualquier institución educativa de Sierra Leona, pero nada de lo dispuesto en este artículo se considerará prohibitivo o restrictivo. Parte II, artículo 4, párrafo 2: A los efectos del presente artículo, se entiende por </w:t>
      </w:r>
      <w:r w:rsidR="00433C77">
        <w:t>“</w:t>
      </w:r>
      <w:r w:rsidRPr="00F7488A">
        <w:t>discriminación</w:t>
      </w:r>
      <w:r w:rsidR="00433C77">
        <w:t>”</w:t>
      </w:r>
      <w:r w:rsidRPr="00F7488A">
        <w:t xml:space="preserve"> toda distinción, exclusión, limitación o preferencia fundada en la raza, el color, el sexo, la discapacidad, el idioma, la religión, la opinión política, el origen nacional o social, la posición económica o el nacimiento, que tenga por finalidad o como efecto menoscabar la igualdad de trato en la educación a cualquier nivel. La Ley de Derechos del Niño de 2007: Hace que los derechos a la educación sean vinculantes en las leyes de Sierra Leona para dar cumplimiento a los compromisos relacionados con la Convención de las Naciones Unidas sobre los Derechos del Niño y la Carta Africana sobre los Derechos y el Bienestar del Niño.</w:t>
      </w:r>
    </w:p>
    <w:p w14:paraId="325E35A6" w14:textId="5443DB69" w:rsidR="00B70A36" w:rsidRPr="00F7488A" w:rsidRDefault="00680193" w:rsidP="00680193">
      <w:pPr>
        <w:pStyle w:val="H4G"/>
      </w:pPr>
      <w:r>
        <w:tab/>
      </w:r>
      <w:r w:rsidR="00B70A36">
        <w:tab/>
      </w:r>
      <w:r w:rsidR="00B70A36" w:rsidRPr="00F7488A">
        <w:t>Programas educativos</w:t>
      </w:r>
    </w:p>
    <w:p w14:paraId="633CE663" w14:textId="74488830" w:rsidR="00B70A36" w:rsidRPr="00F7488A" w:rsidRDefault="00680193" w:rsidP="00680193">
      <w:pPr>
        <w:pStyle w:val="H56G"/>
      </w:pPr>
      <w:bookmarkStart w:id="21" w:name="_3dy6vkm" w:colFirst="0" w:colLast="0"/>
      <w:bookmarkEnd w:id="21"/>
      <w:r>
        <w:tab/>
      </w:r>
      <w:r w:rsidR="00B70A36">
        <w:tab/>
      </w:r>
      <w:r w:rsidR="00B70A36" w:rsidRPr="00F7488A">
        <w:t>Educación Escolar Gratuita de Calidad</w:t>
      </w:r>
    </w:p>
    <w:p w14:paraId="325F4FF0" w14:textId="615B64A9" w:rsidR="00B70A36" w:rsidRPr="00F7488A" w:rsidRDefault="00B70A36" w:rsidP="00372CF7">
      <w:pPr>
        <w:pStyle w:val="SingleTxtG"/>
      </w:pPr>
      <w:r w:rsidRPr="00F7488A">
        <w:t>178.</w:t>
      </w:r>
      <w:r w:rsidRPr="00F7488A">
        <w:tab/>
        <w:t>El 20 de agosto de 2018, el Presidente de Sierra Leona inauguró el programa de Educación Escolar Gratuita de Calidad, que es el programa insignia de su nueva dirección de gobierno. El Presidente creó la Secretaría de la Educación Escolar Gratuita de Calidad para aplicar el programa de manera satisfactoria. El programa comenzó en septiembre de 2018, al principio del curso escolar 2018/19, y tiene por objeto eliminar los obstáculos económicos para asistir a la escuela, garantizando al mismo tiempo que los alumnos aprendan bajo la supervisión de profesores formados y cualificados, con las instalaciones y el equipamiento adecuados. El Gobierno ofrece subvenciones en bloque por alumno a todas las escuelas públicas y concertadas, y exige que las escuelas no cobren cuotas. Se supone que las subvenciones en bloque sustituyen a las cuotas escolares y cubren los gastos corrientes como los salarios del personal no docente, el pago del mantenimiento de las instalaciones y los materiales básicos. El Gobierno también proporciona material educativo a las escuelas directamente, en particular libros de texto para las asignaturas troncales, y materiales para estudiantes y profesores, y cubrirá las tasas de examen.</w:t>
      </w:r>
    </w:p>
    <w:p w14:paraId="0D8A7A37" w14:textId="10AEBB97" w:rsidR="00B70A36" w:rsidRPr="00F7488A" w:rsidRDefault="00B70A36" w:rsidP="00372CF7">
      <w:pPr>
        <w:pStyle w:val="SingleTxtG"/>
        <w:rPr>
          <w:vertAlign w:val="superscript"/>
        </w:rPr>
      </w:pPr>
      <w:r w:rsidRPr="00F7488A">
        <w:t>179.</w:t>
      </w:r>
      <w:r w:rsidRPr="00F7488A">
        <w:tab/>
        <w:t>El Gobierno ha adquirido y distribuido libros de texto para las cuatro asignaturas troncales de inglés, matemáticas, estudios sociales y ciencias integradas entre todas las escuelas de primaria públicas y concertadas, y de lengua inglesa y matemáticas entre las escuelas de enseñanza secundaria básica y superior. El Gobierno ha proporcionado 12</w:t>
      </w:r>
      <w:r w:rsidR="00680193">
        <w:t> </w:t>
      </w:r>
      <w:r w:rsidRPr="00F7488A">
        <w:t xml:space="preserve">millones de libros de ejercicios y 4.334 artículos variados de material de enseñanza y aprendizaje (bolígrafos, lápices, tizas, registros de asistencia, equipamiento deportivo, etc.) a las escuelas públicas y concertadas de todos los niveles. El Gobierno adquirió mobiliario escolar por valor de 3.000 millones </w:t>
      </w:r>
      <w:r w:rsidR="00893AAF">
        <w:t xml:space="preserve">de leones </w:t>
      </w:r>
      <w:r w:rsidRPr="00F7488A">
        <w:t xml:space="preserve">para hacer frente al aumento de la matriculación escolar. El Gobierno ha gastado 69.000 millones de leones en alimentación escolar para las zonas rurales y pobres del país. Aumento de las ayudas escolares: l Gobierno ha aumentado las ayudas escolares de más de 89.000 millones </w:t>
      </w:r>
      <w:r w:rsidR="00893AAF">
        <w:t xml:space="preserve">de leones </w:t>
      </w:r>
      <w:r w:rsidRPr="00F7488A">
        <w:t>en el curso 2018/19 a 103.000</w:t>
      </w:r>
      <w:r w:rsidR="00893AAF">
        <w:t> </w:t>
      </w:r>
      <w:r w:rsidRPr="00F7488A">
        <w:t xml:space="preserve">millones </w:t>
      </w:r>
      <w:r w:rsidR="00893AAF">
        <w:t xml:space="preserve">de leones </w:t>
      </w:r>
      <w:r w:rsidRPr="00F7488A">
        <w:t xml:space="preserve">en el curso 2019/20. Recientemente, el Gobierno ha pagado más de 51.000 millones </w:t>
      </w:r>
      <w:r w:rsidR="00A10106">
        <w:t xml:space="preserve">de leones </w:t>
      </w:r>
      <w:r w:rsidRPr="00F7488A">
        <w:t>a 6.965</w:t>
      </w:r>
      <w:r w:rsidR="00680193">
        <w:t> </w:t>
      </w:r>
      <w:r w:rsidRPr="00F7488A">
        <w:t>centros de educación preescolar, secundaria básica y secundaria superior, con la matriculación de 2.139.562 alumnos en concepto de subvención para el primer segundo período académico del curso escolar 2020/20</w:t>
      </w:r>
      <w:r w:rsidRPr="00F7488A">
        <w:rPr>
          <w:rStyle w:val="Refdenotaalpie"/>
        </w:rPr>
        <w:footnoteReference w:id="55"/>
      </w:r>
      <w:r w:rsidRPr="00F7488A">
        <w:t>. También ha eliminado gradualmente la escolarización en doble turno y ha pasado del sistema educativo 6-3-4-4 al 6-3-3-4. El Gobierno ha aprobado el concierto con 3.044 escuelas en todo el país. Se ha contratado a 5.000 nuevos profesores cualificados en las escuelas a través de la Comisión del Servicio Docente. Se ha mejorado la Educación Gratuita de Calidad durante la pandemia de COVID</w:t>
      </w:r>
      <w:r w:rsidR="00680193">
        <w:noBreakHyphen/>
      </w:r>
      <w:r w:rsidRPr="00F7488A">
        <w:t>19, se han proporcionado cubos y receptores a las escuelas públicas y concertadas de todos los niveles y dos mascarillas para cada alumno en las aulas habilitadas para los exámenes públicos. Se ha aumentado la matriculación escolar gracias a la introducción de la Educación Gratuita de Calidad. De los 2.654.306 alumnos que se matricularon en 2019, 2.200.000 se beneficiaron del programa de Educación Escolar Gratuita de Calidad</w:t>
      </w:r>
      <w:r w:rsidRPr="00F7488A">
        <w:rPr>
          <w:rStyle w:val="Refdenotaalpie"/>
        </w:rPr>
        <w:footnoteReference w:id="56"/>
      </w:r>
      <w:r w:rsidRPr="00F7488A">
        <w:t>.</w:t>
      </w:r>
    </w:p>
    <w:p w14:paraId="147F4329" w14:textId="77777777" w:rsidR="00B70A36" w:rsidRPr="00F7488A" w:rsidRDefault="00B70A36" w:rsidP="00372CF7">
      <w:pPr>
        <w:pStyle w:val="SingleTxtG"/>
      </w:pPr>
      <w:r w:rsidRPr="00F7488A">
        <w:t>180.</w:t>
      </w:r>
      <w:r w:rsidRPr="00F7488A">
        <w:tab/>
        <w:t>Sin embargo, a pesar de la introducción de la Educación Escolar Gratuita de Calidad, según la Encuesta Integrada de Hogares de Sierra Leona, existe un porcentaje alarmante de abandono escolar en todos los distritos, que oscila entre el 20,9 % en el distrito de Falaba y el 39,3 % en el distrito de Oeste Rural, lo que es motivo de preocupación para todas las partes interesadas del ámbito educativo. En el censo escolar anual de 2019, a pesar del aumento de alumnos entre 2018 y 2019, se observa un descenso significativo de alumnos entre la clase 1 y la clase 2. Entre 2018 y 2019, se ha constatado una caída gradual en el número de alumnos en todo el sistema después de la clase 1, lo que se atribuye a que la mayoría de los alumnos que comenzaron la escolarización en la clase 1, deberían haberlo hecho en el ciclo de preescolar. En 2019, los datos del censo escolar anual indican que hubo una tasa de abandono escolar de la clase 6 a la enseñanza secundaria básica 1, y la tasa de abandono de las niñas para el mismo año fue del 7,8 % en comparación con el 2,5 % de los niños. La tasa de abandono escolar de las niñas de la enseñanza secundaria básica 3 a la enseñanza secundaria superior 1 fue del 8,8 %, frente al 5,7 % de los niños.</w:t>
      </w:r>
    </w:p>
    <w:p w14:paraId="714031B1" w14:textId="72ECB60F" w:rsidR="00B70A36" w:rsidRPr="00F7488A" w:rsidRDefault="00680193" w:rsidP="00680193">
      <w:pPr>
        <w:pStyle w:val="H4G"/>
      </w:pPr>
      <w:r>
        <w:tab/>
      </w:r>
      <w:r w:rsidR="00B70A36">
        <w:tab/>
      </w:r>
      <w:r w:rsidR="00B70A36" w:rsidRPr="00F7488A">
        <w:t xml:space="preserve">Medidas de apoyo a la </w:t>
      </w:r>
      <w:r w:rsidR="00995C91" w:rsidRPr="00F7488A">
        <w:t>educación gratuita de calidad</w:t>
      </w:r>
    </w:p>
    <w:p w14:paraId="46BF3D2D" w14:textId="77A34DFE" w:rsidR="00B70A36" w:rsidRPr="00F7488A" w:rsidRDefault="00B70A36" w:rsidP="00372CF7">
      <w:pPr>
        <w:pStyle w:val="SingleTxtG"/>
      </w:pPr>
      <w:bookmarkStart w:id="22" w:name="_1t3h5sf" w:colFirst="0" w:colLast="0"/>
      <w:bookmarkEnd w:id="22"/>
      <w:r w:rsidRPr="00F7488A">
        <w:t>181.</w:t>
      </w:r>
      <w:r w:rsidRPr="00F7488A">
        <w:tab/>
        <w:t xml:space="preserve">Existen programas de formación a distancia para profesores cuyo objetivo es mejorar la calidad del promedio de alumnos por profesor en las escuelas. Estos programas están diseñados para que los profesores de las zonas rurales puedan actualizarse mientras que están en el aula al no poder asistir a la universidad normal/regular. Programas de autobuses escolares: </w:t>
      </w:r>
      <w:r w:rsidR="008E4B96">
        <w:t>c</w:t>
      </w:r>
      <w:r w:rsidRPr="00F7488A">
        <w:t xml:space="preserve">omo complemento al programa de Educación Escolar Gratuita de Calidad, el Gobierno también ha introducido con éxito un sistema nacional de autobuses escolares mediante la compra de 50 autobuses escolares a través del Ministerio de Finanzas y del Ministerio de Transporte y Aviación, que los niños de todo el país están utilizando para llegar a la escuela y a casa con facilidad, bajo la estricta gestión de las comunidades, los consejos locales, las organizaciones juveniles y la policía. Se trata de mejorar la Educación Escolar Gratuita de Calidad para que los escolares puedan desplazarse desde y hacia sus respectivas escuelas. La Comisión del Servicio Docente: </w:t>
      </w:r>
      <w:r w:rsidR="008E4B96">
        <w:t>l</w:t>
      </w:r>
      <w:r w:rsidRPr="00F7488A">
        <w:t>a gestión del profesorado se ha transferido a la Comisión del Servicio Docente mediante la Ley de la Comisión del Servicio Docente de</w:t>
      </w:r>
      <w:r w:rsidR="00680193">
        <w:t> </w:t>
      </w:r>
      <w:r w:rsidRPr="00F7488A">
        <w:t xml:space="preserve">2011. Tiene el mandato único en materia de contratación, evaluación, traslados y promoción de profesores. La Comisión del Servicio Docente ha elaborado la Política de Despliegue de Profesores, que ha sido aprobada y ratificada por el Parlamento y define claramente las responsabilidades de la Comisión en materia de gestión del profesorado. El Programa de Alimentación Escolar: </w:t>
      </w:r>
      <w:r w:rsidR="008E4B96">
        <w:t>d</w:t>
      </w:r>
      <w:r w:rsidRPr="00F7488A">
        <w:t xml:space="preserve">esde 2008, las crisis financieras y de combustible han puesto de relieve la importancia de los programas de alimentación escolar, tanto como red de protección social para los niños que viven en la pobreza y frente a la inseguridad alimentaria, como en el marco de las políticas y planes educativos nacionales. Los programas de alimentación escolar pueden ayudar a escolarizar a los niños y mantenerlos en la escuela, mediante el aumento de las matriculaciones y la reducción del absentismo y, una vez que los niños están en la escuela, estos programas pueden contribuir a su aprendizaje, evitar el hambre y potenciar las capacidades cognitivas. </w:t>
      </w:r>
    </w:p>
    <w:p w14:paraId="319AB426" w14:textId="77777777" w:rsidR="00B70A36" w:rsidRPr="00F7488A" w:rsidRDefault="00B70A36" w:rsidP="00372CF7">
      <w:pPr>
        <w:pStyle w:val="SingleTxtG"/>
      </w:pPr>
      <w:r w:rsidRPr="00F7488A">
        <w:t>182.</w:t>
      </w:r>
      <w:r w:rsidRPr="00F7488A">
        <w:tab/>
        <w:t>La Secretaría de Educación Escolar Gratuita de Calidad gestiona el programa de alimentación escolar que tiene como objetivo: garantizar que todos los niños matriculados en educación preescolar, primaria y secundaria tengan acceso a los alimentos nutritivos necesarios para promover su asistencia y permanencia en la escuela en las comunidades seleccionadas de todas las provincias; y promover el aprendizaje, la salud, la nutrición, el crecimiento y el desarrollo de los niños. Una alimentación escolar con implicación nacional y gestionada con productos locales, como la que constituye el objeto de esta Política, atribuye una importancia considerable al aspecto multifacético de la alimentación escolar, en particular la vinculación que existe entre las actividades de la alimentación escolar y la producción y adquisición local de alimentos, que puede favorecer el desarrollo social y económico de las comunidades. En marzo de 2021, 434.671 niños de los 14 distritos (102 de las 224 jefaturas) recibían alimentación en 1.604 de las 5.333 escuelas públicas y concertadas a nivel nacional.</w:t>
      </w:r>
    </w:p>
    <w:p w14:paraId="16FDF69D" w14:textId="6402FDFC" w:rsidR="00B70A36" w:rsidRPr="00F7488A" w:rsidRDefault="00680193" w:rsidP="00680193">
      <w:pPr>
        <w:pStyle w:val="H4G"/>
      </w:pPr>
      <w:r>
        <w:tab/>
      </w:r>
      <w:r w:rsidR="00B70A36">
        <w:tab/>
      </w:r>
      <w:r w:rsidR="00B70A36" w:rsidRPr="00F7488A">
        <w:t>Medidas adoptadas para mitigar el abandono escolar</w:t>
      </w:r>
    </w:p>
    <w:p w14:paraId="27EAB296" w14:textId="04CB5184" w:rsidR="00B70A36" w:rsidRPr="00F7488A" w:rsidRDefault="00B70A36" w:rsidP="00372CF7">
      <w:pPr>
        <w:pStyle w:val="SingleTxtG"/>
      </w:pPr>
      <w:bookmarkStart w:id="23" w:name="_4d34og8" w:colFirst="0" w:colLast="0"/>
      <w:bookmarkEnd w:id="23"/>
      <w:r w:rsidRPr="00F7488A">
        <w:t>183.</w:t>
      </w:r>
      <w:r w:rsidRPr="00F7488A">
        <w:tab/>
        <w:t xml:space="preserve">La iniciativa </w:t>
      </w:r>
      <w:r w:rsidR="00433C77">
        <w:t>“</w:t>
      </w:r>
      <w:r w:rsidRPr="00F7488A">
        <w:t>No toquéis a nuestras niñas</w:t>
      </w:r>
      <w:r w:rsidR="00433C77">
        <w:t>”</w:t>
      </w:r>
      <w:r w:rsidRPr="00F7488A">
        <w:t xml:space="preserve"> fue instaurada por la Primera Dama de Sierra Leona, Fatima Bio, en 2019. El objetivo principal de la iniciativa es reducir los embarazos en la adolescencia, prevenir las violaciones de las niñas y los matrimonios infantiles precoces, y desalentar así el abandono escolar de las niñas. Para complementar la iniciativa de </w:t>
      </w:r>
      <w:r w:rsidR="00433C77">
        <w:t>“</w:t>
      </w:r>
      <w:r w:rsidRPr="00F7488A">
        <w:t>No toquéis a nuestras niñas</w:t>
      </w:r>
      <w:r w:rsidR="00433C77">
        <w:t>”</w:t>
      </w:r>
      <w:r w:rsidRPr="00F7488A">
        <w:t>, en 2020, el Presidente del Tribunal Supremo de Sierra Leona, haciendo uso de sus facultades administrativas, estableció el Tribunal Modelo de Delitos Sexuales. La iniciativa, junto con el Tribunal Modelo de Delitos Sexuales, han servido como elemento disuasorio para prevenir la explotación de las niñas menores de edad con fines sexuales.</w:t>
      </w:r>
    </w:p>
    <w:p w14:paraId="71D1FE41" w14:textId="61D69D9D" w:rsidR="00B70A36" w:rsidRPr="00F7488A" w:rsidRDefault="00680193" w:rsidP="00680193">
      <w:pPr>
        <w:pStyle w:val="H4G"/>
      </w:pPr>
      <w:r>
        <w:tab/>
      </w:r>
      <w:r w:rsidR="00B70A36">
        <w:tab/>
      </w:r>
      <w:r w:rsidR="00B70A36" w:rsidRPr="00F7488A">
        <w:t>Inclusión radical, 2020</w:t>
      </w:r>
    </w:p>
    <w:p w14:paraId="2013F4AF" w14:textId="77777777" w:rsidR="00B70A36" w:rsidRPr="00F7488A" w:rsidRDefault="00B70A36" w:rsidP="00680193">
      <w:pPr>
        <w:pStyle w:val="SingleTxtG"/>
        <w:spacing w:line="236" w:lineRule="atLeast"/>
      </w:pPr>
      <w:r w:rsidRPr="00F7488A">
        <w:t>184.</w:t>
      </w:r>
      <w:r w:rsidRPr="00F7488A">
        <w:tab/>
        <w:t>Esta política permite a las adolescentes embarazadas asistir a la escuela ordinaria. También prevé que los niños con discapacidad asistan a las clases ordinarias. La inclusión radical en la educación pretende, entre otras cosas, acabar con los matrimonios precoces, animar a los padres a que envíen a sus hijas embarazadas a la escuela y fomentar la no discriminación y la escolarización acogedora. Otras políticas están destinadas a favorecer que los padres compartan siempre con sus hijas historias de éxito de grandes mujeres. El Gobierno, a través de un programa de educación no formal, ha puesto en marcha el proyecto denominado Acceso de las Niñas a la Educación y los Servicios (GATES) destinado a las niñas que no están escolarizadas para reducir los embarazos en la adolescencia y mejorar la permanencia y la finalización de los estudios entre las niñas. También prevé incorporar la educación sobre la salud sexual y reproductiva en los programas escolares para educar a los niños y niñas sobre las consecuencias sexuales y reproductivas de los embarazos precoces.</w:t>
      </w:r>
    </w:p>
    <w:p w14:paraId="389E94CC" w14:textId="7E1915B5" w:rsidR="00B70A36" w:rsidRPr="00F7488A" w:rsidRDefault="00680193" w:rsidP="00680193">
      <w:pPr>
        <w:pStyle w:val="H4G"/>
      </w:pPr>
      <w:bookmarkStart w:id="24" w:name="_2s8eyo1" w:colFirst="0" w:colLast="0"/>
      <w:bookmarkEnd w:id="24"/>
      <w:r>
        <w:tab/>
      </w:r>
      <w:r w:rsidR="00B70A36">
        <w:tab/>
      </w:r>
      <w:r w:rsidR="00B70A36" w:rsidRPr="00F7488A">
        <w:t>Naturaleza y función de los centros de formación profesional y técnica en</w:t>
      </w:r>
      <w:r>
        <w:t> </w:t>
      </w:r>
      <w:r w:rsidR="00B70A36" w:rsidRPr="00F7488A">
        <w:t>el</w:t>
      </w:r>
      <w:r>
        <w:t> </w:t>
      </w:r>
      <w:r w:rsidR="00B70A36" w:rsidRPr="00F7488A">
        <w:t>sistema</w:t>
      </w:r>
      <w:r>
        <w:t> </w:t>
      </w:r>
      <w:r w:rsidR="00B70A36" w:rsidRPr="00F7488A">
        <w:t>educativo</w:t>
      </w:r>
    </w:p>
    <w:p w14:paraId="36BF2AEE" w14:textId="77777777" w:rsidR="00B70A36" w:rsidRPr="00680193" w:rsidRDefault="00B70A36" w:rsidP="00680193">
      <w:pPr>
        <w:pStyle w:val="SingleTxtG"/>
        <w:spacing w:line="236" w:lineRule="atLeast"/>
        <w:rPr>
          <w:spacing w:val="-1"/>
        </w:rPr>
      </w:pPr>
      <w:r w:rsidRPr="00680193">
        <w:rPr>
          <w:spacing w:val="-1"/>
        </w:rPr>
        <w:t>185.</w:t>
      </w:r>
      <w:r w:rsidRPr="00680193">
        <w:rPr>
          <w:spacing w:val="-1"/>
        </w:rPr>
        <w:tab/>
        <w:t xml:space="preserve">La Enseñanza y Formación Técnica Profesional (EFTP) es un sistema estructurado destinado a proporcionar a los estudiantes/aprendices las competencias y los conocimientos necesarios para continuar sus estudios en el nivel de educación terciaria o ejercer una profesión para conseguir un empleo y ser autosuficientes. La educación técnica hace más hincapié en lo teórico, mientras que la formación profesional es un sistema estructurado cuyo objetivo es proporcionar a los estudiantes/aprendices las competencias y los conocimientos necesarios para el empleo y la autosuficiencia. Es una formación a la vez inicial y continua. Los objetivos de la creación de la EFTP son cubrir las necesidades de mano de obra técnica y profesional en Sierra Leona aumentando sustancialmente el número de trabajadores autóctonos cualificados de nivel medio-bajo; producir una mano de obra técnica y profesional de nivel medio-bajo más alfabetizada, con más conocimientos de aritmética y más emprendedora, y acelerar así el desarrollo nacional; animar a las mujeres y las niñas a participar en el desarrollo nacional mediante la adquisición de conocimientos técnicos y profesionales; corregir el actual desequilibrio geográfico en la distribución de los recursos técnicos y profesionales; desarrollar el aprecio y la comprensión de la creciente complejidad de la ciencia y la tecnología; crear un entorno propicio para el desarrollo de tecnología autóctona adecuada; impartir formación a instructores técnicos y profesionales, profesores y conferenciantes; y desarrollar una </w:t>
      </w:r>
      <w:r w:rsidRPr="00680193">
        <w:t>apreciación</w:t>
      </w:r>
      <w:r w:rsidRPr="00680193">
        <w:rPr>
          <w:spacing w:val="-1"/>
        </w:rPr>
        <w:t xml:space="preserve"> de los valores culturales y estéticos en el trabajo productivo. </w:t>
      </w:r>
    </w:p>
    <w:p w14:paraId="5EDEB79D" w14:textId="1B76FC56" w:rsidR="00B70A36" w:rsidRPr="00F7488A" w:rsidRDefault="00B70A36" w:rsidP="00680193">
      <w:pPr>
        <w:pStyle w:val="SingleTxtG"/>
        <w:spacing w:line="236" w:lineRule="atLeast"/>
      </w:pPr>
      <w:r w:rsidRPr="00F7488A">
        <w:t>186.</w:t>
      </w:r>
      <w:r w:rsidRPr="00F7488A">
        <w:tab/>
        <w:t xml:space="preserve">Varias políticas, leyes y planes existentes han abordado cuestiones relacionadas con la enseñanza y la formación técnica y profesional y han hecho hincapié en la autosuficiencia y la actualización para el desarrollo de la economía a través de áreas de urgente necesidad, en particular en la agricultura, la industria y el comercio. El Consejo Nacional de Títulos Técnicos y de Otro Tipo de 2001 (página 3.132): 1) </w:t>
      </w:r>
      <w:r w:rsidR="00634827">
        <w:t>s</w:t>
      </w:r>
      <w:r w:rsidRPr="00F7488A">
        <w:t xml:space="preserve">u objetivo es ofrecer servicios de validación y certificación para programas especializados y profesionales en una institución de educación terciaria. La Ley Politécnica de 2001: </w:t>
      </w:r>
      <w:r w:rsidR="00634827">
        <w:t>p</w:t>
      </w:r>
      <w:r w:rsidRPr="00F7488A">
        <w:t>revé la creación de instituciones y consejos politécnicos en el país. También prevé que un miembro del consejo de las instituciones de EFTP de Sierra Leona sea miembro de los consejos politécnicos y de las juntas académicas. En la parte IV, la Ley establece que, entre sus numerosas funciones, una institución politécnica debe otorgar diplomas y certificados a través del Consejo Nacional de Formación Técnica y Profesional (NCTVA). Ley de Educación de 2004, artículo 9, párrafo</w:t>
      </w:r>
      <w:r w:rsidR="00680193">
        <w:t> </w:t>
      </w:r>
      <w:r w:rsidRPr="00F7488A">
        <w:t xml:space="preserve">1) Definición estatal y objetivos de la formación profesional técnica; párrafo 2) Establecimiento del NCTVA y su composición; párrafo 3) Certificación y títulos de varios niveles en Institutos Técnicos y Profesionales y Escuelas Secundarias. Plan Sectorial de Educación de Sierra Leona 2007-2015 (capítulo 6, página 61): </w:t>
      </w:r>
      <w:r w:rsidR="00634827">
        <w:t>s</w:t>
      </w:r>
      <w:r w:rsidRPr="00F7488A">
        <w:t xml:space="preserve">u objetivo es aumentar y mejorar la alfabetización y la formación profesional en las instituciones de EFTP por debajo del nivel politécnico. Política Nacional de Juventud de Sierra Leona 2003, apartado 4.5: </w:t>
      </w:r>
      <w:r w:rsidR="00634827">
        <w:t>e</w:t>
      </w:r>
      <w:r w:rsidRPr="00F7488A">
        <w:t>sta Política identifica la formación profesional como una de sus áreas prioritarias. La información del Plan Sectorial de Educación 2018-2020 indica que había 380 instituciones de EFTP registradas en el Ministerio de Educación, con un total de 27.055 personas inscritas en 2019, de las cuales 9.848 (36 %) eran hombres y 71.207 (64 %) eran mujeres. Además, hay 1.718</w:t>
      </w:r>
      <w:r w:rsidR="00680193">
        <w:t> </w:t>
      </w:r>
      <w:r w:rsidRPr="00F7488A">
        <w:t>profesores, de los cuales 611 (36 %) son hombres y 1.107 (64 %) mujeres.</w:t>
      </w:r>
    </w:p>
    <w:p w14:paraId="2136E2FF" w14:textId="3E4FF3D0" w:rsidR="00B70A36" w:rsidRPr="00F7488A" w:rsidRDefault="00B70A36" w:rsidP="00680193">
      <w:pPr>
        <w:pStyle w:val="SingleTxtG"/>
        <w:spacing w:line="236" w:lineRule="atLeast"/>
        <w:rPr>
          <w:vertAlign w:val="superscript"/>
        </w:rPr>
      </w:pPr>
      <w:r w:rsidRPr="00F7488A">
        <w:t>187.</w:t>
      </w:r>
      <w:r w:rsidRPr="00F7488A">
        <w:tab/>
        <w:t>A lo largo de los años, la matriculación en la educación terciaria ha aumentado con la introducción del programa de Educación Escolar Gratuita de Calidad. La matriculación en los centros de educación terciaria aumentó a medida que los alumnos pasaban de las escuelas</w:t>
      </w:r>
      <w:r w:rsidR="00634827">
        <w:t> </w:t>
      </w:r>
      <w:r w:rsidRPr="00F7488A">
        <w:t>de educación secundaria superior a los centros de educación terciaria. La matriculación de alumnos ha aumentado gradualmente de 89.592 en 2017 a 101.817 en 2018 y 129.196</w:t>
      </w:r>
      <w:r w:rsidR="00634827">
        <w:t> </w:t>
      </w:r>
      <w:r w:rsidRPr="00F7488A">
        <w:t>en</w:t>
      </w:r>
      <w:r w:rsidR="00680193">
        <w:t> </w:t>
      </w:r>
      <w:r w:rsidRPr="00F7488A">
        <w:t>2029</w:t>
      </w:r>
      <w:r w:rsidRPr="00F7488A">
        <w:rPr>
          <w:rStyle w:val="Refdenotaalpie"/>
        </w:rPr>
        <w:footnoteReference w:id="57"/>
      </w:r>
      <w:r w:rsidRPr="00F7488A">
        <w:t>.</w:t>
      </w:r>
    </w:p>
    <w:p w14:paraId="51AF05C3" w14:textId="731D449B" w:rsidR="00B70A36" w:rsidRPr="00F7488A" w:rsidRDefault="00680193" w:rsidP="00680193">
      <w:pPr>
        <w:pStyle w:val="H23G"/>
      </w:pPr>
      <w:r>
        <w:tab/>
      </w:r>
      <w:r w:rsidR="00B70A36">
        <w:tab/>
      </w:r>
      <w:r w:rsidR="00B70A36" w:rsidRPr="00F7488A">
        <w:t>Artículo 15</w:t>
      </w:r>
      <w:r w:rsidR="00006E48">
        <w:br/>
      </w:r>
      <w:r w:rsidR="00B70A36" w:rsidRPr="00F7488A">
        <w:t>Derecho a participar en la vida cultural</w:t>
      </w:r>
      <w:bookmarkStart w:id="25" w:name="_Toc133854440"/>
      <w:bookmarkEnd w:id="25"/>
    </w:p>
    <w:p w14:paraId="427CDB5D" w14:textId="64462C0D" w:rsidR="00B70A36" w:rsidRPr="00F7488A" w:rsidRDefault="00B70A36" w:rsidP="00680193">
      <w:pPr>
        <w:pStyle w:val="SingleTxtG"/>
        <w:spacing w:line="236" w:lineRule="atLeast"/>
      </w:pPr>
      <w:r w:rsidRPr="00F7488A">
        <w:t>188.</w:t>
      </w:r>
      <w:r w:rsidRPr="00F7488A">
        <w:tab/>
        <w:t xml:space="preserve">La vida cultural forma parte del patrimonio de Sierra Leona, y el artículo 12 de la Constitución de Sierra Leona, Ley núm. 6 de 1991, prevé la </w:t>
      </w:r>
      <w:r w:rsidR="00433C77">
        <w:t>“</w:t>
      </w:r>
      <w:r w:rsidRPr="00F7488A">
        <w:t>Mejora de la cultura nacional</w:t>
      </w:r>
      <w:r w:rsidR="00433C77">
        <w:t>”</w:t>
      </w:r>
      <w:r w:rsidRPr="00F7488A">
        <w:t xml:space="preserve"> como una aspiración del Gobierno de Sierra Leona para: a) promover las culturas sierraleonesas como la música, el arte, la danza, la ciencia, la filosofía, la educación y la medicina tradicional, que es compatible con el desarrollo nacional.</w:t>
      </w:r>
    </w:p>
    <w:p w14:paraId="4AF84A3D" w14:textId="51BBCF3E" w:rsidR="00B70A36" w:rsidRPr="00F7488A" w:rsidRDefault="00B70A36" w:rsidP="00680193">
      <w:pPr>
        <w:pStyle w:val="SingleTxtG"/>
        <w:spacing w:line="236" w:lineRule="atLeast"/>
      </w:pPr>
      <w:r w:rsidRPr="00F7488A">
        <w:t>189.</w:t>
      </w:r>
      <w:r w:rsidRPr="00F7488A">
        <w:tab/>
        <w:t>En su afán por mejorar la vida cultural del pueblo, el Gobierno de Sierra Leona ha tomado medidas concretas para crear un entorno propicio con, entre otros, el Ministerio de Turismo y Asuntos Culturales, la Oficina Nacional de Turismo, la Comisión de Monumentos y Reliquias, la Compañía Nacional de Danza,</w:t>
      </w:r>
      <w:r w:rsidR="00111D2C">
        <w:t xml:space="preserve"> </w:t>
      </w:r>
      <w:r w:rsidRPr="00F7488A">
        <w:t>el Museo Nacional y el Museo Nacional del Ferrocarril de Sierra Leona. También existe una industria del entretenimiento, que incluye la música y el cine, que está en expansión, y el Gobierno de Sierra Leona trabaja asiduamente con artistas, sellos discográficos, gremios de actores y productores para regularizar su situación y dotar a la industria de una estructura que mejore su potencial económico. Tal es el interés mostrado por el Gobierno de Sierra Leona que muchos más artistas y grupos relacionados muestran gran interés por la industria musical y cinematográfica del país.</w:t>
      </w:r>
    </w:p>
    <w:p w14:paraId="3244DCA1" w14:textId="422A66EB" w:rsidR="00B70A36" w:rsidRPr="00F7488A" w:rsidRDefault="00B70A36" w:rsidP="00680193">
      <w:pPr>
        <w:pStyle w:val="SingleTxtG"/>
        <w:spacing w:line="236" w:lineRule="atLeast"/>
      </w:pPr>
      <w:r w:rsidRPr="00F7488A">
        <w:t>190.</w:t>
      </w:r>
      <w:r w:rsidRPr="00F7488A">
        <w:tab/>
        <w:t>Salvo en los momentos en los que se impusieron restricciones relacionadas con la lucha contra la epidemia de EVE</w:t>
      </w:r>
      <w:r w:rsidRPr="00F7488A">
        <w:rPr>
          <w:rStyle w:val="Refdenotaalpie"/>
        </w:rPr>
        <w:footnoteReference w:id="58"/>
      </w:r>
      <w:r w:rsidRPr="00F7488A">
        <w:t xml:space="preserve">, y ahora con la pandemia de COVID-19, el fomento de la vida cultural es una práctica habitual, en particular en las comunidades rurales, con muestras culturales, mascaradas y música cultural, además de bailes culturales. Se están haciendo esfuerzos conscientes por realzar nuestro pasado tradicional a través de la tradición oral, en la que la narración de historias y la percusión desempeñan un papel predominante. </w:t>
      </w:r>
      <w:proofErr w:type="spellStart"/>
      <w:r w:rsidRPr="00F7488A">
        <w:t>Bubu</w:t>
      </w:r>
      <w:proofErr w:type="spellEnd"/>
      <w:r w:rsidR="00634827">
        <w:t> </w:t>
      </w:r>
      <w:r w:rsidRPr="00F7488A">
        <w:t>Music, Milo Jazz y Palm Wine Music siguen dando a conocer a Sierra Leona en el mundo del espectáculo con nombres destacados como Dr. Orlor, Ebenezer Calendar, Ahmed Janka Nabay, Sir Rogie, etc., abriendo camino. La mayoría de los yacimientos culturales (en</w:t>
      </w:r>
      <w:r w:rsidR="00680193">
        <w:t> </w:t>
      </w:r>
      <w:r w:rsidRPr="00F7488A">
        <w:t xml:space="preserve">particular, los arbustos sagrados) están intactos, y el Gobierno de Sierra Leona ha aprobado brindar protección a muchos más yacimientos patrimoniales con potencial de creación de empleo bajo los auspicios del Ministerio de Turismo y Asuntos Culturales, siguiendo las orientaciones de la Comisión de Monumentos y Reliquias, institución que fue creada en 1948, tras la promulgación de la Ordenanza de Monumentos y Reliquias núm. 12 de 1946, con el mandato de </w:t>
      </w:r>
      <w:r w:rsidR="00433C77">
        <w:t>“</w:t>
      </w:r>
      <w:r w:rsidRPr="00F7488A">
        <w:t>velar por la conservación de monumentos antiguos, históricos y naturales, reliquias y otros objetos de interés arqueológico, etnográfico, histórico o científico</w:t>
      </w:r>
      <w:r w:rsidR="00433C77">
        <w:t>”</w:t>
      </w:r>
      <w:r w:rsidRPr="00F7488A">
        <w:t>.</w:t>
      </w:r>
    </w:p>
    <w:p w14:paraId="16D0D77F" w14:textId="77777777" w:rsidR="00B70A36" w:rsidRPr="00F7488A" w:rsidRDefault="00B70A36" w:rsidP="00372CF7">
      <w:pPr>
        <w:pStyle w:val="SingleTxtG"/>
      </w:pPr>
      <w:r w:rsidRPr="00F7488A">
        <w:t>191.</w:t>
      </w:r>
      <w:r w:rsidRPr="00F7488A">
        <w:tab/>
        <w:t>Las artes y la cultura siguen siendo elementos significativos de la conciencia sierraleonesa y forman parte del plan de estudios formal de los centros de enseñanza, en los que se presta especial atención a las artes creativas, prácticas e interpretativas, que dan lugar a diferentes formas artísticas en todo el país. Las actividades de pintura, tallado y tejeduría no cesan, y constituyen oficios lucrativos con un enorme potencial turístico. La mayoría de los graduados en Artes Escénicas promueven la industria cinematográfica, que está ganando adeptos entre la población joven del país. Existe un proyecto de Política Nacional de Cine para guiar el proceso al tiempo que se aprovecha el potencial de la industria. Como muestra del interés por las artes y la cultura en el país, la Oficina del Presidente incluye a un Alto Consejero Presidencial y Embajador de Patrimonio y Asuntos Culturales, cuyo titular actual</w:t>
      </w:r>
      <w:r w:rsidRPr="00F7488A">
        <w:rPr>
          <w:rStyle w:val="Refdenotaalpie"/>
        </w:rPr>
        <w:footnoteReference w:id="59"/>
      </w:r>
      <w:r w:rsidRPr="00F7488A">
        <w:t xml:space="preserve"> es un antiguo profesor de Estudios Culturales de la Universidad de Sierra Leona. Asimismo, como expresión de la voluntad política, la Oficina del Presidente ha nombrado un Embajador para el Entretenimiento y la Inversión, cargo que ocupa un joven artista</w:t>
      </w:r>
      <w:r w:rsidRPr="00F7488A">
        <w:rPr>
          <w:rStyle w:val="Refdenotaalpie"/>
        </w:rPr>
        <w:footnoteReference w:id="60"/>
      </w:r>
      <w:r w:rsidRPr="00F7488A">
        <w:t>.</w:t>
      </w:r>
    </w:p>
    <w:p w14:paraId="64E7CFCB" w14:textId="77777777" w:rsidR="00B70A36" w:rsidRPr="00F7488A" w:rsidRDefault="00B70A36" w:rsidP="00372CF7">
      <w:pPr>
        <w:pStyle w:val="SingleTxtG"/>
      </w:pPr>
      <w:r w:rsidRPr="00F7488A">
        <w:t>192.</w:t>
      </w:r>
      <w:r w:rsidRPr="00F7488A">
        <w:tab/>
        <w:t xml:space="preserve">Como consecuencia de la situación de guerra en el país entre 1991 y 2002, que provocó el cierre de cines y teatros en todo el país por motivos especialmente económicos, los teatros en la calle no dejan de aumentar, al igual que la disponibilidad de los medios de comunicación electrónicos y la red mundial a través de Internet, que crean más oportunidades para la explosión de talentos. En los últimos tiempos, a través de los compromisos de colaboración con el apoyo evidente del Gobierno de Sierra Leona, la nación ha acogido cuatro programas de telerrealidad, llamados </w:t>
      </w:r>
      <w:r w:rsidRPr="00F7488A">
        <w:rPr>
          <w:i/>
          <w:iCs/>
        </w:rPr>
        <w:t>Big Sister Salone</w:t>
      </w:r>
      <w:r w:rsidRPr="00F7488A">
        <w:t xml:space="preserve"> y </w:t>
      </w:r>
      <w:r w:rsidRPr="00F7488A">
        <w:rPr>
          <w:i/>
          <w:iCs/>
        </w:rPr>
        <w:t>Housemates Salone</w:t>
      </w:r>
      <w:r w:rsidRPr="00F7488A">
        <w:t xml:space="preserve">, que, al tiempo que muestran talentos naturales, construyen la industria del entretenimiento en el país. Cabe señalar que, además de AYV TV, de propiedad privada, que ha emitido la primera edición de </w:t>
      </w:r>
      <w:r w:rsidRPr="00F7488A">
        <w:rPr>
          <w:i/>
          <w:iCs/>
        </w:rPr>
        <w:t>Big Sister Salone</w:t>
      </w:r>
      <w:r w:rsidRPr="00F7488A">
        <w:t xml:space="preserve"> y las dos ediciones de </w:t>
      </w:r>
      <w:r w:rsidRPr="00F7488A">
        <w:rPr>
          <w:i/>
          <w:iCs/>
        </w:rPr>
        <w:t>Housemates Salone</w:t>
      </w:r>
      <w:r w:rsidRPr="00F7488A">
        <w:t xml:space="preserve">, SLBC TV, la cadena nacional, emitió la última edición del programa de telerrealidad </w:t>
      </w:r>
      <w:r w:rsidRPr="00F7488A">
        <w:rPr>
          <w:i/>
          <w:iCs/>
        </w:rPr>
        <w:t>Big Sister Salone</w:t>
      </w:r>
      <w:r w:rsidRPr="00F7488A">
        <w:t>.</w:t>
      </w:r>
    </w:p>
    <w:p w14:paraId="2C1B827A" w14:textId="77777777" w:rsidR="00B70A36" w:rsidRPr="00F7488A" w:rsidRDefault="00B70A36" w:rsidP="00372CF7">
      <w:pPr>
        <w:pStyle w:val="SingleTxtG"/>
      </w:pPr>
      <w:r w:rsidRPr="00F7488A">
        <w:t>193.</w:t>
      </w:r>
      <w:r w:rsidRPr="00F7488A">
        <w:tab/>
        <w:t>Dado que la religión de la población se considera fundamental para el disfrute de los derechos culturales, la tolerancia religiosa sigue siendo habitual en Sierra Leona, con cristianos y musulmanes conocidos que pertenecen a las mismas o a diferentes sociedades secretas, fraternales o esotéricas, y con el Gobierno de Sierra Leona que crea el entorno propicio para la tolerancia mutua. Hay que señalar que ni siquiera en el peor momento de la historia del país, los 11 años de guerra civil, hubo indicios de influencia religiosa, étnica o tribal en el conflicto. En algunos actos públicos, además del derramamiento de libaciones, se ofrecen oraciones musulmanas y cristianas como forma de invocar la presencia de Dios en tales actos públicos.</w:t>
      </w:r>
    </w:p>
    <w:p w14:paraId="36695318" w14:textId="45DFC1FD" w:rsidR="00B70A36" w:rsidRPr="00F7488A" w:rsidRDefault="00B70A36" w:rsidP="00372CF7">
      <w:pPr>
        <w:pStyle w:val="SingleTxtG"/>
      </w:pPr>
      <w:r w:rsidRPr="00F7488A">
        <w:t>194.</w:t>
      </w:r>
      <w:r w:rsidRPr="00F7488A">
        <w:tab/>
        <w:t>Ahora existen amplias oportunidades de codificar las prácticas culturales de Sierra</w:t>
      </w:r>
      <w:r w:rsidR="006B22A6">
        <w:t> </w:t>
      </w:r>
      <w:r w:rsidRPr="00F7488A">
        <w:t xml:space="preserve">Leona a través de las obras literarias con plataformas como la creada por Sierra Leone Writers Series (SLWS), una editorial generalista propiedad de un sierraleonés. La literatura de Sierra Leona y las obras de escritores sierraleoneses se enseñan ahora en los centros de enseñanza que imparten el plan nacional de estudios completo. También es una prescripción curricular enseñar las lenguas locales a lo largo y ancho de Sierra Leona, de manera que los alumnos experimenten la cultura local a través del plan de estudios formal. Sierra Leona ha promulgado una ley sobre los derechos de autor con la Ley de Derechos de Autor núm. 64 de 2011, </w:t>
      </w:r>
      <w:r w:rsidR="00433C77">
        <w:t>“</w:t>
      </w:r>
      <w:r w:rsidRPr="00F7488A">
        <w:t>que es una ley para proteger los derechos de autor en Sierra Leona y otros asuntos relacionados</w:t>
      </w:r>
      <w:r w:rsidR="00433C77">
        <w:t>”</w:t>
      </w:r>
      <w:r w:rsidRPr="00F7488A">
        <w:t>, ya que se concede a los sierraleoneses la oportunidad de beneficiarse de su propiedad intelectual.</w:t>
      </w:r>
    </w:p>
    <w:p w14:paraId="01A59238" w14:textId="77777777" w:rsidR="00B70A36" w:rsidRPr="00F7488A" w:rsidRDefault="00B70A36" w:rsidP="00372CF7">
      <w:pPr>
        <w:pStyle w:val="SingleTxtG"/>
      </w:pPr>
      <w:r w:rsidRPr="00F7488A">
        <w:t>195.</w:t>
      </w:r>
      <w:r w:rsidRPr="00F7488A">
        <w:tab/>
        <w:t>En Sierra Leona la ciencia tradicional a través de la medicina tradicional ya no es un anatema, pues ahora existe un sindicato de curanderos reconocido a nivel nacional. Las consultas a sus miembros suelen referirse a cuestiones relativas a la salud pública. Durante la lucha contra la epidemia de EVE y en la lucha actual contra la pandemia de COVID-19, sus miembros participan en las labores de prevención y reducción de la propagación, y sus dirigentes colaboran con el Gobierno de Sierra Leona en su estrategia para ganar la batalla.</w:t>
      </w:r>
    </w:p>
    <w:p w14:paraId="663F2AA3" w14:textId="61E279C7" w:rsidR="00381C24" w:rsidRDefault="00B70A36" w:rsidP="00680193">
      <w:pPr>
        <w:pStyle w:val="SingleTxtG"/>
      </w:pPr>
      <w:r w:rsidRPr="00F7488A">
        <w:t>196.</w:t>
      </w:r>
      <w:r w:rsidRPr="00F7488A">
        <w:tab/>
        <w:t>En Sierra Leona existe una vida cultural vibrante que es necesario potenciar, y el Gobierno de Sierra Leona se esfuerza por que la población pueda ejercer sus derechos culturales.</w:t>
      </w:r>
    </w:p>
    <w:p w14:paraId="4866C459" w14:textId="29876A3E" w:rsidR="00680193" w:rsidRPr="00680193" w:rsidRDefault="00680193" w:rsidP="00680193">
      <w:pPr>
        <w:pStyle w:val="SingleTxtG"/>
        <w:suppressAutoHyphens/>
        <w:spacing w:before="240" w:after="0"/>
        <w:jc w:val="center"/>
        <w:rPr>
          <w:u w:val="single"/>
        </w:rPr>
      </w:pPr>
      <w:r>
        <w:rPr>
          <w:u w:val="single"/>
        </w:rPr>
        <w:tab/>
      </w:r>
      <w:r>
        <w:rPr>
          <w:u w:val="single"/>
        </w:rPr>
        <w:tab/>
      </w:r>
      <w:r>
        <w:rPr>
          <w:u w:val="single"/>
        </w:rPr>
        <w:tab/>
      </w:r>
    </w:p>
    <w:sectPr w:rsidR="00680193" w:rsidRPr="00680193" w:rsidSect="00C55A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1B5E0" w14:textId="77777777" w:rsidR="00A13708" w:rsidRPr="00093664" w:rsidRDefault="00A13708" w:rsidP="00093664">
      <w:pPr>
        <w:pStyle w:val="Piedepgina"/>
      </w:pPr>
    </w:p>
  </w:endnote>
  <w:endnote w:type="continuationSeparator" w:id="0">
    <w:p w14:paraId="43CDB08D" w14:textId="77777777" w:rsidR="00A13708" w:rsidRPr="00093664" w:rsidRDefault="00A1370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4F81" w14:textId="2467FE8F" w:rsidR="00C55AF8" w:rsidRPr="00C55AF8" w:rsidRDefault="00C55AF8" w:rsidP="00C55AF8">
    <w:pPr>
      <w:pStyle w:val="Piedepgina"/>
      <w:tabs>
        <w:tab w:val="right" w:pos="9638"/>
      </w:tabs>
    </w:pPr>
    <w:r w:rsidRPr="00C55AF8">
      <w:rPr>
        <w:b/>
        <w:sz w:val="18"/>
      </w:rPr>
      <w:fldChar w:fldCharType="begin"/>
    </w:r>
    <w:r w:rsidRPr="00C55AF8">
      <w:rPr>
        <w:b/>
        <w:sz w:val="18"/>
      </w:rPr>
      <w:instrText xml:space="preserve"> PAGE  \* MERGEFORMAT </w:instrText>
    </w:r>
    <w:r w:rsidRPr="00C55AF8">
      <w:rPr>
        <w:b/>
        <w:sz w:val="18"/>
      </w:rPr>
      <w:fldChar w:fldCharType="separate"/>
    </w:r>
    <w:r w:rsidRPr="00C55AF8">
      <w:rPr>
        <w:b/>
        <w:noProof/>
        <w:sz w:val="18"/>
      </w:rPr>
      <w:t>2</w:t>
    </w:r>
    <w:r w:rsidRPr="00C55AF8">
      <w:rPr>
        <w:b/>
        <w:sz w:val="18"/>
      </w:rPr>
      <w:fldChar w:fldCharType="end"/>
    </w:r>
    <w:r>
      <w:rPr>
        <w:b/>
        <w:sz w:val="18"/>
      </w:rPr>
      <w:tab/>
    </w:r>
    <w:r>
      <w:t>GE.23-07713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11517" w14:textId="18650877" w:rsidR="00C55AF8" w:rsidRPr="00C55AF8" w:rsidRDefault="00C55AF8" w:rsidP="00C55AF8">
    <w:pPr>
      <w:pStyle w:val="Piedepgina"/>
      <w:tabs>
        <w:tab w:val="right" w:pos="9638"/>
      </w:tabs>
      <w:rPr>
        <w:b/>
        <w:sz w:val="18"/>
      </w:rPr>
    </w:pPr>
    <w:r>
      <w:t>GE.23-07713</w:t>
    </w:r>
    <w:r>
      <w:tab/>
    </w:r>
    <w:r w:rsidRPr="00C55AF8">
      <w:rPr>
        <w:b/>
        <w:sz w:val="18"/>
      </w:rPr>
      <w:fldChar w:fldCharType="begin"/>
    </w:r>
    <w:r w:rsidRPr="00C55AF8">
      <w:rPr>
        <w:b/>
        <w:sz w:val="18"/>
      </w:rPr>
      <w:instrText xml:space="preserve"> PAGE  \* MERGEFORMAT </w:instrText>
    </w:r>
    <w:r w:rsidRPr="00C55AF8">
      <w:rPr>
        <w:b/>
        <w:sz w:val="18"/>
      </w:rPr>
      <w:fldChar w:fldCharType="separate"/>
    </w:r>
    <w:r w:rsidRPr="00C55AF8">
      <w:rPr>
        <w:b/>
        <w:noProof/>
        <w:sz w:val="18"/>
      </w:rPr>
      <w:t>3</w:t>
    </w:r>
    <w:r w:rsidRPr="00C55A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03D56" w14:textId="335ACE63" w:rsidR="005016AF" w:rsidRPr="00C55AF8" w:rsidRDefault="00C55AF8" w:rsidP="00C55AF8">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0751033" wp14:editId="168AA9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-07713  (S)</w:t>
    </w:r>
    <w:r>
      <w:rPr>
        <w:noProof/>
        <w:sz w:val="20"/>
      </w:rPr>
      <w:drawing>
        <wp:anchor distT="0" distB="0" distL="114300" distR="114300" simplePos="0" relativeHeight="251658752" behindDoc="0" locked="0" layoutInCell="1" allowOverlap="1" wp14:anchorId="01B9B978" wp14:editId="089B73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300623    </w:t>
    </w:r>
    <w:r w:rsidR="00FB0D89">
      <w:rPr>
        <w:sz w:val="20"/>
      </w:rPr>
      <w:t>07</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2256B" w14:textId="77777777" w:rsidR="00A13708" w:rsidRPr="001075E9" w:rsidRDefault="00A13708" w:rsidP="001075E9">
      <w:pPr>
        <w:tabs>
          <w:tab w:val="right" w:pos="2155"/>
        </w:tabs>
        <w:spacing w:after="80" w:line="240" w:lineRule="auto"/>
        <w:ind w:left="680"/>
        <w:rPr>
          <w:u w:val="single"/>
        </w:rPr>
      </w:pPr>
      <w:r>
        <w:rPr>
          <w:u w:val="single"/>
        </w:rPr>
        <w:tab/>
      </w:r>
    </w:p>
  </w:footnote>
  <w:footnote w:type="continuationSeparator" w:id="0">
    <w:p w14:paraId="24028FA9" w14:textId="77777777" w:rsidR="00A13708" w:rsidRDefault="00A13708" w:rsidP="00093664">
      <w:pPr>
        <w:tabs>
          <w:tab w:val="right" w:pos="2155"/>
        </w:tabs>
        <w:spacing w:after="80" w:line="240" w:lineRule="auto"/>
        <w:ind w:left="680"/>
        <w:rPr>
          <w:u w:val="single"/>
        </w:rPr>
      </w:pPr>
      <w:r>
        <w:rPr>
          <w:u w:val="single"/>
        </w:rPr>
        <w:tab/>
      </w:r>
    </w:p>
  </w:footnote>
  <w:footnote w:id="1">
    <w:p w14:paraId="72D48F7E" w14:textId="77777777" w:rsidR="00B70A36" w:rsidRPr="00F7488A" w:rsidRDefault="00B70A36" w:rsidP="00B70A36">
      <w:pPr>
        <w:pStyle w:val="Textonotapie"/>
      </w:pPr>
      <w:r w:rsidRPr="00F7488A">
        <w:tab/>
      </w:r>
      <w:r w:rsidRPr="00CB0024">
        <w:rPr>
          <w:sz w:val="20"/>
          <w:szCs w:val="22"/>
        </w:rPr>
        <w:t>*</w:t>
      </w:r>
      <w:r w:rsidRPr="00CB0024">
        <w:rPr>
          <w:sz w:val="20"/>
          <w:szCs w:val="22"/>
        </w:rPr>
        <w:tab/>
      </w:r>
      <w:r w:rsidRPr="00F7488A">
        <w:t>La versión original del presente informe no fue objeto de revisión editorial oficial.</w:t>
      </w:r>
    </w:p>
  </w:footnote>
  <w:footnote w:id="2">
    <w:p w14:paraId="5F91CED4" w14:textId="77777777" w:rsidR="00B70A36" w:rsidRPr="00F7488A" w:rsidRDefault="00B70A36" w:rsidP="00B70A36">
      <w:pPr>
        <w:pStyle w:val="Textonotapie"/>
      </w:pPr>
      <w:r w:rsidRPr="00F7488A">
        <w:tab/>
      </w:r>
      <w:r w:rsidRPr="00F7488A">
        <w:rPr>
          <w:rStyle w:val="Refdenotaalpie"/>
        </w:rPr>
        <w:footnoteRef/>
      </w:r>
      <w:r w:rsidRPr="00F7488A">
        <w:tab/>
        <w:t>La fuente de información sobre el porcentaje de musulmanes, cristianos y otros procede de Wikipedia.</w:t>
      </w:r>
    </w:p>
  </w:footnote>
  <w:footnote w:id="3">
    <w:p w14:paraId="77B8972B" w14:textId="77777777" w:rsidR="00B70A36" w:rsidRPr="00F7488A" w:rsidRDefault="00B70A36" w:rsidP="00B70A36">
      <w:pPr>
        <w:pStyle w:val="Textonotapie"/>
      </w:pPr>
      <w:r w:rsidRPr="00F7488A">
        <w:tab/>
      </w:r>
      <w:r w:rsidRPr="00F7488A">
        <w:rPr>
          <w:rStyle w:val="Refdenotaalpie"/>
        </w:rPr>
        <w:footnoteRef/>
      </w:r>
      <w:r w:rsidRPr="00F7488A">
        <w:tab/>
        <w:t xml:space="preserve">La fuente es el </w:t>
      </w:r>
      <w:r w:rsidRPr="00F7488A">
        <w:rPr>
          <w:i/>
          <w:iCs/>
        </w:rPr>
        <w:t>Report on the 2019 and 2020 Real GDP Figures at 2006 Prices</w:t>
      </w:r>
      <w:r w:rsidRPr="00F7488A">
        <w:t xml:space="preserve"> (Informe sobre las Cifras del PIB Real de 2019 y 2020 a Precios de 2006) publicado por Stats SL en julio de 2020.</w:t>
      </w:r>
    </w:p>
  </w:footnote>
  <w:footnote w:id="4">
    <w:p w14:paraId="7F8C4BFF" w14:textId="77777777" w:rsidR="00B70A36" w:rsidRPr="00F7488A" w:rsidRDefault="00B70A36" w:rsidP="00B70A36">
      <w:pPr>
        <w:pStyle w:val="Textonotapie"/>
      </w:pPr>
      <w:r w:rsidRPr="00F7488A">
        <w:tab/>
      </w:r>
      <w:r w:rsidRPr="00F7488A">
        <w:rPr>
          <w:rStyle w:val="Refdenotaalpie"/>
        </w:rPr>
        <w:footnoteRef/>
      </w:r>
      <w:r w:rsidRPr="00F7488A">
        <w:tab/>
        <w:t>Los demás tratados se enuncian y analizan más adelante.</w:t>
      </w:r>
    </w:p>
  </w:footnote>
  <w:footnote w:id="5">
    <w:p w14:paraId="444C6DBF" w14:textId="6A174E96" w:rsidR="00B70A36" w:rsidRPr="00F7488A" w:rsidRDefault="00B70A36" w:rsidP="00B70A36">
      <w:pPr>
        <w:pStyle w:val="Textonotapie"/>
      </w:pPr>
      <w:r w:rsidRPr="00F7488A">
        <w:tab/>
      </w:r>
      <w:r w:rsidRPr="00F7488A">
        <w:rPr>
          <w:rStyle w:val="Refdenotaalpie"/>
        </w:rPr>
        <w:footnoteRef/>
      </w:r>
      <w:r w:rsidRPr="00F7488A">
        <w:tab/>
        <w:t xml:space="preserve">Para un análisis detallado de la situación de los derechos económicos, sociales y culturales en el marco de los regímenes regionales africanos de derechos humanos, véase Nana K. A. Busia, Jr, </w:t>
      </w:r>
      <w:r w:rsidRPr="00F7488A">
        <w:rPr>
          <w:i/>
          <w:iCs/>
        </w:rPr>
        <w:t xml:space="preserve">Non </w:t>
      </w:r>
      <w:r w:rsidR="00E41BB8">
        <w:rPr>
          <w:i/>
          <w:iCs/>
        </w:rPr>
        <w:noBreakHyphen/>
      </w:r>
      <w:r w:rsidRPr="00F7488A">
        <w:rPr>
          <w:i/>
          <w:iCs/>
        </w:rPr>
        <w:t xml:space="preserve"> State Actors and Human Rights Struggle in the Contemporary World: The Role of the African Human Rights system</w:t>
      </w:r>
      <w:r w:rsidRPr="00F7488A">
        <w:t>, South African Year Book of International Law, (SYBIL) 2012.</w:t>
      </w:r>
    </w:p>
  </w:footnote>
  <w:footnote w:id="6">
    <w:p w14:paraId="431B18D2" w14:textId="77777777" w:rsidR="00B70A36" w:rsidRPr="00F7488A" w:rsidRDefault="00B70A36" w:rsidP="00B70A36">
      <w:pPr>
        <w:pStyle w:val="Textonotapie"/>
      </w:pPr>
      <w:r w:rsidRPr="00F7488A">
        <w:tab/>
      </w:r>
      <w:r w:rsidRPr="00F7488A">
        <w:rPr>
          <w:rStyle w:val="Refdenotaalpie"/>
        </w:rPr>
        <w:footnoteRef/>
      </w:r>
      <w:r w:rsidRPr="00F7488A">
        <w:tab/>
        <w:t>Fecha del informe sobre las recomendaciones de la revisión constitucional de Peter Tucker.</w:t>
      </w:r>
    </w:p>
  </w:footnote>
  <w:footnote w:id="7">
    <w:p w14:paraId="0194015E" w14:textId="77777777" w:rsidR="00B70A36" w:rsidRPr="00F7488A" w:rsidRDefault="00B70A36" w:rsidP="00B70A36">
      <w:pPr>
        <w:pStyle w:val="Textonotapie"/>
      </w:pPr>
      <w:r w:rsidRPr="00F7488A">
        <w:tab/>
      </w:r>
      <w:r w:rsidRPr="00F7488A">
        <w:rPr>
          <w:rStyle w:val="Refdenotaalpie"/>
        </w:rPr>
        <w:footnoteRef/>
      </w:r>
      <w:r w:rsidRPr="00F7488A">
        <w:tab/>
        <w:t>Documento de posición de la Comisión de Derechos Humanos de Sierra Leona presentado al Comité de Revisión de la Constitución (CRC), 2015.</w:t>
      </w:r>
    </w:p>
  </w:footnote>
  <w:footnote w:id="8">
    <w:p w14:paraId="260514CB" w14:textId="77777777" w:rsidR="00B70A36" w:rsidRPr="00F7488A" w:rsidRDefault="00B70A36" w:rsidP="00B70A36">
      <w:pPr>
        <w:pStyle w:val="Textonotapie"/>
      </w:pPr>
      <w:r w:rsidRPr="00F7488A">
        <w:tab/>
      </w:r>
      <w:r w:rsidRPr="00F7488A">
        <w:rPr>
          <w:rStyle w:val="Refdenotaalpie"/>
        </w:rPr>
        <w:footnoteRef/>
      </w:r>
      <w:r w:rsidRPr="00F7488A">
        <w:tab/>
        <w:t>Comisión de Derechos Humanos de Sierra Leona, Informe sobre la Situación de los Derechos Humanos de 2011.</w:t>
      </w:r>
    </w:p>
  </w:footnote>
  <w:footnote w:id="9">
    <w:p w14:paraId="2BFB7894" w14:textId="77777777" w:rsidR="00B70A36" w:rsidRPr="00F7488A" w:rsidRDefault="00B70A36" w:rsidP="00B70A36">
      <w:pPr>
        <w:pStyle w:val="Textonotapie"/>
      </w:pPr>
      <w:r w:rsidRPr="00F7488A">
        <w:tab/>
      </w:r>
      <w:r w:rsidRPr="00F7488A">
        <w:rPr>
          <w:rStyle w:val="Refdenotaalpie"/>
        </w:rPr>
        <w:footnoteRef/>
      </w:r>
      <w:r w:rsidRPr="00F7488A">
        <w:tab/>
        <w:t>Comisión de Derechos Humanos de Sierra Leona, Informe sobre la Situación de los Derechos Humanos de 2012.</w:t>
      </w:r>
    </w:p>
  </w:footnote>
  <w:footnote w:id="10">
    <w:p w14:paraId="694D9A05" w14:textId="77777777" w:rsidR="00B70A36" w:rsidRPr="00F7488A" w:rsidRDefault="00B70A36" w:rsidP="00B70A36">
      <w:pPr>
        <w:pStyle w:val="Textonotapie"/>
      </w:pPr>
      <w:r w:rsidRPr="00F7488A">
        <w:tab/>
      </w:r>
      <w:r w:rsidRPr="00F7488A">
        <w:rPr>
          <w:rStyle w:val="Refdenotaalpie"/>
        </w:rPr>
        <w:footnoteRef/>
      </w:r>
      <w:r w:rsidRPr="00F7488A">
        <w:tab/>
        <w:t>Artículo 5 del Protocolo de Maputo.</w:t>
      </w:r>
    </w:p>
  </w:footnote>
  <w:footnote w:id="11">
    <w:p w14:paraId="611AA89D" w14:textId="77777777" w:rsidR="00B70A36" w:rsidRPr="00F7488A" w:rsidRDefault="00B70A36" w:rsidP="00B70A36">
      <w:pPr>
        <w:pStyle w:val="Textonotapie"/>
      </w:pPr>
      <w:r w:rsidRPr="00F7488A">
        <w:tab/>
      </w:r>
      <w:r w:rsidRPr="00F7488A">
        <w:rPr>
          <w:rStyle w:val="Refdenotaalpie"/>
        </w:rPr>
        <w:footnoteRef/>
      </w:r>
      <w:r w:rsidRPr="00F7488A">
        <w:tab/>
        <w:t xml:space="preserve">Las </w:t>
      </w:r>
      <w:r w:rsidRPr="005206E4">
        <w:rPr>
          <w:i/>
          <w:iCs/>
        </w:rPr>
        <w:t>soweis</w:t>
      </w:r>
      <w:r w:rsidRPr="00F7488A">
        <w:t xml:space="preserve"> son las iniciadoras de la mutilación genital femenina.</w:t>
      </w:r>
    </w:p>
  </w:footnote>
  <w:footnote w:id="12">
    <w:p w14:paraId="56C37BAE" w14:textId="77777777" w:rsidR="00B70A36" w:rsidRPr="00F7488A" w:rsidRDefault="00B70A36" w:rsidP="00B70A36">
      <w:pPr>
        <w:pStyle w:val="Textonotapie"/>
      </w:pPr>
      <w:r w:rsidRPr="00F7488A">
        <w:tab/>
      </w:r>
      <w:r w:rsidRPr="00F7488A">
        <w:rPr>
          <w:rStyle w:val="Refdenotaalpie"/>
        </w:rPr>
        <w:footnoteRef/>
      </w:r>
      <w:r w:rsidRPr="00F7488A">
        <w:tab/>
        <w:t>Artículo 2, párrafo 3), de la Ley de Violencia Doméstica de 2007.</w:t>
      </w:r>
    </w:p>
  </w:footnote>
  <w:footnote w:id="13">
    <w:p w14:paraId="246CAA97" w14:textId="77777777" w:rsidR="00B70A36" w:rsidRPr="00F7488A" w:rsidRDefault="00B70A36" w:rsidP="00B70A36">
      <w:pPr>
        <w:pStyle w:val="Textonotapie"/>
      </w:pPr>
      <w:r w:rsidRPr="00F7488A">
        <w:tab/>
      </w:r>
      <w:r w:rsidRPr="00F7488A">
        <w:rPr>
          <w:rStyle w:val="Refdenotaalpie"/>
        </w:rPr>
        <w:footnoteRef/>
      </w:r>
      <w:r w:rsidRPr="00F7488A">
        <w:tab/>
        <w:t>Artículo 6 de la Ley de Delitos Sexuales de 2012.</w:t>
      </w:r>
    </w:p>
  </w:footnote>
  <w:footnote w:id="14">
    <w:p w14:paraId="77D9174D" w14:textId="77777777" w:rsidR="00B70A36" w:rsidRPr="00F7488A" w:rsidRDefault="00B70A36" w:rsidP="00B70A36">
      <w:pPr>
        <w:pStyle w:val="Textonotapie"/>
      </w:pPr>
      <w:r w:rsidRPr="00F7488A">
        <w:tab/>
      </w:r>
      <w:r w:rsidRPr="00F7488A">
        <w:rPr>
          <w:rStyle w:val="Refdenotaalpie"/>
        </w:rPr>
        <w:footnoteRef/>
      </w:r>
      <w:r w:rsidRPr="00F7488A">
        <w:tab/>
        <w:t>Artículo 2 de la Ley de Delitos Sexuales (Modificación) de 2019.</w:t>
      </w:r>
    </w:p>
  </w:footnote>
  <w:footnote w:id="15">
    <w:p w14:paraId="5E5FEADE" w14:textId="0A7407DB" w:rsidR="00B70A36" w:rsidRPr="00F7488A" w:rsidRDefault="00B70A36" w:rsidP="00B70A36">
      <w:pPr>
        <w:pStyle w:val="Textonotapie"/>
      </w:pPr>
      <w:r w:rsidRPr="00F7488A">
        <w:tab/>
      </w:r>
      <w:r w:rsidRPr="00F7488A">
        <w:rPr>
          <w:rStyle w:val="Refdenotaalpie"/>
        </w:rPr>
        <w:footnoteRef/>
      </w:r>
      <w:r w:rsidRPr="00F7488A">
        <w:tab/>
        <w:t xml:space="preserve">Programa de Promoción del Empleo III, Informe de Sierra Leona sobre la Vivienda Integrada </w:t>
      </w:r>
      <w:r w:rsidRPr="00F85AAE">
        <w:rPr>
          <w:i/>
          <w:iCs/>
        </w:rPr>
        <w:t>(</w:t>
      </w:r>
      <w:r w:rsidRPr="00F7488A">
        <w:rPr>
          <w:i/>
          <w:iCs/>
        </w:rPr>
        <w:t>Sierra Leone Integrated Housing Report</w:t>
      </w:r>
      <w:r w:rsidRPr="00F85AAE">
        <w:rPr>
          <w:i/>
          <w:iCs/>
        </w:rPr>
        <w:t>)</w:t>
      </w:r>
      <w:r w:rsidRPr="00F7488A">
        <w:t xml:space="preserve"> 2018.</w:t>
      </w:r>
    </w:p>
  </w:footnote>
  <w:footnote w:id="16">
    <w:p w14:paraId="20C23745" w14:textId="77777777" w:rsidR="00B70A36" w:rsidRPr="00F7488A" w:rsidRDefault="00B70A36" w:rsidP="00B70A36">
      <w:pPr>
        <w:pStyle w:val="Textonotapie"/>
      </w:pPr>
      <w:r w:rsidRPr="00F7488A">
        <w:tab/>
      </w:r>
      <w:r w:rsidRPr="00F7488A">
        <w:rPr>
          <w:rStyle w:val="Refdenotaalpie"/>
        </w:rPr>
        <w:footnoteRef/>
      </w:r>
      <w:r w:rsidRPr="00F7488A">
        <w:tab/>
        <w:t xml:space="preserve">Entre ellos se incluyen la juventud en la pesca y la juventud en la agricultura, etc., la rehabilitación de las carreteras principales y secundarias en las zonas rurales, el programa de lavado de coches mediante la construcción de centros de lavado de coches en zonas estratégicas del país, la Granja Nacional de la Juventud, el Servicio Nacional de la Juventud, el programa de recogida de basuras y limpieza viaria para proporcionar empleo no solo a los jóvenes, sino también a las mujeres mayores, la reestructuración del Ministerio de Obras Públicas y la Autoridad de Carreteras de Sierra Leona (SLRA) para adecuar todos los edificios públicos a las personas con discapacidad. El Ébola y la COVID-19 han tenido un efecto tremendo en la economía de Sierra Leona y han provocado que muchos sierraleoneses hayan perdido su puesto de trabajo debido al cierre de las empresas. Para mitigar los efectos del Ébola y la COVID-19 sobre los empresarios y las autoridades empleadoras, el Gobierno de Sierra Leona proporciona ayuda financiera (Fondo Munafa) a las mujeres de las zonas rurales y los empresarios del sector hotelero mediante el pago de tres meses de salario básico en 2020 a los trabajadores de los hoteles. </w:t>
      </w:r>
    </w:p>
  </w:footnote>
  <w:footnote w:id="17">
    <w:p w14:paraId="55CF05C4" w14:textId="718C86A1" w:rsidR="00B70A36" w:rsidRPr="00F7488A" w:rsidRDefault="00B70A36" w:rsidP="00B70A36">
      <w:pPr>
        <w:pStyle w:val="Textonotapie"/>
      </w:pPr>
      <w:r w:rsidRPr="00F7488A">
        <w:tab/>
      </w:r>
      <w:r w:rsidRPr="00F7488A">
        <w:rPr>
          <w:rStyle w:val="Refdenotaalpie"/>
        </w:rPr>
        <w:footnoteRef/>
      </w:r>
      <w:r w:rsidRPr="00F7488A">
        <w:tab/>
        <w:t xml:space="preserve">El Tribunal resolvió que se anulara la decisión del </w:t>
      </w:r>
      <w:r w:rsidR="003A445A">
        <w:t>B</w:t>
      </w:r>
      <w:r w:rsidRPr="00F7488A">
        <w:t xml:space="preserve">anco </w:t>
      </w:r>
      <w:r w:rsidR="003A445A">
        <w:t>C</w:t>
      </w:r>
      <w:r w:rsidRPr="00F7488A">
        <w:t>entral y ordenó el pago íntegro de los derechos que correspondían al demandante.</w:t>
      </w:r>
    </w:p>
  </w:footnote>
  <w:footnote w:id="18">
    <w:p w14:paraId="021D16C9" w14:textId="77777777" w:rsidR="00B70A36" w:rsidRPr="00F7488A" w:rsidRDefault="00B70A36" w:rsidP="00B70A36">
      <w:pPr>
        <w:pStyle w:val="Textonotapie"/>
      </w:pPr>
      <w:r w:rsidRPr="00F7488A">
        <w:tab/>
      </w:r>
      <w:r w:rsidRPr="00F7488A">
        <w:rPr>
          <w:rStyle w:val="Refdenotaalpie"/>
        </w:rPr>
        <w:footnoteRef/>
      </w:r>
      <w:r w:rsidRPr="00F7488A">
        <w:tab/>
        <w:t>El Programa Nacional de Trabajo Decente tenía entre sus objetivos la eliminación del trabajo infantil, la elaboración de una política nacional de empleo, el desarrollo de la colaboración público-privada y la puesta en marcha del Programa de Promoción del Empleo, todo ello orientado a la creación de oportunidades de trabajo decente en Sierra Leona. En consonancia con el subgrupo 3 del Objetivo de Desarrollo Sostenible 8 (trabajo decente), el Ministerio de Obras Públicas tiene la responsabilidad de rehabilitar, reconstruir, construir y renovar todos los edificios gubernamentales para garantizar un entorno de trabajo favorable.</w:t>
      </w:r>
    </w:p>
  </w:footnote>
  <w:footnote w:id="19">
    <w:p w14:paraId="30FFC3AF" w14:textId="77777777" w:rsidR="00B70A36" w:rsidRPr="00F7488A" w:rsidRDefault="00B70A36" w:rsidP="00B70A36">
      <w:pPr>
        <w:pStyle w:val="Textonotapie"/>
      </w:pPr>
      <w:r w:rsidRPr="00F7488A">
        <w:tab/>
      </w:r>
      <w:r w:rsidRPr="00F7488A">
        <w:rPr>
          <w:rStyle w:val="Refdenotaalpie"/>
        </w:rPr>
        <w:footnoteRef/>
      </w:r>
      <w:r w:rsidRPr="00F7488A">
        <w:tab/>
        <w:t>Esto se ajusta a lo establecido en el Convenio sobre Igualdad de Remuneración, 1951 (núm. 100) de la OIT, que se refleja en el artículo 8, párrafo e), de la Ley núm. 6 de la Constitución, de 1991.</w:t>
      </w:r>
    </w:p>
  </w:footnote>
  <w:footnote w:id="20">
    <w:p w14:paraId="5F02DFED" w14:textId="3CE9F2F2" w:rsidR="00B70A36" w:rsidRPr="00F7488A" w:rsidRDefault="00B70A36" w:rsidP="00B70A36">
      <w:pPr>
        <w:pStyle w:val="Textonotapie"/>
      </w:pPr>
      <w:r w:rsidRPr="00F7488A">
        <w:tab/>
      </w:r>
      <w:r w:rsidRPr="00F7488A">
        <w:rPr>
          <w:rStyle w:val="Refdenotaalpie"/>
        </w:rPr>
        <w:footnoteRef/>
      </w:r>
      <w:r w:rsidRPr="00F7488A">
        <w:tab/>
        <w:t xml:space="preserve">El 1 de julio de 2020, la JNB revisó y fijó el Salario Mínimo Nacional Conjunto en 600.000 Le, que equivale a 60 </w:t>
      </w:r>
      <w:r w:rsidR="008915C8">
        <w:t>dólares</w:t>
      </w:r>
      <w:r w:rsidRPr="00F7488A">
        <w:t xml:space="preserve"> al mes. La JNB ha revisado periódicamente el Salario Mínimo Nacional </w:t>
      </w:r>
      <w:r w:rsidR="008915C8">
        <w:t>(e</w:t>
      </w:r>
      <w:r w:rsidRPr="00F7488A">
        <w:t>n enero de</w:t>
      </w:r>
      <w:r w:rsidR="00433C77">
        <w:t> </w:t>
      </w:r>
      <w:r w:rsidRPr="00F7488A">
        <w:t xml:space="preserve">2015, el Salario Mínimo Nacional se revisó y fijó en 500.000 Le, que equivale a 100 </w:t>
      </w:r>
      <w:r w:rsidR="008915C8">
        <w:t>dólares</w:t>
      </w:r>
      <w:r w:rsidRPr="00F7488A">
        <w:t xml:space="preserve"> al mes). </w:t>
      </w:r>
    </w:p>
  </w:footnote>
  <w:footnote w:id="21">
    <w:p w14:paraId="0C555F4B" w14:textId="76833321" w:rsidR="00B70A36" w:rsidRPr="00F7488A" w:rsidRDefault="00B70A36" w:rsidP="00B70A36">
      <w:pPr>
        <w:pStyle w:val="Textonotapie"/>
      </w:pPr>
      <w:r w:rsidRPr="00F7488A">
        <w:tab/>
      </w:r>
      <w:r w:rsidRPr="00F7488A">
        <w:rPr>
          <w:rStyle w:val="Refdenotaalpie"/>
        </w:rPr>
        <w:footnoteRef/>
      </w:r>
      <w:r w:rsidRPr="00F7488A">
        <w:tab/>
        <w:t xml:space="preserve">El artículo 8 e), de la Constitución de 1991 establece que </w:t>
      </w:r>
      <w:r w:rsidR="00433C77">
        <w:t>“</w:t>
      </w:r>
      <w:r w:rsidRPr="00F7488A">
        <w:t>la remuneración sea igualitaria, sin discriminación por razón de sexo, y que todas las personas empleadas reciban una remuneración adecuada y satisfactoria</w:t>
      </w:r>
      <w:r w:rsidR="00433C77">
        <w:t>”</w:t>
      </w:r>
      <w:r w:rsidRPr="00F7488A">
        <w:t>. El capítulo 3, regla 3, subregla 1, del Código de Conducta de la Función Pública de la JNB, tiene el mandato de determinar y fijar las cuantías de salario mínimo, los días festivos remunerados y las horas mínimas de trabajo.</w:t>
      </w:r>
    </w:p>
  </w:footnote>
  <w:footnote w:id="22">
    <w:p w14:paraId="42356BB4" w14:textId="06F5166D" w:rsidR="00B70A36" w:rsidRPr="00F7488A" w:rsidRDefault="00B70A36" w:rsidP="00D8268D">
      <w:pPr>
        <w:pStyle w:val="Textonotapie"/>
        <w:spacing w:after="60"/>
      </w:pPr>
      <w:r w:rsidRPr="00F7488A">
        <w:tab/>
      </w:r>
      <w:r w:rsidRPr="00F7488A">
        <w:rPr>
          <w:rStyle w:val="Refdenotaalpie"/>
        </w:rPr>
        <w:footnoteRef/>
      </w:r>
      <w:r w:rsidRPr="00F7488A">
        <w:tab/>
        <w:t>La regla 6, subregla 1, párrafo d), del Código del Servicio Civil, Reglamentos y Normas, el artículo</w:t>
      </w:r>
      <w:r w:rsidR="00D8268D">
        <w:t> </w:t>
      </w:r>
      <w:r w:rsidRPr="00F7488A">
        <w:t>13,</w:t>
      </w:r>
      <w:r w:rsidR="00111D2C">
        <w:t xml:space="preserve"> </w:t>
      </w:r>
      <w:r w:rsidRPr="00F7488A">
        <w:t>párrafo 1), de la Ley núm. 12 de Delitos Sexuales de 2012, las leyes laborales de Sierra</w:t>
      </w:r>
      <w:r w:rsidR="007253D5">
        <w:t> </w:t>
      </w:r>
      <w:r w:rsidRPr="00F7488A">
        <w:t>Leona, el artículo 8 párrafos b</w:t>
      </w:r>
      <w:r w:rsidR="00893AAF">
        <w:t>)</w:t>
      </w:r>
      <w:r w:rsidRPr="00F7488A">
        <w:t>, c</w:t>
      </w:r>
      <w:r w:rsidR="00893AAF">
        <w:t>)</w:t>
      </w:r>
      <w:r w:rsidRPr="00F7488A">
        <w:t xml:space="preserve"> y e</w:t>
      </w:r>
      <w:r w:rsidR="00893AAF">
        <w:t>)</w:t>
      </w:r>
      <w:r w:rsidRPr="00F7488A">
        <w:t xml:space="preserve"> de la Constitución de Sierra Leona, la Ley núm. 6 de</w:t>
      </w:r>
      <w:r w:rsidR="00893AAF">
        <w:t> </w:t>
      </w:r>
      <w:r w:rsidRPr="00F7488A">
        <w:t xml:space="preserve">1991, son muy claras sobre las condiciones de salud y seguridad de los trabajadores; </w:t>
      </w:r>
    </w:p>
    <w:p w14:paraId="1671BFB8" w14:textId="5BA34411" w:rsidR="00B70A36" w:rsidRPr="00F7488A" w:rsidRDefault="00B70A36" w:rsidP="00D8268D">
      <w:pPr>
        <w:pStyle w:val="Textonotapie"/>
        <w:spacing w:after="60"/>
      </w:pPr>
      <w:r w:rsidRPr="00F7488A">
        <w:tab/>
      </w:r>
      <w:r w:rsidR="00D8268D">
        <w:tab/>
      </w:r>
      <w:r w:rsidR="00D8268D">
        <w:tab/>
      </w:r>
      <w:r w:rsidR="00D8268D">
        <w:tab/>
      </w:r>
      <w:r w:rsidRPr="00F7488A">
        <w:t>b)</w:t>
      </w:r>
      <w:r w:rsidR="00D8268D">
        <w:tab/>
      </w:r>
      <w:r w:rsidRPr="00F7488A">
        <w:t>Las condiciones de servicio y de trabajo deben ser equitativas, justas y humanas.</w:t>
      </w:r>
    </w:p>
    <w:p w14:paraId="24D4BBD4" w14:textId="74BA3441" w:rsidR="00B70A36" w:rsidRPr="00F7488A" w:rsidRDefault="00B70A36" w:rsidP="00B70A36">
      <w:pPr>
        <w:pStyle w:val="Textonotapie"/>
      </w:pPr>
      <w:r w:rsidRPr="00F7488A">
        <w:tab/>
      </w:r>
      <w:r w:rsidR="00D8268D">
        <w:tab/>
      </w:r>
      <w:r w:rsidR="00D8268D">
        <w:tab/>
      </w:r>
      <w:r w:rsidRPr="00F7488A">
        <w:tab/>
        <w:t>c)</w:t>
      </w:r>
      <w:r w:rsidR="00D8268D">
        <w:tab/>
      </w:r>
      <w:r w:rsidRPr="00F7488A">
        <w:t>Que se salvaguarden la salud, la seguridad y el bienestar de todas las personas empleadas y que no se las pongan en peligro ni se abuse de ellas, y en particular que se adopten medidas especiales para las mujeres trabajadoras con hijos.</w:t>
      </w:r>
    </w:p>
  </w:footnote>
  <w:footnote w:id="23">
    <w:p w14:paraId="10368085" w14:textId="77777777" w:rsidR="00B70A36" w:rsidRPr="00F7488A" w:rsidRDefault="00B70A36" w:rsidP="00B70A36">
      <w:pPr>
        <w:pStyle w:val="Textonotapie"/>
      </w:pPr>
      <w:r w:rsidRPr="00F7488A">
        <w:tab/>
      </w:r>
      <w:r w:rsidRPr="00F7488A">
        <w:rPr>
          <w:rStyle w:val="Refdenotaalpie"/>
        </w:rPr>
        <w:footnoteRef/>
      </w:r>
      <w:r w:rsidRPr="00F7488A">
        <w:tab/>
        <w:t>Ley núm. 6 de 1991, que incluye los derechos humanos y libertades fundamentales de la persona, la protección del derecho a la vida, la protección contra la detención o encarcelamiento arbitrarios, la protección de la libertad de circulación, la protección contra la esclavitud y el trabajo forzoso, la protección contra el trato inhumano, la protección contra la privación de la propiedad, la protección de la intimidad del domicilio y otros bienes, la disposición para garantizar la protección de la ley, la protección de la libertad de conciencia, la protección de la libertad de expresión y de prensa, la protección de la libertad de reunión y de asociación pacíficas, la protección contra la discriminación y la aplicación de las disposiciones de protección.</w:t>
      </w:r>
    </w:p>
  </w:footnote>
  <w:footnote w:id="24">
    <w:p w14:paraId="15ED3341" w14:textId="7CD4A3AF" w:rsidR="00B70A36" w:rsidRPr="00F7488A" w:rsidRDefault="00B70A36" w:rsidP="008A6906">
      <w:pPr>
        <w:pStyle w:val="Textonotapie"/>
        <w:tabs>
          <w:tab w:val="left" w:pos="1276"/>
        </w:tabs>
        <w:spacing w:after="60"/>
      </w:pPr>
      <w:r w:rsidRPr="00F7488A">
        <w:tab/>
      </w:r>
      <w:r w:rsidRPr="00F7488A">
        <w:rPr>
          <w:rStyle w:val="Refdenotaalpie"/>
        </w:rPr>
        <w:footnoteRef/>
      </w:r>
      <w:r w:rsidRPr="00F7488A">
        <w:tab/>
      </w:r>
      <w:r w:rsidR="00D8268D" w:rsidRPr="00F7488A">
        <w:rPr>
          <w:szCs w:val="18"/>
        </w:rPr>
        <w:t>•</w:t>
      </w:r>
      <w:r w:rsidR="00D8268D">
        <w:rPr>
          <w:szCs w:val="18"/>
        </w:rPr>
        <w:tab/>
      </w:r>
      <w:r w:rsidRPr="00F7488A">
        <w:t>Convenio sobre el Trabajo Forzoso, 1930 (núm. 29)</w:t>
      </w:r>
      <w:r w:rsidR="00D8268D">
        <w:t>.</w:t>
      </w:r>
    </w:p>
    <w:p w14:paraId="47D3FC49" w14:textId="77C51052" w:rsidR="00B70A36" w:rsidRPr="008A6906" w:rsidRDefault="00B70A36" w:rsidP="008A6906">
      <w:pPr>
        <w:pStyle w:val="Textonotapie"/>
        <w:tabs>
          <w:tab w:val="clear" w:pos="1021"/>
          <w:tab w:val="left" w:pos="1276"/>
        </w:tabs>
        <w:spacing w:after="60"/>
        <w:ind w:firstLine="0"/>
      </w:pPr>
      <w:r w:rsidRPr="00F7488A">
        <w:rPr>
          <w:szCs w:val="18"/>
        </w:rPr>
        <w:t>•</w:t>
      </w:r>
      <w:r w:rsidRPr="00F7488A">
        <w:rPr>
          <w:szCs w:val="18"/>
        </w:rPr>
        <w:tab/>
      </w:r>
      <w:r w:rsidRPr="00F7488A">
        <w:t>Convenio sobre la Abolición del Trabajo Forzoso, 1957 (núm. 105)</w:t>
      </w:r>
      <w:r w:rsidR="00D8268D">
        <w:t>.</w:t>
      </w:r>
    </w:p>
    <w:p w14:paraId="2A8254C9" w14:textId="5E101CC3" w:rsidR="00B70A36" w:rsidRPr="00D8268D" w:rsidRDefault="00B70A36" w:rsidP="008A6906">
      <w:pPr>
        <w:pStyle w:val="Textonotapie"/>
        <w:tabs>
          <w:tab w:val="clear" w:pos="1021"/>
          <w:tab w:val="left" w:pos="1276"/>
        </w:tabs>
        <w:spacing w:after="60"/>
        <w:ind w:firstLine="0"/>
      </w:pPr>
      <w:r w:rsidRPr="008A6906">
        <w:t>•</w:t>
      </w:r>
      <w:r w:rsidRPr="008A6906">
        <w:tab/>
      </w:r>
      <w:r w:rsidRPr="00F7488A">
        <w:t>Convenio sobre la Libertad Sindical y la Protección del Derecho de Sindicación, 1948 (núm. 87)</w:t>
      </w:r>
      <w:r w:rsidR="00D8268D">
        <w:t>.</w:t>
      </w:r>
    </w:p>
    <w:p w14:paraId="64FB7BCF" w14:textId="2B2C5229" w:rsidR="00B70A36" w:rsidRPr="00D8268D" w:rsidRDefault="00B70A36" w:rsidP="008A6906">
      <w:pPr>
        <w:pStyle w:val="Textonotapie"/>
        <w:tabs>
          <w:tab w:val="clear" w:pos="1021"/>
          <w:tab w:val="left" w:pos="1276"/>
        </w:tabs>
        <w:spacing w:after="60"/>
        <w:ind w:firstLine="0"/>
      </w:pPr>
      <w:r w:rsidRPr="00D8268D">
        <w:t>•</w:t>
      </w:r>
      <w:r w:rsidRPr="00D8268D">
        <w:tab/>
      </w:r>
      <w:r w:rsidRPr="00F7488A">
        <w:t>Convenio sobre el Derecho de Sindicación y de Negociación Colectiva, 1949 (núm. 98)</w:t>
      </w:r>
      <w:r w:rsidR="00D8268D">
        <w:t>.</w:t>
      </w:r>
    </w:p>
    <w:p w14:paraId="1EC99768" w14:textId="5E58C942" w:rsidR="00B70A36" w:rsidRPr="00D8268D" w:rsidRDefault="00B70A36" w:rsidP="008A6906">
      <w:pPr>
        <w:pStyle w:val="Textonotapie"/>
        <w:tabs>
          <w:tab w:val="clear" w:pos="1021"/>
          <w:tab w:val="left" w:pos="1276"/>
        </w:tabs>
        <w:spacing w:after="60"/>
        <w:ind w:firstLine="0"/>
      </w:pPr>
      <w:r w:rsidRPr="00D8268D">
        <w:t>•</w:t>
      </w:r>
      <w:r w:rsidRPr="00D8268D">
        <w:tab/>
      </w:r>
      <w:r w:rsidRPr="00F7488A">
        <w:t>Convenio sobre Igualdad de Remuneración, 1951 (núm. 100)</w:t>
      </w:r>
      <w:r w:rsidR="00D8268D">
        <w:t>.</w:t>
      </w:r>
    </w:p>
    <w:p w14:paraId="36C23724" w14:textId="0F2DC511" w:rsidR="00B70A36" w:rsidRPr="00D8268D" w:rsidRDefault="00B70A36" w:rsidP="008A6906">
      <w:pPr>
        <w:pStyle w:val="Textonotapie"/>
        <w:tabs>
          <w:tab w:val="clear" w:pos="1021"/>
          <w:tab w:val="left" w:pos="1276"/>
        </w:tabs>
        <w:spacing w:after="60"/>
        <w:ind w:firstLine="0"/>
      </w:pPr>
      <w:r w:rsidRPr="00D8268D">
        <w:t>•</w:t>
      </w:r>
      <w:r w:rsidRPr="00D8268D">
        <w:tab/>
      </w:r>
      <w:r w:rsidRPr="00F7488A">
        <w:t>Convenio sobre la Discriminación (Empleo y Ocupación), 1958 (núm. 111)</w:t>
      </w:r>
      <w:r w:rsidR="00D8268D">
        <w:t>.</w:t>
      </w:r>
    </w:p>
    <w:p w14:paraId="53CA290F" w14:textId="69EDD9B7" w:rsidR="00B70A36" w:rsidRPr="00D8268D" w:rsidRDefault="00B70A36" w:rsidP="008A6906">
      <w:pPr>
        <w:pStyle w:val="Textonotapie"/>
        <w:tabs>
          <w:tab w:val="clear" w:pos="1021"/>
          <w:tab w:val="left" w:pos="1276"/>
        </w:tabs>
        <w:spacing w:after="60"/>
        <w:ind w:firstLine="0"/>
      </w:pPr>
      <w:r w:rsidRPr="00D8268D">
        <w:t>•</w:t>
      </w:r>
      <w:r w:rsidRPr="00D8268D">
        <w:tab/>
      </w:r>
      <w:r w:rsidRPr="00F7488A">
        <w:t>Convenio sobre la Edad Mínima, 1973 (núm. 138)</w:t>
      </w:r>
      <w:r w:rsidR="00D8268D">
        <w:t>.</w:t>
      </w:r>
    </w:p>
    <w:p w14:paraId="0D95FB25" w14:textId="64C638B1" w:rsidR="00B70A36" w:rsidRPr="00D8268D" w:rsidRDefault="00B70A36" w:rsidP="008A6906">
      <w:pPr>
        <w:pStyle w:val="Textonotapie"/>
        <w:tabs>
          <w:tab w:val="clear" w:pos="1021"/>
          <w:tab w:val="left" w:pos="1276"/>
        </w:tabs>
        <w:spacing w:after="60"/>
        <w:ind w:firstLine="0"/>
      </w:pPr>
      <w:r w:rsidRPr="00D8268D">
        <w:t>•</w:t>
      </w:r>
      <w:r w:rsidRPr="00D8268D">
        <w:tab/>
      </w:r>
      <w:r w:rsidRPr="00F7488A">
        <w:t>Convenio sobre las Peores Formas de Trabajo Infantil, 1999 (núm. 182)</w:t>
      </w:r>
      <w:r w:rsidR="00D8268D">
        <w:t>.</w:t>
      </w:r>
    </w:p>
    <w:p w14:paraId="4DD073FC" w14:textId="2379B7C4" w:rsidR="00B70A36" w:rsidRPr="00F7488A" w:rsidRDefault="00B70A36" w:rsidP="008A6906">
      <w:pPr>
        <w:pStyle w:val="Textonotapie"/>
        <w:tabs>
          <w:tab w:val="clear" w:pos="1021"/>
          <w:tab w:val="left" w:pos="1276"/>
        </w:tabs>
        <w:ind w:firstLine="0"/>
        <w:rPr>
          <w:szCs w:val="18"/>
        </w:rPr>
      </w:pPr>
      <w:r w:rsidRPr="00D8268D">
        <w:t>•</w:t>
      </w:r>
      <w:r w:rsidRPr="00D8268D">
        <w:tab/>
      </w:r>
      <w:r w:rsidRPr="00F7488A">
        <w:t>Convenio sobre la Seguridad Social (Norma Mínima), 1952 (núm. 102)</w:t>
      </w:r>
      <w:r w:rsidR="00D8268D">
        <w:t>.</w:t>
      </w:r>
    </w:p>
  </w:footnote>
  <w:footnote w:id="25">
    <w:p w14:paraId="50FE7791" w14:textId="77777777" w:rsidR="00B70A36" w:rsidRPr="00F7488A" w:rsidRDefault="00B70A36" w:rsidP="00B70A36">
      <w:pPr>
        <w:pStyle w:val="Textonotapie"/>
      </w:pPr>
      <w:r w:rsidRPr="00F7488A">
        <w:tab/>
      </w:r>
      <w:r w:rsidRPr="00F7488A">
        <w:rPr>
          <w:rStyle w:val="Refdenotaalpie"/>
        </w:rPr>
        <w:footnoteRef/>
      </w:r>
      <w:r w:rsidRPr="00F7488A">
        <w:tab/>
        <w:t>El 16 de julio de 2019, el Parlamento de Sierra Leona ratificó el Convenio sobre la Seguridad Social (Norma Mínima), 1952 (núm. 102) de la OIT, cuyo instrumento de ratificación se ha presentado ante el depositario de tratados.</w:t>
      </w:r>
    </w:p>
  </w:footnote>
  <w:footnote w:id="26">
    <w:p w14:paraId="4D3DDA87" w14:textId="77777777" w:rsidR="00B70A36" w:rsidRPr="00F7488A" w:rsidRDefault="00B70A36" w:rsidP="00B70A36">
      <w:pPr>
        <w:pStyle w:val="Textonotapie"/>
      </w:pPr>
      <w:r w:rsidRPr="00F7488A">
        <w:tab/>
      </w:r>
      <w:r w:rsidRPr="00F7488A">
        <w:rPr>
          <w:rStyle w:val="Refdenotaalpie"/>
        </w:rPr>
        <w:footnoteRef/>
      </w:r>
      <w:r w:rsidRPr="00F7488A">
        <w:tab/>
        <w:t>La evolución de las prestaciones de la Seguridad Social Nacional abonadas en el caso de las contingencias respectivas de vejez, invalidez y fallecimiento se ha medido en millones de leones de Sierra Leona durante los últimos cuatro años. Los datos proceden del Informe sobre Hechos y Cifras de la institución.</w:t>
      </w:r>
    </w:p>
  </w:footnote>
  <w:footnote w:id="27">
    <w:p w14:paraId="58F5599D" w14:textId="77777777" w:rsidR="00B70A36" w:rsidRPr="00F7488A" w:rsidRDefault="00B70A36" w:rsidP="00B70A36">
      <w:pPr>
        <w:pStyle w:val="Textonotapie"/>
      </w:pPr>
      <w:r w:rsidRPr="00F7488A">
        <w:tab/>
      </w:r>
      <w:r w:rsidRPr="00F7488A">
        <w:rPr>
          <w:rStyle w:val="Refdenotaalpie"/>
        </w:rPr>
        <w:footnoteRef/>
      </w:r>
      <w:r w:rsidRPr="00F7488A">
        <w:tab/>
        <w:t>Política Nacional de Protección Social de Sierra Leona, revisada en febrero de 2018.</w:t>
      </w:r>
    </w:p>
  </w:footnote>
  <w:footnote w:id="28">
    <w:p w14:paraId="577BBD71" w14:textId="6DCAE2E7" w:rsidR="00B70A36" w:rsidRPr="00F7488A" w:rsidRDefault="00B70A36" w:rsidP="00616F73">
      <w:pPr>
        <w:pStyle w:val="Textonotapie"/>
        <w:tabs>
          <w:tab w:val="left" w:pos="1276"/>
        </w:tabs>
        <w:spacing w:after="60"/>
      </w:pPr>
      <w:r w:rsidRPr="00F7488A">
        <w:tab/>
      </w:r>
      <w:r w:rsidRPr="00F7488A">
        <w:rPr>
          <w:rStyle w:val="Refdenotaalpie"/>
        </w:rPr>
        <w:footnoteRef/>
      </w:r>
      <w:r w:rsidRPr="00F7488A">
        <w:tab/>
      </w:r>
      <w:r w:rsidR="00616F73" w:rsidRPr="00F7488A">
        <w:rPr>
          <w:szCs w:val="18"/>
        </w:rPr>
        <w:t>•</w:t>
      </w:r>
      <w:r w:rsidR="00616F73" w:rsidRPr="00F7488A">
        <w:rPr>
          <w:szCs w:val="18"/>
        </w:rPr>
        <w:tab/>
      </w:r>
      <w:r w:rsidRPr="00F7488A">
        <w:t>Para aplicar una política óptima de asignación de activos.</w:t>
      </w:r>
    </w:p>
    <w:p w14:paraId="411F76FC" w14:textId="77777777" w:rsidR="00B70A36" w:rsidRPr="008A6906" w:rsidRDefault="00B70A36" w:rsidP="008A6906">
      <w:pPr>
        <w:pStyle w:val="Textonotapie"/>
        <w:tabs>
          <w:tab w:val="clear" w:pos="1021"/>
          <w:tab w:val="left" w:pos="1276"/>
        </w:tabs>
        <w:spacing w:after="60"/>
        <w:ind w:firstLine="0"/>
      </w:pPr>
      <w:r w:rsidRPr="00F7488A">
        <w:rPr>
          <w:szCs w:val="18"/>
        </w:rPr>
        <w:t>•</w:t>
      </w:r>
      <w:r w:rsidRPr="00F7488A">
        <w:rPr>
          <w:szCs w:val="18"/>
        </w:rPr>
        <w:tab/>
      </w:r>
      <w:r w:rsidRPr="00F7488A">
        <w:t>Para mantener un ratio del fondo óptimo a largo plazo.</w:t>
      </w:r>
    </w:p>
    <w:p w14:paraId="6F2480B4" w14:textId="77777777" w:rsidR="00B70A36" w:rsidRPr="008A6906" w:rsidRDefault="00B70A36" w:rsidP="008A6906">
      <w:pPr>
        <w:pStyle w:val="Textonotapie"/>
        <w:tabs>
          <w:tab w:val="clear" w:pos="1021"/>
          <w:tab w:val="left" w:pos="1276"/>
        </w:tabs>
        <w:spacing w:after="60"/>
        <w:ind w:firstLine="0"/>
      </w:pPr>
      <w:r w:rsidRPr="008A6906">
        <w:t>•</w:t>
      </w:r>
      <w:r w:rsidRPr="008A6906">
        <w:tab/>
      </w:r>
      <w:r w:rsidRPr="00F7488A">
        <w:t>Para proteger el principio de los activos del sistema y el valor de los mismos.</w:t>
      </w:r>
    </w:p>
    <w:p w14:paraId="666A6D74" w14:textId="77777777" w:rsidR="00B70A36" w:rsidRPr="008A6906" w:rsidRDefault="00B70A36" w:rsidP="008A6906">
      <w:pPr>
        <w:pStyle w:val="Textonotapie"/>
        <w:tabs>
          <w:tab w:val="clear" w:pos="1021"/>
          <w:tab w:val="left" w:pos="1276"/>
        </w:tabs>
        <w:spacing w:after="60"/>
        <w:ind w:firstLine="0"/>
      </w:pPr>
      <w:r w:rsidRPr="008A6906">
        <w:t>•</w:t>
      </w:r>
      <w:r w:rsidRPr="008A6906">
        <w:tab/>
      </w:r>
      <w:r w:rsidRPr="00F7488A">
        <w:t>Para lograr un rendimiento real de las inversiones.</w:t>
      </w:r>
    </w:p>
    <w:p w14:paraId="1BF5E2EB" w14:textId="77777777" w:rsidR="00B70A36" w:rsidRPr="00F7488A" w:rsidRDefault="00B70A36" w:rsidP="008A6906">
      <w:pPr>
        <w:pStyle w:val="Textonotapie"/>
        <w:tabs>
          <w:tab w:val="clear" w:pos="1021"/>
          <w:tab w:val="left" w:pos="1276"/>
        </w:tabs>
        <w:ind w:firstLine="0"/>
        <w:rPr>
          <w:szCs w:val="18"/>
        </w:rPr>
      </w:pPr>
      <w:r w:rsidRPr="008A6906">
        <w:t>•</w:t>
      </w:r>
      <w:r w:rsidRPr="008A6906">
        <w:tab/>
      </w:r>
      <w:r w:rsidRPr="00F7488A">
        <w:t>Para atraer, formar y retener talentos competentes en materia de inversión.</w:t>
      </w:r>
    </w:p>
  </w:footnote>
  <w:footnote w:id="29">
    <w:p w14:paraId="1562E220" w14:textId="77777777" w:rsidR="008A6906" w:rsidRDefault="00B70A36" w:rsidP="00B70A36">
      <w:pPr>
        <w:pStyle w:val="Textonotapie"/>
      </w:pPr>
      <w:r w:rsidRPr="00F7488A">
        <w:tab/>
      </w:r>
      <w:r w:rsidRPr="00F7488A">
        <w:rPr>
          <w:rStyle w:val="Refdenotaalpie"/>
        </w:rPr>
        <w:footnoteRef/>
      </w:r>
      <w:r w:rsidRPr="00F7488A">
        <w:tab/>
        <w:t xml:space="preserve">Estas son: </w:t>
      </w:r>
    </w:p>
    <w:p w14:paraId="430F1ACD" w14:textId="240EE934" w:rsidR="00B70A36" w:rsidRPr="00F7488A" w:rsidRDefault="008A6906" w:rsidP="008A6906">
      <w:pPr>
        <w:pStyle w:val="Textonotapie"/>
        <w:tabs>
          <w:tab w:val="clear" w:pos="1021"/>
          <w:tab w:val="left" w:pos="1276"/>
        </w:tabs>
        <w:spacing w:after="60"/>
        <w:ind w:firstLine="0"/>
      </w:pPr>
      <w:r w:rsidRPr="008A6906">
        <w:t>•</w:t>
      </w:r>
      <w:r w:rsidRPr="008A6906">
        <w:tab/>
      </w:r>
      <w:r w:rsidR="00B70A36" w:rsidRPr="00F7488A">
        <w:t>La seguridad y el rendimiento de la inversión</w:t>
      </w:r>
      <w:r>
        <w:t>.</w:t>
      </w:r>
    </w:p>
    <w:p w14:paraId="3584049D" w14:textId="61700B46" w:rsidR="00B70A36" w:rsidRPr="008A6906" w:rsidRDefault="00B70A36" w:rsidP="008A6906">
      <w:pPr>
        <w:pStyle w:val="Textonotapie"/>
        <w:tabs>
          <w:tab w:val="clear" w:pos="1021"/>
          <w:tab w:val="left" w:pos="1276"/>
        </w:tabs>
        <w:spacing w:after="60"/>
        <w:ind w:firstLine="0"/>
      </w:pPr>
      <w:r w:rsidRPr="008A6906">
        <w:t>•</w:t>
      </w:r>
      <w:r w:rsidRPr="008A6906">
        <w:tab/>
      </w:r>
      <w:r w:rsidR="009D2CFA">
        <w:t>L</w:t>
      </w:r>
      <w:r w:rsidRPr="00F7488A">
        <w:t>a liquidez de la Inversión</w:t>
      </w:r>
      <w:r w:rsidR="008A6906">
        <w:t>.</w:t>
      </w:r>
    </w:p>
    <w:p w14:paraId="24B1C238" w14:textId="5BCF15FB" w:rsidR="00B70A36" w:rsidRPr="008A6906" w:rsidRDefault="00B70A36" w:rsidP="008A6906">
      <w:pPr>
        <w:pStyle w:val="Textonotapie"/>
        <w:tabs>
          <w:tab w:val="clear" w:pos="1021"/>
          <w:tab w:val="left" w:pos="1276"/>
        </w:tabs>
        <w:spacing w:after="60"/>
        <w:ind w:firstLine="0"/>
      </w:pPr>
      <w:r w:rsidRPr="008A6906">
        <w:t>•</w:t>
      </w:r>
      <w:r w:rsidRPr="008A6906">
        <w:tab/>
      </w:r>
      <w:r w:rsidR="009D2CFA">
        <w:t>L</w:t>
      </w:r>
      <w:r w:rsidRPr="00F7488A">
        <w:t>a necesidad de mantener el valor real y el margen de la inversión</w:t>
      </w:r>
      <w:r w:rsidR="008A6906">
        <w:t>.</w:t>
      </w:r>
    </w:p>
    <w:p w14:paraId="5274A740" w14:textId="71C21CAA" w:rsidR="00B70A36" w:rsidRPr="008A6906" w:rsidRDefault="00B70A36" w:rsidP="008A6906">
      <w:pPr>
        <w:pStyle w:val="Textonotapie"/>
        <w:tabs>
          <w:tab w:val="clear" w:pos="1021"/>
          <w:tab w:val="left" w:pos="1276"/>
        </w:tabs>
        <w:spacing w:after="60"/>
        <w:ind w:firstLine="0"/>
      </w:pPr>
      <w:r w:rsidRPr="008A6906">
        <w:t>•</w:t>
      </w:r>
      <w:r w:rsidRPr="008A6906">
        <w:tab/>
      </w:r>
      <w:r w:rsidR="008A6906">
        <w:t>E</w:t>
      </w:r>
      <w:r w:rsidRPr="00F7488A">
        <w:t>l mantenimiento del Fondo y la diversificación de la cartera de la inversión</w:t>
      </w:r>
      <w:r w:rsidR="008A6906">
        <w:t>.</w:t>
      </w:r>
    </w:p>
    <w:p w14:paraId="604111F9" w14:textId="3024B7E9" w:rsidR="00B70A36" w:rsidRPr="00F7488A" w:rsidRDefault="00B70A36" w:rsidP="008A6906">
      <w:pPr>
        <w:pStyle w:val="Textonotapie"/>
        <w:tabs>
          <w:tab w:val="clear" w:pos="1021"/>
          <w:tab w:val="left" w:pos="1276"/>
        </w:tabs>
        <w:ind w:firstLine="0"/>
        <w:rPr>
          <w:szCs w:val="18"/>
        </w:rPr>
      </w:pPr>
      <w:r w:rsidRPr="008A6906">
        <w:t>•</w:t>
      </w:r>
      <w:r w:rsidRPr="008A6906">
        <w:tab/>
      </w:r>
      <w:r w:rsidR="008A6906">
        <w:t>L</w:t>
      </w:r>
      <w:r w:rsidRPr="00F7488A">
        <w:t>a adecuación de la inversión al interés público (artículo 7, párrafo 2)).</w:t>
      </w:r>
    </w:p>
  </w:footnote>
  <w:footnote w:id="30">
    <w:p w14:paraId="3B5B617D" w14:textId="77777777" w:rsidR="00B70A36" w:rsidRPr="00F7488A" w:rsidRDefault="00B70A36" w:rsidP="00B70A36">
      <w:pPr>
        <w:pStyle w:val="Textonotapie"/>
      </w:pPr>
      <w:r w:rsidRPr="00F7488A">
        <w:tab/>
      </w:r>
      <w:r w:rsidRPr="00F7488A">
        <w:rPr>
          <w:rStyle w:val="Refdenotaalpie"/>
        </w:rPr>
        <w:footnoteRef/>
      </w:r>
      <w:r w:rsidRPr="00F7488A">
        <w:tab/>
        <w:t>Con el objetivo de llevar a cabo inversiones prudentes y menos arriesgadas, a continuación se indican algunos de los ámbitos de inversión explotados por el sistema actual: activos de renta fija compuestos por depósitos a la vista y a plazo fijo en bancos comerciales y valores del Estado; inversión en sociedades en cartera, principalmente en forma de fondos propios o préstamos en obligaciones; inversión en proyectos inmobiliarios y de promoción inmobiliaria comercialmente viables; y bancos de tierras para proyectos previsibles o la participación en empresas conjuntas y el desarrollo en parcelas de emplazamiento y servicios para su venta en un futuro imprevisible.</w:t>
      </w:r>
    </w:p>
  </w:footnote>
  <w:footnote w:id="31">
    <w:p w14:paraId="3BB7BEB2" w14:textId="77777777" w:rsidR="00B70A36" w:rsidRPr="00F7488A" w:rsidRDefault="00B70A36" w:rsidP="00B70A36">
      <w:pPr>
        <w:pStyle w:val="Textonotapie"/>
      </w:pPr>
      <w:r w:rsidRPr="00F7488A">
        <w:tab/>
      </w:r>
      <w:r w:rsidRPr="00F7488A">
        <w:rPr>
          <w:rStyle w:val="Refdenotaalpie"/>
        </w:rPr>
        <w:footnoteRef/>
      </w:r>
      <w:r w:rsidRPr="00F7488A">
        <w:tab/>
        <w:t>Regimental Gray (SL) Limited, Sierra Concrete Block Product (SCPL), HFC Mortgage and Savings (SL) Limited, West African Holdings Limited (WAHL), Kimbima Holdings Limited (KHL), Sierra Estate Management Company Limited, Sierra Akker Agricultural Company Limited, Sierra Leone Commercial Bank Limited, el centro sanitario SISIMI, otros (mercados financieros), la empresa de desarrollo Gouji (ingresos por dividendos), inversiones en transporte marítimo, el Centro Internacional de Conferencias de Freetown.</w:t>
      </w:r>
    </w:p>
  </w:footnote>
  <w:footnote w:id="32">
    <w:p w14:paraId="131B74AE" w14:textId="77777777" w:rsidR="00B70A36" w:rsidRPr="00F7488A" w:rsidRDefault="00B70A36" w:rsidP="00B70A36">
      <w:pPr>
        <w:pStyle w:val="Textonotapie"/>
      </w:pPr>
      <w:r w:rsidRPr="00F7488A">
        <w:tab/>
      </w:r>
      <w:r w:rsidRPr="00F7488A">
        <w:rPr>
          <w:rStyle w:val="Refdenotaalpie"/>
        </w:rPr>
        <w:footnoteRef/>
      </w:r>
      <w:r w:rsidRPr="00F7488A">
        <w:tab/>
        <w:t>Se ha elaborado un proyecto de Plan de Accidentes de Trabajo para cubrir a todos los trabajadores en caso de lesión o accidente laboral, etc.</w:t>
      </w:r>
    </w:p>
  </w:footnote>
  <w:footnote w:id="33">
    <w:p w14:paraId="1F57EBAA" w14:textId="7CA5C91C" w:rsidR="00B70A36" w:rsidRPr="00F7488A" w:rsidRDefault="00B70A36" w:rsidP="00B70A36">
      <w:pPr>
        <w:pStyle w:val="Textonotapie"/>
      </w:pPr>
      <w:r w:rsidRPr="00F7488A">
        <w:tab/>
      </w:r>
      <w:r w:rsidRPr="00F7488A">
        <w:rPr>
          <w:rStyle w:val="Refdenotaalpie"/>
        </w:rPr>
        <w:footnoteRef/>
      </w:r>
      <w:r w:rsidRPr="00F7488A">
        <w:tab/>
        <w:t xml:space="preserve">El proyecto de </w:t>
      </w:r>
      <w:r w:rsidR="00433C77">
        <w:t>“</w:t>
      </w:r>
      <w:r w:rsidRPr="00F7488A">
        <w:t>Opción de ampliar la seguridad social al sector informal</w:t>
      </w:r>
      <w:r w:rsidR="00433C77">
        <w:t>”</w:t>
      </w:r>
      <w:r w:rsidRPr="00F7488A">
        <w:t>.</w:t>
      </w:r>
    </w:p>
  </w:footnote>
  <w:footnote w:id="34">
    <w:p w14:paraId="0AF891EF" w14:textId="77777777" w:rsidR="00B70A36" w:rsidRPr="00F7488A" w:rsidRDefault="00B70A36" w:rsidP="00B70A36">
      <w:pPr>
        <w:pStyle w:val="Textonotapie"/>
      </w:pPr>
      <w:r w:rsidRPr="00F7488A">
        <w:rPr>
          <w:szCs w:val="16"/>
        </w:rPr>
        <w:tab/>
      </w:r>
      <w:r w:rsidRPr="00F7488A">
        <w:rPr>
          <w:rStyle w:val="Refdenotaalpie"/>
        </w:rPr>
        <w:footnoteRef/>
      </w:r>
      <w:r w:rsidRPr="00F7488A">
        <w:tab/>
        <w:t>Tal y como establecen las disposiciones de la Ley núm. 5 de Fondo Fiduciario Nacional de Seguro y Seguridad Social, de 20 de julio de 2001, el régimen de la seguridad social se creó para proporcionar prestaciones de jubilación y de otra índole y cubrir las necesidades de contingencia de todos los trabajadores de Sierra Leona y de las personas a su cargo, con independencia de su sexo, raza, religión, tribu, etc.</w:t>
      </w:r>
    </w:p>
  </w:footnote>
  <w:footnote w:id="35">
    <w:p w14:paraId="7D0321A3" w14:textId="77777777" w:rsidR="00B70A36" w:rsidRPr="00F7488A" w:rsidRDefault="00B70A36" w:rsidP="00B70A36">
      <w:pPr>
        <w:pStyle w:val="Textonotapie"/>
      </w:pPr>
      <w:r w:rsidRPr="00F7488A">
        <w:tab/>
      </w:r>
      <w:r w:rsidRPr="00F7488A">
        <w:rPr>
          <w:rStyle w:val="Refdenotaalpie"/>
        </w:rPr>
        <w:footnoteRef/>
      </w:r>
      <w:r w:rsidRPr="00F7488A">
        <w:tab/>
        <w:t>La Ley de Registro de Matrimonios y Divorcios Consuetudinarios fue aprobada en 2009, a pesar de haber sido promulgada en 2007 como parte de las tres Leyes de Género.</w:t>
      </w:r>
    </w:p>
  </w:footnote>
  <w:footnote w:id="36">
    <w:p w14:paraId="7C2E63AC" w14:textId="77777777" w:rsidR="00B70A36" w:rsidRPr="00F7488A" w:rsidRDefault="00B70A36" w:rsidP="00B70A36">
      <w:pPr>
        <w:pStyle w:val="Textonotapie"/>
      </w:pPr>
      <w:r w:rsidRPr="00F7488A">
        <w:tab/>
      </w:r>
      <w:r w:rsidRPr="00F7488A">
        <w:rPr>
          <w:rStyle w:val="Refdenotaalpie"/>
        </w:rPr>
        <w:footnoteRef/>
      </w:r>
      <w:r w:rsidRPr="00F7488A">
        <w:tab/>
        <w:t>La fuente es el Informe de la Encuesta Demográfica y de Salud elaborado por Stats SL en 2019.</w:t>
      </w:r>
    </w:p>
  </w:footnote>
  <w:footnote w:id="37">
    <w:p w14:paraId="1AB2A843" w14:textId="77777777" w:rsidR="00B70A36" w:rsidRPr="00F7488A" w:rsidRDefault="00B70A36" w:rsidP="00B70A36">
      <w:pPr>
        <w:pStyle w:val="Textonotapie"/>
      </w:pPr>
      <w:r w:rsidRPr="00F7488A">
        <w:tab/>
      </w:r>
      <w:r w:rsidRPr="00F7488A">
        <w:rPr>
          <w:rStyle w:val="Refdenotaalpie"/>
        </w:rPr>
        <w:footnoteRef/>
      </w:r>
      <w:r w:rsidRPr="00F7488A">
        <w:tab/>
        <w:t>La fuente es el Informe Nacional del Gobierno de Sierra Leona para el tercer ciclo del examen periódico universal de 1 de febrero de 2021.</w:t>
      </w:r>
    </w:p>
  </w:footnote>
  <w:footnote w:id="38">
    <w:p w14:paraId="52EDBFAC" w14:textId="77777777" w:rsidR="00B70A36" w:rsidRPr="00F7488A" w:rsidRDefault="00B70A36" w:rsidP="00B70A36">
      <w:pPr>
        <w:pStyle w:val="Textonotapie"/>
      </w:pPr>
      <w:r w:rsidRPr="00F7488A">
        <w:tab/>
      </w:r>
      <w:r w:rsidRPr="00F7488A">
        <w:rPr>
          <w:rStyle w:val="Refdenotaalpie"/>
        </w:rPr>
        <w:footnoteRef/>
      </w:r>
      <w:r w:rsidRPr="00F7488A">
        <w:tab/>
        <w:t>La fuente es el Informe de Pobreza Infantil Multidimensional elaborado por Stats SL en 2018.</w:t>
      </w:r>
    </w:p>
  </w:footnote>
  <w:footnote w:id="39">
    <w:p w14:paraId="05DEFF35" w14:textId="77777777" w:rsidR="00B70A36" w:rsidRPr="00F7488A" w:rsidRDefault="00B70A36" w:rsidP="00B70A36">
      <w:pPr>
        <w:pStyle w:val="Textonotapie"/>
      </w:pPr>
      <w:r w:rsidRPr="00F7488A">
        <w:tab/>
      </w:r>
      <w:r w:rsidRPr="00F7488A">
        <w:rPr>
          <w:rStyle w:val="Refdenotaalpie"/>
        </w:rPr>
        <w:footnoteRef/>
      </w:r>
      <w:r w:rsidRPr="00F7488A">
        <w:tab/>
        <w:t>La fuente es el Informe del Estudio sobre Vivienda Integrada de Sierra Leona elaborado por Stats SL en 2018.</w:t>
      </w:r>
    </w:p>
  </w:footnote>
  <w:footnote w:id="40">
    <w:p w14:paraId="56F13FF0" w14:textId="77777777" w:rsidR="00B70A36" w:rsidRPr="00F7488A" w:rsidRDefault="00B70A36" w:rsidP="00B70A36">
      <w:pPr>
        <w:pStyle w:val="Textonotapie"/>
      </w:pPr>
      <w:r w:rsidRPr="00F7488A">
        <w:tab/>
      </w:r>
      <w:r w:rsidRPr="00F7488A">
        <w:rPr>
          <w:rStyle w:val="Refdenotaalpie"/>
        </w:rPr>
        <w:footnoteRef/>
      </w:r>
      <w:r w:rsidRPr="00F7488A">
        <w:tab/>
        <w:t>La fuente es el Informe de la Encuesta Demográfica y de Salud elaborado por Stats SL en 2019.</w:t>
      </w:r>
    </w:p>
  </w:footnote>
  <w:footnote w:id="41">
    <w:p w14:paraId="002EB00F" w14:textId="77777777" w:rsidR="00B70A36" w:rsidRPr="00F7488A" w:rsidRDefault="00B70A36" w:rsidP="00B70A36">
      <w:pPr>
        <w:pStyle w:val="Textonotapie"/>
      </w:pPr>
      <w:r w:rsidRPr="00F7488A">
        <w:tab/>
      </w:r>
      <w:r w:rsidRPr="00F7488A">
        <w:rPr>
          <w:rStyle w:val="Refdenotaalpie"/>
        </w:rPr>
        <w:footnoteRef/>
      </w:r>
      <w:r w:rsidRPr="00F7488A">
        <w:tab/>
        <w:t>Laderchi, Saith y otros, 2003.</w:t>
      </w:r>
    </w:p>
  </w:footnote>
  <w:footnote w:id="42">
    <w:p w14:paraId="1A24E912" w14:textId="77777777" w:rsidR="00B70A36" w:rsidRPr="00F7488A" w:rsidRDefault="00B70A36" w:rsidP="00B70A36">
      <w:pPr>
        <w:pStyle w:val="Textonotapie"/>
      </w:pPr>
      <w:r w:rsidRPr="00F7488A">
        <w:tab/>
      </w:r>
      <w:r w:rsidRPr="00F7488A">
        <w:rPr>
          <w:rStyle w:val="Refdenotaalpie"/>
        </w:rPr>
        <w:footnoteRef/>
      </w:r>
      <w:r w:rsidRPr="00F7488A">
        <w:tab/>
        <w:t>Plan Nacional de Desarrollo a Medio Plazo de Sierra Leona 2019-2023.</w:t>
      </w:r>
    </w:p>
  </w:footnote>
  <w:footnote w:id="43">
    <w:p w14:paraId="150E252B" w14:textId="77777777" w:rsidR="00B70A36" w:rsidRPr="00F7488A" w:rsidRDefault="00B70A36" w:rsidP="00B70A36">
      <w:pPr>
        <w:pStyle w:val="Textonotapie"/>
      </w:pPr>
      <w:r w:rsidRPr="00F7488A">
        <w:tab/>
      </w:r>
      <w:r w:rsidRPr="00F7488A">
        <w:rPr>
          <w:rStyle w:val="Refdenotaalpie"/>
        </w:rPr>
        <w:footnoteRef/>
      </w:r>
      <w:r w:rsidRPr="00F7488A">
        <w:tab/>
        <w:t>Índice de pobreza multidimensional de Sierra Leona de 2019.</w:t>
      </w:r>
    </w:p>
  </w:footnote>
  <w:footnote w:id="44">
    <w:p w14:paraId="5AB4AB5B" w14:textId="77777777" w:rsidR="00B70A36" w:rsidRPr="00F7488A" w:rsidRDefault="00B70A36" w:rsidP="00B70A36">
      <w:pPr>
        <w:pStyle w:val="Textonotapie"/>
      </w:pPr>
      <w:r w:rsidRPr="00F7488A">
        <w:tab/>
      </w:r>
      <w:r w:rsidRPr="00F7488A">
        <w:rPr>
          <w:rStyle w:val="Refdenotaalpie"/>
        </w:rPr>
        <w:footnoteRef/>
      </w:r>
      <w:r w:rsidRPr="00F7488A">
        <w:tab/>
        <w:t>Gobierno de Sierra Leona, 2019.</w:t>
      </w:r>
    </w:p>
  </w:footnote>
  <w:footnote w:id="45">
    <w:p w14:paraId="601EB20E" w14:textId="77777777" w:rsidR="00B70A36" w:rsidRPr="00F7488A" w:rsidRDefault="00B70A36" w:rsidP="00B70A36">
      <w:pPr>
        <w:pStyle w:val="Textonotapie"/>
      </w:pPr>
      <w:r w:rsidRPr="00F7488A">
        <w:tab/>
      </w:r>
      <w:r w:rsidRPr="00F7488A">
        <w:rPr>
          <w:rStyle w:val="Refdenotaalpie"/>
        </w:rPr>
        <w:footnoteRef/>
      </w:r>
      <w:r w:rsidRPr="00F7488A">
        <w:tab/>
        <w:t>Índice de pobreza multidimensional del Gobierno de Sierra Leona de 2019.</w:t>
      </w:r>
    </w:p>
  </w:footnote>
  <w:footnote w:id="46">
    <w:p w14:paraId="14A1BA00" w14:textId="77777777" w:rsidR="00B70A36" w:rsidRPr="00F7488A" w:rsidRDefault="00B70A36" w:rsidP="00B70A36">
      <w:pPr>
        <w:pStyle w:val="Textonotapie"/>
      </w:pPr>
      <w:r w:rsidRPr="00F7488A">
        <w:tab/>
      </w:r>
      <w:r w:rsidRPr="00F7488A">
        <w:rPr>
          <w:rStyle w:val="Refdenotaalpie"/>
        </w:rPr>
        <w:footnoteRef/>
      </w:r>
      <w:r w:rsidRPr="00F7488A">
        <w:tab/>
        <w:t>Plan Nacional de Desarrollo a Medio Plazo 2019-2023 del Gobierno de Sierra Leona.</w:t>
      </w:r>
    </w:p>
  </w:footnote>
  <w:footnote w:id="47">
    <w:p w14:paraId="1B694F98" w14:textId="74964004" w:rsidR="00B70A36" w:rsidRPr="00F7488A" w:rsidRDefault="00B70A36" w:rsidP="00B70A36">
      <w:pPr>
        <w:pStyle w:val="Textonotapie"/>
      </w:pPr>
      <w:r w:rsidRPr="00F7488A">
        <w:tab/>
      </w:r>
      <w:r w:rsidRPr="00F7488A">
        <w:rPr>
          <w:rStyle w:val="Refdenotaalpie"/>
        </w:rPr>
        <w:footnoteRef/>
      </w:r>
      <w:r w:rsidRPr="00F7488A">
        <w:tab/>
        <w:t xml:space="preserve">Plan Nacional de Desarrollo a Medio Plazo </w:t>
      </w:r>
      <w:r w:rsidR="00370A03">
        <w:t xml:space="preserve">2019-2023 del Gobierno </w:t>
      </w:r>
      <w:r w:rsidRPr="00F7488A">
        <w:t>de Sierra Leona (Vol. 2).</w:t>
      </w:r>
    </w:p>
  </w:footnote>
  <w:footnote w:id="48">
    <w:p w14:paraId="321F3989" w14:textId="77777777" w:rsidR="00B70A36" w:rsidRPr="00F7488A" w:rsidRDefault="00B70A36" w:rsidP="00B70A36">
      <w:pPr>
        <w:pStyle w:val="Textonotapie"/>
      </w:pPr>
      <w:r w:rsidRPr="00F7488A">
        <w:tab/>
      </w:r>
      <w:r w:rsidRPr="00F7488A">
        <w:rPr>
          <w:rStyle w:val="Refdenotaalpie"/>
        </w:rPr>
        <w:footnoteRef/>
      </w:r>
      <w:r w:rsidRPr="00F7488A">
        <w:tab/>
        <w:t>Estadísticas del Gobierno de Sierra Leona (Informe de la Encuesta Demográfica y de Salud) de 2019.</w:t>
      </w:r>
    </w:p>
  </w:footnote>
  <w:footnote w:id="49">
    <w:p w14:paraId="72EF02E6" w14:textId="7BA4B3E0" w:rsidR="00B70A36" w:rsidRPr="00F7488A" w:rsidRDefault="00B70A36" w:rsidP="00B70A36">
      <w:pPr>
        <w:pStyle w:val="Textonotapie"/>
      </w:pPr>
      <w:r w:rsidRPr="00F7488A">
        <w:tab/>
      </w:r>
      <w:r w:rsidRPr="00F7488A">
        <w:rPr>
          <w:rStyle w:val="Refdenotaalpie"/>
        </w:rPr>
        <w:footnoteRef/>
      </w:r>
      <w:r w:rsidRPr="00F7488A">
        <w:tab/>
      </w:r>
      <w:proofErr w:type="spellStart"/>
      <w:r w:rsidRPr="00F7488A">
        <w:t>Rebuild</w:t>
      </w:r>
      <w:proofErr w:type="spellEnd"/>
      <w:r w:rsidRPr="00F7488A">
        <w:t xml:space="preserve"> </w:t>
      </w:r>
      <w:proofErr w:type="spellStart"/>
      <w:r w:rsidRPr="00F7488A">
        <w:t>Consortium</w:t>
      </w:r>
      <w:proofErr w:type="spellEnd"/>
      <w:r w:rsidRPr="00F7488A">
        <w:t xml:space="preserve">, </w:t>
      </w:r>
      <w:r w:rsidRPr="00F7488A">
        <w:rPr>
          <w:i/>
          <w:iCs/>
        </w:rPr>
        <w:t xml:space="preserve">Country </w:t>
      </w:r>
      <w:proofErr w:type="spellStart"/>
      <w:r w:rsidRPr="00F7488A">
        <w:rPr>
          <w:i/>
          <w:iCs/>
        </w:rPr>
        <w:t>Situation</w:t>
      </w:r>
      <w:proofErr w:type="spellEnd"/>
      <w:r w:rsidRPr="00F7488A">
        <w:rPr>
          <w:i/>
          <w:iCs/>
        </w:rPr>
        <w:t xml:space="preserve"> </w:t>
      </w:r>
      <w:proofErr w:type="spellStart"/>
      <w:r w:rsidRPr="00F7488A">
        <w:rPr>
          <w:i/>
          <w:iCs/>
        </w:rPr>
        <w:t>Analysis</w:t>
      </w:r>
      <w:proofErr w:type="spellEnd"/>
      <w:r w:rsidRPr="00F7488A">
        <w:rPr>
          <w:i/>
          <w:iCs/>
        </w:rPr>
        <w:t>: Sierra Leone</w:t>
      </w:r>
      <w:r w:rsidRPr="00F7488A">
        <w:t xml:space="preserve"> (Análisis de la situación del país: Sierra Leona).</w:t>
      </w:r>
    </w:p>
  </w:footnote>
  <w:footnote w:id="50">
    <w:p w14:paraId="564F325B" w14:textId="77777777" w:rsidR="00B70A36" w:rsidRPr="00F7488A" w:rsidRDefault="00B70A36" w:rsidP="00B70A36">
      <w:pPr>
        <w:pStyle w:val="Textonotapie"/>
      </w:pPr>
      <w:r w:rsidRPr="00F7488A">
        <w:tab/>
      </w:r>
      <w:r w:rsidRPr="00F7488A">
        <w:rPr>
          <w:rStyle w:val="Refdenotaalpie"/>
        </w:rPr>
        <w:footnoteRef/>
      </w:r>
      <w:r w:rsidRPr="00F7488A">
        <w:tab/>
        <w:t>Estrategia Nacional de Salud Ambiental y Saneamiento 2015-2020.</w:t>
      </w:r>
    </w:p>
  </w:footnote>
  <w:footnote w:id="51">
    <w:p w14:paraId="374BB031" w14:textId="77777777" w:rsidR="00B70A36" w:rsidRPr="00F7488A" w:rsidRDefault="00B70A36" w:rsidP="00B70A36">
      <w:pPr>
        <w:pStyle w:val="Textonotapie"/>
      </w:pPr>
      <w:r w:rsidRPr="00F7488A">
        <w:tab/>
      </w:r>
      <w:r w:rsidRPr="00F7488A">
        <w:rPr>
          <w:rStyle w:val="Refdenotaalpie"/>
        </w:rPr>
        <w:footnoteRef/>
      </w:r>
      <w:r w:rsidRPr="00F7488A">
        <w:tab/>
        <w:t>Encuesta sobre Vivienda Integrada de Sierra Leona 2018.</w:t>
      </w:r>
    </w:p>
  </w:footnote>
  <w:footnote w:id="52">
    <w:p w14:paraId="6DB30730" w14:textId="77777777" w:rsidR="00B70A36" w:rsidRPr="00F7488A" w:rsidRDefault="00B70A36" w:rsidP="00B70A36">
      <w:pPr>
        <w:pStyle w:val="Textonotapie"/>
      </w:pPr>
      <w:r w:rsidRPr="00F7488A">
        <w:tab/>
      </w:r>
      <w:r w:rsidRPr="00F7488A">
        <w:rPr>
          <w:rStyle w:val="Refdenotaalpie"/>
        </w:rPr>
        <w:footnoteRef/>
      </w:r>
      <w:r w:rsidRPr="00F7488A">
        <w:tab/>
        <w:t>Informe resumido sobre las lecciones aprendidas de la respuesta al brote de la enfermedad por el virus del Ébola en Sierra Leona de mayo de 2014 a noviembre de 2015.</w:t>
      </w:r>
    </w:p>
  </w:footnote>
  <w:footnote w:id="53">
    <w:p w14:paraId="0827AFE8" w14:textId="77777777" w:rsidR="00B70A36" w:rsidRPr="00F7488A" w:rsidRDefault="00B70A36" w:rsidP="00B70A36">
      <w:pPr>
        <w:pStyle w:val="Textonotapie"/>
      </w:pPr>
      <w:r w:rsidRPr="00F7488A">
        <w:tab/>
      </w:r>
      <w:r w:rsidRPr="00F7488A">
        <w:rPr>
          <w:rStyle w:val="Refdenotaalpie"/>
        </w:rPr>
        <w:footnoteRef/>
      </w:r>
      <w:r w:rsidRPr="00F7488A">
        <w:tab/>
        <w:t>Informe nacional para el tercer ciclo del examen periódico universal.</w:t>
      </w:r>
    </w:p>
  </w:footnote>
  <w:footnote w:id="54">
    <w:p w14:paraId="7594074F" w14:textId="77777777" w:rsidR="00B70A36" w:rsidRPr="00F7488A" w:rsidRDefault="00B70A36" w:rsidP="00B70A36">
      <w:pPr>
        <w:pStyle w:val="Textonotapie"/>
      </w:pPr>
      <w:r w:rsidRPr="00F7488A">
        <w:tab/>
      </w:r>
      <w:r w:rsidRPr="00F7488A">
        <w:rPr>
          <w:rStyle w:val="Refdenotaalpie"/>
        </w:rPr>
        <w:footnoteRef/>
      </w:r>
      <w:r w:rsidRPr="00F7488A">
        <w:tab/>
        <w:t>Seguimiento del Desempeño a Medio Plazo del Ministerio de Salud y Saneamiento.</w:t>
      </w:r>
    </w:p>
  </w:footnote>
  <w:footnote w:id="55">
    <w:p w14:paraId="4AE94C19" w14:textId="77777777" w:rsidR="00B70A36" w:rsidRPr="00F7488A" w:rsidRDefault="00B70A36" w:rsidP="00B70A36">
      <w:pPr>
        <w:pStyle w:val="Textonotapie"/>
      </w:pPr>
      <w:r w:rsidRPr="00F7488A">
        <w:tab/>
      </w:r>
      <w:r w:rsidRPr="00F7488A">
        <w:rPr>
          <w:rStyle w:val="Refdenotaalpie"/>
        </w:rPr>
        <w:footnoteRef/>
      </w:r>
      <w:r w:rsidRPr="00F7488A">
        <w:tab/>
        <w:t>Ministerio de Finanzas, aviso público de 3 de marzo de 2021.</w:t>
      </w:r>
    </w:p>
  </w:footnote>
  <w:footnote w:id="56">
    <w:p w14:paraId="73193239" w14:textId="77777777" w:rsidR="00B70A36" w:rsidRPr="00F7488A" w:rsidRDefault="00B70A36" w:rsidP="00B70A36">
      <w:pPr>
        <w:pStyle w:val="Textonotapie"/>
      </w:pPr>
      <w:r w:rsidRPr="00F7488A">
        <w:tab/>
      </w:r>
      <w:r w:rsidRPr="00F7488A">
        <w:rPr>
          <w:rStyle w:val="Refdenotaalpie"/>
        </w:rPr>
        <w:footnoteRef/>
      </w:r>
      <w:r w:rsidRPr="00F7488A">
        <w:tab/>
        <w:t>Censo escolar anual de 2019.</w:t>
      </w:r>
    </w:p>
  </w:footnote>
  <w:footnote w:id="57">
    <w:p w14:paraId="28A89810" w14:textId="77777777" w:rsidR="00B70A36" w:rsidRPr="00F7488A" w:rsidRDefault="00B70A36" w:rsidP="00B70A36">
      <w:pPr>
        <w:pStyle w:val="Textonotapie"/>
      </w:pPr>
      <w:r w:rsidRPr="00F7488A">
        <w:tab/>
      </w:r>
      <w:r w:rsidRPr="00F7488A">
        <w:rPr>
          <w:rStyle w:val="Refdenotaalpie"/>
        </w:rPr>
        <w:footnoteRef/>
      </w:r>
      <w:r w:rsidRPr="00F7488A">
        <w:tab/>
        <w:t>Análisis del sector educativo de la República de Sierra Leona, 2020.</w:t>
      </w:r>
    </w:p>
  </w:footnote>
  <w:footnote w:id="58">
    <w:p w14:paraId="66DE7241" w14:textId="77777777" w:rsidR="00B70A36" w:rsidRPr="00F7488A" w:rsidRDefault="00B70A36" w:rsidP="00B70A36">
      <w:pPr>
        <w:pStyle w:val="Textonotapie"/>
      </w:pPr>
      <w:r w:rsidRPr="00F7488A">
        <w:tab/>
      </w:r>
      <w:r w:rsidRPr="00F7488A">
        <w:rPr>
          <w:rStyle w:val="Refdenotaalpie"/>
        </w:rPr>
        <w:footnoteRef/>
      </w:r>
      <w:r w:rsidRPr="00F7488A">
        <w:tab/>
        <w:t>Sierra Leona sufrió la epidemia de enfermedad por el virus del Ébola en 2014.</w:t>
      </w:r>
    </w:p>
  </w:footnote>
  <w:footnote w:id="59">
    <w:p w14:paraId="7ED21CA6" w14:textId="77777777" w:rsidR="00B70A36" w:rsidRPr="00F7488A" w:rsidRDefault="00B70A36" w:rsidP="00B70A36">
      <w:pPr>
        <w:pStyle w:val="Textonotapie"/>
      </w:pPr>
      <w:r w:rsidRPr="00F7488A">
        <w:tab/>
      </w:r>
      <w:r w:rsidRPr="00F7488A">
        <w:rPr>
          <w:rStyle w:val="Refdenotaalpie"/>
        </w:rPr>
        <w:footnoteRef/>
      </w:r>
      <w:r w:rsidRPr="00F7488A">
        <w:tab/>
        <w:t>El Rev. Raymond de Souza George es el actual Alto Consejero Presidencial y Embajador de Patrimonio y Asuntos Culturales en Sierra Leona.</w:t>
      </w:r>
    </w:p>
  </w:footnote>
  <w:footnote w:id="60">
    <w:p w14:paraId="5DA201DE" w14:textId="77777777" w:rsidR="00B70A36" w:rsidRPr="00F7488A" w:rsidRDefault="00B70A36" w:rsidP="00B70A36">
      <w:pPr>
        <w:pStyle w:val="Textonotapie"/>
      </w:pPr>
      <w:r w:rsidRPr="00F7488A">
        <w:tab/>
      </w:r>
      <w:r w:rsidRPr="00F7488A">
        <w:rPr>
          <w:rStyle w:val="Refdenotaalpie"/>
        </w:rPr>
        <w:footnoteRef/>
      </w:r>
      <w:r w:rsidRPr="00F7488A">
        <w:tab/>
        <w:t>Amara D. Turay (alias Kao Denero) es el actual Embajador para el Entretenimiento y la Inversión.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64D7" w14:textId="5D7DC68F" w:rsidR="00C55AF8" w:rsidRPr="00C55AF8" w:rsidRDefault="005E17E6">
    <w:pPr>
      <w:pStyle w:val="Encabezado"/>
    </w:pPr>
    <w:r>
      <w:fldChar w:fldCharType="begin"/>
    </w:r>
    <w:r>
      <w:instrText xml:space="preserve"> TITLE  \* MERGEFORMAT </w:instrText>
    </w:r>
    <w:r>
      <w:fldChar w:fldCharType="separate"/>
    </w:r>
    <w:r w:rsidR="002A145F">
      <w:t>E/C.12/</w:t>
    </w:r>
    <w:proofErr w:type="spellStart"/>
    <w:r w:rsidR="002A145F">
      <w:t>SLE</w:t>
    </w:r>
    <w:proofErr w:type="spellEnd"/>
    <w:r w:rsidR="002A145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E4B1" w14:textId="0CF45714" w:rsidR="00C55AF8" w:rsidRPr="00C55AF8" w:rsidRDefault="005E17E6" w:rsidP="00C55AF8">
    <w:pPr>
      <w:pStyle w:val="Encabezado"/>
      <w:jc w:val="right"/>
    </w:pPr>
    <w:r>
      <w:fldChar w:fldCharType="begin"/>
    </w:r>
    <w:r>
      <w:instrText xml:space="preserve"> TITLE  \* MERGEFORMAT </w:instrText>
    </w:r>
    <w:r>
      <w:fldChar w:fldCharType="separate"/>
    </w:r>
    <w:r w:rsidR="002A145F">
      <w:t>E/C.12/</w:t>
    </w:r>
    <w:proofErr w:type="spellStart"/>
    <w:r w:rsidR="002A145F">
      <w:t>SLE</w:t>
    </w:r>
    <w:proofErr w:type="spellEnd"/>
    <w:r w:rsidR="002A145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6874189">
    <w:abstractNumId w:val="23"/>
  </w:num>
  <w:num w:numId="2" w16cid:durableId="283654241">
    <w:abstractNumId w:val="16"/>
  </w:num>
  <w:num w:numId="3" w16cid:durableId="327903504">
    <w:abstractNumId w:val="25"/>
  </w:num>
  <w:num w:numId="4" w16cid:durableId="2062367514">
    <w:abstractNumId w:val="24"/>
  </w:num>
  <w:num w:numId="5" w16cid:durableId="1302691742">
    <w:abstractNumId w:val="20"/>
  </w:num>
  <w:num w:numId="6" w16cid:durableId="1314721150">
    <w:abstractNumId w:val="8"/>
  </w:num>
  <w:num w:numId="7" w16cid:durableId="763572311">
    <w:abstractNumId w:val="3"/>
  </w:num>
  <w:num w:numId="8" w16cid:durableId="993218230">
    <w:abstractNumId w:val="2"/>
  </w:num>
  <w:num w:numId="9" w16cid:durableId="1654523324">
    <w:abstractNumId w:val="1"/>
  </w:num>
  <w:num w:numId="10" w16cid:durableId="762145658">
    <w:abstractNumId w:val="0"/>
  </w:num>
  <w:num w:numId="11" w16cid:durableId="761680773">
    <w:abstractNumId w:val="9"/>
  </w:num>
  <w:num w:numId="12" w16cid:durableId="870798060">
    <w:abstractNumId w:val="7"/>
  </w:num>
  <w:num w:numId="13" w16cid:durableId="1307390757">
    <w:abstractNumId w:val="6"/>
  </w:num>
  <w:num w:numId="14" w16cid:durableId="1071539522">
    <w:abstractNumId w:val="5"/>
  </w:num>
  <w:num w:numId="15" w16cid:durableId="1087576443">
    <w:abstractNumId w:val="4"/>
  </w:num>
  <w:num w:numId="16" w16cid:durableId="180512747">
    <w:abstractNumId w:val="12"/>
  </w:num>
  <w:num w:numId="17" w16cid:durableId="1464274398">
    <w:abstractNumId w:val="23"/>
  </w:num>
  <w:num w:numId="18" w16cid:durableId="272324077">
    <w:abstractNumId w:val="16"/>
  </w:num>
  <w:num w:numId="19" w16cid:durableId="860972244">
    <w:abstractNumId w:val="12"/>
  </w:num>
  <w:num w:numId="20" w16cid:durableId="1488129782">
    <w:abstractNumId w:val="25"/>
  </w:num>
  <w:num w:numId="21" w16cid:durableId="1054155248">
    <w:abstractNumId w:val="24"/>
  </w:num>
  <w:num w:numId="22" w16cid:durableId="1272972532">
    <w:abstractNumId w:val="17"/>
  </w:num>
  <w:num w:numId="23" w16cid:durableId="1101989595">
    <w:abstractNumId w:val="17"/>
  </w:num>
  <w:num w:numId="24" w16cid:durableId="330259062">
    <w:abstractNumId w:val="20"/>
  </w:num>
  <w:num w:numId="25" w16cid:durableId="1242834742">
    <w:abstractNumId w:val="9"/>
  </w:num>
  <w:num w:numId="26" w16cid:durableId="1335106582">
    <w:abstractNumId w:val="7"/>
  </w:num>
  <w:num w:numId="27" w16cid:durableId="300229302">
    <w:abstractNumId w:val="6"/>
  </w:num>
  <w:num w:numId="28" w16cid:durableId="746808020">
    <w:abstractNumId w:val="5"/>
  </w:num>
  <w:num w:numId="29" w16cid:durableId="677317347">
    <w:abstractNumId w:val="4"/>
  </w:num>
  <w:num w:numId="30" w16cid:durableId="87316329">
    <w:abstractNumId w:val="8"/>
  </w:num>
  <w:num w:numId="31" w16cid:durableId="470178453">
    <w:abstractNumId w:val="3"/>
  </w:num>
  <w:num w:numId="32" w16cid:durableId="630475680">
    <w:abstractNumId w:val="2"/>
  </w:num>
  <w:num w:numId="33" w16cid:durableId="1734044375">
    <w:abstractNumId w:val="1"/>
  </w:num>
  <w:num w:numId="34" w16cid:durableId="607392774">
    <w:abstractNumId w:val="0"/>
  </w:num>
  <w:num w:numId="35" w16cid:durableId="1448085202">
    <w:abstractNumId w:val="15"/>
  </w:num>
  <w:num w:numId="36" w16cid:durableId="1412847215">
    <w:abstractNumId w:val="14"/>
  </w:num>
  <w:num w:numId="37" w16cid:durableId="582253037">
    <w:abstractNumId w:val="10"/>
  </w:num>
  <w:num w:numId="38" w16cid:durableId="1399982801">
    <w:abstractNumId w:val="19"/>
  </w:num>
  <w:num w:numId="39" w16cid:durableId="830408748">
    <w:abstractNumId w:val="18"/>
  </w:num>
  <w:num w:numId="40" w16cid:durableId="1121613888">
    <w:abstractNumId w:val="21"/>
  </w:num>
  <w:num w:numId="41" w16cid:durableId="320429471">
    <w:abstractNumId w:val="13"/>
  </w:num>
  <w:num w:numId="42" w16cid:durableId="1778059823">
    <w:abstractNumId w:val="22"/>
  </w:num>
  <w:num w:numId="43" w16cid:durableId="169758354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708"/>
    <w:rsid w:val="00006E48"/>
    <w:rsid w:val="00010F3B"/>
    <w:rsid w:val="00032D03"/>
    <w:rsid w:val="00040313"/>
    <w:rsid w:val="00060246"/>
    <w:rsid w:val="00080751"/>
    <w:rsid w:val="0008650D"/>
    <w:rsid w:val="00093664"/>
    <w:rsid w:val="000B57E7"/>
    <w:rsid w:val="000B751D"/>
    <w:rsid w:val="000D359E"/>
    <w:rsid w:val="000F09DF"/>
    <w:rsid w:val="000F61B2"/>
    <w:rsid w:val="001075E9"/>
    <w:rsid w:val="0011199B"/>
    <w:rsid w:val="00111D2C"/>
    <w:rsid w:val="00124543"/>
    <w:rsid w:val="00143FE5"/>
    <w:rsid w:val="00176E1A"/>
    <w:rsid w:val="00180183"/>
    <w:rsid w:val="00196389"/>
    <w:rsid w:val="001C5D0C"/>
    <w:rsid w:val="001C7A89"/>
    <w:rsid w:val="001D5569"/>
    <w:rsid w:val="001E719B"/>
    <w:rsid w:val="001F3EC3"/>
    <w:rsid w:val="00205748"/>
    <w:rsid w:val="00237FCC"/>
    <w:rsid w:val="00264B43"/>
    <w:rsid w:val="002967E3"/>
    <w:rsid w:val="002A145F"/>
    <w:rsid w:val="002A2EFC"/>
    <w:rsid w:val="002D16F0"/>
    <w:rsid w:val="002D5AAC"/>
    <w:rsid w:val="002D6470"/>
    <w:rsid w:val="002F2C89"/>
    <w:rsid w:val="00301299"/>
    <w:rsid w:val="00302E5D"/>
    <w:rsid w:val="00313431"/>
    <w:rsid w:val="00322004"/>
    <w:rsid w:val="003402C2"/>
    <w:rsid w:val="003538EB"/>
    <w:rsid w:val="00370A03"/>
    <w:rsid w:val="00372CF7"/>
    <w:rsid w:val="003770A4"/>
    <w:rsid w:val="00381C24"/>
    <w:rsid w:val="003958D0"/>
    <w:rsid w:val="003A445A"/>
    <w:rsid w:val="003D064D"/>
    <w:rsid w:val="003F40D8"/>
    <w:rsid w:val="0041031F"/>
    <w:rsid w:val="00433C77"/>
    <w:rsid w:val="00454E07"/>
    <w:rsid w:val="00462E79"/>
    <w:rsid w:val="004B19F2"/>
    <w:rsid w:val="0050108D"/>
    <w:rsid w:val="005016AF"/>
    <w:rsid w:val="0050517C"/>
    <w:rsid w:val="005076AF"/>
    <w:rsid w:val="005206E4"/>
    <w:rsid w:val="0052159C"/>
    <w:rsid w:val="00572E19"/>
    <w:rsid w:val="00581F67"/>
    <w:rsid w:val="005D6F7D"/>
    <w:rsid w:val="005E17E6"/>
    <w:rsid w:val="005F0B42"/>
    <w:rsid w:val="0061107C"/>
    <w:rsid w:val="00616F73"/>
    <w:rsid w:val="00632A31"/>
    <w:rsid w:val="00634827"/>
    <w:rsid w:val="0064421C"/>
    <w:rsid w:val="00680193"/>
    <w:rsid w:val="00696E37"/>
    <w:rsid w:val="006B22A6"/>
    <w:rsid w:val="006E27AD"/>
    <w:rsid w:val="006F35EE"/>
    <w:rsid w:val="00710CF8"/>
    <w:rsid w:val="00716C6F"/>
    <w:rsid w:val="007253D5"/>
    <w:rsid w:val="007464CC"/>
    <w:rsid w:val="007B0721"/>
    <w:rsid w:val="007B14CA"/>
    <w:rsid w:val="007D6339"/>
    <w:rsid w:val="00802199"/>
    <w:rsid w:val="00825833"/>
    <w:rsid w:val="00830923"/>
    <w:rsid w:val="00834B71"/>
    <w:rsid w:val="00856420"/>
    <w:rsid w:val="0086445C"/>
    <w:rsid w:val="008915C8"/>
    <w:rsid w:val="00893AAF"/>
    <w:rsid w:val="008A08D7"/>
    <w:rsid w:val="008A6906"/>
    <w:rsid w:val="008E4B96"/>
    <w:rsid w:val="00906890"/>
    <w:rsid w:val="009179A3"/>
    <w:rsid w:val="00951972"/>
    <w:rsid w:val="00987051"/>
    <w:rsid w:val="00995C91"/>
    <w:rsid w:val="009D2CFA"/>
    <w:rsid w:val="009E78C4"/>
    <w:rsid w:val="00A00CB2"/>
    <w:rsid w:val="00A10106"/>
    <w:rsid w:val="00A13708"/>
    <w:rsid w:val="00A500CE"/>
    <w:rsid w:val="00A531CD"/>
    <w:rsid w:val="00A645FF"/>
    <w:rsid w:val="00A917B3"/>
    <w:rsid w:val="00A96F95"/>
    <w:rsid w:val="00AB4B51"/>
    <w:rsid w:val="00AB4EB2"/>
    <w:rsid w:val="00AC58DC"/>
    <w:rsid w:val="00AF0918"/>
    <w:rsid w:val="00AF4AA5"/>
    <w:rsid w:val="00B05775"/>
    <w:rsid w:val="00B10CC7"/>
    <w:rsid w:val="00B62458"/>
    <w:rsid w:val="00B6350A"/>
    <w:rsid w:val="00B70A36"/>
    <w:rsid w:val="00B771DD"/>
    <w:rsid w:val="00B82270"/>
    <w:rsid w:val="00BC161C"/>
    <w:rsid w:val="00BD33EE"/>
    <w:rsid w:val="00BD40C8"/>
    <w:rsid w:val="00C377E3"/>
    <w:rsid w:val="00C55AF8"/>
    <w:rsid w:val="00C60F0C"/>
    <w:rsid w:val="00C805C9"/>
    <w:rsid w:val="00CA1679"/>
    <w:rsid w:val="00CA4C02"/>
    <w:rsid w:val="00CB0024"/>
    <w:rsid w:val="00CE34F5"/>
    <w:rsid w:val="00D738F9"/>
    <w:rsid w:val="00D759B3"/>
    <w:rsid w:val="00D8268D"/>
    <w:rsid w:val="00D90138"/>
    <w:rsid w:val="00D97076"/>
    <w:rsid w:val="00DC6544"/>
    <w:rsid w:val="00E3587C"/>
    <w:rsid w:val="00E41BB8"/>
    <w:rsid w:val="00E73F76"/>
    <w:rsid w:val="00EF1360"/>
    <w:rsid w:val="00EF3220"/>
    <w:rsid w:val="00F33585"/>
    <w:rsid w:val="00F35E56"/>
    <w:rsid w:val="00F64DD4"/>
    <w:rsid w:val="00F85AAE"/>
    <w:rsid w:val="00F8661A"/>
    <w:rsid w:val="00FA71A7"/>
    <w:rsid w:val="00FB0D89"/>
    <w:rsid w:val="00FB4D5B"/>
    <w:rsid w:val="00FB6CD8"/>
    <w:rsid w:val="00FC305A"/>
    <w:rsid w:val="00FC705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378A9"/>
  <w15:docId w15:val="{5F09ED3E-A0B6-41FF-9D76-9FC635BD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B70A36"/>
    <w:rPr>
      <w:rFonts w:cs="Arial"/>
      <w:bCs/>
      <w:iCs/>
      <w:szCs w:val="28"/>
      <w:lang w:val="es-ES" w:eastAsia="es-ES"/>
    </w:rPr>
  </w:style>
  <w:style w:type="character" w:customStyle="1" w:styleId="Ttulo3Car">
    <w:name w:val="Título 3 Car"/>
    <w:basedOn w:val="Fuentedeprrafopredeter"/>
    <w:link w:val="Ttulo3"/>
    <w:semiHidden/>
    <w:rsid w:val="00B70A36"/>
    <w:rPr>
      <w:rFonts w:ascii="Arial" w:hAnsi="Arial" w:cs="Arial"/>
      <w:b/>
      <w:bCs/>
      <w:sz w:val="26"/>
      <w:szCs w:val="26"/>
      <w:lang w:val="es-ES" w:eastAsia="es-ES"/>
    </w:rPr>
  </w:style>
  <w:style w:type="character" w:customStyle="1" w:styleId="Ttulo4Car">
    <w:name w:val="Título 4 Car"/>
    <w:basedOn w:val="Fuentedeprrafopredeter"/>
    <w:link w:val="Ttulo4"/>
    <w:semiHidden/>
    <w:rsid w:val="00B70A36"/>
    <w:rPr>
      <w:b/>
      <w:bCs/>
      <w:sz w:val="28"/>
      <w:szCs w:val="28"/>
      <w:lang w:val="es-ES" w:eastAsia="es-ES"/>
    </w:rPr>
  </w:style>
  <w:style w:type="character" w:customStyle="1" w:styleId="Ttulo5Car">
    <w:name w:val="Título 5 Car"/>
    <w:basedOn w:val="Fuentedeprrafopredeter"/>
    <w:link w:val="Ttulo5"/>
    <w:semiHidden/>
    <w:rsid w:val="00B70A36"/>
    <w:rPr>
      <w:b/>
      <w:bCs/>
      <w:i/>
      <w:iCs/>
      <w:sz w:val="26"/>
      <w:szCs w:val="26"/>
      <w:lang w:val="es-ES" w:eastAsia="es-ES"/>
    </w:rPr>
  </w:style>
  <w:style w:type="character" w:customStyle="1" w:styleId="Ttulo6Car">
    <w:name w:val="Título 6 Car"/>
    <w:basedOn w:val="Fuentedeprrafopredeter"/>
    <w:link w:val="Ttulo6"/>
    <w:semiHidden/>
    <w:rsid w:val="00B70A36"/>
    <w:rPr>
      <w:b/>
      <w:bCs/>
      <w:sz w:val="22"/>
      <w:szCs w:val="22"/>
      <w:lang w:val="es-ES" w:eastAsia="es-ES"/>
    </w:rPr>
  </w:style>
  <w:style w:type="character" w:customStyle="1" w:styleId="Ttulo7Car">
    <w:name w:val="Título 7 Car"/>
    <w:basedOn w:val="Fuentedeprrafopredeter"/>
    <w:link w:val="Ttulo7"/>
    <w:semiHidden/>
    <w:rsid w:val="00B70A36"/>
    <w:rPr>
      <w:sz w:val="24"/>
      <w:szCs w:val="24"/>
      <w:lang w:val="es-ES" w:eastAsia="es-ES"/>
    </w:rPr>
  </w:style>
  <w:style w:type="character" w:customStyle="1" w:styleId="Ttulo8Car">
    <w:name w:val="Título 8 Car"/>
    <w:basedOn w:val="Fuentedeprrafopredeter"/>
    <w:link w:val="Ttulo8"/>
    <w:semiHidden/>
    <w:rsid w:val="00B70A36"/>
    <w:rPr>
      <w:i/>
      <w:iCs/>
      <w:sz w:val="24"/>
      <w:szCs w:val="24"/>
      <w:lang w:val="es-ES" w:eastAsia="es-ES"/>
    </w:rPr>
  </w:style>
  <w:style w:type="character" w:customStyle="1" w:styleId="Ttulo9Car">
    <w:name w:val="Título 9 Car"/>
    <w:basedOn w:val="Fuentedeprrafopredeter"/>
    <w:link w:val="Ttulo9"/>
    <w:semiHidden/>
    <w:rsid w:val="00B70A36"/>
    <w:rPr>
      <w:rFonts w:ascii="Arial" w:hAnsi="Arial" w:cs="Arial"/>
      <w:sz w:val="22"/>
      <w:szCs w:val="22"/>
      <w:lang w:val="es-ES" w:eastAsia="es-ES"/>
    </w:rPr>
  </w:style>
  <w:style w:type="character" w:styleId="Ttulodellibro">
    <w:name w:val="Book Title"/>
    <w:basedOn w:val="Fuentedeprrafopredeter"/>
    <w:uiPriority w:val="33"/>
    <w:semiHidden/>
    <w:rsid w:val="00B70A36"/>
    <w:rPr>
      <w:b/>
      <w:bCs/>
      <w:smallCaps/>
      <w:spacing w:val="5"/>
    </w:rPr>
  </w:style>
  <w:style w:type="paragraph" w:styleId="Revisin">
    <w:name w:val="Revision"/>
    <w:hidden/>
    <w:uiPriority w:val="99"/>
    <w:semiHidden/>
    <w:rsid w:val="00B70A36"/>
    <w:rPr>
      <w:lang w:val="en-GB" w:eastAsia="en-US"/>
    </w:rPr>
  </w:style>
  <w:style w:type="character" w:styleId="Refdecomentario">
    <w:name w:val="annotation reference"/>
    <w:basedOn w:val="Fuentedeprrafopredeter"/>
    <w:uiPriority w:val="99"/>
    <w:semiHidden/>
    <w:unhideWhenUsed/>
    <w:rsid w:val="00B70A36"/>
    <w:rPr>
      <w:sz w:val="16"/>
      <w:szCs w:val="16"/>
    </w:rPr>
  </w:style>
  <w:style w:type="paragraph" w:styleId="Textocomentario">
    <w:name w:val="annotation text"/>
    <w:basedOn w:val="Normal"/>
    <w:link w:val="TextocomentarioCar"/>
    <w:uiPriority w:val="99"/>
    <w:semiHidden/>
    <w:unhideWhenUsed/>
    <w:rsid w:val="00B70A3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70A36"/>
    <w:rPr>
      <w:lang w:val="en-GB" w:eastAsia="en-US"/>
    </w:rPr>
  </w:style>
  <w:style w:type="paragraph" w:styleId="Asuntodelcomentario">
    <w:name w:val="annotation subject"/>
    <w:basedOn w:val="Textocomentario"/>
    <w:next w:val="Textocomentario"/>
    <w:link w:val="AsuntodelcomentarioCar"/>
    <w:uiPriority w:val="99"/>
    <w:semiHidden/>
    <w:unhideWhenUsed/>
    <w:rsid w:val="00B70A36"/>
    <w:rPr>
      <w:b/>
      <w:bCs/>
    </w:rPr>
  </w:style>
  <w:style w:type="character" w:customStyle="1" w:styleId="AsuntodelcomentarioCar">
    <w:name w:val="Asunto del comentario Car"/>
    <w:basedOn w:val="TextocomentarioCar"/>
    <w:link w:val="Asuntodelcomentario"/>
    <w:uiPriority w:val="99"/>
    <w:semiHidden/>
    <w:rsid w:val="00B70A36"/>
    <w:rPr>
      <w:b/>
      <w:bCs/>
      <w:lang w:val="en-GB" w:eastAsia="en-US"/>
    </w:rPr>
  </w:style>
  <w:style w:type="character" w:styleId="Mencinsinresolver">
    <w:name w:val="Unresolved Mention"/>
    <w:basedOn w:val="Fuentedeprrafopredeter"/>
    <w:uiPriority w:val="99"/>
    <w:semiHidden/>
    <w:unhideWhenUsed/>
    <w:rsid w:val="00B70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44</Pages>
  <Words>26848</Words>
  <Characters>139805</Characters>
  <Application>Microsoft Office Word</Application>
  <DocSecurity>0</DocSecurity>
  <Lines>2124</Lines>
  <Paragraphs>436</Paragraphs>
  <ScaleCrop>false</ScaleCrop>
  <HeadingPairs>
    <vt:vector size="2" baseType="variant">
      <vt:variant>
        <vt:lpstr>Título</vt:lpstr>
      </vt:variant>
      <vt:variant>
        <vt:i4>1</vt:i4>
      </vt:variant>
    </vt:vector>
  </HeadingPairs>
  <TitlesOfParts>
    <vt:vector size="1" baseType="lpstr">
      <vt:lpstr>E/C.12/SLE/1</vt:lpstr>
    </vt:vector>
  </TitlesOfParts>
  <Company/>
  <LinksUpToDate>false</LinksUpToDate>
  <CharactersWithSpaces>166437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E/C.12/SLE/1</dc:title>
  <dc:subject/>
  <dc:creator>Carlos Ariel BRAGUNDE LOPEZ</dc:creator>
  <cp:keywords/>
  <cp:lastModifiedBy>Carlos Bragunde Lopez</cp:lastModifiedBy>
  <cp:revision>2</cp:revision>
  <cp:lastPrinted>2023-07-05T11:25:00Z</cp:lastPrinted>
  <dcterms:created xsi:type="dcterms:W3CDTF">2023-07-07T12:39:00Z</dcterms:created>
  <dcterms:modified xsi:type="dcterms:W3CDTF">2023-07-07T12:39:00Z</dcterms:modified>
</cp:coreProperties>
</file>