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DD4FD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DD4FD2" w:rsidRDefault="00DD4F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DD4FD2" w:rsidRDefault="00DD4FD2">
            <w:pPr>
              <w:jc w:val="right"/>
              <w:rPr>
                <w:sz w:val="2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CAT</w:t>
            </w:r>
            <w:r>
              <w:rPr>
                <w:sz w:val="20"/>
                <w:lang w:val="en-US"/>
              </w:rPr>
              <w:t>/</w:t>
            </w:r>
            <w:r>
              <w:rPr>
                <w:sz w:val="20"/>
                <w:lang w:val="en-US"/>
              </w:rPr>
              <w:fldChar w:fldCharType="begin"/>
            </w:r>
            <w:r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>
              <w:rPr>
                <w:sz w:val="20"/>
                <w:lang w:val="en-US"/>
              </w:rPr>
              <w:fldChar w:fldCharType="separate"/>
            </w:r>
            <w:r>
              <w:rPr>
                <w:sz w:val="20"/>
                <w:lang w:val="en-US"/>
              </w:rPr>
              <w:t>C/SR.901</w:t>
            </w:r>
            <w:r>
              <w:rPr>
                <w:sz w:val="20"/>
                <w:lang w:val="en-US"/>
              </w:rPr>
              <w:fldChar w:fldCharType="end"/>
            </w:r>
          </w:p>
        </w:tc>
      </w:tr>
      <w:tr w:rsidR="00DD4FD2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DD4FD2" w:rsidRDefault="00DD4FD2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DD4FD2" w:rsidRDefault="00DD4FD2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DD4FD2" w:rsidRDefault="00DD4FD2">
            <w:pPr>
              <w:spacing w:before="240" w:after="0"/>
              <w:rPr>
                <w:sz w:val="20"/>
              </w:rPr>
            </w:pPr>
            <w:r>
              <w:rPr>
                <w:sz w:val="20"/>
                <w:lang w:val="en-US"/>
              </w:rPr>
              <w:t>Distr</w:t>
            </w:r>
            <w:r>
              <w:rPr>
                <w:sz w:val="20"/>
              </w:rPr>
              <w:t xml:space="preserve">.: </w:t>
            </w:r>
            <w:bookmarkStart w:id="0" w:name="ПолеСоСписком1"/>
            <w:r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sz w:val="20"/>
              </w:rPr>
              <w:instrText xml:space="preserve"> </w:instrText>
            </w:r>
            <w:r>
              <w:rPr>
                <w:sz w:val="20"/>
                <w:lang w:val="en-US"/>
              </w:rPr>
              <w:instrText>FORMDROPDOWN</w:instrText>
            </w:r>
            <w:r>
              <w:rPr>
                <w:sz w:val="20"/>
              </w:rPr>
              <w:instrText xml:space="preserve"> </w:instrText>
            </w:r>
            <w:r>
              <w:rPr>
                <w:sz w:val="20"/>
                <w:lang w:val="en-US"/>
              </w:rPr>
            </w:r>
            <w:r>
              <w:rPr>
                <w:sz w:val="20"/>
                <w:lang w:val="en-US"/>
              </w:rPr>
              <w:fldChar w:fldCharType="end"/>
            </w:r>
            <w:bookmarkEnd w:id="0"/>
          </w:p>
          <w:p w:rsidR="00DD4FD2" w:rsidRDefault="00C74F54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t>15 March 2010</w:t>
            </w:r>
          </w:p>
          <w:p w:rsidR="00DD4FD2" w:rsidRDefault="00DD4FD2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t>Russian</w:t>
            </w:r>
          </w:p>
          <w:p w:rsidR="00DD4FD2" w:rsidRDefault="00DD4FD2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t>Original</w:t>
            </w:r>
            <w:r>
              <w:rPr>
                <w:sz w:val="20"/>
              </w:rPr>
              <w:t xml:space="preserve">: </w:t>
            </w:r>
            <w:bookmarkStart w:id="1" w:name="ПолеСоСписком2"/>
            <w:r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sz w:val="20"/>
              </w:rPr>
              <w:instrText xml:space="preserve"> </w:instrText>
            </w:r>
            <w:r>
              <w:rPr>
                <w:sz w:val="20"/>
                <w:lang w:val="en-US"/>
              </w:rPr>
              <w:instrText>FORMDROPDOWN</w:instrText>
            </w:r>
            <w:r>
              <w:rPr>
                <w:sz w:val="20"/>
              </w:rPr>
              <w:instrText xml:space="preserve"> </w:instrText>
            </w:r>
            <w:r>
              <w:rPr>
                <w:sz w:val="20"/>
                <w:lang w:val="en-US"/>
              </w:rPr>
            </w:r>
            <w:r>
              <w:rPr>
                <w:sz w:val="20"/>
                <w:lang w:val="en-US"/>
              </w:rPr>
              <w:fldChar w:fldCharType="end"/>
            </w:r>
            <w:bookmarkEnd w:id="1"/>
          </w:p>
          <w:p w:rsidR="00DD4FD2" w:rsidRDefault="00DD4FD2"/>
        </w:tc>
      </w:tr>
    </w:tbl>
    <w:p w:rsidR="00DD4FD2" w:rsidRDefault="00DD4FD2">
      <w:pPr>
        <w:spacing w:before="120" w:line="240" w:lineRule="auto"/>
        <w:rPr>
          <w:b/>
          <w:sz w:val="24"/>
        </w:rPr>
      </w:pPr>
      <w:r>
        <w:rPr>
          <w:b/>
          <w:sz w:val="24"/>
        </w:rPr>
        <w:t>Комитет против пыток</w:t>
      </w:r>
    </w:p>
    <w:p w:rsidR="00DD4FD2" w:rsidRDefault="00DD4FD2">
      <w:pPr>
        <w:spacing w:line="240" w:lineRule="auto"/>
        <w:rPr>
          <w:b/>
        </w:rPr>
      </w:pPr>
      <w:r>
        <w:rPr>
          <w:b/>
        </w:rPr>
        <w:t>Сорок третья сессия</w:t>
      </w:r>
    </w:p>
    <w:p w:rsidR="00DD4FD2" w:rsidRDefault="00DD4FD2">
      <w:pPr>
        <w:spacing w:before="120" w:line="240" w:lineRule="auto"/>
      </w:pPr>
      <w:r>
        <w:rPr>
          <w:b/>
        </w:rPr>
        <w:t>Краткий (частичный)</w:t>
      </w:r>
      <w:r w:rsidRPr="00513975">
        <w:rPr>
          <w:rStyle w:val="FootnoteReference"/>
          <w:szCs w:val="18"/>
          <w:vertAlign w:val="baseline"/>
        </w:rPr>
        <w:footnoteReference w:customMarkFollows="1" w:id="1"/>
        <w:t>*</w:t>
      </w:r>
      <w:r>
        <w:t xml:space="preserve"> </w:t>
      </w:r>
      <w:r>
        <w:rPr>
          <w:b/>
        </w:rPr>
        <w:t xml:space="preserve">отчет о 901-м заседании, </w:t>
      </w:r>
      <w:r>
        <w:rPr>
          <w:b/>
        </w:rPr>
        <w:br/>
      </w:r>
      <w:r>
        <w:t>состоявшемся во Дворце Вильсон</w:t>
      </w:r>
      <w:r w:rsidR="007D0A84">
        <w:t>а</w:t>
      </w:r>
      <w:r>
        <w:t xml:space="preserve"> в Женеве </w:t>
      </w:r>
      <w:r>
        <w:br/>
        <w:t>в среду, 4 ноября 2009 года, в 15 ч. 00 м.</w:t>
      </w:r>
    </w:p>
    <w:p w:rsidR="00DD4FD2" w:rsidRDefault="00DD4FD2">
      <w:pPr>
        <w:spacing w:before="120" w:line="240" w:lineRule="auto"/>
        <w:rPr>
          <w:lang w:val="en-US"/>
        </w:rPr>
      </w:pPr>
      <w:r>
        <w:rPr>
          <w:i/>
        </w:rPr>
        <w:t xml:space="preserve">Председатель:  </w:t>
      </w:r>
      <w:r>
        <w:t>М. Гроссман</w:t>
      </w:r>
    </w:p>
    <w:p w:rsidR="00DD4FD2" w:rsidRDefault="00DD4FD2">
      <w:pPr>
        <w:suppressAutoHyphens/>
        <w:spacing w:before="360" w:after="240" w:line="240" w:lineRule="auto"/>
        <w:rPr>
          <w:sz w:val="28"/>
          <w:szCs w:val="28"/>
        </w:rPr>
      </w:pPr>
      <w:r>
        <w:rPr>
          <w:sz w:val="28"/>
          <w:szCs w:val="28"/>
        </w:rPr>
        <w:t>Содержание</w:t>
      </w:r>
    </w:p>
    <w:p w:rsidR="00DD4FD2" w:rsidRDefault="00DD4FD2">
      <w:pPr>
        <w:pStyle w:val="SingleTxtGR"/>
      </w:pPr>
      <w:r>
        <w:t>Рассмотрение докладов, представленных государствами-участниками в соо</w:t>
      </w:r>
      <w:r>
        <w:t>т</w:t>
      </w:r>
      <w:r>
        <w:t>ветствии со статьей 19 Конвенции</w:t>
      </w:r>
      <w:r w:rsidRPr="00C74F54">
        <w:rPr>
          <w:i/>
        </w:rPr>
        <w:t xml:space="preserve"> (продолжение)</w:t>
      </w:r>
    </w:p>
    <w:p w:rsidR="00DD4FD2" w:rsidRDefault="00DD4FD2">
      <w:pPr>
        <w:pStyle w:val="SingleTxtGR"/>
      </w:pPr>
      <w:r>
        <w:rPr>
          <w:i/>
        </w:rPr>
        <w:tab/>
        <w:t xml:space="preserve">Второй периодический доклад Словакии </w:t>
      </w:r>
      <w:r w:rsidRPr="00C74F54">
        <w:rPr>
          <w:i/>
        </w:rPr>
        <w:t>(продолжение)</w:t>
      </w:r>
    </w:p>
    <w:p w:rsidR="00DD4FD2" w:rsidRDefault="00DD4FD2" w:rsidP="00513975">
      <w:pPr>
        <w:pStyle w:val="SingleTxtGR"/>
        <w:pageBreakBefore/>
        <w:rPr>
          <w:i/>
        </w:rPr>
      </w:pPr>
      <w:r>
        <w:rPr>
          <w:i/>
        </w:rPr>
        <w:t>Заседание открывается в 15 ч. 05 м.</w:t>
      </w:r>
    </w:p>
    <w:p w:rsidR="00DD4FD2" w:rsidRDefault="00DD4FD2">
      <w:pPr>
        <w:pStyle w:val="H23GR"/>
        <w:rPr>
          <w:b w:val="0"/>
        </w:rPr>
      </w:pPr>
      <w:r>
        <w:tab/>
      </w:r>
      <w:r>
        <w:tab/>
        <w:t xml:space="preserve">Рассмотрение докладов, представленных государствами-участниками в соответствии со статьей 19 Конвенции </w:t>
      </w:r>
      <w:r>
        <w:rPr>
          <w:b w:val="0"/>
        </w:rPr>
        <w:t>(пункт 5 повестки дня) 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DD4FD2" w:rsidRDefault="00DD4FD2">
      <w:pPr>
        <w:pStyle w:val="SingleTxtGR"/>
      </w:pPr>
      <w:r>
        <w:rPr>
          <w:rStyle w:val="H4GR"/>
        </w:rPr>
        <w:t xml:space="preserve">Второй периодический доклад Словакии </w:t>
      </w:r>
      <w:r>
        <w:t>(CAT/C/SVK/2; CAT/C/SVK/Q/2; CAT/C/SVK/Q/2/Add.1 (документ распространен только на английском языке); HRI/CORE/1/Add.120) (</w:t>
      </w:r>
      <w:r>
        <w:rPr>
          <w:i/>
        </w:rPr>
        <w:t>продолжение</w:t>
      </w:r>
      <w:r>
        <w:t>)</w:t>
      </w:r>
    </w:p>
    <w:p w:rsidR="00DD4FD2" w:rsidRDefault="00DD4FD2">
      <w:pPr>
        <w:pStyle w:val="SingleTxtGR"/>
      </w:pPr>
      <w:r>
        <w:t>1.</w:t>
      </w:r>
      <w:r>
        <w:tab/>
      </w:r>
      <w:r w:rsidRPr="007D0A84">
        <w:rPr>
          <w:i/>
        </w:rPr>
        <w:t>По приглашению Председателя словацкая делегация занимает место за столом Комитета.</w:t>
      </w:r>
    </w:p>
    <w:p w:rsidR="00DD4FD2" w:rsidRDefault="00DD4FD2">
      <w:pPr>
        <w:pStyle w:val="SingleTxtGR"/>
      </w:pPr>
      <w:r>
        <w:t>2.</w:t>
      </w:r>
      <w:r>
        <w:tab/>
      </w:r>
      <w:r>
        <w:rPr>
          <w:b/>
        </w:rPr>
        <w:t xml:space="preserve">Г-н Судор </w:t>
      </w:r>
      <w:r>
        <w:t>(Словакия), объясняя отсутствие упоминания о дискримин</w:t>
      </w:r>
      <w:r>
        <w:t>а</w:t>
      </w:r>
      <w:r>
        <w:t>ции в определении пыток, содержащемся в словацком Уголовном кодексе, гов</w:t>
      </w:r>
      <w:r>
        <w:t>о</w:t>
      </w:r>
      <w:r>
        <w:t>рит, что этот аспект определения уже охвачен во внутреннем праве, поскольку словацкая Конституция гарантирует равенство всех людей и запрещает любую дискриминацию, основанную на каком бы то ни было мотиве; именно по этой причине законодательный орган не счел целесообразным включать этот мотив в определение пыток, которое фигурирует в Уголовном кодексе. Словацкие вл</w:t>
      </w:r>
      <w:r>
        <w:t>а</w:t>
      </w:r>
      <w:r>
        <w:t>сти считают соответственно, что внутреннее законодательство полностью соо</w:t>
      </w:r>
      <w:r>
        <w:t>т</w:t>
      </w:r>
      <w:r>
        <w:t xml:space="preserve">ветствует статье 1 Конвенции. </w:t>
      </w:r>
    </w:p>
    <w:p w:rsidR="00DD4FD2" w:rsidRDefault="00DD4FD2">
      <w:pPr>
        <w:pStyle w:val="SingleTxtGR"/>
      </w:pPr>
      <w:r>
        <w:t>3.</w:t>
      </w:r>
      <w:r>
        <w:tab/>
        <w:t>В отношении вопроса об ответственности лиц, являющихся соучастник</w:t>
      </w:r>
      <w:r>
        <w:t>а</w:t>
      </w:r>
      <w:r>
        <w:t>ми актов пыток, г-н Судор указывает, что любое лицо, которое прямо или ко</w:t>
      </w:r>
      <w:r>
        <w:t>с</w:t>
      </w:r>
      <w:r>
        <w:t>венно участвовало в совершении актов пыток или жестокого обращения путем снабжения орудиями пыток или предметами, которые могут быть использованы с этой целью, обязывало или убеждало третьих лиц совершать подобные акты или участвовало в них определенным образом, несет ответственность перед з</w:t>
      </w:r>
      <w:r>
        <w:t>а</w:t>
      </w:r>
      <w:r>
        <w:t>коном и подвергается уголовному преследованию. И наконец, г-н Судор нап</w:t>
      </w:r>
      <w:r>
        <w:t>о</w:t>
      </w:r>
      <w:r>
        <w:t>минает, что в соответствии с внутренним законодательством ни одно лицо не может быть выслано в страну, где ему может угрожать опасность быть подвер</w:t>
      </w:r>
      <w:r>
        <w:t>г</w:t>
      </w:r>
      <w:r>
        <w:t>нутым пыткам или жестокому обращению в силу его расового или этнич</w:t>
      </w:r>
      <w:r>
        <w:t>е</w:t>
      </w:r>
      <w:r>
        <w:t xml:space="preserve">ского происхождения или его политических или религиозных убеждений. </w:t>
      </w:r>
    </w:p>
    <w:p w:rsidR="00DD4FD2" w:rsidRDefault="00DD4FD2">
      <w:pPr>
        <w:pStyle w:val="SingleTxtGR"/>
      </w:pPr>
      <w:r>
        <w:t>4.</w:t>
      </w:r>
      <w:r>
        <w:tab/>
      </w:r>
      <w:r>
        <w:rPr>
          <w:b/>
        </w:rPr>
        <w:t>Г-н Цсеми</w:t>
      </w:r>
      <w:r>
        <w:t xml:space="preserve"> (Словакия) говорит, что любое лицо может воспользоваться услугами общественного защитника, и соответственно в момент высылки л</w:t>
      </w:r>
      <w:r>
        <w:t>ю</w:t>
      </w:r>
      <w:r>
        <w:t>бой иностранец или проситель убежища, который боится быть подвергнутым пыткам в своей стране в случае высылки, может просить общественного з</w:t>
      </w:r>
      <w:r>
        <w:t>а</w:t>
      </w:r>
      <w:r>
        <w:t>щитника оказать ему помощь в подготовке ходатайства против решения о в</w:t>
      </w:r>
      <w:r>
        <w:t>ы</w:t>
      </w:r>
      <w:r>
        <w:t>сылке, принятого в его отношении. Кроме того, иностранцы, которые желают опротестовать решение о высылке, имеют доступ к различным средствам обж</w:t>
      </w:r>
      <w:r>
        <w:t>а</w:t>
      </w:r>
      <w:r>
        <w:t>лования и могут доходить до Верховного суда при условии, что данное ходата</w:t>
      </w:r>
      <w:r>
        <w:t>й</w:t>
      </w:r>
      <w:r>
        <w:t>ство должно быть подготовлено в течение 15 дней после уведомления о соо</w:t>
      </w:r>
      <w:r>
        <w:t>т</w:t>
      </w:r>
      <w:r>
        <w:t>ветствующем решении. Законом № 48/2002 об убежище предусматривается, что просители убежища, ходатайства которых были отклонены и которые желают подготовить обжалование, пользуются услугами адвоката, который бесплатно предоставл</w:t>
      </w:r>
      <w:r>
        <w:t>я</w:t>
      </w:r>
      <w:r>
        <w:t>ется в их распоряжение Министерством юстиции.</w:t>
      </w:r>
    </w:p>
    <w:p w:rsidR="00DD4FD2" w:rsidRDefault="00DD4FD2">
      <w:pPr>
        <w:pStyle w:val="SingleTxtGR"/>
      </w:pPr>
      <w:r>
        <w:t>5.</w:t>
      </w:r>
      <w:r>
        <w:tab/>
        <w:t>Поскольку Словакия является участником Шенгенского соглашения, п</w:t>
      </w:r>
      <w:r>
        <w:t>о</w:t>
      </w:r>
      <w:r>
        <w:t>граничники обязаны применять Кодекс сообщества, касающийся режима пер</w:t>
      </w:r>
      <w:r>
        <w:t>е</w:t>
      </w:r>
      <w:r>
        <w:t>сечения лицами границ (Шенгенский пограничный кодекс). Любое лицо может обратиться с просьбой о международной защите или убежище с момента своего прибытия на пограничный пункт, а процедура подачи прошения о предоставл</w:t>
      </w:r>
      <w:r>
        <w:t>е</w:t>
      </w:r>
      <w:r>
        <w:t>нии убежища начинает действовать с того момента, когда иностранец одн</w:t>
      </w:r>
      <w:r>
        <w:t>о</w:t>
      </w:r>
      <w:r>
        <w:t>значно заявил о своем намерении просить Сл</w:t>
      </w:r>
      <w:r>
        <w:t>о</w:t>
      </w:r>
      <w:r>
        <w:t xml:space="preserve">вакию о защите. </w:t>
      </w:r>
    </w:p>
    <w:p w:rsidR="00DD4FD2" w:rsidRDefault="00DD4FD2">
      <w:pPr>
        <w:pStyle w:val="SingleTxtGR"/>
      </w:pPr>
      <w:r>
        <w:t>6.</w:t>
      </w:r>
      <w:r>
        <w:tab/>
      </w:r>
      <w:r>
        <w:rPr>
          <w:b/>
        </w:rPr>
        <w:t xml:space="preserve">Г-жа Возариова </w:t>
      </w:r>
      <w:r>
        <w:t>(Словакия) указывает, что в 2009 году восемь просит</w:t>
      </w:r>
      <w:r>
        <w:t>е</w:t>
      </w:r>
      <w:r>
        <w:t>лей убежища получили статус беженцев, а 44 лицам, которые не соответствов</w:t>
      </w:r>
      <w:r>
        <w:t>а</w:t>
      </w:r>
      <w:r>
        <w:t>ли требуемым условиям, был тем не менее предоставлен статус иностранцев с обеспечением специальной защиты, который предоставляется негражданам, к</w:t>
      </w:r>
      <w:r>
        <w:t>о</w:t>
      </w:r>
      <w:r>
        <w:t>торым угрожает опасность быть приговоренным к смертной казни, быть по</w:t>
      </w:r>
      <w:r>
        <w:t>д</w:t>
      </w:r>
      <w:r>
        <w:t>вергнутым пыткам или стать жертвами наказаний или жестокого, бесчеловечн</w:t>
      </w:r>
      <w:r>
        <w:t>о</w:t>
      </w:r>
      <w:r>
        <w:t>го или унижающего достоинство обращения в случае высылки или которым у</w:t>
      </w:r>
      <w:r>
        <w:t>г</w:t>
      </w:r>
      <w:r>
        <w:t>рожает реальная опасность по причине военного ко</w:t>
      </w:r>
      <w:r>
        <w:t>н</w:t>
      </w:r>
      <w:r>
        <w:t>фликта в их стране. Таким образом, некоторые иностранцы могут получить в Словакии вид на жительство, даже если им было отказано в их просьбе о предоставлении убеж</w:t>
      </w:r>
      <w:r>
        <w:t>и</w:t>
      </w:r>
      <w:r>
        <w:t xml:space="preserve">ща. </w:t>
      </w:r>
    </w:p>
    <w:p w:rsidR="00DD4FD2" w:rsidRDefault="00DD4FD2">
      <w:pPr>
        <w:pStyle w:val="SingleTxtGR"/>
      </w:pPr>
      <w:r>
        <w:t>7.</w:t>
      </w:r>
      <w:r>
        <w:tab/>
      </w:r>
      <w:r>
        <w:rPr>
          <w:b/>
        </w:rPr>
        <w:t>Г-н Цсеми</w:t>
      </w:r>
      <w:r>
        <w:t xml:space="preserve"> (Словакия) говорит, что для проверки национального прои</w:t>
      </w:r>
      <w:r>
        <w:t>с</w:t>
      </w:r>
      <w:r>
        <w:t>хождения просителя убежища словацкие власти обращаются в посольство или консульство соответствующей страны или, в случае необходимости, в полице</w:t>
      </w:r>
      <w:r>
        <w:t>й</w:t>
      </w:r>
      <w:r>
        <w:t>ские службы или Интерпол. Словакия является членом Международной орган</w:t>
      </w:r>
      <w:r>
        <w:t>и</w:t>
      </w:r>
      <w:r>
        <w:t xml:space="preserve">зации по миграции (МОМ) и действует, исходя из наилучшего практического опыта этой организации в тех случаях, когда она проводит расследования для определения гражданства просителя убежища. </w:t>
      </w:r>
    </w:p>
    <w:p w:rsidR="00DD4FD2" w:rsidRDefault="00DD4FD2">
      <w:pPr>
        <w:pStyle w:val="SingleTxtGR"/>
      </w:pPr>
      <w:r>
        <w:t>8.</w:t>
      </w:r>
      <w:r>
        <w:tab/>
        <w:t>В отношении того противоречия, которое отмечалось членом Комитета между Законом № 480/2002 об убежище и Законом № 48/2002 о пребывании иностра</w:t>
      </w:r>
      <w:r>
        <w:t>н</w:t>
      </w:r>
      <w:r>
        <w:t>цев, г-н Цсеми объясняет, что этими законами предусматриваются разные процедуры и что в рамках процедуры предоставления убежища комп</w:t>
      </w:r>
      <w:r>
        <w:t>е</w:t>
      </w:r>
      <w:r>
        <w:t>тентные власти исходят из полож</w:t>
      </w:r>
      <w:r>
        <w:t>е</w:t>
      </w:r>
      <w:r>
        <w:t>ний Конвенции о статусе беженцев 1951 года и Протокола о статусе беженцев 1967 г</w:t>
      </w:r>
      <w:r>
        <w:t>о</w:t>
      </w:r>
      <w:r>
        <w:t>да в тех случаях, когда они изучают причины, приведенные просителем убежища с целью получения статуса б</w:t>
      </w:r>
      <w:r>
        <w:t>е</w:t>
      </w:r>
      <w:r>
        <w:t>женца. В рамках процедуры этого типа не рассматр</w:t>
      </w:r>
      <w:r>
        <w:t>и</w:t>
      </w:r>
      <w:r>
        <w:t>вается вопрос о высылке с территории страны. Напротив, если проситель убежища, ходатайство кот</w:t>
      </w:r>
      <w:r>
        <w:t>о</w:t>
      </w:r>
      <w:r>
        <w:t>рого было отклонено, переходит на нелегальное положение, то возникает вопрос о законном характере его присутствия на данной территории. В подобном случае применяемым законодательством является закон о пребывании иностранцев, и компетентные власти должны определить, имеются ли препятствия для высы</w:t>
      </w:r>
      <w:r>
        <w:t>л</w:t>
      </w:r>
      <w:r>
        <w:t>ки, а именно существует ли опасность пыток в стране происхождения заинтер</w:t>
      </w:r>
      <w:r>
        <w:t>е</w:t>
      </w:r>
      <w:r>
        <w:t>сованного лица. Если они приходят к выводу о том, что данному лицу грозит серьезная опасность в случае в</w:t>
      </w:r>
      <w:r>
        <w:t>ы</w:t>
      </w:r>
      <w:r>
        <w:t>сылки, они выдают ему вид на жительство.</w:t>
      </w:r>
    </w:p>
    <w:p w:rsidR="00DD4FD2" w:rsidRDefault="00DD4FD2">
      <w:pPr>
        <w:pStyle w:val="SingleTxtGR"/>
      </w:pPr>
      <w:r>
        <w:t>9.</w:t>
      </w:r>
      <w:r>
        <w:tab/>
      </w:r>
      <w:r>
        <w:rPr>
          <w:b/>
        </w:rPr>
        <w:t>Г-жа Возариова</w:t>
      </w:r>
      <w:r>
        <w:t xml:space="preserve"> (Словакия) отмечает в отношении вопроса о соответс</w:t>
      </w:r>
      <w:r>
        <w:t>т</w:t>
      </w:r>
      <w:r>
        <w:t>вии внутреннего права законодательству Европейского союза, что непосредс</w:t>
      </w:r>
      <w:r>
        <w:t>т</w:t>
      </w:r>
      <w:r>
        <w:t>венным образом применяется Шенгенский пограничный кодекс, о котором г</w:t>
      </w:r>
      <w:r>
        <w:t>о</w:t>
      </w:r>
      <w:r>
        <w:t>ворилось ранее, и поэтому нет необходимости его включения во внутреннее право. Во внутреннее право включено европейское законодательство по вопр</w:t>
      </w:r>
      <w:r>
        <w:t>о</w:t>
      </w:r>
      <w:r>
        <w:t>сам предоставления убежища и обращения с беженцами. Следует отметить, что были осуществлены четыре проекта по оказанию помощи беженцам, с тем чт</w:t>
      </w:r>
      <w:r>
        <w:t>о</w:t>
      </w:r>
      <w:r>
        <w:t>бы были введены в действие европейские директивы в этой области.</w:t>
      </w:r>
    </w:p>
    <w:p w:rsidR="00DD4FD2" w:rsidRDefault="00DD4FD2">
      <w:pPr>
        <w:pStyle w:val="SingleTxtGR"/>
      </w:pPr>
      <w:r>
        <w:t>10.</w:t>
      </w:r>
      <w:r>
        <w:tab/>
        <w:t>В соответствии с трехсторонним соглашением, заключенным между Управлением Верховного комиссара Организации Объединенных Наций по д</w:t>
      </w:r>
      <w:r>
        <w:t>е</w:t>
      </w:r>
      <w:r>
        <w:t>лам беженцев (УВКБ), МОМ и Словакией, 98 палестинцев, которые были бл</w:t>
      </w:r>
      <w:r>
        <w:t>о</w:t>
      </w:r>
      <w:r>
        <w:t>кированы Ираке, были вновь п</w:t>
      </w:r>
      <w:r>
        <w:t>о</w:t>
      </w:r>
      <w:r>
        <w:t>мещены в центр срочного транзита и получили разрешение на пребывание в нем в течение шести месяцев в ожидании их око</w:t>
      </w:r>
      <w:r>
        <w:t>н</w:t>
      </w:r>
      <w:r>
        <w:t>чательного повторного размещения в другой стране.</w:t>
      </w:r>
    </w:p>
    <w:p w:rsidR="00DD4FD2" w:rsidRDefault="00DD4FD2">
      <w:pPr>
        <w:pStyle w:val="SingleTxtGR"/>
      </w:pPr>
      <w:r>
        <w:t>11.</w:t>
      </w:r>
      <w:r>
        <w:tab/>
        <w:t>В отношении дела алжирца, которого высылали и который обжаловал это решение в Конституционном суде, г-жа Возариова указывает, что он выиграл это дело, доказав, что подвергается реальной опасности быть подвергнутым пыткам, если он будет выслан в свою страну, а затем подал прошение о предо</w:t>
      </w:r>
      <w:r>
        <w:t>с</w:t>
      </w:r>
      <w:r>
        <w:t>тавлении убежища, которое в настоящее время рассматривается. Она подчерк</w:t>
      </w:r>
      <w:r>
        <w:t>и</w:t>
      </w:r>
      <w:r>
        <w:t>вает, что в Словакии убежище предоставляется любому лицу, которое подверг</w:t>
      </w:r>
      <w:r>
        <w:t>а</w:t>
      </w:r>
      <w:r>
        <w:t>ется опасности быть казненным или подвергнутым пыткам в своей стране пр</w:t>
      </w:r>
      <w:r>
        <w:t>о</w:t>
      </w:r>
      <w:r>
        <w:t>исхождения, какими бы ни были предыдущие судебные решения в его отнош</w:t>
      </w:r>
      <w:r>
        <w:t>е</w:t>
      </w:r>
      <w:r>
        <w:t>нии.</w:t>
      </w:r>
    </w:p>
    <w:p w:rsidR="00DD4FD2" w:rsidRDefault="00DD4FD2">
      <w:pPr>
        <w:pStyle w:val="SingleTxtGR"/>
      </w:pPr>
      <w:r>
        <w:t>12.</w:t>
      </w:r>
      <w:r>
        <w:tab/>
        <w:t>Иммиграционные службы не проводят различия между просителями убежища: они основывают свои решения исключительно на изучении мотивов, приведенных данным просителем. В соответствии с европейским законодател</w:t>
      </w:r>
      <w:r>
        <w:t>ь</w:t>
      </w:r>
      <w:r>
        <w:t>ством, тот факт, что лицо представляет собой угрозу для внутренней безопасн</w:t>
      </w:r>
      <w:r>
        <w:t>о</w:t>
      </w:r>
      <w:r>
        <w:t>сти страны, может являться оправданием для отказа в подобной просьбе о пр</w:t>
      </w:r>
      <w:r>
        <w:t>е</w:t>
      </w:r>
      <w:r>
        <w:t>доставлении убежища. Следует в то же время уточнить, что это касается в пе</w:t>
      </w:r>
      <w:r>
        <w:t>р</w:t>
      </w:r>
      <w:r>
        <w:t>вую очередь тех лиц, которые были осуждены за совершение тяжкого престу</w:t>
      </w:r>
      <w:r>
        <w:t>п</w:t>
      </w:r>
      <w:r>
        <w:t>ления в демократической стране или которые подозреваются в совершении а</w:t>
      </w:r>
      <w:r>
        <w:t>к</w:t>
      </w:r>
      <w:r>
        <w:t>тов терроризма, военных преступлений или преступлений против человечн</w:t>
      </w:r>
      <w:r>
        <w:t>о</w:t>
      </w:r>
      <w:r>
        <w:t>сти. Кроме того, проситель убежища не должен сразу предоставлять доказ</w:t>
      </w:r>
      <w:r>
        <w:t>а</w:t>
      </w:r>
      <w:r>
        <w:t>тельство того, что ему угрожает опасность быть подвергнутым пыткам в его стране происхождения: в формуляре, который он должен заполнить, он должен просто указать причины, по которым он просит предоставить ему убежище, и эти мотивы рассматриваются затем компетентными властями. И, наконец, Сл</w:t>
      </w:r>
      <w:r>
        <w:t>о</w:t>
      </w:r>
      <w:r>
        <w:t>вакия еще никогда не прибегала к получению дипломатических гарантий.</w:t>
      </w:r>
    </w:p>
    <w:p w:rsidR="00DD4FD2" w:rsidRDefault="00DD4FD2">
      <w:pPr>
        <w:pStyle w:val="SingleTxtGR"/>
      </w:pPr>
      <w:r>
        <w:t>13.</w:t>
      </w:r>
      <w:r>
        <w:tab/>
      </w:r>
      <w:r>
        <w:rPr>
          <w:b/>
        </w:rPr>
        <w:t>Г-н Судор</w:t>
      </w:r>
      <w:r>
        <w:t xml:space="preserve"> (Словакия) указывает, что после получения Словакией незав</w:t>
      </w:r>
      <w:r>
        <w:t>и</w:t>
      </w:r>
      <w:r>
        <w:t>симости в 1999 году, было решено, что поскольку рабочая нагрузка военных с</w:t>
      </w:r>
      <w:r>
        <w:t>у</w:t>
      </w:r>
      <w:r>
        <w:t>дов стала меньше, чем у других судов, включить в их компетенцию определе</w:t>
      </w:r>
      <w:r>
        <w:t>н</w:t>
      </w:r>
      <w:r>
        <w:t>ные задачи, с тем чтобы о</w:t>
      </w:r>
      <w:r>
        <w:t>б</w:t>
      </w:r>
      <w:r>
        <w:t>легчить задачу обычных судов. В настоящий момент в Словакии не существует более военных судов, и все дела, которые они ра</w:t>
      </w:r>
      <w:r>
        <w:t>с</w:t>
      </w:r>
      <w:r>
        <w:t>сматривали, были переданы обы</w:t>
      </w:r>
      <w:r>
        <w:t>ч</w:t>
      </w:r>
      <w:r>
        <w:t xml:space="preserve">ным судам. </w:t>
      </w:r>
    </w:p>
    <w:p w:rsidR="00DD4FD2" w:rsidRDefault="00DD4FD2">
      <w:pPr>
        <w:pStyle w:val="SingleTxtGR"/>
      </w:pPr>
      <w:r>
        <w:t>14.</w:t>
      </w:r>
      <w:r>
        <w:tab/>
        <w:t>В отношении вопроса о назначении судей и независимости правосудия г-н Судор говорит, что словацкой Конституцией предусматривается строгое ра</w:t>
      </w:r>
      <w:r>
        <w:t>з</w:t>
      </w:r>
      <w:r>
        <w:t>деление исполнительной, законодательной и судебной властей и что отправл</w:t>
      </w:r>
      <w:r>
        <w:t>е</w:t>
      </w:r>
      <w:r>
        <w:t>ние правосудия осуществляется независимыми и беспристрастными судами. Судьи назначаются Президентом Республики по предложению Совета магис</w:t>
      </w:r>
      <w:r>
        <w:t>т</w:t>
      </w:r>
      <w:r>
        <w:t>ратуры − органа, председатель которого является также Председателем Верхо</w:t>
      </w:r>
      <w:r>
        <w:t>в</w:t>
      </w:r>
      <w:r>
        <w:t>ного суда, и в котором Парламент, Президент Республики и Совет министров назначают от своего имени трех из его девяти членов. Председатель и замест</w:t>
      </w:r>
      <w:r>
        <w:t>и</w:t>
      </w:r>
      <w:r>
        <w:t>тель Председателя Верховного суда также назначаются по предложению Совета магистратуры, который также имеет право перемещать судей и освобождать их от должности. Таким образом, этот Совет является ключевым элементом суде</w:t>
      </w:r>
      <w:r>
        <w:t>б</w:t>
      </w:r>
      <w:r>
        <w:t>ной системы, благодаря последняя является независимой и четко отд</w:t>
      </w:r>
      <w:r>
        <w:t>е</w:t>
      </w:r>
      <w:r>
        <w:t>ленной от двух других ветвей власти.</w:t>
      </w:r>
    </w:p>
    <w:p w:rsidR="00DD4FD2" w:rsidRDefault="00DD4FD2">
      <w:pPr>
        <w:pStyle w:val="SingleTxtGR"/>
      </w:pPr>
      <w:r>
        <w:t>15.</w:t>
      </w:r>
      <w:r>
        <w:tab/>
      </w:r>
      <w:r>
        <w:rPr>
          <w:b/>
        </w:rPr>
        <w:t>Г-н Полячек</w:t>
      </w:r>
      <w:r>
        <w:t xml:space="preserve"> (Словакия), высказывая свое мнение по вопросу о незав</w:t>
      </w:r>
      <w:r>
        <w:t>и</w:t>
      </w:r>
      <w:r>
        <w:t>симости расследований, касающихся правонарушений, совершенных полице</w:t>
      </w:r>
      <w:r>
        <w:t>й</w:t>
      </w:r>
      <w:r>
        <w:t>скими, говорит, что эти расследования проводятся Инспекционной службой − независимым органом, который не подчиняется Министерству внутренних дел и действует под надзором гос</w:t>
      </w:r>
      <w:r>
        <w:t>у</w:t>
      </w:r>
      <w:r>
        <w:t>дарственного министерства. Действительно, только сотрудник полиции может выпо</w:t>
      </w:r>
      <w:r>
        <w:t>л</w:t>
      </w:r>
      <w:r>
        <w:t>нять функции следователя в рамках этой службы при условии получения специальной подготовки. Следователи действуют полностью независимо, и даже их начальники не могут влиять на ход осуществляемых ими расследований. В определенных конкретных случаях расследование может также вестись прокуратурой или другим органом власти, в частности таможенными властями, военной полицией или органом власти, отвеча</w:t>
      </w:r>
      <w:r>
        <w:t>ю</w:t>
      </w:r>
      <w:r>
        <w:t xml:space="preserve">щим за пенитенциарные учреждения. </w:t>
      </w:r>
    </w:p>
    <w:p w:rsidR="00DD4FD2" w:rsidRDefault="00DD4FD2">
      <w:pPr>
        <w:pStyle w:val="SingleTxtGR"/>
      </w:pPr>
      <w:r>
        <w:t>16.</w:t>
      </w:r>
      <w:r>
        <w:tab/>
        <w:t>В отношении законодательного положения, предусматривающего, что л</w:t>
      </w:r>
      <w:r>
        <w:t>и</w:t>
      </w:r>
      <w:r>
        <w:t>ца, которые были арестованы или помещены под стражу полицией, информ</w:t>
      </w:r>
      <w:r>
        <w:t>и</w:t>
      </w:r>
      <w:r>
        <w:t>руются об их правах "как только это возможно", г-н Полячек ссылается на по</w:t>
      </w:r>
      <w:r>
        <w:t>д</w:t>
      </w:r>
      <w:r>
        <w:t>робный ответ государства-участника на вопрос № 2 из перечня рассматрива</w:t>
      </w:r>
      <w:r>
        <w:t>е</w:t>
      </w:r>
      <w:r>
        <w:t>мых вопросов и уточняет, что в исключительных случаях, например, когда п</w:t>
      </w:r>
      <w:r>
        <w:t>о</w:t>
      </w:r>
      <w:r>
        <w:t>лицейский производит арест и при этом возникает угроза его физической н</w:t>
      </w:r>
      <w:r>
        <w:t>е</w:t>
      </w:r>
      <w:r>
        <w:t>прикосновенности или физической неприкоснове</w:t>
      </w:r>
      <w:r>
        <w:t>н</w:t>
      </w:r>
      <w:r>
        <w:t>ности другого лица, он будет действовать таким образом, чтобы устранить эту угрозу до того, как он инфо</w:t>
      </w:r>
      <w:r>
        <w:t>р</w:t>
      </w:r>
      <w:r>
        <w:t>мирует арестованное лицо о его правах. В отношении вопроса, заданного по поводу существования независимой организации по проверке соблюдения прав лишенных свободы лиц, г-н Полячек объясняет, что посредник по правам чел</w:t>
      </w:r>
      <w:r>
        <w:t>о</w:t>
      </w:r>
      <w:r>
        <w:t>века и представитель Министерства внутренних дел готовят совершенно нез</w:t>
      </w:r>
      <w:r>
        <w:t>а</w:t>
      </w:r>
      <w:r>
        <w:t>висимо от полицейских служб доклад по данному вопросу, который предста</w:t>
      </w:r>
      <w:r>
        <w:t>в</w:t>
      </w:r>
      <w:r>
        <w:t>ляется Министерству внутренних дел. Отвечая г-же Клеопас, которая привела случай несовершеннолетнего лица, которое якобы допрашивали в отсутствие законного представителя, он указыв</w:t>
      </w:r>
      <w:r>
        <w:t>а</w:t>
      </w:r>
      <w:r>
        <w:t>ет, что расследование, проведенное по данному вопросу, позволило установить, что адвокат и помощник по социал</w:t>
      </w:r>
      <w:r>
        <w:t>ь</w:t>
      </w:r>
      <w:r>
        <w:t>ным вопросам присутствовали и что именно в этом ко</w:t>
      </w:r>
      <w:r>
        <w:t>н</w:t>
      </w:r>
      <w:r>
        <w:t>кретном случае полиция не совершила никакой ошибки.</w:t>
      </w:r>
    </w:p>
    <w:p w:rsidR="00DD4FD2" w:rsidRDefault="00DD4FD2">
      <w:pPr>
        <w:pStyle w:val="SingleTxtGR"/>
      </w:pPr>
      <w:r>
        <w:t>17.</w:t>
      </w:r>
      <w:r>
        <w:tab/>
        <w:t>Отвечая на вопрос о доступе заключенных к касающимся их делам, г-н Полячек уточняет, что они имеют право знакомиться со своим делом, которое было заведено полицией, а также с их медицинской картой, согласно пред</w:t>
      </w:r>
      <w:r>
        <w:t>у</w:t>
      </w:r>
      <w:r>
        <w:t>смотренному законом порядку. В отношении иммобилизующих средств, прим</w:t>
      </w:r>
      <w:r>
        <w:t>е</w:t>
      </w:r>
      <w:r>
        <w:t>няемых полицией, г-н Полячек упоминает о применении металлических нару</w:t>
      </w:r>
      <w:r>
        <w:t>ч</w:t>
      </w:r>
      <w:r>
        <w:t>ников или пластиковых одноразовых наручников в тех случаях, когда, напр</w:t>
      </w:r>
      <w:r>
        <w:t>и</w:t>
      </w:r>
      <w:r>
        <w:t>мер, лицо оказывает сопротивление аресту, или в случае насильственного пов</w:t>
      </w:r>
      <w:r>
        <w:t>е</w:t>
      </w:r>
      <w:r>
        <w:t>дения. Эти наручники снимаются, если в них нет более необходимости. В о</w:t>
      </w:r>
      <w:r>
        <w:t>т</w:t>
      </w:r>
      <w:r>
        <w:t>ношении условий содержания под стражей г-н Полячек сообщает, что Мин</w:t>
      </w:r>
      <w:r>
        <w:t>и</w:t>
      </w:r>
      <w:r>
        <w:t>стерство внутренних дел и полицейские службы переоборудовали соответс</w:t>
      </w:r>
      <w:r>
        <w:t>т</w:t>
      </w:r>
      <w:r>
        <w:t>вующие места содержания под стражей в каждом полицейском участке в соо</w:t>
      </w:r>
      <w:r>
        <w:t>т</w:t>
      </w:r>
      <w:r>
        <w:t>ветствии с рекомендациями, сделанными Европейским комитетом по предо</w:t>
      </w:r>
      <w:r>
        <w:t>т</w:t>
      </w:r>
      <w:r>
        <w:t>вращению пыток и бесчеловечных или унижающих достоинство видов наказ</w:t>
      </w:r>
      <w:r>
        <w:t>а</w:t>
      </w:r>
      <w:r>
        <w:t>ния или обр</w:t>
      </w:r>
      <w:r>
        <w:t>а</w:t>
      </w:r>
      <w:r>
        <w:t xml:space="preserve">щения (ЕКПП). </w:t>
      </w:r>
    </w:p>
    <w:p w:rsidR="00C74F54" w:rsidRPr="00946F4F" w:rsidRDefault="00C74F54" w:rsidP="00C74F54">
      <w:pPr>
        <w:pStyle w:val="SingleTxtGR"/>
      </w:pPr>
      <w:r>
        <w:t>18.</w:t>
      </w:r>
      <w:r>
        <w:tab/>
      </w:r>
      <w:r>
        <w:rPr>
          <w:b/>
        </w:rPr>
        <w:t>Г-жа Бренерова</w:t>
      </w:r>
      <w:r>
        <w:t xml:space="preserve"> (Словакия), касаясь вопроса о защите уязвимых групп, указывает, что правительство приняло программу по обеспечению равенства полов, а также программу в интересах женщин и семьи, цель которой заключ</w:t>
      </w:r>
      <w:r>
        <w:t>а</w:t>
      </w:r>
      <w:r>
        <w:t>ется в противодействии всем формам насилия в отношении женщин и детей. Также приняты целевые меры для защиты прав престарелых лиц и инвалидов. Определены стратегии, адаптированные применительно к каждой из этих групп, с целью создания кризисных центров, центров оперативного вмешател</w:t>
      </w:r>
      <w:r>
        <w:t>ь</w:t>
      </w:r>
      <w:r>
        <w:t>ства, консультационных центров, юридических служб и социальных служб, п</w:t>
      </w:r>
      <w:r>
        <w:t>о</w:t>
      </w:r>
      <w:r>
        <w:t>зволяющих более эффективно приходить на помощь к испытывающим трудн</w:t>
      </w:r>
      <w:r>
        <w:t>о</w:t>
      </w:r>
      <w:r>
        <w:t>сти лицам и более эффективно реагировать на их конкретные потребн</w:t>
      </w:r>
      <w:r>
        <w:t>о</w:t>
      </w:r>
      <w:r>
        <w:t>сти.</w:t>
      </w:r>
    </w:p>
    <w:p w:rsidR="00C74F54" w:rsidRDefault="00C74F54" w:rsidP="00C74F54">
      <w:pPr>
        <w:pStyle w:val="SingleTxtGR"/>
      </w:pPr>
      <w:r>
        <w:t>19.</w:t>
      </w:r>
      <w:r>
        <w:tab/>
      </w:r>
      <w:r>
        <w:rPr>
          <w:b/>
        </w:rPr>
        <w:t>Г-н Галбави</w:t>
      </w:r>
      <w:r>
        <w:t xml:space="preserve"> (Словакия), отвечая на вопросы, касающиеся положения рома, указывает, что с 1 июля 2009 года Словакия выполняет функции предс</w:t>
      </w:r>
      <w:r>
        <w:t>е</w:t>
      </w:r>
      <w:r>
        <w:t>дателя Десятилетия по интеграции рома. Эта программа предусматривает с</w:t>
      </w:r>
      <w:r>
        <w:t>е</w:t>
      </w:r>
      <w:r>
        <w:t xml:space="preserve">рию целевых мероприятий, касающихся образования, жилищ, медицинского обслуживания и трудоустройства. </w:t>
      </w:r>
    </w:p>
    <w:p w:rsidR="00C74F54" w:rsidRDefault="00C74F54" w:rsidP="00C74F54">
      <w:pPr>
        <w:pStyle w:val="SingleTxtGR"/>
      </w:pPr>
      <w:r>
        <w:t>20.</w:t>
      </w:r>
      <w:r>
        <w:tab/>
        <w:t>В течение пяти лет разными соответствующими министерствами осущ</w:t>
      </w:r>
      <w:r>
        <w:t>е</w:t>
      </w:r>
      <w:r>
        <w:t>ствляется национальный план действий, основанный на этой программе; он б</w:t>
      </w:r>
      <w:r>
        <w:t>у</w:t>
      </w:r>
      <w:r>
        <w:t>дет обновлен, поскольку более не соответствует существующим потребностям. В отношении детей рома, которые были помещены в специальные школы,</w:t>
      </w:r>
      <w:r w:rsidRPr="00134DF5">
        <w:br/>
      </w:r>
      <w:r>
        <w:t>г-н Галбави объясняет, что действующий в настоящее время закон об образов</w:t>
      </w:r>
      <w:r>
        <w:t>а</w:t>
      </w:r>
      <w:r>
        <w:t>нии направлен на обеспечение размещения учащихся в школах, которые соо</w:t>
      </w:r>
      <w:r>
        <w:t>т</w:t>
      </w:r>
      <w:r>
        <w:t>ветствуют их потребностям. В соответствии с положениями этого закона отн</w:t>
      </w:r>
      <w:r>
        <w:t>о</w:t>
      </w:r>
      <w:r>
        <w:t>сительно размещения детей в специальных школах для подобного размещения требуется согласие родителей или опекуна, а в случае правонарушения пред</w:t>
      </w:r>
      <w:r>
        <w:t>у</w:t>
      </w:r>
      <w:r>
        <w:t>сматриваются санкции. Если совершается ошибка, то родители или соответс</w:t>
      </w:r>
      <w:r>
        <w:t>т</w:t>
      </w:r>
      <w:r>
        <w:t>вующий оп</w:t>
      </w:r>
      <w:r>
        <w:t>е</w:t>
      </w:r>
      <w:r>
        <w:t>кун ребенка могут вмешаться, и ребенок немедленно переводится в обычную школу. Только что власти начали проводить расследование по заявл</w:t>
      </w:r>
      <w:r>
        <w:t>е</w:t>
      </w:r>
      <w:r>
        <w:t>ниям, согласно которым дети из деревни Павлоце были несправедливо помещ</w:t>
      </w:r>
      <w:r>
        <w:t>е</w:t>
      </w:r>
      <w:r>
        <w:t>ны в специальные школы, и если выяснится, что эти заявления были обосн</w:t>
      </w:r>
      <w:r>
        <w:t>о</w:t>
      </w:r>
      <w:r>
        <w:t>ванными, то этих детей немедленно направят в обычные школы. Кроме того, правительство решило выделить 200 млн. евро на улучшение условий жизни рома. От местных администраций и муниципалитетов запросили представить к 31 января 2010 года проекты по решению проблем, с которыми сталкивается это меньшинство, в частности в вопросах жилищ. После этого правительство рассмотрит эти пр</w:t>
      </w:r>
      <w:r>
        <w:t>о</w:t>
      </w:r>
      <w:r>
        <w:t>екты, с тем чтобы отобрать те из них, которые заслуживают финансирования.</w:t>
      </w:r>
    </w:p>
    <w:p w:rsidR="00C74F54" w:rsidRDefault="00C74F54" w:rsidP="00C74F54">
      <w:pPr>
        <w:pStyle w:val="SingleTxtGR"/>
      </w:pPr>
      <w:r>
        <w:t>21.</w:t>
      </w:r>
      <w:r>
        <w:tab/>
        <w:t>Касаясь вопроса о принудительной стерилизации, г-н Галбави подчерк</w:t>
      </w:r>
      <w:r>
        <w:t>и</w:t>
      </w:r>
      <w:r>
        <w:t>вает, что она никогда не проводилась и никогда не будет официальной полит</w:t>
      </w:r>
      <w:r>
        <w:t>и</w:t>
      </w:r>
      <w:r>
        <w:t>кой в Словакии. Все словацкие граждане имеют одинаковые права, независимо от их этнической принадлежности. Законом о медицинском обслуживании з</w:t>
      </w:r>
      <w:r>
        <w:t>а</w:t>
      </w:r>
      <w:r>
        <w:t>прещается практика принудительной стерилизации, и любое лицо, которое мо</w:t>
      </w:r>
      <w:r>
        <w:t>г</w:t>
      </w:r>
      <w:r>
        <w:t>ло бы быть ее жертвой, может подать жалобу в суд по уголовным делам.</w:t>
      </w:r>
      <w:r>
        <w:br/>
        <w:t>Г-н Галбави не располагает информацией, свидетельствующей о том, что ст</w:t>
      </w:r>
      <w:r>
        <w:t>е</w:t>
      </w:r>
      <w:r>
        <w:t>рилизация якобы систематически предлагалась женщинам, и ему ничего не и</w:t>
      </w:r>
      <w:r>
        <w:t>з</w:t>
      </w:r>
      <w:r>
        <w:t>вестно о тех случаях, когда женщины якобы подписывали разрешение на стер</w:t>
      </w:r>
      <w:r>
        <w:t>и</w:t>
      </w:r>
      <w:r>
        <w:t>лизацию, не понимая, на что они соглашались; он уточняет в этой связи, что з</w:t>
      </w:r>
      <w:r>
        <w:t>а</w:t>
      </w:r>
      <w:r>
        <w:t>коном запрещается проведение стерилизации без согласия соответствующего лица и что врач обязан информировать лицо, которое желает провести подо</w:t>
      </w:r>
      <w:r>
        <w:t>б</w:t>
      </w:r>
      <w:r>
        <w:t>ную операцию, о всех св</w:t>
      </w:r>
      <w:r>
        <w:t>я</w:t>
      </w:r>
      <w:r>
        <w:t>занных с ней рисках.</w:t>
      </w:r>
    </w:p>
    <w:p w:rsidR="00C74F54" w:rsidRDefault="00C74F54" w:rsidP="00C74F54">
      <w:pPr>
        <w:pStyle w:val="SingleTxtGR"/>
      </w:pPr>
      <w:r>
        <w:t>22.</w:t>
      </w:r>
      <w:r>
        <w:tab/>
      </w:r>
      <w:r>
        <w:rPr>
          <w:b/>
        </w:rPr>
        <w:t>Г-н Судор</w:t>
      </w:r>
      <w:r>
        <w:t xml:space="preserve"> (Словакия) объясняет в отношении отправления правосудия по делам несовершеннолетних, что в Словакии нет судов по делам несовершенн</w:t>
      </w:r>
      <w:r>
        <w:t>о</w:t>
      </w:r>
      <w:r>
        <w:t>летних и что дела, связанные с несовершеннолетними, рассматриваются обы</w:t>
      </w:r>
      <w:r>
        <w:t>ч</w:t>
      </w:r>
      <w:r>
        <w:t>ными судами. Уголо</w:t>
      </w:r>
      <w:r>
        <w:t>в</w:t>
      </w:r>
      <w:r>
        <w:t>но-процессуальный кодекс содержит, однако, конкретные положения по несовершеннолетним лицам, которые предусматривают, в час</w:t>
      </w:r>
      <w:r>
        <w:t>т</w:t>
      </w:r>
      <w:r>
        <w:t>ности, необходимость обеспечения педагогической направленности касающи</w:t>
      </w:r>
      <w:r>
        <w:t>х</w:t>
      </w:r>
      <w:r>
        <w:t>ся этих лиц процедур и защиты их прав. Даже в случае отсутствия отдельной юрисдикции для рассмотрения дел несовершеннолетних эти дела передаются опытным судьям, которые, по мере возможности, рассматривают их в приор</w:t>
      </w:r>
      <w:r>
        <w:t>и</w:t>
      </w:r>
      <w:r>
        <w:t>тетном порядке. В полицейских службах также работают специалисты по д</w:t>
      </w:r>
      <w:r>
        <w:t>е</w:t>
      </w:r>
      <w:r>
        <w:t>лам, связанным с несовершеннолетними. Лица моложе 15 лет не несут уголо</w:t>
      </w:r>
      <w:r>
        <w:t>в</w:t>
      </w:r>
      <w:r>
        <w:t>ной ответс</w:t>
      </w:r>
      <w:r>
        <w:t>т</w:t>
      </w:r>
      <w:r>
        <w:t>венности, и любое несовершеннолетнее лицо, имеющее проблемы с правосудием, даже если оно является уголовно ответственным, подвергается психиатрической экспертизе, цель которой заключается в определении того, осознавало ли это лицо свои действия в тот момент, когда оно их совершало.</w:t>
      </w:r>
      <w:r>
        <w:br/>
        <w:t>В любом случае несовершеннолетнего помещают под стражу только в случае крайней необходимости.</w:t>
      </w:r>
    </w:p>
    <w:p w:rsidR="00C74F54" w:rsidRDefault="00C74F54" w:rsidP="00C74F54">
      <w:pPr>
        <w:pStyle w:val="SingleTxtGR"/>
      </w:pPr>
      <w:r>
        <w:t>23.</w:t>
      </w:r>
      <w:r>
        <w:tab/>
      </w:r>
      <w:r>
        <w:rPr>
          <w:b/>
        </w:rPr>
        <w:t xml:space="preserve">Г-жа Креслова </w:t>
      </w:r>
      <w:r>
        <w:t>(Словакия), отвечая на вопрос о том, отделяются ли от взрослых помещенные под стражу несовершеннолетние лица, указывает, что отделяются, за исключением некоторых исключительных обстоятельств и тол</w:t>
      </w:r>
      <w:r>
        <w:t>ь</w:t>
      </w:r>
      <w:r>
        <w:t>ко, когда речь идет о несовершеннолетних лицах, ожидающих вынесения с</w:t>
      </w:r>
      <w:r>
        <w:t>у</w:t>
      </w:r>
      <w:r>
        <w:t>дебного решения. Фактически иногда может быть предпочтительно ввиду пс</w:t>
      </w:r>
      <w:r>
        <w:t>и</w:t>
      </w:r>
      <w:r>
        <w:t>хологического состояния несовершеннолетнего лица поместить его в камеру,</w:t>
      </w:r>
      <w:r>
        <w:br/>
        <w:t>в которой находится взрослый. Подобное размещение осуществляется только в том случае, если власти уверены в отсутствии опасности злоупотреблений, и при этом должным образом учитываются психологические характеристики того взрослого, вместе с кот</w:t>
      </w:r>
      <w:r>
        <w:t>о</w:t>
      </w:r>
      <w:r>
        <w:t>рым помещают несовершеннолетнего. Если помещение для содержания под стражей позволяет это, то несовершеннолетнего могут п</w:t>
      </w:r>
      <w:r>
        <w:t>о</w:t>
      </w:r>
      <w:r>
        <w:t>местить в такое место, где режим заключения является менее строгим, и в т</w:t>
      </w:r>
      <w:r>
        <w:t>а</w:t>
      </w:r>
      <w:r>
        <w:t>ком случае он будет находиться под стражей в тех же помещениях, что и взро</w:t>
      </w:r>
      <w:r>
        <w:t>с</w:t>
      </w:r>
      <w:r>
        <w:t>лые лица, однако находиться в отдельной камере. В тех случаях, когда нес</w:t>
      </w:r>
      <w:r>
        <w:t>о</w:t>
      </w:r>
      <w:r>
        <w:t>вершеннолетнего содержат под стражей вместе со взрослыми, в его деле дол</w:t>
      </w:r>
      <w:r>
        <w:t>ж</w:t>
      </w:r>
      <w:r>
        <w:t>на быть произведена соответствующая запись. Осужденные несовершенноле</w:t>
      </w:r>
      <w:r>
        <w:t>т</w:t>
      </w:r>
      <w:r>
        <w:t>ние содержатся отдельно от взрослых в таком месте, которое соответствует их возрасту и их положению.</w:t>
      </w:r>
    </w:p>
    <w:p w:rsidR="00C74F54" w:rsidRDefault="00C74F54" w:rsidP="00C74F54">
      <w:pPr>
        <w:pStyle w:val="SingleTxtGR"/>
      </w:pPr>
      <w:r>
        <w:t>24.</w:t>
      </w:r>
      <w:r>
        <w:tab/>
        <w:t>Несовершеннолетнего могут поместить в карцер на максимальный срок в 10 дней, если он нарушает дисциплину. Педагогические мероприятия на этот срок не отменяю</w:t>
      </w:r>
      <w:r>
        <w:t>т</w:t>
      </w:r>
      <w:r>
        <w:t>ся. В случае рецидива наказание может быть продлено еще на четыре дня. Его наказание может быть отсрочено до трех месяцев, если дисц</w:t>
      </w:r>
      <w:r>
        <w:t>и</w:t>
      </w:r>
      <w:r>
        <w:t>плинарный орган считает это целесообразным.</w:t>
      </w:r>
    </w:p>
    <w:p w:rsidR="00C74F54" w:rsidRDefault="00C74F54" w:rsidP="00C74F54">
      <w:pPr>
        <w:pStyle w:val="SingleTxtGR"/>
      </w:pPr>
      <w:r>
        <w:t>25.</w:t>
      </w:r>
      <w:r>
        <w:tab/>
      </w:r>
      <w:r>
        <w:rPr>
          <w:b/>
        </w:rPr>
        <w:t xml:space="preserve">Г-жа Бреннерова </w:t>
      </w:r>
      <w:r>
        <w:t>(Словакия) говорит, что в соответствии с законом о защите де</w:t>
      </w:r>
      <w:r>
        <w:t>т</w:t>
      </w:r>
      <w:r>
        <w:t>ства любое лицо, которому известно о случае телесного наказания в семье, должно сообщить об этом в социальные службы, которые обязаны пр</w:t>
      </w:r>
      <w:r>
        <w:t>о</w:t>
      </w:r>
      <w:r>
        <w:t>вести расследование и в случае необходимости принять меры для защиты р</w:t>
      </w:r>
      <w:r>
        <w:t>е</w:t>
      </w:r>
      <w:r>
        <w:t>бенка. Эти меры могут включать консультацию и просвещение родителей, о</w:t>
      </w:r>
      <w:r>
        <w:t>д</w:t>
      </w:r>
      <w:r>
        <w:t>нако в самых крайних ситуациях социальные службы могут доходить до возб</w:t>
      </w:r>
      <w:r>
        <w:t>у</w:t>
      </w:r>
      <w:r>
        <w:t>ждения судебной процедуры с целью лишения родительских прав. В школе з</w:t>
      </w:r>
      <w:r>
        <w:t>а</w:t>
      </w:r>
      <w:r>
        <w:t>прещается любое грубое обращение как физического, так и психологического характера. Что касается насилия в семье, то оно является объектом двух наци</w:t>
      </w:r>
      <w:r>
        <w:t>о</w:t>
      </w:r>
      <w:r>
        <w:t>нальных стратегий, а также национального плана действий. На региональном и наци</w:t>
      </w:r>
      <w:r>
        <w:t>о</w:t>
      </w:r>
      <w:r>
        <w:t>нальном уровнях также осуществляются информационно-пропагандистские кампании и просветительские программы. Еще предстоит создать национальный центр, которому будет специально поручен контроль за этим явлением и оказание помощи потерпевшим.</w:t>
      </w:r>
    </w:p>
    <w:p w:rsidR="00C74F54" w:rsidRDefault="00C74F54" w:rsidP="00C74F54">
      <w:pPr>
        <w:pStyle w:val="SingleTxtGR"/>
      </w:pPr>
      <w:r>
        <w:t>26.</w:t>
      </w:r>
      <w:r>
        <w:tab/>
      </w:r>
      <w:r>
        <w:rPr>
          <w:b/>
        </w:rPr>
        <w:t>Г-жа Креслова</w:t>
      </w:r>
      <w:r>
        <w:t xml:space="preserve"> </w:t>
      </w:r>
      <w:r w:rsidRPr="007A3AFE">
        <w:t>(</w:t>
      </w:r>
      <w:r>
        <w:t>Словакия) говорит, что были приняты меры для улучш</w:t>
      </w:r>
      <w:r>
        <w:t>е</w:t>
      </w:r>
      <w:r>
        <w:t>ния условий содержания под стражей лиц, приговоренных к тяжким наказан</w:t>
      </w:r>
      <w:r>
        <w:t>и</w:t>
      </w:r>
      <w:r>
        <w:t>ям. Заключенные, отбывающие срок наказания в виде тюремного заключения сроком более 25 лет, не изолируются и содержатся вместе с другими осужде</w:t>
      </w:r>
      <w:r>
        <w:t>н</w:t>
      </w:r>
      <w:r>
        <w:t>ными. Что касается лиц, приговоренных к пожизненному тюремному заключ</w:t>
      </w:r>
      <w:r>
        <w:t>е</w:t>
      </w:r>
      <w:r>
        <w:t>нию, то они могут воспользоваться более благоприятными условиями через о</w:t>
      </w:r>
      <w:r>
        <w:t>п</w:t>
      </w:r>
      <w:r>
        <w:t>ределенное число лет в соответствии с Законом № 475/2005 об исполнении т</w:t>
      </w:r>
      <w:r>
        <w:t>ю</w:t>
      </w:r>
      <w:r>
        <w:t>ремных наказаний, который установил два разных режима (</w:t>
      </w:r>
      <w:r>
        <w:rPr>
          <w:lang w:val="en-US"/>
        </w:rPr>
        <w:t>D</w:t>
      </w:r>
      <w:r w:rsidRPr="007A3AFE">
        <w:t xml:space="preserve">1 </w:t>
      </w:r>
      <w:r>
        <w:t xml:space="preserve">и </w:t>
      </w:r>
      <w:r>
        <w:rPr>
          <w:lang w:val="en-US"/>
        </w:rPr>
        <w:t>D</w:t>
      </w:r>
      <w:r w:rsidRPr="007A3AFE">
        <w:t>2</w:t>
      </w:r>
      <w:r>
        <w:t>) для этой категории осужденных.</w:t>
      </w:r>
    </w:p>
    <w:p w:rsidR="00C74F54" w:rsidRDefault="00C74F54" w:rsidP="00C74F54">
      <w:pPr>
        <w:pStyle w:val="SingleTxtGR"/>
      </w:pPr>
      <w:r>
        <w:t>27.</w:t>
      </w:r>
      <w:r>
        <w:tab/>
      </w:r>
      <w:r>
        <w:rPr>
          <w:b/>
        </w:rPr>
        <w:t xml:space="preserve">Г-н Полячек </w:t>
      </w:r>
      <w:r>
        <w:t>(Словакия) объясняет, что все жалобы на грубые действия полиции являются объектом расследования со стороны контрольно-инспекционной службы Министерства внутренних дел. Если она отклоняет ж</w:t>
      </w:r>
      <w:r>
        <w:t>а</w:t>
      </w:r>
      <w:r>
        <w:t>лобу, это делается по причине отсутствия основания для судебного преследов</w:t>
      </w:r>
      <w:r>
        <w:t>а</w:t>
      </w:r>
      <w:r>
        <w:t>ния. Диспропорция между количеством отклоненных жалоб и количеством ж</w:t>
      </w:r>
      <w:r>
        <w:t>а</w:t>
      </w:r>
      <w:r>
        <w:t>лоб, которые были признаны приемлемыми, объясняется, таким образом, фа</w:t>
      </w:r>
      <w:r>
        <w:t>к</w:t>
      </w:r>
      <w:r>
        <w:t>том подачи многочисленных необоснованных ж</w:t>
      </w:r>
      <w:r>
        <w:t>а</w:t>
      </w:r>
      <w:r>
        <w:t>лоб.</w:t>
      </w:r>
    </w:p>
    <w:p w:rsidR="00C74F54" w:rsidRDefault="00C74F54" w:rsidP="00C74F54">
      <w:pPr>
        <w:pStyle w:val="SingleTxtGR"/>
      </w:pPr>
      <w:r>
        <w:t>28.</w:t>
      </w:r>
      <w:r>
        <w:tab/>
      </w:r>
      <w:r>
        <w:rPr>
          <w:b/>
        </w:rPr>
        <w:t xml:space="preserve">Г-н Судор </w:t>
      </w:r>
      <w:r>
        <w:t>(Словакия) говорит, что весьма разными являются наказания, прим</w:t>
      </w:r>
      <w:r>
        <w:t>е</w:t>
      </w:r>
      <w:r>
        <w:t>няемые за акты расистского характера, совершенные против иностранцев. Необходимо знать, что часто весьма трудно доказать мотивацию расистского характера. В этой связи все процедуры являются публичными, а судебные р</w:t>
      </w:r>
      <w:r>
        <w:t>е</w:t>
      </w:r>
      <w:r>
        <w:t>шения публикуются на официальных вебсайтах. Кроме того, нападения расис</w:t>
      </w:r>
      <w:r>
        <w:t>т</w:t>
      </w:r>
      <w:r>
        <w:t>ского характера являются весьма делика</w:t>
      </w:r>
      <w:r>
        <w:t>т</w:t>
      </w:r>
      <w:r>
        <w:t>ной темой, которой средства массовой информации уделяют большое внимание. Поэтому не существует опасности т</w:t>
      </w:r>
      <w:r>
        <w:t>о</w:t>
      </w:r>
      <w:r>
        <w:t>го, что подобные дела останутся незамеченными и, вероятно, даже подлежат более строгому наказанию.</w:t>
      </w:r>
    </w:p>
    <w:p w:rsidR="00C74F54" w:rsidRDefault="00C74F54" w:rsidP="00C74F54">
      <w:pPr>
        <w:pStyle w:val="SingleTxtGR"/>
      </w:pPr>
      <w:r w:rsidRPr="00AB4CAC">
        <w:t>29.</w:t>
      </w:r>
      <w:r w:rsidRPr="00AB4CAC">
        <w:tab/>
      </w:r>
      <w:r>
        <w:t>В словацкой юридической терминологии переадаптация означает как м</w:t>
      </w:r>
      <w:r>
        <w:t>о</w:t>
      </w:r>
      <w:r>
        <w:t>ральную, так и материальную компенсацию. Первая может заключаться в пу</w:t>
      </w:r>
      <w:r>
        <w:t>б</w:t>
      </w:r>
      <w:r>
        <w:t>личных извинениях. Например, в деле молодого рома, избитого до смерти во время содержания под стражей, парламентская комиссия потребовала объясн</w:t>
      </w:r>
      <w:r>
        <w:t>е</w:t>
      </w:r>
      <w:r>
        <w:t>ний со стороны ответственного сотрудника полиции и Министерства внутре</w:t>
      </w:r>
      <w:r>
        <w:t>н</w:t>
      </w:r>
      <w:r>
        <w:t>них дел, которые публично осудили происшедшее и представили извинения с</w:t>
      </w:r>
      <w:r>
        <w:t>е</w:t>
      </w:r>
      <w:r>
        <w:t>мье погибшего. Подобные меры, которые должным образом освещаются сре</w:t>
      </w:r>
      <w:r>
        <w:t>д</w:t>
      </w:r>
      <w:r>
        <w:t>ствами массовой информации, дают моральное удовлетворение потерпевшим. Для обеспечения моральной компенсации необходимо, прежде всего, чтобы с</w:t>
      </w:r>
      <w:r>
        <w:t>у</w:t>
      </w:r>
      <w:r>
        <w:t>дом была установлена уголовная ответственность и чтобы был оценен прич</w:t>
      </w:r>
      <w:r>
        <w:t>и</w:t>
      </w:r>
      <w:r>
        <w:t>ненный ущерб, в частности путем медицинского обследования. После этого п</w:t>
      </w:r>
      <w:r>
        <w:t>о</w:t>
      </w:r>
      <w:r>
        <w:t>терпе</w:t>
      </w:r>
      <w:r>
        <w:t>в</w:t>
      </w:r>
      <w:r>
        <w:t>ший может требовать компенсацию в гражданском суде. Необходимо подчеркнуть, что с 1969 года Законом предусматривается ответственность гос</w:t>
      </w:r>
      <w:r>
        <w:t>у</w:t>
      </w:r>
      <w:r>
        <w:t>дарства за любой ущерб, причиненный при осуществлении государственной функции. Компенсация не ограничивается актами насилия: любое несоблюд</w:t>
      </w:r>
      <w:r>
        <w:t>е</w:t>
      </w:r>
      <w:r>
        <w:t>ние закона должностным лицом является причинением ущерба. Аналогичным образом необоснованное административное решение дает право на компенс</w:t>
      </w:r>
      <w:r>
        <w:t>а</w:t>
      </w:r>
      <w:r>
        <w:t>цию.</w:t>
      </w:r>
    </w:p>
    <w:p w:rsidR="00C74F54" w:rsidRDefault="00C74F54" w:rsidP="00C74F54">
      <w:pPr>
        <w:pStyle w:val="SingleTxtGR"/>
      </w:pPr>
      <w:r>
        <w:t>30.</w:t>
      </w:r>
      <w:r>
        <w:tab/>
      </w:r>
      <w:r w:rsidRPr="004704BE">
        <w:rPr>
          <w:b/>
        </w:rPr>
        <w:t>Г-жа Возариова</w:t>
      </w:r>
      <w:r>
        <w:t xml:space="preserve"> (Словакия) говорит, что защита свидетелей регулируе</w:t>
      </w:r>
      <w:r>
        <w:t>т</w:t>
      </w:r>
      <w:r>
        <w:t>ся конкре</w:t>
      </w:r>
      <w:r>
        <w:t>т</w:t>
      </w:r>
      <w:r>
        <w:t>ным законом. Соответствующая программа основана на программах других стран, с которыми власти сотрудничают тесным образом. В отношении торговли людьми необходимо знать, что принуждение любого лица к попр</w:t>
      </w:r>
      <w:r>
        <w:t>о</w:t>
      </w:r>
      <w:r>
        <w:t>шайничеству, как это происходит с детьми рома, является уголовным правон</w:t>
      </w:r>
      <w:r>
        <w:t>а</w:t>
      </w:r>
      <w:r>
        <w:t>рушением. Словакия располагает статистич</w:t>
      </w:r>
      <w:r>
        <w:t>е</w:t>
      </w:r>
      <w:r>
        <w:t xml:space="preserve">скими данными об этой практике в разбивке по возрасту и полу, но не по этническому происхождению, поскольку это было бы проявлением дискриминации. </w:t>
      </w:r>
    </w:p>
    <w:p w:rsidR="00C74F54" w:rsidRDefault="00C74F54" w:rsidP="00C74F54">
      <w:pPr>
        <w:pStyle w:val="SingleTxtGR"/>
      </w:pPr>
      <w:r>
        <w:t>31.</w:t>
      </w:r>
      <w:r>
        <w:tab/>
      </w:r>
      <w:r w:rsidRPr="004704BE">
        <w:rPr>
          <w:b/>
        </w:rPr>
        <w:t>Г-жа Креслова</w:t>
      </w:r>
      <w:r>
        <w:t xml:space="preserve"> (Словакия) добавляет, что статистические данные о т</w:t>
      </w:r>
      <w:r>
        <w:t>ю</w:t>
      </w:r>
      <w:r>
        <w:t>ремном населении имеются только в разбивке по национальности. Персонал пенитенциарных учреждений не располагает никакой информацией об этнич</w:t>
      </w:r>
      <w:r>
        <w:t>е</w:t>
      </w:r>
      <w:r>
        <w:t>ском происхождении закл</w:t>
      </w:r>
      <w:r>
        <w:t>ю</w:t>
      </w:r>
      <w:r>
        <w:t xml:space="preserve">ченных или о характере правонарушения, за которое они были осуждены. </w:t>
      </w:r>
    </w:p>
    <w:p w:rsidR="00C74F54" w:rsidRDefault="00C74F54" w:rsidP="00C74F54">
      <w:pPr>
        <w:pStyle w:val="SingleTxtGR"/>
      </w:pPr>
      <w:r>
        <w:t>32.</w:t>
      </w:r>
      <w:r>
        <w:tab/>
      </w:r>
      <w:r>
        <w:rPr>
          <w:b/>
        </w:rPr>
        <w:t>Г-н Цсе</w:t>
      </w:r>
      <w:r w:rsidRPr="004704BE">
        <w:rPr>
          <w:b/>
        </w:rPr>
        <w:t>ми</w:t>
      </w:r>
      <w:r>
        <w:t xml:space="preserve"> (Словакия) объясняет, что эффективность работы полице</w:t>
      </w:r>
      <w:r>
        <w:t>й</w:t>
      </w:r>
      <w:r>
        <w:t>ских ежедневно оценивается их начальниками. В школе полиции также рег</w:t>
      </w:r>
      <w:r>
        <w:t>у</w:t>
      </w:r>
      <w:r>
        <w:t xml:space="preserve">лярно организуются семинары, и в 2006 году на основе приобретенного опыта были пересмотрены учебные программы. </w:t>
      </w:r>
    </w:p>
    <w:p w:rsidR="00C74F54" w:rsidRDefault="00C74F54" w:rsidP="00C74F54">
      <w:pPr>
        <w:pStyle w:val="SingleTxtGR"/>
      </w:pPr>
      <w:r>
        <w:t>33.</w:t>
      </w:r>
      <w:r>
        <w:tab/>
      </w:r>
      <w:r w:rsidRPr="00B5079A">
        <w:rPr>
          <w:b/>
        </w:rPr>
        <w:t>Г-жа Чагойова</w:t>
      </w:r>
      <w:r>
        <w:t xml:space="preserve"> (Словакия) говорит, что то же самое касается вооруже</w:t>
      </w:r>
      <w:r>
        <w:t>н</w:t>
      </w:r>
      <w:r>
        <w:t>ных сил, подчиняющихся Министерству обороны. Ежегодно обновляется д</w:t>
      </w:r>
      <w:r>
        <w:t>и</w:t>
      </w:r>
      <w:r>
        <w:t>ректива об учебной подготовке. Что касается эффективности, то ее оценка пр</w:t>
      </w:r>
      <w:r>
        <w:t>о</w:t>
      </w:r>
      <w:r>
        <w:t>водится каждым подразделением на основе собранных с этой целью данных. Кроме того, существует центр пов</w:t>
      </w:r>
      <w:r>
        <w:t>ы</w:t>
      </w:r>
      <w:r>
        <w:t xml:space="preserve">шения квалификации для персонала. </w:t>
      </w:r>
    </w:p>
    <w:p w:rsidR="00C74F54" w:rsidRDefault="00C74F54" w:rsidP="00C74F54">
      <w:pPr>
        <w:pStyle w:val="SingleTxtGR"/>
      </w:pPr>
      <w:r>
        <w:t>34.</w:t>
      </w:r>
      <w:r>
        <w:tab/>
      </w:r>
      <w:r w:rsidRPr="00B5079A">
        <w:rPr>
          <w:b/>
        </w:rPr>
        <w:t>Г-жа Креслова</w:t>
      </w:r>
      <w:r>
        <w:t xml:space="preserve"> (Словакия) говорит, что персонал пенитенциарной адм</w:t>
      </w:r>
      <w:r>
        <w:t>и</w:t>
      </w:r>
      <w:r>
        <w:t>нистрации и судебная полиция проходят первоначальную подготовку в школе полиции, находящейся в Нитре, а затем учебная подготовка продолжается и с</w:t>
      </w:r>
      <w:r>
        <w:t>о</w:t>
      </w:r>
      <w:r>
        <w:t xml:space="preserve">стоит, в частности, из специализированных курсов, например по педагогике или психологии. </w:t>
      </w:r>
    </w:p>
    <w:p w:rsidR="00C74F54" w:rsidRDefault="00C74F54" w:rsidP="00C74F54">
      <w:pPr>
        <w:pStyle w:val="SingleTxtGR"/>
      </w:pPr>
      <w:r>
        <w:t>35.</w:t>
      </w:r>
      <w:r>
        <w:tab/>
      </w:r>
      <w:r w:rsidRPr="00B5079A">
        <w:rPr>
          <w:b/>
        </w:rPr>
        <w:t>Г-н Судор</w:t>
      </w:r>
      <w:r>
        <w:t xml:space="preserve"> (Словакия) уточняет, что психиатрические больницы подч</w:t>
      </w:r>
      <w:r>
        <w:t>и</w:t>
      </w:r>
      <w:r>
        <w:t>няются не Министерству юстиции, как это было ошибочно указано в докладе,</w:t>
      </w:r>
      <w:r>
        <w:br/>
        <w:t>а Министерству здравоохранения. Поскольку в составе делегации нет ни одн</w:t>
      </w:r>
      <w:r>
        <w:t>о</w:t>
      </w:r>
      <w:r>
        <w:t>го представителя этого Министерства, информация, запрошенная по этому вопр</w:t>
      </w:r>
      <w:r>
        <w:t>о</w:t>
      </w:r>
      <w:r>
        <w:t>су, будет сообщена впоследствии Комитету. Складные металлические кровати по-прежнему существуют, однако их использование постепенно ликвидир</w:t>
      </w:r>
      <w:r>
        <w:t>у</w:t>
      </w:r>
      <w:r>
        <w:t>ется. Необходимо уточнить, что эти кровати используются только в тех случаях, к</w:t>
      </w:r>
      <w:r>
        <w:t>о</w:t>
      </w:r>
      <w:r>
        <w:t>гда данный пациент представляет угрозу для себя самого или для других лиц, а другие средства сдерживания оказываются неэффекти</w:t>
      </w:r>
      <w:r>
        <w:t>в</w:t>
      </w:r>
      <w:r>
        <w:t>ными. Кроме того, срок использования всегда ограничен. Предусматривается создание помещений с обивкой для защиты опасных пациентов, однако эта мера является весьма дор</w:t>
      </w:r>
      <w:r>
        <w:t>о</w:t>
      </w:r>
      <w:r>
        <w:t xml:space="preserve">гостоящей, и поэтому для ее осуществления потребуется значительное время. </w:t>
      </w:r>
    </w:p>
    <w:p w:rsidR="00C74F54" w:rsidRDefault="00C74F54" w:rsidP="00C74F54">
      <w:pPr>
        <w:pStyle w:val="SingleTxtGR"/>
      </w:pPr>
      <w:r>
        <w:t>36.</w:t>
      </w:r>
      <w:r>
        <w:tab/>
      </w:r>
      <w:r>
        <w:rPr>
          <w:b/>
        </w:rPr>
        <w:t>Г-жа Возарио</w:t>
      </w:r>
      <w:r w:rsidRPr="00B5079A">
        <w:rPr>
          <w:b/>
        </w:rPr>
        <w:t>ва</w:t>
      </w:r>
      <w:r>
        <w:t xml:space="preserve"> (Словакия) говорит, что Словакия завершила анализ своего законодательства с целью ратификации Факультативного протокола к Конвенции против пыток и других жестоких, бесчеловечных или унижающих достоинство видов обращения и наказания. В настоящее время идет открытый для всех публичный процесс с целью получения замечаний. </w:t>
      </w:r>
    </w:p>
    <w:p w:rsidR="00C74F54" w:rsidRDefault="00C74F54" w:rsidP="00C74F54">
      <w:pPr>
        <w:pStyle w:val="SingleTxtGR"/>
      </w:pPr>
      <w:r>
        <w:t>37.</w:t>
      </w:r>
      <w:r>
        <w:tab/>
      </w:r>
      <w:r w:rsidRPr="002E1439">
        <w:rPr>
          <w:b/>
        </w:rPr>
        <w:t>Председатель</w:t>
      </w:r>
      <w:r>
        <w:t xml:space="preserve"> благодарит делегацию за ее ответы и предлагает членам Комитета, которые желают этого, задавать дополнительные вопросы. </w:t>
      </w:r>
    </w:p>
    <w:p w:rsidR="00C74F54" w:rsidRDefault="00C74F54" w:rsidP="00C74F54">
      <w:pPr>
        <w:pStyle w:val="SingleTxtGR"/>
      </w:pPr>
      <w:r>
        <w:t>38.</w:t>
      </w:r>
      <w:r>
        <w:tab/>
      </w:r>
      <w:r w:rsidRPr="002E1439">
        <w:rPr>
          <w:b/>
        </w:rPr>
        <w:t>Г-жа Клеопас</w:t>
      </w:r>
      <w:r>
        <w:t xml:space="preserve"> (Докладчик по Словакии), отмечая, что судьи, в том числе судьи Совета магистратуры, назначаются и отзываются Президентом Республ</w:t>
      </w:r>
      <w:r>
        <w:t>и</w:t>
      </w:r>
      <w:r>
        <w:t>ки, хотела бы знать, каким образом государство-участник может гарантировать независимость судебного аппарата в подобных условиях. Она спрашивает, в ч</w:t>
      </w:r>
      <w:r>
        <w:t>а</w:t>
      </w:r>
      <w:r>
        <w:t>стности, какие мотивы могут являться основанием для отрешения судьи от должности. Кроме того, она констатирует, что члены органа, отвечающего за расследование нарушений, совершенных сотрудниками полиции, сами являю</w:t>
      </w:r>
      <w:r>
        <w:t>т</w:t>
      </w:r>
      <w:r>
        <w:t>ся бывшими полицейскими, и задает вопрос относительно способности след</w:t>
      </w:r>
      <w:r>
        <w:t>о</w:t>
      </w:r>
      <w:r>
        <w:t>вателей доказать свою беспристрастность. Насколько понимает Докладчик, не было или почти не было жалоб со стороны рома о принудительной стерилиз</w:t>
      </w:r>
      <w:r>
        <w:t>а</w:t>
      </w:r>
      <w:r>
        <w:t>ции, однако она отмечает, что даже при отсутствии таких жалоб Словакия об</w:t>
      </w:r>
      <w:r>
        <w:t>я</w:t>
      </w:r>
      <w:r>
        <w:t>зана расследовать любое серьезное заявление о принудительности стерилиз</w:t>
      </w:r>
      <w:r>
        <w:t>а</w:t>
      </w:r>
      <w:r>
        <w:t>ции. Сведения, представленные делегацией относительно помещения детей р</w:t>
      </w:r>
      <w:r>
        <w:t>о</w:t>
      </w:r>
      <w:r>
        <w:t>ма в специальные школы, по-прежнему являются неточными, и Докладчик х</w:t>
      </w:r>
      <w:r>
        <w:t>о</w:t>
      </w:r>
      <w:r>
        <w:t>тел бы четко знать, осуществляется ли подобное размещение с согласия их р</w:t>
      </w:r>
      <w:r>
        <w:t>о</w:t>
      </w:r>
      <w:r>
        <w:t>дителей. Что касается контроля за условиями жизни в учреждениях для соде</w:t>
      </w:r>
      <w:r>
        <w:t>р</w:t>
      </w:r>
      <w:r>
        <w:t>жания под стражей, то, насколько понимает г-жа Клеопас, посредник уполн</w:t>
      </w:r>
      <w:r>
        <w:t>о</w:t>
      </w:r>
      <w:r>
        <w:t xml:space="preserve">мочен совершать неожиданные визиты в тюрьмы. Она предлагает словацкой делегации подтвердить эту информацию. </w:t>
      </w:r>
    </w:p>
    <w:p w:rsidR="00C74F54" w:rsidRDefault="00C74F54" w:rsidP="00C74F54">
      <w:pPr>
        <w:pStyle w:val="SingleTxtGR"/>
      </w:pPr>
      <w:r>
        <w:t>39.</w:t>
      </w:r>
      <w:r>
        <w:tab/>
        <w:t>Докладчик спрашивает, предусматривает ли государство-участник отм</w:t>
      </w:r>
      <w:r>
        <w:t>е</w:t>
      </w:r>
      <w:r>
        <w:t>нить закон, разрешающий телесные наказания дома. Ссылаясь, с другой стор</w:t>
      </w:r>
      <w:r>
        <w:t>о</w:t>
      </w:r>
      <w:r>
        <w:t>ны, на постановление, вынесенное Конституционным судом о запрещении в</w:t>
      </w:r>
      <w:r>
        <w:t>ы</w:t>
      </w:r>
      <w:r>
        <w:t>сылки алжирского гражданина, обвиняемого в терроризме в его стране, она х</w:t>
      </w:r>
      <w:r>
        <w:t>о</w:t>
      </w:r>
      <w:r>
        <w:t>тела бы знать, что станет с этим лицом. Касаясь вопроса об учебной подготовке лиц, которые занимаются делами о пытках, она спрашивает, предусматривает ли Словакия включить информационные мероприятия по Стамбульскому пр</w:t>
      </w:r>
      <w:r>
        <w:t>о</w:t>
      </w:r>
      <w:r>
        <w:t>токолу/Руководству для эффективного расследования случаев пыток и других жестоких, бесчеловечных или унижающих достоинство видов обращения и н</w:t>
      </w:r>
      <w:r>
        <w:t>а</w:t>
      </w:r>
      <w:r>
        <w:t>казания. Г-жа Клеопас не понимает аргументы, представленные словацкой д</w:t>
      </w:r>
      <w:r>
        <w:t>е</w:t>
      </w:r>
      <w:r>
        <w:t>легацией, согласно которым сбор статистических данных, основанных на этн</w:t>
      </w:r>
      <w:r>
        <w:t>и</w:t>
      </w:r>
      <w:r>
        <w:t>ческом происхождении, мог бы носить дискриминационный характер, и отм</w:t>
      </w:r>
      <w:r>
        <w:t>е</w:t>
      </w:r>
      <w:r>
        <w:t>чает, что государство могло бы собирать подобные статистические данные без указания личности лиц, соблюдая закон о персональных данных. И наконец, в отношении статьи 3 Конвенции она выражает удивление по поводу информ</w:t>
      </w:r>
      <w:r>
        <w:t>а</w:t>
      </w:r>
      <w:r>
        <w:t>ции, представленной делегацией, согласно которой Словакия абсолютно запр</w:t>
      </w:r>
      <w:r>
        <w:t>е</w:t>
      </w:r>
      <w:r>
        <w:t>щает высылать, возвращать или выдавать какое-либо лицо другому государству, если существуют серьезные основания полагать, что ему может угрожать там применение пыток, в то время как, насколько ей известно, словацкий закон вс</w:t>
      </w:r>
      <w:r>
        <w:t>е</w:t>
      </w:r>
      <w:r>
        <w:t>гда предусматривает изъятие в этой области, в частности, в случае угрозы без</w:t>
      </w:r>
      <w:r>
        <w:t>о</w:t>
      </w:r>
      <w:r>
        <w:t>пасности государства. Делегации предлагается сообщить дополнительную и</w:t>
      </w:r>
      <w:r>
        <w:t>н</w:t>
      </w:r>
      <w:r>
        <w:t xml:space="preserve">формацию по этому вопросу. </w:t>
      </w:r>
    </w:p>
    <w:p w:rsidR="00C74F54" w:rsidRDefault="00C74F54" w:rsidP="00C74F54">
      <w:pPr>
        <w:pStyle w:val="SingleTxtGR"/>
      </w:pPr>
      <w:r>
        <w:t>40.</w:t>
      </w:r>
      <w:r>
        <w:tab/>
      </w:r>
      <w:r w:rsidRPr="00C7724C">
        <w:rPr>
          <w:b/>
        </w:rPr>
        <w:t>Г-н Ван Сюэсянь</w:t>
      </w:r>
      <w:r>
        <w:t xml:space="preserve"> (Содокладчик по Словакии) полностью удовлетворен ответами, представленными делегацией, однако хотел бы получить дополн</w:t>
      </w:r>
      <w:r>
        <w:t>и</w:t>
      </w:r>
      <w:r>
        <w:t>тельную информацию относительно грубого обращения, которое, согласно н</w:t>
      </w:r>
      <w:r>
        <w:t>е</w:t>
      </w:r>
      <w:r>
        <w:t xml:space="preserve">скольким источникам информации, часто применяется во время операций по аресту или содержания под стражей до суда. </w:t>
      </w:r>
    </w:p>
    <w:p w:rsidR="00C74F54" w:rsidRDefault="00C74F54" w:rsidP="00C74F54">
      <w:pPr>
        <w:pStyle w:val="SingleTxtGR"/>
      </w:pPr>
      <w:r>
        <w:t>41.</w:t>
      </w:r>
      <w:r>
        <w:tab/>
      </w:r>
      <w:r w:rsidRPr="00C7724C">
        <w:rPr>
          <w:b/>
        </w:rPr>
        <w:t>Г-жа Гаер</w:t>
      </w:r>
      <w:r>
        <w:t xml:space="preserve"> говорит, что при отсутствии статистических данных об этн</w:t>
      </w:r>
      <w:r>
        <w:t>и</w:t>
      </w:r>
      <w:r>
        <w:t>ческом происхождении Комитет не может получить точное представление о тех усилиях, которые фактически прилагаются государством-участником для ре</w:t>
      </w:r>
      <w:r>
        <w:t>а</w:t>
      </w:r>
      <w:r>
        <w:t>гирования на заявления о жестоком обращении или пытках, сформулирова</w:t>
      </w:r>
      <w:r>
        <w:t>н</w:t>
      </w:r>
      <w:r>
        <w:t>ные членами этнических меньшинств. Она сожалеет по поводу того, что дел</w:t>
      </w:r>
      <w:r>
        <w:t>е</w:t>
      </w:r>
      <w:r>
        <w:t>гация не ответила на ее вопрос, касающийся того факта, что 11 лиц, обвине</w:t>
      </w:r>
      <w:r>
        <w:t>н</w:t>
      </w:r>
      <w:r>
        <w:t>ных в торговле людьми, были в полном составе приговорены к условному нак</w:t>
      </w:r>
      <w:r>
        <w:t>а</w:t>
      </w:r>
      <w:r>
        <w:t>занию. Она хотела бы знать, почему судьи являются столь милосердными: об</w:t>
      </w:r>
      <w:r>
        <w:t>ъ</w:t>
      </w:r>
      <w:r>
        <w:t>ясняется ли это перенаселенностью тюрем или отсутствием интереса к данному вопр</w:t>
      </w:r>
      <w:r>
        <w:t>о</w:t>
      </w:r>
      <w:r>
        <w:t>су.</w:t>
      </w:r>
    </w:p>
    <w:p w:rsidR="00C74F54" w:rsidRDefault="00C74F54" w:rsidP="00C74F54">
      <w:pPr>
        <w:pStyle w:val="SingleTxtGR"/>
      </w:pPr>
      <w:r>
        <w:t>42.</w:t>
      </w:r>
      <w:r>
        <w:tab/>
      </w:r>
      <w:r w:rsidRPr="00C7724C">
        <w:rPr>
          <w:b/>
        </w:rPr>
        <w:t>Г-жа Свеосс</w:t>
      </w:r>
      <w:r>
        <w:t xml:space="preserve"> хотела бы больше знать об условиях помещения в психиа</w:t>
      </w:r>
      <w:r>
        <w:t>т</w:t>
      </w:r>
      <w:r>
        <w:t>рические больницы. Она ссылается на проблему молодых правонарушителей-рецидивистов, которые были помещены в карцер, и полагает, что рецидив явл</w:t>
      </w:r>
      <w:r>
        <w:t>я</w:t>
      </w:r>
      <w:r>
        <w:t>ется показателем более важных проблем, которые невозможно решить подо</w:t>
      </w:r>
      <w:r>
        <w:t>б</w:t>
      </w:r>
      <w:r>
        <w:t>ной мерой. Она спрашивает, пр</w:t>
      </w:r>
      <w:r>
        <w:t>о</w:t>
      </w:r>
      <w:r>
        <w:t>вела ли Словакия исследование в этой связи.</w:t>
      </w:r>
    </w:p>
    <w:p w:rsidR="00C74F54" w:rsidRPr="007A11DF" w:rsidRDefault="00C74F54" w:rsidP="00C74F54">
      <w:pPr>
        <w:pStyle w:val="SingleTxtGR"/>
        <w:rPr>
          <w:b/>
        </w:rPr>
      </w:pPr>
      <w:r>
        <w:t>43.</w:t>
      </w:r>
      <w:r>
        <w:tab/>
      </w:r>
      <w:r w:rsidRPr="00C7724C">
        <w:rPr>
          <w:b/>
        </w:rPr>
        <w:t>Г-жа Бельмир</w:t>
      </w:r>
      <w:r>
        <w:t xml:space="preserve"> хотела бы знать, занимаются ли военные трибуналы тол</w:t>
      </w:r>
      <w:r>
        <w:t>ь</w:t>
      </w:r>
      <w:r>
        <w:t>ко военн</w:t>
      </w:r>
      <w:r>
        <w:t>ы</w:t>
      </w:r>
      <w:r>
        <w:t>ми делами или рассматривают другие дела, как это было в прошлом. Не совсем удовлетворительными являются ответы, данные словацкой делегац</w:t>
      </w:r>
      <w:r>
        <w:t>и</w:t>
      </w:r>
      <w:r>
        <w:t>ей по вопросу о принудительной стерилизации. Эксперт спрашивает, почему государство не может в полной мере взять на себя ответственность за борьбу с практикой принудительной стерилизации вместо того, чтобы терпимо относи</w:t>
      </w:r>
      <w:r>
        <w:t>т</w:t>
      </w:r>
      <w:r>
        <w:t>ся к тому, что в больницах, родительных домах или других структурах разраб</w:t>
      </w:r>
      <w:r>
        <w:t>а</w:t>
      </w:r>
      <w:r>
        <w:t>тываются собственные формуляры для псевдосогласия в отношении стерилиз</w:t>
      </w:r>
      <w:r>
        <w:t>а</w:t>
      </w:r>
      <w:r>
        <w:t>ции. Эксперт хотела бы получить дополнительную информацию по этому в</w:t>
      </w:r>
      <w:r>
        <w:t>о</w:t>
      </w:r>
      <w:r>
        <w:t xml:space="preserve">просу. </w:t>
      </w:r>
    </w:p>
    <w:p w:rsidR="00C74F54" w:rsidRDefault="00C74F54" w:rsidP="00C74F54">
      <w:pPr>
        <w:pStyle w:val="SingleTxtGR"/>
      </w:pPr>
      <w:r w:rsidRPr="007A11DF">
        <w:t>44.</w:t>
      </w:r>
      <w:r w:rsidRPr="007A11DF">
        <w:rPr>
          <w:b/>
        </w:rPr>
        <w:tab/>
        <w:t>Председатель</w:t>
      </w:r>
      <w:r>
        <w:t xml:space="preserve"> в своем качестве члена Комитета говорит, что незнач</w:t>
      </w:r>
      <w:r>
        <w:t>и</w:t>
      </w:r>
      <w:r>
        <w:t>тельное число обвинений в совершении пыток или других жестоких, бесчел</w:t>
      </w:r>
      <w:r>
        <w:t>о</w:t>
      </w:r>
      <w:r>
        <w:t>вечных или унижающих достоинство видов обращения и наказания по сравн</w:t>
      </w:r>
      <w:r>
        <w:t>е</w:t>
      </w:r>
      <w:r>
        <w:t>нию с общим числом жалоб является показателем истинной проблемы, к кот</w:t>
      </w:r>
      <w:r>
        <w:t>о</w:t>
      </w:r>
      <w:r>
        <w:t>рой государству-участнику предлагается вернуться в его следующем период</w:t>
      </w:r>
      <w:r>
        <w:t>и</w:t>
      </w:r>
      <w:r>
        <w:t>ческом докладе. Кроме того, он хотел бы получить экземпляры формуляров о согласии, используемые для стерилизации и помещения в психиатрические больницы. Было бы также полезно, если бы Словакия представила показател</w:t>
      </w:r>
      <w:r>
        <w:t>ь</w:t>
      </w:r>
      <w:r>
        <w:t>ные данные, с тем чтобы иметь больше информации о тех лицах, в отношении которых была применена принудительная стерилизация, например об их этн</w:t>
      </w:r>
      <w:r>
        <w:t>и</w:t>
      </w:r>
      <w:r>
        <w:t>ческом прои</w:t>
      </w:r>
      <w:r>
        <w:t>с</w:t>
      </w:r>
      <w:r>
        <w:t xml:space="preserve">хождении или социально-экономическом положении. </w:t>
      </w:r>
    </w:p>
    <w:p w:rsidR="00C74F54" w:rsidRDefault="00C74F54" w:rsidP="00C74F54">
      <w:pPr>
        <w:pStyle w:val="SingleTxtGR"/>
      </w:pPr>
      <w:r>
        <w:t>45.</w:t>
      </w:r>
      <w:r>
        <w:tab/>
        <w:t>В заключение Председатель благодарит словацкую делегацию за ценные сведения, представленные в устном порядке, и просит ее ответить в письме</w:t>
      </w:r>
      <w:r>
        <w:t>н</w:t>
      </w:r>
      <w:r>
        <w:t>ном виде в кратчайшие сроки на последние вопросы, заданные членами Ком</w:t>
      </w:r>
      <w:r>
        <w:t>и</w:t>
      </w:r>
      <w:r>
        <w:t>тета.</w:t>
      </w:r>
    </w:p>
    <w:p w:rsidR="00C74F54" w:rsidRDefault="00C74F54" w:rsidP="00C74F54">
      <w:pPr>
        <w:pStyle w:val="SingleTxtGR"/>
      </w:pPr>
      <w:r>
        <w:t>46.</w:t>
      </w:r>
      <w:r>
        <w:tab/>
      </w:r>
      <w:r w:rsidRPr="007A11DF">
        <w:rPr>
          <w:b/>
        </w:rPr>
        <w:t>Г-н Росоха</w:t>
      </w:r>
      <w:r>
        <w:t xml:space="preserve"> (Словакия) благодарит членов Комитета за их замечания и р</w:t>
      </w:r>
      <w:r>
        <w:t>е</w:t>
      </w:r>
      <w:r>
        <w:t>комендации, которые позволят Словакии лучше выполнять свои обязательс</w:t>
      </w:r>
      <w:r>
        <w:t>т</w:t>
      </w:r>
      <w:r>
        <w:t>ва в соответствии с Конвенцией. Он заверяет Комитет в том, что его страна будет по-прежнему не жалеть никаких усилий для поощрения прав человека и вед</w:t>
      </w:r>
      <w:r>
        <w:t>е</w:t>
      </w:r>
      <w:r>
        <w:t xml:space="preserve">ния борьбы с пытками. </w:t>
      </w:r>
    </w:p>
    <w:p w:rsidR="00C74F54" w:rsidRDefault="00C74F54" w:rsidP="00C74F54">
      <w:pPr>
        <w:pStyle w:val="SingleTxtGR"/>
      </w:pPr>
      <w:r>
        <w:t>47.</w:t>
      </w:r>
      <w:r>
        <w:tab/>
      </w:r>
      <w:r w:rsidRPr="003424B0">
        <w:rPr>
          <w:i/>
        </w:rPr>
        <w:t>Словацкая делегация покидает место за столом Комитета.</w:t>
      </w:r>
    </w:p>
    <w:p w:rsidR="00C74F54" w:rsidRPr="003424B0" w:rsidRDefault="00C74F54" w:rsidP="00C74F54">
      <w:pPr>
        <w:pStyle w:val="SingleTxtGR"/>
        <w:rPr>
          <w:i/>
        </w:rPr>
      </w:pPr>
      <w:r w:rsidRPr="003424B0">
        <w:rPr>
          <w:i/>
        </w:rPr>
        <w:t>Возобновленное обсуждение заканчивается в 17 ч. 10 м.</w:t>
      </w:r>
    </w:p>
    <w:sectPr w:rsidR="00C74F54" w:rsidRPr="003424B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57C9" w:rsidRDefault="00BF57C9">
      <w:r>
        <w:rPr>
          <w:lang w:val="en-US"/>
        </w:rPr>
        <w:tab/>
      </w:r>
      <w:r>
        <w:separator/>
      </w:r>
    </w:p>
  </w:endnote>
  <w:endnote w:type="continuationSeparator" w:id="0">
    <w:p w:rsidR="00BF57C9" w:rsidRDefault="00BF5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57C9" w:rsidRDefault="00BF57C9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C4803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GE.09-46010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57C9" w:rsidRDefault="00BF57C9">
    <w:pPr>
      <w:pStyle w:val="Footer"/>
      <w:rPr>
        <w:b/>
        <w:sz w:val="18"/>
        <w:szCs w:val="18"/>
        <w:lang w:val="en-US"/>
      </w:rPr>
    </w:pPr>
    <w:r>
      <w:rPr>
        <w:lang w:val="en-US"/>
      </w:rPr>
      <w:t>GE.09-46010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931B0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57C9" w:rsidRDefault="00BF57C9">
    <w:pPr>
      <w:pStyle w:val="Footer"/>
      <w:rPr>
        <w:sz w:val="20"/>
        <w:lang w:val="en-US"/>
      </w:rPr>
    </w:pPr>
    <w:r>
      <w:rPr>
        <w:sz w:val="20"/>
        <w:lang w:val="en-US"/>
      </w:rPr>
      <w:t>GE.09-46010  (R)  030310  150310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57C9" w:rsidRDefault="00BF57C9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BF57C9" w:rsidRDefault="00BF57C9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>
        <w:rPr>
          <w:u w:val="single"/>
          <w:lang w:val="en-US"/>
        </w:rPr>
        <w:tab/>
      </w:r>
    </w:p>
    <w:p w:rsidR="00BF57C9" w:rsidRDefault="00BF57C9">
      <w:pPr>
        <w:pStyle w:val="Footer"/>
      </w:pPr>
    </w:p>
  </w:footnote>
  <w:footnote w:id="1">
    <w:p w:rsidR="00BF57C9" w:rsidRDefault="00BF57C9">
      <w:pPr>
        <w:pStyle w:val="FootnoteText"/>
        <w:rPr>
          <w:lang w:val="ru-RU"/>
        </w:rPr>
      </w:pPr>
      <w:r>
        <w:tab/>
      </w:r>
      <w:r w:rsidRPr="00513975">
        <w:rPr>
          <w:rStyle w:val="FootnoteReference"/>
          <w:szCs w:val="18"/>
          <w:vertAlign w:val="baseline"/>
          <w:lang w:val="ru-RU"/>
        </w:rPr>
        <w:t>*</w:t>
      </w:r>
      <w:r>
        <w:rPr>
          <w:lang w:val="ru-RU"/>
        </w:rPr>
        <w:tab/>
      </w:r>
      <w:r w:rsidRPr="00513975">
        <w:t>Краткий отчет об остальной части заседания не составлялся.</w:t>
      </w:r>
    </w:p>
    <w:p w:rsidR="00BF57C9" w:rsidRPr="007D0A84" w:rsidRDefault="00BF57C9" w:rsidP="00513975">
      <w:pPr>
        <w:pStyle w:val="FootnoteText"/>
        <w:pBdr>
          <w:bottom w:val="single" w:sz="4" w:space="1" w:color="auto"/>
        </w:pBdr>
        <w:ind w:right="-6"/>
        <w:rPr>
          <w:sz w:val="10"/>
          <w:szCs w:val="10"/>
          <w:lang w:val="en-US"/>
        </w:rPr>
      </w:pPr>
    </w:p>
    <w:p w:rsidR="00BF57C9" w:rsidRPr="00513975" w:rsidRDefault="00BF57C9" w:rsidP="007D0A84">
      <w:pPr>
        <w:pStyle w:val="FootnoteText"/>
        <w:spacing w:before="120"/>
        <w:rPr>
          <w:lang w:val="ru-RU"/>
        </w:rPr>
      </w:pPr>
      <w:r>
        <w:tab/>
      </w:r>
      <w:r>
        <w:tab/>
      </w:r>
      <w:r w:rsidRPr="00513975">
        <w:rPr>
          <w:lang w:val="ru-RU"/>
        </w:rPr>
        <w:t>В настоящий отчет могут вноситься поправки.</w:t>
      </w:r>
    </w:p>
    <w:p w:rsidR="00BF57C9" w:rsidRDefault="00BF57C9" w:rsidP="007D0A84">
      <w:pPr>
        <w:pStyle w:val="FootnoteText"/>
        <w:spacing w:before="120"/>
      </w:pPr>
      <w:r>
        <w:rPr>
          <w:lang w:val="en-US"/>
        </w:rPr>
        <w:tab/>
      </w:r>
      <w:r>
        <w:rPr>
          <w:lang w:val="en-US"/>
        </w:rPr>
        <w:tab/>
      </w:r>
      <w:r w:rsidRPr="00513975">
        <w:rPr>
          <w:lang w:val="ru-RU"/>
        </w:rPr>
        <w:t xml:space="preserve">Поправки должны представляться на одном из рабочих языков.  </w:t>
      </w:r>
      <w:r>
        <w:t>Они должны быть</w:t>
      </w:r>
      <w:r>
        <w:br/>
        <w:t>изложены в пояснительной записке, а также внесены в один из экземпляров отчета.</w:t>
      </w:r>
      <w:r>
        <w:br/>
        <w:t xml:space="preserve">Поправки следует направлять </w:t>
      </w:r>
      <w:r>
        <w:rPr>
          <w:i/>
        </w:rPr>
        <w:t>в течение одной недели с момента выпуска настоящего</w:t>
      </w:r>
      <w:r>
        <w:rPr>
          <w:i/>
        </w:rPr>
        <w:br/>
        <w:t>документа</w:t>
      </w:r>
      <w:r>
        <w:t xml:space="preserve"> в Группу редакционного контроля, комната Е.4108, Дворец Наций, Женева.</w:t>
      </w:r>
    </w:p>
    <w:p w:rsidR="00BF57C9" w:rsidRPr="00513975" w:rsidRDefault="00BF57C9" w:rsidP="00513975">
      <w:pPr>
        <w:pStyle w:val="FootnoteText"/>
        <w:spacing w:before="120"/>
        <w:rPr>
          <w:sz w:val="20"/>
          <w:lang w:val="ru-RU"/>
        </w:rPr>
      </w:pPr>
      <w:r>
        <w:tab/>
      </w:r>
      <w:r>
        <w:tab/>
      </w:r>
      <w:r w:rsidRPr="00513975">
        <w:rPr>
          <w:lang w:val="ru-RU"/>
        </w:rPr>
        <w:t>Любые поправки к отчетам об открытых заседаниях Комитета на данной сессии будут</w:t>
      </w:r>
      <w:r w:rsidRPr="00513975">
        <w:rPr>
          <w:lang w:val="ru-RU"/>
        </w:rPr>
        <w:br/>
        <w:t>сведены в единое исправление, которое будет издано вскоре после окончания сессии.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57C9" w:rsidRDefault="00BF57C9">
    <w:pPr>
      <w:pStyle w:val="Header"/>
      <w:rPr>
        <w:lang w:val="en-US"/>
      </w:rPr>
    </w:pPr>
    <w:r>
      <w:rPr>
        <w:lang w:val="en-US"/>
      </w:rPr>
      <w:t>CAT/C/SR.901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57C9" w:rsidRDefault="00BF57C9">
    <w:pPr>
      <w:pStyle w:val="Header"/>
      <w:rPr>
        <w:lang w:val="en-US"/>
      </w:rPr>
    </w:pPr>
    <w:r>
      <w:rPr>
        <w:lang w:val="en-US"/>
      </w:rPr>
      <w:tab/>
      <w:t>CAT/C/SR.901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4DD1"/>
    <w:rsid w:val="002C02EB"/>
    <w:rsid w:val="003E0EE1"/>
    <w:rsid w:val="00440627"/>
    <w:rsid w:val="00513975"/>
    <w:rsid w:val="00734DD1"/>
    <w:rsid w:val="007931B0"/>
    <w:rsid w:val="007D0A84"/>
    <w:rsid w:val="008C4803"/>
    <w:rsid w:val="009F336B"/>
    <w:rsid w:val="00B27C2A"/>
    <w:rsid w:val="00BF57C9"/>
    <w:rsid w:val="00C74F54"/>
    <w:rsid w:val="00C90292"/>
    <w:rsid w:val="00DD4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</w:style>
  <w:style w:type="paragraph" w:customStyle="1" w:styleId="SLGR">
    <w:name w:val="__S_L_GR"/>
    <w:basedOn w:val="Normal"/>
    <w:next w:val="Normal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pPr>
      <w:numPr>
        <w:numId w:val="4"/>
      </w:numPr>
    </w:pPr>
  </w:style>
  <w:style w:type="numbering" w:styleId="1ai">
    <w:name w:val="Outline List 1"/>
    <w:basedOn w:val="NoList"/>
    <w:semiHidden/>
    <w:pPr>
      <w:numPr>
        <w:numId w:val="5"/>
      </w:numPr>
    </w:pPr>
  </w:style>
  <w:style w:type="paragraph" w:styleId="HTMLAddress">
    <w:name w:val="HTML Address"/>
    <w:basedOn w:val="Normal"/>
    <w:semiHidden/>
    <w:rPr>
      <w:i/>
      <w:iCs/>
    </w:rPr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</w:style>
  <w:style w:type="paragraph" w:styleId="ListBullet5">
    <w:name w:val="List Bullet 5"/>
    <w:basedOn w:val="Normal"/>
    <w:semiHidden/>
    <w:pPr>
      <w:numPr>
        <w:numId w:val="10"/>
      </w:numPr>
    </w:pPr>
  </w:style>
  <w:style w:type="table" w:styleId="TableGrid">
    <w:name w:val="Table Grid"/>
    <w:basedOn w:val="TableNormal"/>
    <w:semiHidden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</w:style>
  <w:style w:type="paragraph" w:styleId="FootnoteText">
    <w:name w:val="footnote text"/>
    <w:aliases w:val="5_GR"/>
    <w:basedOn w:val="Normal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</w:style>
  <w:style w:type="table" w:styleId="TableWeb1">
    <w:name w:val="Table Web 1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4GR">
    <w:name w:val="_ H_4_GR Знак"/>
    <w:link w:val="H4GR0"/>
    <w:rPr>
      <w:i/>
      <w:spacing w:val="3"/>
      <w:w w:val="103"/>
      <w:kern w:val="14"/>
      <w:lang w:val="ru-RU" w:eastAsia="ru-RU" w:bidi="ar-SA"/>
    </w:rPr>
  </w:style>
  <w:style w:type="character" w:styleId="Emphasis">
    <w:name w:val="Emphasis"/>
    <w:qFormat/>
    <w:rPr>
      <w:i/>
      <w:iCs/>
    </w:rPr>
  </w:style>
  <w:style w:type="paragraph" w:styleId="NoteHeading">
    <w:name w:val="Note Heading"/>
    <w:basedOn w:val="Normal"/>
    <w:next w:val="Normal"/>
    <w:semiHidden/>
  </w:style>
  <w:style w:type="table" w:styleId="TableElegant">
    <w:name w:val="Table Elegant"/>
    <w:basedOn w:val="TableNormal"/>
    <w:semiHidden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ListBullet">
    <w:name w:val="List Bullet"/>
    <w:basedOn w:val="Normal"/>
    <w:semiHidden/>
    <w:pPr>
      <w:numPr>
        <w:numId w:val="6"/>
      </w:numPr>
    </w:pPr>
  </w:style>
  <w:style w:type="paragraph" w:styleId="ListBullet2">
    <w:name w:val="List Bullet 2"/>
    <w:basedOn w:val="Normal"/>
    <w:semiHidden/>
    <w:pPr>
      <w:numPr>
        <w:numId w:val="7"/>
      </w:numPr>
    </w:pPr>
  </w:style>
  <w:style w:type="paragraph" w:styleId="ListBullet3">
    <w:name w:val="List Bullet 3"/>
    <w:basedOn w:val="Normal"/>
    <w:semiHidden/>
    <w:pPr>
      <w:numPr>
        <w:numId w:val="8"/>
      </w:numPr>
    </w:pPr>
  </w:style>
  <w:style w:type="paragraph" w:styleId="ListBullet4">
    <w:name w:val="List Bullet 4"/>
    <w:basedOn w:val="Normal"/>
    <w:semiHidden/>
    <w:pPr>
      <w:numPr>
        <w:numId w:val="9"/>
      </w:numPr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</w:style>
  <w:style w:type="paragraph" w:styleId="ListNumber">
    <w:name w:val="List Number"/>
    <w:basedOn w:val="Normal"/>
    <w:semiHidden/>
    <w:pPr>
      <w:numPr>
        <w:numId w:val="11"/>
      </w:numPr>
    </w:pPr>
  </w:style>
  <w:style w:type="paragraph" w:styleId="ListNumber2">
    <w:name w:val="List Number 2"/>
    <w:basedOn w:val="Normal"/>
    <w:semiHidden/>
    <w:pPr>
      <w:numPr>
        <w:numId w:val="12"/>
      </w:numPr>
    </w:pPr>
  </w:style>
  <w:style w:type="paragraph" w:styleId="ListNumber3">
    <w:name w:val="List Number 3"/>
    <w:basedOn w:val="Normal"/>
    <w:semiHidden/>
    <w:pPr>
      <w:numPr>
        <w:numId w:val="13"/>
      </w:numPr>
    </w:pPr>
  </w:style>
  <w:style w:type="paragraph" w:styleId="ListNumber4">
    <w:name w:val="List Number 4"/>
    <w:basedOn w:val="Normal"/>
    <w:semiHidden/>
    <w:pPr>
      <w:numPr>
        <w:numId w:val="14"/>
      </w:numPr>
    </w:pPr>
  </w:style>
  <w:style w:type="paragraph" w:styleId="ListNumber5">
    <w:name w:val="List Number 5"/>
    <w:basedOn w:val="Normal"/>
    <w:semiHidden/>
    <w:pPr>
      <w:numPr>
        <w:numId w:val="15"/>
      </w:numPr>
    </w:pPr>
  </w:style>
  <w:style w:type="character" w:styleId="HTMLSample">
    <w:name w:val="HTML Sample"/>
    <w:semiHidden/>
    <w:rPr>
      <w:rFonts w:ascii="Courier New" w:hAnsi="Courier New" w:cs="Courier New"/>
    </w:rPr>
  </w:style>
  <w:style w:type="paragraph" w:styleId="EnvelopeReturn">
    <w:name w:val="envelope return"/>
    <w:basedOn w:val="Normal"/>
    <w:semiHidden/>
    <w:rPr>
      <w:rFonts w:ascii="Arial" w:hAnsi="Arial" w:cs="Arial"/>
    </w:rPr>
  </w:style>
  <w:style w:type="table" w:styleId="Table3Deffects1">
    <w:name w:val="Table 3D effects 1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Pr>
      <w:sz w:val="24"/>
    </w:rPr>
  </w:style>
  <w:style w:type="paragraph" w:styleId="NormalIndent">
    <w:name w:val="Normal Indent"/>
    <w:basedOn w:val="Normal"/>
    <w:semiHidden/>
    <w:pPr>
      <w:ind w:left="567"/>
    </w:pPr>
  </w:style>
  <w:style w:type="character" w:styleId="HTMLDefinition">
    <w:name w:val="HTML Definition"/>
    <w:semiHidden/>
    <w:rPr>
      <w:i/>
      <w:iCs/>
    </w:rPr>
  </w:style>
  <w:style w:type="paragraph" w:styleId="BodyText2">
    <w:name w:val="Body Text 2"/>
    <w:basedOn w:val="Normal"/>
    <w:semiHidden/>
    <w:pPr>
      <w:spacing w:line="480" w:lineRule="auto"/>
    </w:pPr>
  </w:style>
  <w:style w:type="paragraph" w:styleId="BodyText3">
    <w:name w:val="Body Text 3"/>
    <w:basedOn w:val="Normal"/>
    <w:semiHidden/>
    <w:rPr>
      <w:sz w:val="16"/>
      <w:szCs w:val="16"/>
    </w:rPr>
  </w:style>
  <w:style w:type="paragraph" w:styleId="BodyTextIndent2">
    <w:name w:val="Body Text Indent 2"/>
    <w:basedOn w:val="Normal"/>
    <w:semiHidden/>
    <w:pPr>
      <w:spacing w:line="480" w:lineRule="auto"/>
      <w:ind w:left="283"/>
    </w:pPr>
  </w:style>
  <w:style w:type="paragraph" w:styleId="BodyTextIndent3">
    <w:name w:val="Body Text Indent 3"/>
    <w:basedOn w:val="Normal"/>
    <w:semiHidden/>
    <w:pPr>
      <w:ind w:left="283"/>
    </w:pPr>
    <w:rPr>
      <w:sz w:val="16"/>
      <w:szCs w:val="16"/>
    </w:rPr>
  </w:style>
  <w:style w:type="character" w:styleId="HTMLVariable">
    <w:name w:val="HTML Variable"/>
    <w:semiHidden/>
    <w:rPr>
      <w:i/>
      <w:iCs/>
    </w:rPr>
  </w:style>
  <w:style w:type="character" w:styleId="HTMLTypewriter">
    <w:name w:val="HTML Typewriter"/>
    <w:semiHidden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pPr>
      <w:ind w:left="4252"/>
    </w:pPr>
  </w:style>
  <w:style w:type="paragraph" w:styleId="Salutation">
    <w:name w:val="Salutation"/>
    <w:basedOn w:val="Normal"/>
    <w:next w:val="Normal"/>
    <w:semiHidden/>
  </w:style>
  <w:style w:type="paragraph" w:styleId="ListContinue">
    <w:name w:val="List Continue"/>
    <w:basedOn w:val="Normal"/>
    <w:semiHidden/>
    <w:pPr>
      <w:ind w:left="283"/>
    </w:pPr>
  </w:style>
  <w:style w:type="paragraph" w:styleId="ListContinue2">
    <w:name w:val="List Continue 2"/>
    <w:basedOn w:val="Normal"/>
    <w:semiHidden/>
    <w:pPr>
      <w:ind w:left="566"/>
    </w:pPr>
  </w:style>
  <w:style w:type="paragraph" w:styleId="ListContinue3">
    <w:name w:val="List Continue 3"/>
    <w:basedOn w:val="Normal"/>
    <w:semiHidden/>
    <w:pPr>
      <w:ind w:left="849"/>
    </w:pPr>
  </w:style>
  <w:style w:type="paragraph" w:styleId="ListContinue4">
    <w:name w:val="List Continue 4"/>
    <w:basedOn w:val="Normal"/>
    <w:semiHidden/>
    <w:pPr>
      <w:ind w:left="1132"/>
    </w:pPr>
  </w:style>
  <w:style w:type="paragraph" w:styleId="ListContinue5">
    <w:name w:val="List Continue 5"/>
    <w:basedOn w:val="Normal"/>
    <w:semiHidden/>
    <w:pPr>
      <w:ind w:left="1415"/>
    </w:pPr>
  </w:style>
  <w:style w:type="character" w:styleId="FollowedHyperlink">
    <w:name w:val="FollowedHyperlink"/>
    <w:semiHidden/>
    <w:rPr>
      <w:color w:val="800080"/>
      <w:u w:val="single"/>
    </w:rPr>
  </w:style>
  <w:style w:type="table" w:styleId="TableSimple2">
    <w:name w:val="Table Simple 2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pPr>
      <w:ind w:left="4252"/>
    </w:pPr>
  </w:style>
  <w:style w:type="table" w:styleId="TableGrid1">
    <w:name w:val="Table Grid 1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HTMLPreformatted">
    <w:name w:val="HTML Preformatted"/>
    <w:basedOn w:val="Normal"/>
    <w:semiHidden/>
    <w:rPr>
      <w:rFonts w:ascii="Courier New" w:hAnsi="Courier New" w:cs="Courier New"/>
    </w:rPr>
  </w:style>
  <w:style w:type="numbering" w:styleId="ArticleSection">
    <w:name w:val="Outline List 3"/>
    <w:basedOn w:val="NoList"/>
    <w:semiHidden/>
    <w:pPr>
      <w:numPr>
        <w:numId w:val="16"/>
      </w:numPr>
    </w:pPr>
  </w:style>
  <w:style w:type="table" w:styleId="TableColumns1">
    <w:name w:val="Table Columns 1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Pr>
      <w:b/>
      <w:bCs/>
    </w:rPr>
  </w:style>
  <w:style w:type="table" w:styleId="TableList1">
    <w:name w:val="Table List 1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pPr>
      <w:ind w:left="1440" w:right="1440"/>
    </w:pPr>
  </w:style>
  <w:style w:type="character" w:styleId="HTMLCite">
    <w:name w:val="HTML Cite"/>
    <w:semiHidden/>
    <w:rPr>
      <w:i/>
      <w:iCs/>
    </w:rPr>
  </w:style>
  <w:style w:type="paragraph" w:styleId="E-mailSignature">
    <w:name w:val="E-mail Signature"/>
    <w:basedOn w:val="Normal"/>
    <w:semiHidden/>
  </w:style>
  <w:style w:type="character" w:styleId="Hyperlink">
    <w:name w:val="Hyperlink"/>
    <w:semiHidden/>
    <w:rPr>
      <w:color w:val="000000"/>
      <w:u w:val="single"/>
    </w:rPr>
  </w:style>
  <w:style w:type="paragraph" w:customStyle="1" w:styleId="H1GR">
    <w:name w:val="_ H_1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0">
    <w:name w:val="_ H_4_GR"/>
    <w:basedOn w:val="Normal"/>
    <w:next w:val="Normal"/>
    <w:link w:val="H4GR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Pr>
      <w:sz w:val="16"/>
      <w:szCs w:val="16"/>
    </w:rPr>
  </w:style>
  <w:style w:type="table" w:customStyle="1" w:styleId="TabNum">
    <w:name w:val="_TabNum"/>
    <w:basedOn w:val="TableNormal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11</Pages>
  <Words>4900</Words>
  <Characters>27930</Characters>
  <Application>Microsoft Office Word</Application>
  <DocSecurity>4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46010.01</vt:lpstr>
    </vt:vector>
  </TitlesOfParts>
  <Company>CSD</Company>
  <LinksUpToDate>false</LinksUpToDate>
  <CharactersWithSpaces>32765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46010.01</dc:title>
  <dc:subject>poguliaev</dc:subject>
  <dc:creator>Ковальская</dc:creator>
  <cp:keywords/>
  <dc:description/>
  <cp:lastModifiedBy>Anna Kisseleva</cp:lastModifiedBy>
  <cp:revision>2</cp:revision>
  <cp:lastPrinted>2010-03-15T08:54:00Z</cp:lastPrinted>
  <dcterms:created xsi:type="dcterms:W3CDTF">2010-03-15T08:55:00Z</dcterms:created>
  <dcterms:modified xsi:type="dcterms:W3CDTF">2010-03-15T08:55:00Z</dcterms:modified>
</cp:coreProperties>
</file>