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467FE034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201F11D" w14:textId="77777777" w:rsidR="002D5AAC" w:rsidRDefault="002D5AAC" w:rsidP="009468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F8BA60D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B6E0341" w14:textId="089A2E46" w:rsidR="002D5AAC" w:rsidRDefault="00946812" w:rsidP="00946812">
            <w:pPr>
              <w:jc w:val="right"/>
            </w:pPr>
            <w:r w:rsidRPr="00946812">
              <w:rPr>
                <w:sz w:val="40"/>
              </w:rPr>
              <w:t>E</w:t>
            </w:r>
            <w:r>
              <w:t>/C.12/PSE/CO/1</w:t>
            </w:r>
          </w:p>
        </w:tc>
      </w:tr>
      <w:tr w:rsidR="002D5AAC" w:rsidRPr="00DE43AF" w14:paraId="2ABD549E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C91404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485FB0A" wp14:editId="02FC8E0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11B139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3458A28A" w14:textId="77777777" w:rsidR="002D5AAC" w:rsidRDefault="00946812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BC5B3B1" w14:textId="77777777" w:rsidR="00946812" w:rsidRDefault="00946812" w:rsidP="0094681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November 2023</w:t>
            </w:r>
          </w:p>
          <w:p w14:paraId="30C119BF" w14:textId="77777777" w:rsidR="00946812" w:rsidRDefault="00946812" w:rsidP="0094681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CC8B465" w14:textId="1BCCDFAC" w:rsidR="00946812" w:rsidRPr="00D62A45" w:rsidRDefault="00946812" w:rsidP="0094681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B7A6BA6" w14:textId="52E7C07A" w:rsidR="00946812" w:rsidRPr="00946812" w:rsidRDefault="00946812" w:rsidP="00946812">
      <w:pPr>
        <w:spacing w:before="120"/>
        <w:rPr>
          <w:b/>
          <w:bCs/>
          <w:sz w:val="24"/>
          <w:szCs w:val="24"/>
        </w:rPr>
      </w:pPr>
      <w:r w:rsidRPr="00946812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946812">
        <w:rPr>
          <w:b/>
          <w:bCs/>
          <w:sz w:val="24"/>
          <w:szCs w:val="24"/>
        </w:rPr>
        <w:t>и культурным правам</w:t>
      </w:r>
    </w:p>
    <w:p w14:paraId="6280A5BB" w14:textId="77777777" w:rsidR="00946812" w:rsidRPr="00593AFA" w:rsidRDefault="00946812" w:rsidP="0094681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Государства Палестина</w:t>
      </w:r>
      <w:r w:rsidRPr="00946812">
        <w:rPr>
          <w:rStyle w:val="a8"/>
          <w:b w:val="0"/>
          <w:sz w:val="20"/>
          <w:szCs w:val="22"/>
          <w:vertAlign w:val="baseline"/>
        </w:rPr>
        <w:footnoteReference w:customMarkFollows="1" w:id="1"/>
        <w:t>*</w:t>
      </w:r>
      <w:bookmarkStart w:id="0" w:name="_Hlk148016432"/>
      <w:bookmarkEnd w:id="0"/>
    </w:p>
    <w:p w14:paraId="7C62DC62" w14:textId="3061D492" w:rsidR="00946812" w:rsidRPr="00593AFA" w:rsidRDefault="00946812" w:rsidP="00946812">
      <w:pPr>
        <w:pStyle w:val="SingleTxtG"/>
        <w:tabs>
          <w:tab w:val="left" w:pos="720"/>
        </w:tabs>
      </w:pPr>
      <w:r>
        <w:t>1.</w:t>
      </w:r>
      <w:r>
        <w:tab/>
        <w:t>Комитет рассмотрел первоначальный доклад Государства Палестина</w:t>
      </w:r>
      <w:r w:rsidR="00DE43AF" w:rsidRPr="00946812">
        <w:rPr>
          <w:rStyle w:val="a8"/>
        </w:rPr>
        <w:footnoteReference w:id="2"/>
      </w:r>
      <w:r>
        <w:t xml:space="preserve"> на своих 35-м и 37-м заседаниях</w:t>
      </w:r>
      <w:r w:rsidR="00DE43AF" w:rsidRPr="00946812">
        <w:rPr>
          <w:rStyle w:val="a8"/>
        </w:rPr>
        <w:footnoteReference w:id="3"/>
      </w:r>
      <w:r>
        <w:t>, состоявшихся 27 сентября 2023 года и 28 сентября 2023 года, и принял настоящие заключительные замечания на своем 60-м заседании, состоявшемся 13 октября 2023 года.</w:t>
      </w:r>
    </w:p>
    <w:p w14:paraId="77AD998E" w14:textId="1FCFFB1D" w:rsidR="00946812" w:rsidRPr="00593AFA" w:rsidRDefault="00946812" w:rsidP="00946812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9E8C376" w14:textId="7F17E24A" w:rsidR="00946812" w:rsidRPr="00DE43AF" w:rsidRDefault="00946812" w:rsidP="00946812">
      <w:pPr>
        <w:pStyle w:val="SingleTxtG"/>
        <w:tabs>
          <w:tab w:val="left" w:pos="720"/>
        </w:tabs>
        <w:rPr>
          <w:iCs/>
        </w:rPr>
      </w:pPr>
      <w:r>
        <w:t>2.</w:t>
      </w:r>
      <w:r>
        <w:tab/>
        <w:t>Комитет приветствует представление государством-участником первоначального доклада и дополнительную информацию, представленную в ответах на перечень вопросов</w:t>
      </w:r>
      <w:r w:rsidRPr="00946812">
        <w:rPr>
          <w:rStyle w:val="a8"/>
        </w:rPr>
        <w:footnoteReference w:id="4"/>
      </w:r>
      <w:r>
        <w:t>. Комитет выражает признательность за конструктивный диалог, состоявшийся с делегацией государства-участника.</w:t>
      </w:r>
      <w:r w:rsidR="00DE43AF" w:rsidRPr="00DE43AF">
        <w:t xml:space="preserve"> </w:t>
      </w:r>
    </w:p>
    <w:p w14:paraId="519F6ED7" w14:textId="5251247F" w:rsidR="00946812" w:rsidRPr="00593AFA" w:rsidRDefault="00946812" w:rsidP="00946812">
      <w:pPr>
        <w:pStyle w:val="SingleTxtG"/>
        <w:tabs>
          <w:tab w:val="left" w:pos="720"/>
        </w:tabs>
        <w:rPr>
          <w:bCs/>
        </w:rPr>
      </w:pPr>
      <w:r>
        <w:t>3.</w:t>
      </w:r>
      <w:r>
        <w:tab/>
        <w:t>Комитет признает, что сохраняющаяся израильская оккупация и частичная аннексия территории государства-участника, расширение поселений и продолжающаяся блокада сектора Газа, которые являются незаконными по международному праву</w:t>
      </w:r>
      <w:r w:rsidRPr="00946812">
        <w:rPr>
          <w:rStyle w:val="a8"/>
        </w:rPr>
        <w:footnoteReference w:id="5"/>
      </w:r>
      <w:r>
        <w:t xml:space="preserve">, создают серьезные проблемы для государства-участника в деле полного выполнения его обязательств по Международному пакту об экономических, социальных и культурных правах и приводят к грубым нарушениям </w:t>
      </w:r>
      <w:r w:rsidR="00D164D0">
        <w:t>экономических</w:t>
      </w:r>
      <w:r>
        <w:t xml:space="preserve">, социальных и культурных прав палестинцев, включая насильственное перемещение и выселения, захват частных земель, снос домов и незаконные поселения, ограничения доступа к медицинским услугам, разрушение культурных объектов и отказ в доступе к гуманитарной помощи. Он признает, что вышеупомянутые проблемы ограничивают эффективный контроль государства-участника над своей юрисдикцией на собственной территории и его ресурсы и способность осуществлять Пакт. Вместе с тем он напоминает государству-участнику о том, что Пакт применим на всей его территории и что ему следует принимать все возможные меры для ее осуществления во всех регионах страны. В этой связи Комитет сожалеет, что, несмотря на соглашение между движениями ФАТХ и ХАМАС о прекращении раскола Палестины, подписанное 12 октября 2017 года, государство-участник добилось ограниченного прогресса в решении внутренних политических </w:t>
      </w:r>
      <w:r>
        <w:lastRenderedPageBreak/>
        <w:t xml:space="preserve">вопросов, которые негативно влияют на полное осуществление палестинцами на Западном берегу, включая Восточный Иерусалим, и в секторе Газа своих прав по Пакту и способствуют политической и географической фрагментации территории государства-участника. Он отмечает, что из-за этой фрагментации палестинцы </w:t>
      </w:r>
      <w:r w:rsidR="00DE43AF">
        <w:br/>
      </w:r>
      <w:r>
        <w:t>по-прежнему подпадают под действие различных правовых систем, что препятствует полной реализации их прав, предусмотренных Пактом</w:t>
      </w:r>
      <w:r w:rsidRPr="00946812">
        <w:rPr>
          <w:rStyle w:val="a8"/>
        </w:rPr>
        <w:footnoteReference w:id="6"/>
      </w:r>
      <w:r>
        <w:t>.</w:t>
      </w:r>
      <w:bookmarkStart w:id="1" w:name="_Hlk138836936"/>
      <w:bookmarkEnd w:id="1"/>
    </w:p>
    <w:p w14:paraId="6C6C1A4D" w14:textId="2014F782" w:rsidR="00946812" w:rsidRPr="00593AFA" w:rsidRDefault="008B1005" w:rsidP="00946812">
      <w:pPr>
        <w:pStyle w:val="H1G"/>
      </w:pPr>
      <w:r>
        <w:rPr>
          <w:bCs/>
        </w:rPr>
        <w:tab/>
      </w:r>
      <w:r w:rsidR="00946812">
        <w:rPr>
          <w:bCs/>
        </w:rPr>
        <w:t>B.</w:t>
      </w:r>
      <w:r w:rsidR="00946812">
        <w:tab/>
      </w:r>
      <w:r w:rsidR="00946812">
        <w:rPr>
          <w:bCs/>
        </w:rPr>
        <w:t>Положительные аспекты</w:t>
      </w:r>
    </w:p>
    <w:p w14:paraId="0A39E0E8" w14:textId="77777777" w:rsidR="00946812" w:rsidRPr="00593AFA" w:rsidRDefault="00946812" w:rsidP="00946812">
      <w:pPr>
        <w:pStyle w:val="SingleTxtG"/>
      </w:pPr>
      <w:r>
        <w:t>4.</w:t>
      </w:r>
      <w:r>
        <w:tab/>
        <w:t>Комитет приветствует присоединение государства-участника к значительному числу международных договоров, заключенных с момента его присоединения к Пакту, а также события, о которых говорится ниже.</w:t>
      </w:r>
    </w:p>
    <w:p w14:paraId="6975CB2B" w14:textId="6E70F749" w:rsidR="00946812" w:rsidRPr="00593AFA" w:rsidRDefault="008B1005" w:rsidP="00946812">
      <w:pPr>
        <w:pStyle w:val="H1G"/>
      </w:pPr>
      <w:r>
        <w:rPr>
          <w:bCs/>
        </w:rPr>
        <w:tab/>
      </w:r>
      <w:r w:rsidR="00946812">
        <w:rPr>
          <w:bCs/>
        </w:rPr>
        <w:t>C.</w:t>
      </w:r>
      <w:r w:rsidR="00946812">
        <w:tab/>
      </w:r>
      <w:r w:rsidR="00946812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="00946812">
        <w:rPr>
          <w:bCs/>
        </w:rPr>
        <w:t>рекомендации</w:t>
      </w:r>
      <w:r w:rsidR="00946812">
        <w:t xml:space="preserve"> </w:t>
      </w:r>
    </w:p>
    <w:p w14:paraId="670014E0" w14:textId="68BE5600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Применение </w:t>
      </w:r>
      <w:r w:rsidR="00946812" w:rsidRPr="00D164D0">
        <w:t>Пакта</w:t>
      </w:r>
      <w:r w:rsidR="00946812">
        <w:t xml:space="preserve"> во внутреннем праве</w:t>
      </w:r>
    </w:p>
    <w:p w14:paraId="092DB091" w14:textId="77777777" w:rsidR="00946812" w:rsidRPr="00593AFA" w:rsidRDefault="00946812" w:rsidP="00946812">
      <w:pPr>
        <w:pStyle w:val="SingleTxtG"/>
      </w:pPr>
      <w:r>
        <w:t>5.</w:t>
      </w:r>
      <w:r>
        <w:tab/>
        <w:t>Комитет выражает обеспокоенность по поводу толкования, данного Верховным конституционным судом в его решениях № 4 (2017) от 19 ноября 2017 года и № 5 (2018) от 12 марта 2018 года, согласно которому международные договоры, к которым присоединилось государство-участник, имеют приоритет над внутригосударственным законодательством только в той мере, в какой они согласуются с национальной, религиозной и культурной идентичностью палестинского арабского народа. Кроме того, Комитет обеспокоен наличием многочисленных неунифицированных правовых систем на Западном берегу реки Иордан и в секторе Газа.</w:t>
      </w:r>
    </w:p>
    <w:p w14:paraId="38DB6053" w14:textId="77777777" w:rsidR="00946812" w:rsidRPr="00593AFA" w:rsidRDefault="00946812" w:rsidP="00946812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пересмотреть действующее законодательство с целью предотвращения правовой неопределенности или двусмысленности, которые могут послужить основанием для юридических толкований, противоречащих правовым обязательствам государства-участника, а также ввести в действие законодательство для обеспечения унификации своих правовых систем, как это также рекомендовано Комитетом по правам человека</w:t>
      </w:r>
      <w:r w:rsidRPr="00946812">
        <w:rPr>
          <w:rStyle w:val="a8"/>
        </w:rPr>
        <w:footnoteReference w:id="7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9 (1998) о применении Пакта во внутреннем праве.</w:t>
      </w:r>
    </w:p>
    <w:p w14:paraId="530B2C17" w14:textId="44AD20BC" w:rsidR="00946812" w:rsidRPr="00593AFA" w:rsidRDefault="00D164D0" w:rsidP="00D164D0">
      <w:pPr>
        <w:pStyle w:val="H23G"/>
      </w:pPr>
      <w:r>
        <w:tab/>
      </w:r>
      <w:r>
        <w:tab/>
      </w:r>
      <w:r w:rsidR="00946812">
        <w:t>Независимость судебных органов</w:t>
      </w:r>
    </w:p>
    <w:p w14:paraId="6EA74352" w14:textId="77777777" w:rsidR="00946812" w:rsidRPr="00593AFA" w:rsidRDefault="00946812" w:rsidP="00946812">
      <w:pPr>
        <w:pStyle w:val="SingleTxtG"/>
        <w:tabs>
          <w:tab w:val="left" w:pos="1134"/>
        </w:tabs>
      </w:pPr>
      <w:r>
        <w:t>7.</w:t>
      </w:r>
      <w:r>
        <w:tab/>
        <w:t xml:space="preserve">Комитет обеспокоен созданием Высшего совета судебных органов и инстанций, поскольку его контроль со стороны исполнительной власти существенно препятствует независимости судебной системы. </w:t>
      </w:r>
    </w:p>
    <w:p w14:paraId="21CEA03F" w14:textId="77777777" w:rsidR="00946812" w:rsidRPr="00593AFA" w:rsidRDefault="00946812" w:rsidP="00946812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предотвращения и наказания любых злоупотреблений полномочиями, предоставленными Высшему совету судебных органов и инстанций, принимая во внимание соответствующие международные стандарты, включая Основные принципы независимости судебных органов.</w:t>
      </w:r>
    </w:p>
    <w:p w14:paraId="0EE64351" w14:textId="00D637E6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Организации </w:t>
      </w:r>
      <w:r w:rsidR="00946812" w:rsidRPr="00D164D0">
        <w:t>гражданского</w:t>
      </w:r>
      <w:r w:rsidR="00946812">
        <w:t xml:space="preserve"> общества</w:t>
      </w:r>
    </w:p>
    <w:p w14:paraId="32B13745" w14:textId="4665DDD4" w:rsidR="00946812" w:rsidRPr="00593AFA" w:rsidRDefault="00946812" w:rsidP="00946812">
      <w:pPr>
        <w:pStyle w:val="SingleTxtG"/>
      </w:pPr>
      <w:r>
        <w:t>9.</w:t>
      </w:r>
      <w:r>
        <w:tab/>
        <w:t xml:space="preserve">Комитет обеспокоен тем, что Декрет-закон № 7 от 2021 года о внесении изменений в Закон </w:t>
      </w:r>
      <w:r w:rsidR="008B1005">
        <w:t>«</w:t>
      </w:r>
      <w:r>
        <w:t>О благотворительных объединениях и организациях гражданского общества</w:t>
      </w:r>
      <w:r w:rsidR="008B1005">
        <w:t>»</w:t>
      </w:r>
      <w:r>
        <w:t xml:space="preserve"> (Закон № 1 от 2000 года) и Декрет-закон № 39 от 2022 года о противодействии отмыванию денег и финансированию терроризма могут необоснованно ограничить право на свободу ассоциации, финансирование и деятельность организаций гражданского общества. </w:t>
      </w:r>
    </w:p>
    <w:p w14:paraId="53A2186C" w14:textId="74542CC0" w:rsidR="00946812" w:rsidRPr="00593AFA" w:rsidRDefault="00946812" w:rsidP="00946812">
      <w:pPr>
        <w:pStyle w:val="SingleTxtG"/>
        <w:rPr>
          <w:b/>
        </w:rPr>
      </w:pPr>
      <w:r>
        <w:lastRenderedPageBreak/>
        <w:t>10.</w:t>
      </w:r>
      <w:r>
        <w:tab/>
      </w:r>
      <w:r>
        <w:rPr>
          <w:b/>
          <w:bCs/>
        </w:rPr>
        <w:t xml:space="preserve">Комитет рекомендует государству-участнику рассмотреть вопрос о пересмотре Декрета-закона № 7 от 2021 года о внесении изменений в Закон </w:t>
      </w:r>
      <w:r w:rsidR="008B1005">
        <w:rPr>
          <w:b/>
          <w:bCs/>
        </w:rPr>
        <w:t>«</w:t>
      </w:r>
      <w:r>
        <w:rPr>
          <w:b/>
          <w:bCs/>
        </w:rPr>
        <w:t>О</w:t>
      </w:r>
      <w:r w:rsidR="008B1005">
        <w:rPr>
          <w:b/>
          <w:bCs/>
        </w:rPr>
        <w:t> </w:t>
      </w:r>
      <w:r>
        <w:rPr>
          <w:b/>
          <w:bCs/>
        </w:rPr>
        <w:t>благотворительных объединениях и организациях гражданского общества</w:t>
      </w:r>
      <w:r w:rsidR="008B1005">
        <w:rPr>
          <w:b/>
          <w:bCs/>
        </w:rPr>
        <w:t>»</w:t>
      </w:r>
      <w:r>
        <w:rPr>
          <w:b/>
          <w:bCs/>
        </w:rPr>
        <w:t xml:space="preserve"> (Закон № 1 от 2000 года) и Декрета-закона № 39 от 2022 года о противодействии отмыванию денег и финансированию терроризма с целью устранения излишне ограничительных требований в отношении финансирования и деятельности организаций гражданского общества, как это также было рекомендовано Комитетом по правам человека</w:t>
      </w:r>
      <w:r w:rsidRPr="00946812">
        <w:rPr>
          <w:rStyle w:val="a8"/>
        </w:rPr>
        <w:footnoteReference w:id="8"/>
      </w:r>
      <w:r>
        <w:rPr>
          <w:b/>
          <w:bCs/>
        </w:rPr>
        <w:t>.</w:t>
      </w:r>
    </w:p>
    <w:p w14:paraId="0C8FD695" w14:textId="676E0E05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Правозащитники, </w:t>
      </w:r>
      <w:r w:rsidR="00946812" w:rsidRPr="00D164D0">
        <w:t>журналисты</w:t>
      </w:r>
      <w:r w:rsidR="00946812">
        <w:t xml:space="preserve"> и адвокаты, работающие в области прав человека</w:t>
      </w:r>
    </w:p>
    <w:p w14:paraId="0527C276" w14:textId="77777777" w:rsidR="00946812" w:rsidRPr="00593AFA" w:rsidRDefault="00946812" w:rsidP="00946812">
      <w:pPr>
        <w:pStyle w:val="SingleTxtG"/>
        <w:tabs>
          <w:tab w:val="left" w:pos="1134"/>
        </w:tabs>
      </w:pPr>
      <w:r>
        <w:t>11.</w:t>
      </w:r>
      <w:r>
        <w:tab/>
        <w:t>Комитет обеспокоен тем, что некоторые положения Уголовного кодекса Иордании 1960 года, инкорпорированные</w:t>
      </w:r>
      <w:r w:rsidRPr="00593AFA">
        <w:t xml:space="preserve"> </w:t>
      </w:r>
      <w:r>
        <w:t>в свое законодательство государством-участником, в частности статьи 144 (оскорбление государственного должностного лица), 150 (разжигание межрелигиозной розни), 191 (клевета на государственное должностное лицо) и 195 (оскорбление вышестоящего руководства), чрезмерно криминализируют выражение мнений в государстве-участнике и, как сообщается, используются для того, чтобы заставить замолчать правозащитников, журналистов и адвокатов, занимающихся вопросами прав человека, которые высказывают критические или несогласные мнения о деятельности и политике государства-участника.</w:t>
      </w:r>
    </w:p>
    <w:p w14:paraId="615BE269" w14:textId="77777777" w:rsidR="00946812" w:rsidRPr="00593AFA" w:rsidRDefault="00946812" w:rsidP="00946812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пересмотреть Уголовный кодекс Иордании 1960 года, инкорпорированный</w:t>
      </w:r>
      <w:r w:rsidRPr="00593AFA">
        <w:t xml:space="preserve"> </w:t>
      </w:r>
      <w:r w:rsidRPr="00593AFA">
        <w:rPr>
          <w:b/>
          <w:bCs/>
        </w:rPr>
        <w:t>в свое законодательство</w:t>
      </w:r>
      <w:r>
        <w:rPr>
          <w:b/>
          <w:bCs/>
        </w:rPr>
        <w:t xml:space="preserve"> государством-участником, с целью приведения его в полное соответствие с международным правом прав человека, как это также было рекомендовано Комитетом по правам человека</w:t>
      </w:r>
      <w:r w:rsidRPr="00946812">
        <w:rPr>
          <w:rStyle w:val="a8"/>
        </w:rPr>
        <w:footnoteReference w:id="9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этой связи Комитет напоминает о своем заявлении о правозащитниках и экономических, социальных и культурных правах</w:t>
      </w:r>
      <w:r w:rsidRPr="00946812">
        <w:rPr>
          <w:rStyle w:val="a8"/>
        </w:rPr>
        <w:footnoteReference w:id="10"/>
      </w:r>
      <w:r>
        <w:rPr>
          <w:b/>
          <w:bCs/>
        </w:rPr>
        <w:t>.</w:t>
      </w:r>
      <w:r>
        <w:t xml:space="preserve"> </w:t>
      </w:r>
    </w:p>
    <w:p w14:paraId="1D09C32B" w14:textId="6D847888" w:rsidR="00946812" w:rsidRPr="00593AFA" w:rsidRDefault="00D164D0" w:rsidP="00D164D0">
      <w:pPr>
        <w:pStyle w:val="H23G"/>
      </w:pPr>
      <w:r>
        <w:tab/>
      </w:r>
      <w:r>
        <w:tab/>
      </w:r>
      <w:r w:rsidR="00946812" w:rsidRPr="00D164D0">
        <w:t>Предпринимательские</w:t>
      </w:r>
      <w:r w:rsidR="00946812">
        <w:t xml:space="preserve"> и экономические, социальные и культурные права</w:t>
      </w:r>
    </w:p>
    <w:p w14:paraId="1A91071D" w14:textId="728A4348" w:rsidR="00946812" w:rsidRPr="00593AFA" w:rsidRDefault="00946812" w:rsidP="00946812">
      <w:pPr>
        <w:pStyle w:val="SingleTxtG"/>
        <w:tabs>
          <w:tab w:val="left" w:pos="720"/>
        </w:tabs>
      </w:pPr>
      <w:r>
        <w:t>13.</w:t>
      </w:r>
      <w:r>
        <w:tab/>
        <w:t xml:space="preserve">Комитет обеспокоен отсутствием национального плана действий по вопросам предпринимательства в аспекте прав человека. Комитет также обеспокоен сообщениями о монополиях и отсутствии конкуренции при проведении государственных тендеров, в частности в секторах водоснабжения, электроснабжения и телекоммуникаций, а также в секторе удаления отходов, что приводит к повышению цен и тем самым негативно сказывается на способности домохозяйств угнаться за ростом стоимости жизни (статьи 11, 12, 13, 14 и 15). </w:t>
      </w:r>
    </w:p>
    <w:p w14:paraId="48CAA9BE" w14:textId="71397D3A" w:rsidR="00946812" w:rsidRPr="00593AFA" w:rsidRDefault="00946812" w:rsidP="00946812">
      <w:pPr>
        <w:pStyle w:val="SingleTxtG"/>
        <w:tabs>
          <w:tab w:val="left" w:pos="720"/>
        </w:tabs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принять национальный план действий по вопросам предпринимательства в аспекте прав человека.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обеспечить, чтобы компании, получающие государственные контракты, не повышали необоснованно цены для частных лиц и домохозяйств в ущерб их способности угнаться за ростом стоимости жизни, например на жилье, питание, лекарства, образование и культурные мероприятия, включая спортивные.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24 (2017) об обязательствах государств по Пакту в контексте предпринимательской деятельности.</w:t>
      </w:r>
    </w:p>
    <w:p w14:paraId="21DEBF6F" w14:textId="2012FE89" w:rsidR="00946812" w:rsidRPr="00593AFA" w:rsidRDefault="00D164D0" w:rsidP="00D164D0">
      <w:pPr>
        <w:pStyle w:val="H23G"/>
      </w:pPr>
      <w:r>
        <w:tab/>
      </w:r>
      <w:r>
        <w:tab/>
      </w:r>
      <w:r w:rsidR="00946812">
        <w:t>Изменение климата</w:t>
      </w:r>
    </w:p>
    <w:p w14:paraId="7962BDE4" w14:textId="57FF959B" w:rsidR="00946812" w:rsidRPr="00593AFA" w:rsidRDefault="00946812" w:rsidP="00946812">
      <w:pPr>
        <w:pStyle w:val="SingleTxtG"/>
        <w:tabs>
          <w:tab w:val="left" w:pos="720"/>
        </w:tabs>
      </w:pPr>
      <w:r>
        <w:t>15.</w:t>
      </w:r>
      <w:r>
        <w:tab/>
        <w:t>Комитет обеспокоен тем, что нынешняя политика сокращения выбросов может оказаться недостаточной для выполнения государством-участником своих обязательств по Парижскому соглашению (ст</w:t>
      </w:r>
      <w:r w:rsidR="00F846AC">
        <w:t>атья</w:t>
      </w:r>
      <w:r>
        <w:t xml:space="preserve"> 2 (пункт1)).</w:t>
      </w:r>
    </w:p>
    <w:p w14:paraId="5C1BD959" w14:textId="77777777" w:rsidR="00946812" w:rsidRPr="00593AFA" w:rsidRDefault="00946812" w:rsidP="008B1005">
      <w:pPr>
        <w:pStyle w:val="SingleTxtG"/>
        <w:tabs>
          <w:tab w:val="clear" w:pos="2268"/>
        </w:tabs>
        <w:rPr>
          <w:b/>
        </w:rPr>
      </w:pPr>
      <w:r>
        <w:lastRenderedPageBreak/>
        <w:t>16.</w:t>
      </w:r>
      <w:r>
        <w:tab/>
      </w:r>
      <w:r>
        <w:rPr>
          <w:b/>
          <w:bCs/>
        </w:rPr>
        <w:t>Комитет рекомендует государству-участнику принять меры по достижению своего определяемого на национальном уровне вклада в рамках Парижского соглашения, в том числе путем повышения налогообложения выбросов и замены ископаемого топлива в энергетическом балансе.</w:t>
      </w:r>
      <w:r>
        <w:t xml:space="preserve"> </w:t>
      </w:r>
      <w:r>
        <w:rPr>
          <w:b/>
          <w:bCs/>
        </w:rPr>
        <w:t>В этой связи Комитет напоминает о своем заявлении по вопросу об изменении климата и Пакте</w:t>
      </w:r>
      <w:r w:rsidRPr="00946812">
        <w:rPr>
          <w:rStyle w:val="a8"/>
        </w:rPr>
        <w:footnoteReference w:id="11"/>
      </w:r>
      <w:r>
        <w:rPr>
          <w:b/>
          <w:bCs/>
        </w:rPr>
        <w:t>.</w:t>
      </w:r>
    </w:p>
    <w:p w14:paraId="336E1F8C" w14:textId="1943EE19" w:rsidR="00946812" w:rsidRPr="00593AFA" w:rsidRDefault="00946812" w:rsidP="00D164D0">
      <w:pPr>
        <w:pStyle w:val="H23G"/>
      </w:pPr>
      <w:r>
        <w:tab/>
      </w:r>
      <w:r w:rsidR="00D164D0">
        <w:tab/>
      </w:r>
      <w:r w:rsidR="00D164D0">
        <w:tab/>
      </w:r>
      <w:r>
        <w:t xml:space="preserve">Максимальные </w:t>
      </w:r>
      <w:r w:rsidRPr="00D164D0">
        <w:t>пределы</w:t>
      </w:r>
      <w:r>
        <w:t xml:space="preserve"> имеющихся ресурсов</w:t>
      </w:r>
    </w:p>
    <w:p w14:paraId="22BD0D23" w14:textId="77777777" w:rsidR="00946812" w:rsidRPr="00593AFA" w:rsidRDefault="00946812" w:rsidP="00946812">
      <w:pPr>
        <w:pStyle w:val="SingleTxtG"/>
      </w:pPr>
      <w:r>
        <w:t>17.</w:t>
      </w:r>
      <w:r>
        <w:tab/>
        <w:t>Комитет обеспокоен тем, что политические разногласия между Западным берегом и сектором Газа препятствуют способности государства-участника эффективно собирать налоги и проводить согласованную экономическую политику, а также ставят его в явную зависимость от меняющихся объемов официальной помощи в целях развития, что наносит ущерб осуществлению прав, предусмотренных Пактом (статья 2 (пункт 1)).</w:t>
      </w:r>
    </w:p>
    <w:p w14:paraId="49ADB1EF" w14:textId="6B30B392" w:rsidR="00946812" w:rsidRPr="00593AFA" w:rsidRDefault="00946812" w:rsidP="00946812">
      <w:pPr>
        <w:pStyle w:val="SingleTxtG"/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 удвоить усилия по преодолению политических разногласий между Западным берегом и сектором Газа, чтобы повысить свою способность собирать налоги и проводить согласованную экономическую политику, а также снизить зависимость от меняющихся объемов официальной помощи в целях развития.</w:t>
      </w:r>
      <w:r>
        <w:t xml:space="preserve"> </w:t>
      </w:r>
      <w:r>
        <w:rPr>
          <w:b/>
          <w:bCs/>
        </w:rPr>
        <w:t xml:space="preserve">В этой связи Комитет напоминает о своем заявлении, озаглавленном </w:t>
      </w:r>
      <w:r w:rsidR="008B1005">
        <w:rPr>
          <w:b/>
          <w:bCs/>
        </w:rPr>
        <w:t>«</w:t>
      </w:r>
      <w:r>
        <w:rPr>
          <w:b/>
          <w:bCs/>
        </w:rPr>
        <w:t>Обещание сделать так, чтобы никто не был забыт: Международный пакт об экономических, социальных и культурных правах и Повестка дня в области устойчивого развития на период до 2030 года</w:t>
      </w:r>
      <w:r w:rsidR="008B1005">
        <w:rPr>
          <w:b/>
          <w:bCs/>
        </w:rPr>
        <w:t>»</w:t>
      </w:r>
      <w:r w:rsidRPr="00946812">
        <w:rPr>
          <w:rStyle w:val="a8"/>
        </w:rPr>
        <w:footnoteReference w:id="12"/>
      </w:r>
      <w:r>
        <w:rPr>
          <w:b/>
          <w:bCs/>
        </w:rPr>
        <w:t>.</w:t>
      </w:r>
    </w:p>
    <w:p w14:paraId="278FFCD6" w14:textId="064591D8" w:rsidR="00946812" w:rsidRPr="00593AFA" w:rsidRDefault="00D164D0" w:rsidP="00D164D0">
      <w:pPr>
        <w:pStyle w:val="H23G"/>
      </w:pPr>
      <w:r>
        <w:tab/>
      </w:r>
      <w:r>
        <w:tab/>
      </w:r>
      <w:r w:rsidR="00946812" w:rsidRPr="00D164D0">
        <w:t>Коррупция</w:t>
      </w:r>
    </w:p>
    <w:p w14:paraId="59E35D81" w14:textId="49E91567" w:rsidR="00946812" w:rsidRPr="00593AFA" w:rsidRDefault="00946812" w:rsidP="00946812">
      <w:pPr>
        <w:pStyle w:val="SingleTxtG"/>
      </w:pPr>
      <w:r>
        <w:t>19.</w:t>
      </w:r>
      <w:r>
        <w:tab/>
        <w:t xml:space="preserve">Комитет обеспокоен сообщениями о том, что коррупция, включая непотизм, </w:t>
      </w:r>
      <w:r w:rsidR="00F846AC">
        <w:br/>
      </w:r>
      <w:r>
        <w:t>по-прежнему широко распространена во многих сферах общественной жизни, в частности при назначении и продвижении по службе государственных служащих. Комитет выражает сожаление по поводу непредставления государством-участником конкретной информации о принятых мерах по обеспечению независимости, прозрачности, эффективности и подотчетности таких антикоррупционных органов, как Комиссия по борьбе с коррупцией и Антикоррупционный суд (статья 2 (пункт 1)).</w:t>
      </w:r>
    </w:p>
    <w:p w14:paraId="02870DCF" w14:textId="77777777" w:rsidR="00946812" w:rsidRPr="00593AFA" w:rsidRDefault="00946812" w:rsidP="00946812">
      <w:pPr>
        <w:pStyle w:val="SingleTxtG"/>
        <w:keepNext/>
        <w:keepLines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2297FEA" w14:textId="141C8D71" w:rsidR="00946812" w:rsidRPr="008B1005" w:rsidRDefault="00D164D0" w:rsidP="008B1005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8B1005">
        <w:rPr>
          <w:b/>
          <w:bCs/>
        </w:rPr>
        <w:t>a)</w:t>
      </w:r>
      <w:r w:rsidR="00946812" w:rsidRPr="008B1005">
        <w:rPr>
          <w:b/>
          <w:bCs/>
        </w:rPr>
        <w:tab/>
        <w:t>оперативно, независимо и беспристрастно расследовать все случаи коррупции, особенно случаи коррупции на высоком уровне, включая коррупцию в правительстве, привлекать виновных к ответственности и в случае вынесения обвинительного приговора применять наказания, соразмерные тяжести совершенного преступления;</w:t>
      </w:r>
    </w:p>
    <w:p w14:paraId="5D1CF2F3" w14:textId="266AF0F5" w:rsidR="00946812" w:rsidRPr="00593AFA" w:rsidRDefault="00D164D0" w:rsidP="008B1005">
      <w:pPr>
        <w:pStyle w:val="SingleTxtG"/>
      </w:pPr>
      <w:r>
        <w:rPr>
          <w:b/>
          <w:bCs/>
        </w:rPr>
        <w:tab/>
      </w:r>
      <w:r w:rsidR="00946812" w:rsidRPr="008B1005">
        <w:rPr>
          <w:b/>
          <w:bCs/>
        </w:rPr>
        <w:t>b)</w:t>
      </w:r>
      <w:r w:rsidR="00946812" w:rsidRPr="008B1005">
        <w:rPr>
          <w:b/>
          <w:bCs/>
        </w:rPr>
        <w:tab/>
        <w:t>обеспечить независимость, эффективность, прозрачность и подотчетность всех антикоррупционных органов, включая Комиссию по борьбе с коррупцией и Антикоррупционный суд, как это также рекомендовано Комитетом по правам человека</w:t>
      </w:r>
      <w:r w:rsidR="00946812" w:rsidRPr="00946812">
        <w:rPr>
          <w:rStyle w:val="a8"/>
        </w:rPr>
        <w:footnoteReference w:id="13"/>
      </w:r>
      <w:r w:rsidR="00946812" w:rsidRPr="00D164D0">
        <w:rPr>
          <w:b/>
          <w:bCs/>
        </w:rPr>
        <w:t>.</w:t>
      </w:r>
    </w:p>
    <w:p w14:paraId="3AA134EF" w14:textId="02FD3884" w:rsidR="00946812" w:rsidRPr="00593AFA" w:rsidRDefault="00D164D0" w:rsidP="00D164D0">
      <w:pPr>
        <w:pStyle w:val="H23G"/>
        <w:rPr>
          <w:b w:val="0"/>
        </w:rPr>
      </w:pPr>
      <w:r>
        <w:tab/>
      </w:r>
      <w:r>
        <w:tab/>
      </w:r>
      <w:r w:rsidR="00946812">
        <w:t xml:space="preserve">Меры жесткой </w:t>
      </w:r>
      <w:r w:rsidR="00946812" w:rsidRPr="00D164D0">
        <w:t>экономии</w:t>
      </w:r>
    </w:p>
    <w:p w14:paraId="55789ACD" w14:textId="77777777" w:rsidR="00946812" w:rsidRPr="00593AFA" w:rsidRDefault="00946812" w:rsidP="00D164D0">
      <w:pPr>
        <w:pStyle w:val="SingleTxtG"/>
      </w:pPr>
      <w:r>
        <w:t>21.</w:t>
      </w:r>
      <w:r>
        <w:tab/>
        <w:t xml:space="preserve">Отмечая меры </w:t>
      </w:r>
      <w:r w:rsidRPr="00D164D0">
        <w:t>государства</w:t>
      </w:r>
      <w:r>
        <w:t>-участника по сбалансированию своих расходов с имеющимися ресурсами, Комитет обеспокоен значительным негативным воздействием мер жесткой экономии на осуществление экономических, социальных и культурных прав (статьи 2 (пункт 1), 6, 9, 11 и 12).</w:t>
      </w:r>
    </w:p>
    <w:p w14:paraId="0ED78C7B" w14:textId="77777777" w:rsidR="00946812" w:rsidRPr="00593AFA" w:rsidRDefault="00946812" w:rsidP="00D164D0">
      <w:pPr>
        <w:pStyle w:val="SingleTxtG"/>
      </w:pPr>
      <w:r>
        <w:t>22.</w:t>
      </w:r>
      <w:r>
        <w:tab/>
      </w:r>
      <w:r w:rsidRPr="00D164D0">
        <w:rPr>
          <w:b/>
          <w:bCs/>
        </w:rPr>
        <w:t xml:space="preserve">Комитет рекомендует государству-участнику оценивать воздействие на права, закрепленные в Пакте, при внесении бюджетных корректировок и принять все необходимые меры для снижения любого негативного воздействия </w:t>
      </w:r>
      <w:r w:rsidRPr="00D164D0">
        <w:rPr>
          <w:b/>
          <w:bCs/>
        </w:rPr>
        <w:lastRenderedPageBreak/>
        <w:t>на экономические, социальные и культурные права. В этой связи Комитет напоминает о своем заявлении о государственном долге, мерах жесткой экономии и Пакте</w:t>
      </w:r>
      <w:r w:rsidRPr="00946812">
        <w:rPr>
          <w:rStyle w:val="a8"/>
        </w:rPr>
        <w:footnoteReference w:id="14"/>
      </w:r>
      <w:r w:rsidRPr="00D164D0">
        <w:rPr>
          <w:b/>
          <w:bCs/>
        </w:rPr>
        <w:t>.</w:t>
      </w:r>
    </w:p>
    <w:p w14:paraId="7E3514A2" w14:textId="71C3AF64" w:rsidR="00946812" w:rsidRPr="00593AFA" w:rsidRDefault="00D164D0" w:rsidP="00D164D0">
      <w:pPr>
        <w:pStyle w:val="H23G"/>
        <w:rPr>
          <w:b w:val="0"/>
        </w:rPr>
      </w:pPr>
      <w:r>
        <w:tab/>
      </w:r>
      <w:r>
        <w:tab/>
      </w:r>
      <w:r w:rsidR="00946812" w:rsidRPr="00D164D0">
        <w:t>Недискриминация</w:t>
      </w:r>
      <w:r w:rsidR="00946812">
        <w:t xml:space="preserve"> </w:t>
      </w:r>
    </w:p>
    <w:p w14:paraId="556595C5" w14:textId="6F733F2B" w:rsidR="00946812" w:rsidRPr="00593AFA" w:rsidRDefault="00946812" w:rsidP="00946812">
      <w:pPr>
        <w:pStyle w:val="SingleTxtG"/>
      </w:pPr>
      <w:r>
        <w:t>23.</w:t>
      </w:r>
      <w:r>
        <w:tab/>
        <w:t>Комитет обеспокоен отсутствием всеобъемлющего антидискриминационного законодательства, обеспечивающего полную и эффективную защиту от всех форм дискриминации, запрещенных Пактом, и сообщениями о дискриминации, включая дискриминацию по признаку сексуальной ориентации и гендерной идентичности (ст</w:t>
      </w:r>
      <w:r w:rsidR="00F846AC">
        <w:t>атья</w:t>
      </w:r>
      <w:r w:rsidR="00D164D0">
        <w:t> </w:t>
      </w:r>
      <w:r>
        <w:t>2 (пункт 2)).</w:t>
      </w:r>
    </w:p>
    <w:p w14:paraId="352F776A" w14:textId="77777777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принять всеобъемлющее антидискриминационное законодательство, обеспечивающее полную и эффективную защиту от дискриминации во всех сферах и содержащее полный перечень запрещенных оснований для дискриминации, включая сексуальную ориентацию и гендерную идентичность, как это также рекомендовано Комитетом по правам человека</w:t>
      </w:r>
      <w:r w:rsidRPr="00946812">
        <w:rPr>
          <w:rStyle w:val="a8"/>
        </w:rPr>
        <w:footnoteReference w:id="15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20 (2009) о недискриминации в сфере экономических, социальных и культурных прав.</w:t>
      </w:r>
    </w:p>
    <w:p w14:paraId="7904F6F8" w14:textId="0CB1B04D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Равные права мужчин и женщин </w:t>
      </w:r>
    </w:p>
    <w:p w14:paraId="4E8383A6" w14:textId="77777777" w:rsidR="00946812" w:rsidRPr="00593AFA" w:rsidRDefault="00946812" w:rsidP="00946812">
      <w:pPr>
        <w:pStyle w:val="SingleTxtG"/>
        <w:rPr>
          <w:b/>
        </w:rPr>
      </w:pPr>
      <w:r>
        <w:t>25.</w:t>
      </w:r>
      <w:r>
        <w:tab/>
        <w:t>Комитет обеспокоен сохранением гендерного неравенства, особенно гендерного разрыва в оплате труда. Комитет обеспокоен также сохранением неудовлетворительной представленности женщин на руководящих должностях в государственном и частном секторах (ст. 3 и 7).</w:t>
      </w:r>
    </w:p>
    <w:p w14:paraId="265E6560" w14:textId="77777777" w:rsidR="00946812" w:rsidRPr="00593AFA" w:rsidRDefault="00946812" w:rsidP="00946812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E63E733" w14:textId="6FAAB6BA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a)</w:t>
      </w:r>
      <w:r w:rsidR="00946812" w:rsidRPr="00D164D0">
        <w:rPr>
          <w:b/>
          <w:bCs/>
        </w:rPr>
        <w:tab/>
        <w:t>активизировать усилия по устранению гендерного разрыва в оплате труда, в том числе путем решения проблемы гендерной сегрегации на рынке труда, пересмотра социальной и налоговой политики и устранения факторов, препятствующих женщинам продолжать карьеру или работать полный рабочий день;</w:t>
      </w:r>
    </w:p>
    <w:p w14:paraId="29A94268" w14:textId="0330E19B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b)</w:t>
      </w:r>
      <w:r w:rsidR="00946812" w:rsidRPr="00D164D0">
        <w:rPr>
          <w:b/>
          <w:bCs/>
        </w:rPr>
        <w:tab/>
        <w:t>повысить представленность женщин на руководящих должностях в государственном и частном секторах, в том числе путем рассмотрения возможности введения квот</w:t>
      </w:r>
      <w:r>
        <w:rPr>
          <w:b/>
          <w:bCs/>
        </w:rPr>
        <w:t>.</w:t>
      </w:r>
      <w:r w:rsidR="00946812" w:rsidRPr="00D164D0">
        <w:rPr>
          <w:b/>
          <w:bCs/>
        </w:rPr>
        <w:t xml:space="preserve"> </w:t>
      </w:r>
    </w:p>
    <w:p w14:paraId="5D655011" w14:textId="77777777" w:rsidR="00946812" w:rsidRPr="00593AFA" w:rsidRDefault="00946812" w:rsidP="00946812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В этой связи Комитет напоминает о своем замечании общего порядка № 16 (2005) о равном для мужчин и женщин праве пользования всеми экономическими, социальными и культурными правами.</w:t>
      </w:r>
      <w:r>
        <w:t xml:space="preserve"> </w:t>
      </w:r>
    </w:p>
    <w:p w14:paraId="12BD9689" w14:textId="3E5A4FBF" w:rsidR="00946812" w:rsidRPr="00593AFA" w:rsidRDefault="00D164D0" w:rsidP="00D164D0">
      <w:pPr>
        <w:pStyle w:val="H23G"/>
      </w:pPr>
      <w:r>
        <w:tab/>
      </w:r>
      <w:r>
        <w:tab/>
      </w:r>
      <w:r w:rsidR="00946812" w:rsidRPr="00D164D0">
        <w:t>Право</w:t>
      </w:r>
      <w:r w:rsidR="00946812">
        <w:t xml:space="preserve"> на труд </w:t>
      </w:r>
    </w:p>
    <w:p w14:paraId="0E44D100" w14:textId="77777777" w:rsidR="00946812" w:rsidRPr="00593AFA" w:rsidRDefault="00946812" w:rsidP="00946812">
      <w:pPr>
        <w:pStyle w:val="SingleTxtG"/>
        <w:tabs>
          <w:tab w:val="left" w:pos="720"/>
        </w:tabs>
      </w:pPr>
      <w:r>
        <w:t>28.</w:t>
      </w:r>
      <w:r>
        <w:tab/>
        <w:t xml:space="preserve">Комитет обеспокоен сохраняющимся высоким уровнем безработицы, особенно в секторе Газа, и резким превышением доли людей с инвалидностью и женщин среди безработных. Комитет также обеспокоен сообщениями о том, что политика банковских и финансовых учреждений ограничивает доступ к кредитам для женщин, работающих в сельскохозяйственном секторе (статьи 3 и 6). </w:t>
      </w:r>
    </w:p>
    <w:p w14:paraId="0112AE91" w14:textId="265A4085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решению проблемы безработицы, например путем реализации целевых программ трудоустройства и в государственном секторе и уделения особого внимания проблеме безработицы в секторе Газа, а также среди людей с инвалидностью и женщин.</w:t>
      </w:r>
      <w:r>
        <w:t xml:space="preserve"> </w:t>
      </w:r>
      <w:r>
        <w:rPr>
          <w:b/>
          <w:bCs/>
        </w:rPr>
        <w:t>Комитет также рекомендует государству-участнику создать схемы кредитования, ориентированные на женщин, работающих в сельскохозяйственном секторе.</w:t>
      </w:r>
    </w:p>
    <w:p w14:paraId="44BFA1AE" w14:textId="77777777" w:rsidR="00946812" w:rsidRPr="00593AFA" w:rsidRDefault="00946812" w:rsidP="00946812">
      <w:pPr>
        <w:pStyle w:val="SingleTxtG"/>
        <w:tabs>
          <w:tab w:val="left" w:pos="720"/>
        </w:tabs>
        <w:rPr>
          <w:b/>
          <w:bCs/>
        </w:rPr>
      </w:pPr>
      <w:r>
        <w:lastRenderedPageBreak/>
        <w:t>30.</w:t>
      </w:r>
      <w:r>
        <w:tab/>
        <w:t>Комитет обеспокоен ростом в последние годы уровня безработицы среди молодежи, особенно среди молодых людей, получивших высшее образование, а также отсутствием достаточных мер по решению этой проблемы (статья 6).</w:t>
      </w:r>
    </w:p>
    <w:p w14:paraId="06AA621D" w14:textId="6F69E7DC" w:rsidR="00946812" w:rsidRPr="00593AFA" w:rsidRDefault="00946812" w:rsidP="00946812">
      <w:pPr>
        <w:pStyle w:val="SingleTxtG"/>
        <w:tabs>
          <w:tab w:val="left" w:pos="720"/>
        </w:tabs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продолжать наращивать усилия по решению проблемы безработицы среди молодежи, в том числе среди молодых людей, получивших высшее образование, и продолжать усилия по приведению образования в соответствие с потребностями рынка труда, например путем расширения профессиональной подготовки.</w:t>
      </w:r>
      <w:r>
        <w:t xml:space="preserve"> </w:t>
      </w:r>
      <w:r>
        <w:rPr>
          <w:b/>
          <w:bCs/>
        </w:rPr>
        <w:t>Комитет также рекомендует государству-участнику взаимодействовать со своими партнерами по развитию в процессе государственного строительства путем расширения сотрудничества в области профессионального обучения, технологий, повышения квалификации, профессиональной ориентации, помощи в реализации проектов, бюджетной поддержки и законодательных мер по расширению возможностей трудоустройства безработных молодых людей.</w:t>
      </w:r>
      <w:r>
        <w:t xml:space="preserve"> </w:t>
      </w:r>
    </w:p>
    <w:p w14:paraId="51829F91" w14:textId="1CFE86B9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Право на справедливые и </w:t>
      </w:r>
      <w:r w:rsidR="00946812" w:rsidRPr="00D164D0">
        <w:t>благоприятные</w:t>
      </w:r>
      <w:r w:rsidR="00946812">
        <w:t xml:space="preserve"> условия работы </w:t>
      </w:r>
    </w:p>
    <w:p w14:paraId="1B305DE3" w14:textId="32D48D90" w:rsidR="00946812" w:rsidRPr="00593AFA" w:rsidRDefault="00946812" w:rsidP="00946812">
      <w:pPr>
        <w:pStyle w:val="SingleTxtG"/>
      </w:pPr>
      <w:r>
        <w:t>32.</w:t>
      </w:r>
      <w:r>
        <w:tab/>
        <w:t>Комитет обеспокоен тем, что в государстве-участнике значительная доля работников занята в неформальном секторе экономики, и тем, что таких работников де-факто не охватывает в достаточной степени палестинский Трудовой кодекс (Закон</w:t>
      </w:r>
      <w:r w:rsidR="003B10E4">
        <w:t> </w:t>
      </w:r>
      <w:r>
        <w:t>№</w:t>
      </w:r>
      <w:r w:rsidR="003B10E4">
        <w:t> </w:t>
      </w:r>
      <w:r>
        <w:t>7 2000 года). Комитет также обеспокоен сообщениями о небезопасных условиях труда, включая случаи травматизма и гибели людей, в частности в строительной, обрабатывающей отраслях и отрасли карьерной разработки. Комитет также обеспокоен сообщениями о том, что работодатели систематически не выплачивают установленный законом минимальный размер оплаты труда, а также сообщениями об удержании заработной платы и вычетах непомерно высоких административных сборов, налагаемых на лиц, работающих в поселениях или в самом Израиле. Кроме того, Комитет обеспокоен отсутствием специализированных судов по трудовым спорам</w:t>
      </w:r>
      <w:r w:rsidR="003B10E4">
        <w:t>,</w:t>
      </w:r>
      <w:r>
        <w:t xml:space="preserve"> несмотря на то, что такие суды предусмотрены Трудовым кодексом (статья 7).</w:t>
      </w:r>
    </w:p>
    <w:p w14:paraId="298E89A2" w14:textId="77777777" w:rsidR="00946812" w:rsidRPr="00593AFA" w:rsidRDefault="00946812" w:rsidP="00946812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C42E038" w14:textId="2E6E6727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a)</w:t>
      </w:r>
      <w:r w:rsidR="00946812" w:rsidRPr="00D164D0">
        <w:rPr>
          <w:b/>
          <w:bCs/>
        </w:rPr>
        <w:tab/>
        <w:t xml:space="preserve">принять меры по урегулированию статуса работников неформального сектора и обеспечить их охват Трудовым кодексом Палестины (Закон № 7 2000 года); </w:t>
      </w:r>
    </w:p>
    <w:p w14:paraId="0CA0B26B" w14:textId="1F47A8F4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b)</w:t>
      </w:r>
      <w:r w:rsidR="00946812" w:rsidRPr="00D164D0">
        <w:rPr>
          <w:b/>
          <w:bCs/>
        </w:rPr>
        <w:tab/>
        <w:t xml:space="preserve">принять все необходимые меры для обеспечения справедливых и благоприятных условий труда, в частности для работников строительной, обрабатывающей отраслей и отрасли карьерной разработки; </w:t>
      </w:r>
    </w:p>
    <w:p w14:paraId="0BE95FD5" w14:textId="067F2D18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c)</w:t>
      </w:r>
      <w:r w:rsidR="00946812" w:rsidRPr="00D164D0">
        <w:rPr>
          <w:b/>
          <w:bCs/>
        </w:rPr>
        <w:tab/>
        <w:t xml:space="preserve">обеспечить, чтобы все категории работников имели доступ к медицинскому страхованию и страхованию от несчастных случаев, а также к адекватной компенсации за полученные на производстве травмы и профессиональные заболевания; </w:t>
      </w:r>
    </w:p>
    <w:p w14:paraId="130E2142" w14:textId="57F19A41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d)</w:t>
      </w:r>
      <w:r w:rsidR="00946812" w:rsidRPr="00D164D0">
        <w:rPr>
          <w:b/>
          <w:bCs/>
        </w:rPr>
        <w:tab/>
        <w:t>обеспечить выплату работодателями установленной законом минимального размера оплаты труда и принять меры по предотвращению экономической эксплуатации лиц, работающих в поселениях или в самом Израиле, в том числе путем усиления проверок агентств по трудоустройству;</w:t>
      </w:r>
    </w:p>
    <w:p w14:paraId="201EA144" w14:textId="6AB793B7" w:rsidR="00946812" w:rsidRPr="00D164D0" w:rsidRDefault="00D164D0" w:rsidP="00D164D0">
      <w:pPr>
        <w:pStyle w:val="SingleTxtG"/>
        <w:rPr>
          <w:b/>
          <w:bCs/>
          <w:color w:val="000000"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e)</w:t>
      </w:r>
      <w:r w:rsidR="00946812" w:rsidRPr="00D164D0">
        <w:rPr>
          <w:b/>
          <w:bCs/>
        </w:rPr>
        <w:tab/>
        <w:t>создать специализированные суды по трудовым спорам.</w:t>
      </w:r>
    </w:p>
    <w:p w14:paraId="521D81B2" w14:textId="77777777" w:rsidR="00946812" w:rsidRPr="00593AFA" w:rsidRDefault="00946812" w:rsidP="00946812">
      <w:pPr>
        <w:pStyle w:val="SingleTxtG"/>
        <w:tabs>
          <w:tab w:val="left" w:pos="720"/>
        </w:tabs>
        <w:rPr>
          <w:b/>
          <w:bCs/>
          <w:color w:val="000000"/>
        </w:rPr>
      </w:pPr>
      <w:r>
        <w:t>34.</w:t>
      </w:r>
      <w:r>
        <w:tab/>
      </w:r>
      <w:r>
        <w:rPr>
          <w:b/>
          <w:bCs/>
        </w:rPr>
        <w:t>В этой связи Комитет напоминает о своем замечании общего порядка № 23 (2016) о праве на справедливые и благоприятные условия труда.</w:t>
      </w:r>
    </w:p>
    <w:p w14:paraId="51057B41" w14:textId="7AC4306C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Права </w:t>
      </w:r>
      <w:r w:rsidR="00946812" w:rsidRPr="00D164D0">
        <w:t>профсоюзов</w:t>
      </w:r>
      <w:r w:rsidR="00946812">
        <w:t xml:space="preserve"> </w:t>
      </w:r>
    </w:p>
    <w:p w14:paraId="5A56548A" w14:textId="77777777" w:rsidR="00946812" w:rsidRPr="00593AFA" w:rsidRDefault="00946812" w:rsidP="00946812">
      <w:pPr>
        <w:pStyle w:val="SingleTxtG"/>
        <w:tabs>
          <w:tab w:val="left" w:pos="720"/>
        </w:tabs>
      </w:pPr>
      <w:r>
        <w:t>35.</w:t>
      </w:r>
      <w:r>
        <w:tab/>
        <w:t xml:space="preserve">Комитет обеспокоен тем, что государство-участник не приняло законодательство, регулирующее деятельность профсоюзов (проект закона о профсоюзных организациях). Комитет также обеспокоен роспуском Профсоюза государственных служащих. Кроме того, Комитет обеспокоен сообщениями о применении санкций к учителям, включая увольнения, лишение зарплаты и </w:t>
      </w:r>
      <w:r>
        <w:lastRenderedPageBreak/>
        <w:t>принудительный перевод на нежелательные должности, за профсоюзную деятельность (статья 8).</w:t>
      </w:r>
    </w:p>
    <w:p w14:paraId="3CF60980" w14:textId="482D948A" w:rsidR="00946812" w:rsidRPr="00593AFA" w:rsidRDefault="00946812" w:rsidP="00946812">
      <w:pPr>
        <w:pStyle w:val="SingleTxtG"/>
        <w:tabs>
          <w:tab w:val="left" w:pos="720"/>
        </w:tabs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принять законодательство, регулирующее деятельность профсоюзов, и рассмотреть возможность пересмотра своего решения о роспуске Профсоюза государственных служащих.</w:t>
      </w:r>
      <w:r>
        <w:t xml:space="preserve"> </w:t>
      </w:r>
      <w:r>
        <w:rPr>
          <w:b/>
          <w:bCs/>
        </w:rPr>
        <w:t>Государству-участнику следует принять все необходимые меры для обеспечения того, чтобы никто, включая учителей, не подвергался санкциям за профсоюзную деятельность, и принять незамедлительные меры по исправлению любых необоснованных увольнений, выплате причитающейся заработной платы и возвращению на прежние должности необоснованно переведенного персонала.</w:t>
      </w:r>
      <w:r>
        <w:t xml:space="preserve"> </w:t>
      </w:r>
      <w:r>
        <w:rPr>
          <w:b/>
          <w:bCs/>
        </w:rPr>
        <w:t>В</w:t>
      </w:r>
      <w:r w:rsidR="00D164D0">
        <w:rPr>
          <w:b/>
          <w:bCs/>
        </w:rPr>
        <w:t> </w:t>
      </w:r>
      <w:r>
        <w:rPr>
          <w:b/>
          <w:bCs/>
        </w:rPr>
        <w:t>этой связи Комитет напоминает о своем совместном с Комитетом по правам человека заявлении о свободе ассоциации, включая право создавать профсоюзы и вступать в них</w:t>
      </w:r>
      <w:r w:rsidRPr="00946812">
        <w:rPr>
          <w:rStyle w:val="a8"/>
        </w:rPr>
        <w:footnoteReference w:id="16"/>
      </w:r>
      <w:r>
        <w:rPr>
          <w:b/>
          <w:bCs/>
        </w:rPr>
        <w:t>.</w:t>
      </w:r>
    </w:p>
    <w:p w14:paraId="45D74566" w14:textId="77777777" w:rsidR="00946812" w:rsidRPr="00593AFA" w:rsidRDefault="00946812" w:rsidP="00946812">
      <w:pPr>
        <w:pStyle w:val="H23G"/>
        <w:ind w:firstLine="0"/>
      </w:pPr>
      <w:r>
        <w:rPr>
          <w:bCs/>
        </w:rPr>
        <w:t>Право на социальное обеспечение</w:t>
      </w:r>
      <w:r>
        <w:t xml:space="preserve"> </w:t>
      </w:r>
    </w:p>
    <w:p w14:paraId="6E8E21FC" w14:textId="77777777" w:rsidR="00946812" w:rsidRPr="00593AFA" w:rsidRDefault="00946812" w:rsidP="00946812">
      <w:pPr>
        <w:pStyle w:val="SingleTxtG"/>
        <w:tabs>
          <w:tab w:val="left" w:pos="720"/>
        </w:tabs>
        <w:rPr>
          <w:rFonts w:asciiTheme="majorBidi" w:hAnsiTheme="majorBidi" w:cstheme="majorBidi"/>
        </w:rPr>
      </w:pPr>
      <w:r>
        <w:t>37.</w:t>
      </w:r>
      <w:r>
        <w:tab/>
        <w:t>Комитет обеспокоен тем, что проект закона о социальном обеспечении до сих пор не принят и что значительная часть населения, включая работающих, не охвачена в достаточной степени программами социального обеспечения (статья 9).</w:t>
      </w:r>
    </w:p>
    <w:p w14:paraId="5DBAA8C5" w14:textId="77777777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38.</w:t>
      </w:r>
      <w:r>
        <w:tab/>
      </w:r>
      <w:r>
        <w:rPr>
          <w:b/>
          <w:bCs/>
        </w:rPr>
        <w:t>Государству-участнику следует принять проект закона о социальном обеспечении и гарантировать, чтобы его положения адекватно гарантировали право на социальное обеспечение, уделяя особое внимание потребностям наиболее обездоленных и маргинализированных групп населения и обеспечивая охват всех, включая тех, кто не делает взносов в частные или государственные системы социального обеспечения по месту своей работы.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19 (2007) о праве на социальное обеспечение.</w:t>
      </w:r>
    </w:p>
    <w:p w14:paraId="5CE980E1" w14:textId="77777777" w:rsidR="00946812" w:rsidRPr="00593AFA" w:rsidRDefault="00946812" w:rsidP="00946812">
      <w:pPr>
        <w:pStyle w:val="SingleTxtG"/>
        <w:tabs>
          <w:tab w:val="left" w:pos="720"/>
        </w:tabs>
      </w:pPr>
      <w:r>
        <w:t>39.</w:t>
      </w:r>
      <w:r>
        <w:tab/>
        <w:t>Комитет обеспокоен сообщениями о том, что средне- и долгосрочная финансовая устойчивость государственной пенсионной системы находится под угрозой из-за того, что государство-участник продолжает полагаться на заимствования из государственного пенсионного фонда, поскольку это может негативно сказаться на осуществлении пенсионерами экономических и социальных прав (статья 9).</w:t>
      </w:r>
    </w:p>
    <w:p w14:paraId="0502267C" w14:textId="77777777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немедленно прекратить заимствования из государственного пенсионного фонда.</w:t>
      </w:r>
    </w:p>
    <w:p w14:paraId="3E8B285B" w14:textId="77777777" w:rsidR="00946812" w:rsidRPr="00593AFA" w:rsidRDefault="00946812" w:rsidP="00946812">
      <w:pPr>
        <w:pStyle w:val="SingleTxtG"/>
        <w:tabs>
          <w:tab w:val="left" w:pos="720"/>
        </w:tabs>
      </w:pPr>
      <w:r>
        <w:t>41.</w:t>
      </w:r>
      <w:r>
        <w:tab/>
        <w:t>Комитет обеспокоен жизнеспособностью Палестинской программы денежных трансфертов, в том числе в результате чрезмерной зависимости от колебаний размера взносов доноров (статья 9).</w:t>
      </w:r>
    </w:p>
    <w:p w14:paraId="7B980592" w14:textId="4755F79E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того, чтобы Палестинская программа денежных трансфертов могла осуществлять выплаты в соответствии с поставленными целями, в том числе путем уменьшения зависимости от взносов доноров для ее финансирования, например путем увеличения суммы средств, выделяемых государством-участником.</w:t>
      </w:r>
    </w:p>
    <w:p w14:paraId="121A9C11" w14:textId="162F6B47" w:rsidR="00946812" w:rsidRPr="00593AFA" w:rsidRDefault="00D164D0" w:rsidP="00D164D0">
      <w:pPr>
        <w:pStyle w:val="H23G"/>
        <w:rPr>
          <w:b w:val="0"/>
        </w:rPr>
      </w:pPr>
      <w:r>
        <w:tab/>
      </w:r>
      <w:r>
        <w:tab/>
      </w:r>
      <w:r w:rsidR="00946812" w:rsidRPr="00D164D0">
        <w:t>Защита</w:t>
      </w:r>
      <w:r w:rsidR="00946812">
        <w:t xml:space="preserve"> семьи и детей </w:t>
      </w:r>
    </w:p>
    <w:p w14:paraId="21E1EC8E" w14:textId="64746F58" w:rsidR="00946812" w:rsidRPr="00593AFA" w:rsidRDefault="00946812" w:rsidP="00946812">
      <w:pPr>
        <w:pStyle w:val="SingleTxtG"/>
        <w:rPr>
          <w:sz w:val="24"/>
          <w:szCs w:val="24"/>
        </w:rPr>
      </w:pPr>
      <w:r>
        <w:t>43.</w:t>
      </w:r>
      <w:r>
        <w:tab/>
        <w:t>Комитет обеспокоен тем, что проект закона о защите семьи не был принят, а вопросы личного статуса, включая наследование, брак, развод и опеку над детьми, регулируются на Западном берегу Законом о личном статусе 1976 года, а в секторе Газа</w:t>
      </w:r>
      <w:r w:rsidR="00D164D0">
        <w:t xml:space="preserve"> — </w:t>
      </w:r>
      <w:r>
        <w:t>Османским законом о личном статусе 1918 года и Законом о семейных правах 1954 года, поскольку эти законы могут не соответствовать международно-правовым обязательствам государства-участника по Пакту, Конвенции о правах ребенка и Конвенции о ликвидации всех форм дискриминации в отношении женщин (статья 10).</w:t>
      </w:r>
    </w:p>
    <w:p w14:paraId="733CB5C9" w14:textId="77777777" w:rsidR="00946812" w:rsidRPr="00593AFA" w:rsidRDefault="00946812" w:rsidP="00946812">
      <w:pPr>
        <w:pStyle w:val="SingleTxtG"/>
        <w:rPr>
          <w:b/>
          <w:bCs/>
        </w:rPr>
      </w:pPr>
      <w:r>
        <w:lastRenderedPageBreak/>
        <w:t>44.</w:t>
      </w:r>
      <w:r>
        <w:tab/>
      </w:r>
      <w:r>
        <w:rPr>
          <w:b/>
          <w:bCs/>
        </w:rPr>
        <w:t>Комитет рекомендует государству-участнику принять незамедлительные меры по принятию закона о защите семьи и пересмотреть Закон о личном статусе 1976 года, Османский закон о личном статусе 1918 года и Закон о семейных правах 1954 года с целью обеспечения соответствия этих законов международно-правовым обязательствам государства-участника, включая Пакт.</w:t>
      </w:r>
      <w:r>
        <w:t xml:space="preserve"> </w:t>
      </w:r>
    </w:p>
    <w:p w14:paraId="7B16D4AE" w14:textId="5C0B3D13" w:rsidR="00946812" w:rsidRPr="00593AFA" w:rsidRDefault="00946812" w:rsidP="00946812">
      <w:pPr>
        <w:pStyle w:val="SingleTxtG"/>
        <w:tabs>
          <w:tab w:val="left" w:pos="720"/>
        </w:tabs>
      </w:pPr>
      <w:r>
        <w:t>45.</w:t>
      </w:r>
      <w:r>
        <w:tab/>
        <w:t>Комитет с обеспокоенностью отмечает, что многие дети в той или иной форме занимаются экономической деятельностью, включая опасный труд, в частности в обрабатывающей промышленности и сельском хозяйстве, и что эти дети также подвергаются экономической эксплуатации (статья 10).</w:t>
      </w:r>
    </w:p>
    <w:p w14:paraId="35EA105F" w14:textId="77777777" w:rsidR="00946812" w:rsidRPr="00593AFA" w:rsidRDefault="00946812" w:rsidP="00946812">
      <w:pPr>
        <w:pStyle w:val="SingleTxtG"/>
        <w:keepNext/>
        <w:keepLines/>
        <w:tabs>
          <w:tab w:val="left" w:pos="720"/>
        </w:tabs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принять срочные меры для:</w:t>
      </w:r>
    </w:p>
    <w:p w14:paraId="6F82DB69" w14:textId="43E1EC29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a)</w:t>
      </w:r>
      <w:r w:rsidR="00946812" w:rsidRPr="00D164D0">
        <w:rPr>
          <w:b/>
          <w:bCs/>
        </w:rPr>
        <w:tab/>
        <w:t xml:space="preserve">ликвидации наихудших форм детского труда; </w:t>
      </w:r>
    </w:p>
    <w:p w14:paraId="0A282F41" w14:textId="4D2DBDA8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b)</w:t>
      </w:r>
      <w:r w:rsidR="00946812" w:rsidRPr="00D164D0">
        <w:rPr>
          <w:b/>
          <w:bCs/>
        </w:rPr>
        <w:tab/>
        <w:t>обеспечения строгого соблюдения законов о детском труде;</w:t>
      </w:r>
    </w:p>
    <w:p w14:paraId="42A97780" w14:textId="6ED1AAEC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c)</w:t>
      </w:r>
      <w:r w:rsidR="00946812" w:rsidRPr="00D164D0">
        <w:rPr>
          <w:b/>
          <w:bCs/>
        </w:rPr>
        <w:tab/>
        <w:t>укрепления механизмов трудовой инспекции с уделением особого внимания детскому труду.</w:t>
      </w:r>
    </w:p>
    <w:p w14:paraId="7A5A4DC0" w14:textId="77777777" w:rsidR="00946812" w:rsidRPr="00593AFA" w:rsidRDefault="00946812" w:rsidP="00946812">
      <w:pPr>
        <w:pStyle w:val="H23G"/>
        <w:ind w:firstLine="0"/>
        <w:rPr>
          <w:b w:val="0"/>
          <w:bCs/>
          <w:i/>
          <w:iCs/>
        </w:rPr>
      </w:pPr>
      <w:r>
        <w:rPr>
          <w:bCs/>
        </w:rPr>
        <w:t>Право на достаточный жизненный уровень</w:t>
      </w:r>
    </w:p>
    <w:p w14:paraId="7565C04C" w14:textId="77777777" w:rsidR="00946812" w:rsidRPr="00593AFA" w:rsidRDefault="00946812" w:rsidP="00D164D0">
      <w:pPr>
        <w:pStyle w:val="SingleTxtG"/>
      </w:pPr>
      <w:r>
        <w:t>47.</w:t>
      </w:r>
      <w:r>
        <w:tab/>
        <w:t>Комитет обеспокоен тем, что по-прежнему сохраняется значительное неравенство в уровне жизни между Западным берегом реки Иордан и сектором Газа, а также между городскими и сельскими районами (статья 11).</w:t>
      </w:r>
    </w:p>
    <w:p w14:paraId="5B8F260F" w14:textId="3632DC1E" w:rsidR="00946812" w:rsidRPr="00D164D0" w:rsidRDefault="00946812" w:rsidP="00D164D0">
      <w:pPr>
        <w:pStyle w:val="SingleTxtG"/>
        <w:rPr>
          <w:b/>
          <w:bCs/>
        </w:rPr>
      </w:pPr>
      <w:r>
        <w:t>48.</w:t>
      </w:r>
      <w:r>
        <w:tab/>
      </w:r>
      <w:r w:rsidRPr="00D164D0">
        <w:rPr>
          <w:b/>
          <w:bCs/>
        </w:rPr>
        <w:t>Комитет рекомендует государству-участнику обратить особое внимание на недостатки и различия в уровне жизни между Западным берегом и сектором Газа, а также между городскими и сельскими районами с целью доведения более низкого уровня жизни в сельских районах и секторе Газа до уровня городских районов и Западного берега соответственно.</w:t>
      </w:r>
    </w:p>
    <w:p w14:paraId="1DB3F06F" w14:textId="423A369C" w:rsidR="00946812" w:rsidRPr="00593AFA" w:rsidRDefault="00946812" w:rsidP="00D164D0">
      <w:pPr>
        <w:pStyle w:val="SingleTxtG"/>
        <w:rPr>
          <w:b/>
        </w:rPr>
      </w:pPr>
      <w:r>
        <w:t>49.</w:t>
      </w:r>
      <w:r>
        <w:tab/>
        <w:t xml:space="preserve">Комитет обеспокоен отсутствием продовольственной безопасности и плохими условиями жизни в переполненных лагерях беженцев, в том числе в плане </w:t>
      </w:r>
      <w:r w:rsidRPr="00D164D0">
        <w:t>качества</w:t>
      </w:r>
      <w:r>
        <w:t xml:space="preserve"> жилья, электроснабжения, санитарии и доступа к безопасной питьевой воде (ст</w:t>
      </w:r>
      <w:r w:rsidR="00832388">
        <w:t>атья </w:t>
      </w:r>
      <w:r>
        <w:t xml:space="preserve">11). </w:t>
      </w:r>
    </w:p>
    <w:p w14:paraId="1B1B83C8" w14:textId="77777777" w:rsidR="00946812" w:rsidRPr="00593AFA" w:rsidRDefault="00946812" w:rsidP="00946812">
      <w:pPr>
        <w:pStyle w:val="SingleTxtG"/>
        <w:tabs>
          <w:tab w:val="left" w:pos="1134"/>
        </w:tabs>
        <w:rPr>
          <w:b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определить приоритеты и выделить достаточные ресурсы на обеспечение продовольственной безопасности и облегчение плохих условий жизни в лагерях беженцев, в том числе в плане качества жилья, электроснабжения, санитарии и доступа к безопасной питьевой воде.</w:t>
      </w:r>
      <w:r>
        <w:t xml:space="preserve"> </w:t>
      </w:r>
      <w:r>
        <w:rPr>
          <w:b/>
          <w:bCs/>
        </w:rPr>
        <w:t>В этой связи Комитет напоминает о своих замечаниях общего порядка № 4 (1991) о праве на достаточное жилище, № 12 (1999) о праве на достаточное питание и № 15 (2002) о праве на воду, а также о своем заявлении о праве на санитарные услуги</w:t>
      </w:r>
      <w:r w:rsidRPr="00946812">
        <w:rPr>
          <w:rStyle w:val="a8"/>
        </w:rPr>
        <w:footnoteReference w:id="17"/>
      </w:r>
      <w:r>
        <w:t>.</w:t>
      </w:r>
    </w:p>
    <w:p w14:paraId="099B3EA4" w14:textId="1FD66F94" w:rsidR="00946812" w:rsidRPr="00593AFA" w:rsidRDefault="00D164D0" w:rsidP="00D164D0">
      <w:pPr>
        <w:pStyle w:val="H23G"/>
        <w:rPr>
          <w:b w:val="0"/>
        </w:rPr>
      </w:pPr>
      <w:r>
        <w:tab/>
      </w:r>
      <w:r>
        <w:tab/>
      </w:r>
      <w:r w:rsidR="00946812" w:rsidRPr="00D164D0">
        <w:t>Нищета</w:t>
      </w:r>
    </w:p>
    <w:p w14:paraId="23BEC8C9" w14:textId="77777777" w:rsidR="00946812" w:rsidRPr="00593AFA" w:rsidRDefault="00946812" w:rsidP="00946812">
      <w:pPr>
        <w:pStyle w:val="SingleTxtG"/>
        <w:tabs>
          <w:tab w:val="left" w:pos="1134"/>
        </w:tabs>
        <w:rPr>
          <w:bCs/>
        </w:rPr>
      </w:pPr>
      <w:r>
        <w:t>51.</w:t>
      </w:r>
      <w:r>
        <w:tab/>
        <w:t>Комитет обеспокоен сообщениями о том, что законопроект о налоге на добавленную стоимость предусматривает увеличение налога на добавленную стоимость на все товары без достаточного учета непропорционального влияния на лиц и семьи с низкими доходами в отношении их способности приобретать продукты питания и предметы первой необходимости (статья 11).</w:t>
      </w:r>
    </w:p>
    <w:p w14:paraId="69298B21" w14:textId="77777777" w:rsidR="00946812" w:rsidRPr="00593AFA" w:rsidRDefault="00946812" w:rsidP="00946812">
      <w:pPr>
        <w:pStyle w:val="SingleTxtG"/>
        <w:tabs>
          <w:tab w:val="left" w:pos="1134"/>
        </w:tabs>
        <w:rPr>
          <w:b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 применении налога на добавленную стоимость адекватно учитывать потребности лиц и семей с низкими доходами, в том числе путем применения дифференцированного, более низкого налога на добавленную стоимость к продовольственным товарам и предметам первой необходимости.</w:t>
      </w:r>
      <w:r>
        <w:t xml:space="preserve"> </w:t>
      </w:r>
      <w:r>
        <w:rPr>
          <w:b/>
          <w:bCs/>
        </w:rPr>
        <w:t>В этой связи Комитет напоминает о своем заявлении по вопросу о нищете и Пакте</w:t>
      </w:r>
      <w:r w:rsidRPr="00946812">
        <w:rPr>
          <w:rStyle w:val="a8"/>
        </w:rPr>
        <w:footnoteReference w:id="18"/>
      </w:r>
      <w:r>
        <w:rPr>
          <w:b/>
          <w:bCs/>
        </w:rPr>
        <w:t>.</w:t>
      </w:r>
    </w:p>
    <w:p w14:paraId="79CB4F18" w14:textId="34EBBC8C" w:rsidR="00946812" w:rsidRPr="00593AFA" w:rsidRDefault="00D164D0" w:rsidP="00D164D0">
      <w:pPr>
        <w:pStyle w:val="H23G"/>
        <w:rPr>
          <w:b w:val="0"/>
        </w:rPr>
      </w:pPr>
      <w:r>
        <w:lastRenderedPageBreak/>
        <w:tab/>
      </w:r>
      <w:r>
        <w:tab/>
      </w:r>
      <w:r w:rsidR="00946812">
        <w:t xml:space="preserve">Право на </w:t>
      </w:r>
      <w:r w:rsidR="00946812" w:rsidRPr="00D164D0">
        <w:t>жилище</w:t>
      </w:r>
      <w:r w:rsidR="00946812">
        <w:t xml:space="preserve"> </w:t>
      </w:r>
    </w:p>
    <w:p w14:paraId="07A65152" w14:textId="77777777" w:rsidR="00946812" w:rsidRPr="00593AFA" w:rsidRDefault="00946812" w:rsidP="00946812">
      <w:pPr>
        <w:pStyle w:val="SingleTxtG"/>
        <w:tabs>
          <w:tab w:val="left" w:pos="1134"/>
        </w:tabs>
        <w:rPr>
          <w:bCs/>
        </w:rPr>
      </w:pPr>
      <w:r>
        <w:t>53.</w:t>
      </w:r>
      <w:r>
        <w:tab/>
        <w:t>Комитет обеспокоен сообщениями о длительных попытках восстановления жилых домов и предприятий, разрушенных оккупирующей державой, и о том, что пострадавшие от разрушений сталкиваются с длительными периодами бездомности и отсутствия средств к существованию. Комитет также обеспокоен сообщениями о принудительных выселениях, осуществляемых властями в секторе Газа (статья 11).</w:t>
      </w:r>
    </w:p>
    <w:p w14:paraId="128A652C" w14:textId="77777777" w:rsidR="00946812" w:rsidRPr="00593AFA" w:rsidRDefault="00946812" w:rsidP="00946812">
      <w:pPr>
        <w:pStyle w:val="SingleTxtG"/>
        <w:tabs>
          <w:tab w:val="left" w:pos="1134"/>
        </w:tabs>
        <w:rPr>
          <w:b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удвоить усилия, в том числе путем взаимодействия с международными партнерами, для обеспечения того, чтобы лицам, чьи дома и предприятия были разрушены оккупирующей державой, предоставлялось адекватное жилье и оказывалась поддержка для сохранения средств к существованию без каких-либо неоправданных задержек.</w:t>
      </w:r>
      <w:r>
        <w:t xml:space="preserve"> </w:t>
      </w:r>
      <w:r>
        <w:rPr>
          <w:b/>
          <w:bCs/>
        </w:rPr>
        <w:t>Комитет также рекомендует обеспечить, чтобы выселения, если таковые неизбежны, производились с соблюдением правовых процедур и предварялись консультациями с затрагиваемыми лицами и рассмотрением альтернативных мер, чтобы их можно было обжаловать и получить надлежащую компенсацию или достаточное альтернативное жилье.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7 (1997) о принудительных выселениях.</w:t>
      </w:r>
    </w:p>
    <w:p w14:paraId="62580D2B" w14:textId="2F8CD48D" w:rsidR="00946812" w:rsidRPr="00593AFA" w:rsidRDefault="00D164D0" w:rsidP="00D164D0">
      <w:pPr>
        <w:pStyle w:val="H23G"/>
        <w:rPr>
          <w:b w:val="0"/>
        </w:rPr>
      </w:pPr>
      <w:r>
        <w:tab/>
      </w:r>
      <w:r>
        <w:tab/>
      </w:r>
      <w:r w:rsidR="00946812">
        <w:t>Адаптация к изменению климата</w:t>
      </w:r>
    </w:p>
    <w:p w14:paraId="66FE0FB3" w14:textId="77777777" w:rsidR="00946812" w:rsidRPr="00593AFA" w:rsidRDefault="00946812" w:rsidP="00946812">
      <w:pPr>
        <w:pStyle w:val="SingleTxtG"/>
        <w:tabs>
          <w:tab w:val="left" w:pos="1134"/>
        </w:tabs>
        <w:rPr>
          <w:bCs/>
        </w:rPr>
      </w:pPr>
      <w:r>
        <w:t>55.</w:t>
      </w:r>
      <w:r>
        <w:tab/>
        <w:t>Комитет обеспокоен отсутствием национального плана адаптации к изменению климата и тем, что экологические последствия изменения климата, включая деградацию пахотных земель, засухи и нехватку пресной воды, оказывают значительное влияние на осуществление экономических, социальных и культурных прав в государстве-участнике (статья 11).</w:t>
      </w:r>
    </w:p>
    <w:p w14:paraId="3BAD2124" w14:textId="77777777" w:rsidR="00946812" w:rsidRPr="00593AFA" w:rsidRDefault="00946812" w:rsidP="00946812">
      <w:pPr>
        <w:pStyle w:val="SingleTxtG"/>
        <w:tabs>
          <w:tab w:val="left" w:pos="1134"/>
        </w:tabs>
        <w:rPr>
          <w:b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разработать национальный план адаптации к изменению климата и принять все меры по адаптации, необходимые для защиты окружающей среды и решения проблемы деградации окружающей среды с учетом ее последствий для экономических, социальных и культурных прав.</w:t>
      </w:r>
      <w:r>
        <w:t xml:space="preserve"> </w:t>
      </w:r>
      <w:r>
        <w:rPr>
          <w:b/>
          <w:bCs/>
        </w:rPr>
        <w:t>Эти меры могут принимать форму севооборотов и агролесомелиорации, нормирования расхода воды и расширения применения методов капельного орошения.</w:t>
      </w:r>
      <w:r>
        <w:t xml:space="preserve"> </w:t>
      </w:r>
    </w:p>
    <w:p w14:paraId="7BDD371E" w14:textId="54A5A227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Право на физическое и психическое здоровье </w:t>
      </w:r>
    </w:p>
    <w:p w14:paraId="70988051" w14:textId="77777777" w:rsidR="00946812" w:rsidRPr="00593AFA" w:rsidRDefault="00946812" w:rsidP="00946812">
      <w:pPr>
        <w:pStyle w:val="SingleTxtG"/>
        <w:tabs>
          <w:tab w:val="left" w:pos="720"/>
        </w:tabs>
      </w:pPr>
      <w:r>
        <w:t>57.</w:t>
      </w:r>
      <w:r>
        <w:tab/>
        <w:t>Комитет обеспокоен общим недостаточным финансированием и сохраняющимся неравенством в доступе к государственным медицинским услугам на Западном берегу и в секторе Газа. Комитет также обеспокоен сообщениями о неадекватной психиатрической помощи, в том числе женщинам и детям, ставшим жертвами насилия в семье (статья 12).</w:t>
      </w:r>
      <w:bookmarkStart w:id="2" w:name="_Hlk146711916"/>
      <w:bookmarkEnd w:id="2"/>
    </w:p>
    <w:p w14:paraId="257F9E89" w14:textId="77777777" w:rsidR="00946812" w:rsidRPr="00593AFA" w:rsidRDefault="00946812" w:rsidP="00946812">
      <w:pPr>
        <w:pStyle w:val="SingleTxtG"/>
        <w:rPr>
          <w:b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BF1B208" w14:textId="75A87880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a)</w:t>
      </w:r>
      <w:r w:rsidR="00946812" w:rsidRPr="00D164D0">
        <w:rPr>
          <w:b/>
          <w:bCs/>
        </w:rPr>
        <w:tab/>
        <w:t xml:space="preserve">принять все необходимые меры для улучшения медицинского обслуживания и гарантировать реализацию права на качественное и доступное медицинское обслуживание для всех людей на всей территории государства-участника; </w:t>
      </w:r>
    </w:p>
    <w:p w14:paraId="7247A296" w14:textId="5B23AA61" w:rsidR="00946812" w:rsidRPr="00D164D0" w:rsidRDefault="00D164D0" w:rsidP="00D164D0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b)</w:t>
      </w:r>
      <w:r w:rsidR="00946812" w:rsidRPr="00D164D0">
        <w:rPr>
          <w:b/>
          <w:bCs/>
        </w:rPr>
        <w:tab/>
        <w:t>выделять целевым образом средства на улучшение психиатрической помощи как на профилактическом, так и на лечебном уровне, в том числе для женщин и детей, ставших жертвами домашнего насилия.</w:t>
      </w:r>
    </w:p>
    <w:p w14:paraId="413551D9" w14:textId="77777777" w:rsidR="00946812" w:rsidRPr="00593AFA" w:rsidRDefault="00946812" w:rsidP="00946812">
      <w:pPr>
        <w:pStyle w:val="SingleTxtG"/>
        <w:tabs>
          <w:tab w:val="left" w:pos="1134"/>
        </w:tabs>
        <w:rPr>
          <w:b/>
        </w:rPr>
      </w:pPr>
      <w:r>
        <w:t>59.</w:t>
      </w:r>
      <w:r>
        <w:tab/>
      </w:r>
      <w:r>
        <w:rPr>
          <w:b/>
          <w:bCs/>
        </w:rPr>
        <w:t>В этой связи Комитет напоминает о своем замечании общего порядка № 14 (2000) о праве на наивысший достижимый уровень здоровья.</w:t>
      </w:r>
    </w:p>
    <w:p w14:paraId="3591C754" w14:textId="77777777" w:rsidR="00946812" w:rsidRPr="00593AFA" w:rsidRDefault="00946812" w:rsidP="00946812">
      <w:pPr>
        <w:pStyle w:val="SingleTxtG"/>
        <w:tabs>
          <w:tab w:val="left" w:pos="1134"/>
        </w:tabs>
      </w:pPr>
      <w:r>
        <w:t>60.</w:t>
      </w:r>
      <w:r>
        <w:tab/>
        <w:t>Комитет обеспокоен крайне ограничительной законодательной базой для легального доступа к абортам, которая подвергает как врачей, так и пациенток уголовному преследованию в соответствии со статьями 321, 322 и 324 Уголовного кодекса Иордании 1960 года, инкорпорированного</w:t>
      </w:r>
      <w:r w:rsidRPr="00046D66">
        <w:t xml:space="preserve"> </w:t>
      </w:r>
      <w:r>
        <w:t>в свое законодательство государством-участником, а также приводит к небезопасным абортам (статья 12).</w:t>
      </w:r>
      <w:bookmarkStart w:id="3" w:name="_Hlk146791049"/>
      <w:bookmarkStart w:id="4" w:name="_Hlk146791032"/>
      <w:bookmarkEnd w:id="3"/>
      <w:bookmarkEnd w:id="4"/>
    </w:p>
    <w:p w14:paraId="75A5B7D9" w14:textId="77777777" w:rsidR="0017110A" w:rsidRDefault="0017110A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34989EA8" w14:textId="567F8888" w:rsidR="00946812" w:rsidRPr="00593AFA" w:rsidRDefault="00946812" w:rsidP="00946812">
      <w:pPr>
        <w:pStyle w:val="SingleTxtG"/>
        <w:tabs>
          <w:tab w:val="left" w:pos="1134"/>
        </w:tabs>
        <w:rPr>
          <w:b/>
          <w:bCs/>
          <w:color w:val="000000"/>
        </w:rPr>
      </w:pPr>
      <w:r>
        <w:lastRenderedPageBreak/>
        <w:t>61.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E0B7543" w14:textId="4D618D61" w:rsidR="00946812" w:rsidRPr="00593AFA" w:rsidRDefault="00D164D0" w:rsidP="0017110A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a)</w:t>
      </w:r>
      <w:r w:rsidR="00946812">
        <w:tab/>
      </w:r>
      <w:r w:rsidR="00946812">
        <w:rPr>
          <w:b/>
          <w:bCs/>
        </w:rPr>
        <w:t>внести изменения в отдельные части внутренней правовой и институциональной базы, включая статьи 321, 322 и 324 Уголовного кодекса Иордании 1960 года, инкорпорированные</w:t>
      </w:r>
      <w:r w:rsidR="00946812" w:rsidRPr="00046D66">
        <w:t xml:space="preserve"> </w:t>
      </w:r>
      <w:r w:rsidR="00946812" w:rsidRPr="00046D66">
        <w:rPr>
          <w:b/>
          <w:bCs/>
        </w:rPr>
        <w:t xml:space="preserve">в свое законодательство </w:t>
      </w:r>
      <w:r w:rsidR="00946812">
        <w:rPr>
          <w:b/>
          <w:bCs/>
        </w:rPr>
        <w:t>государством-участником, с тем чтобы женщины и девочки, делающие аборты, а также врачи или другие лица, которые их обслуживают, не подвергались уголовному наказанию, как это также рекомендовано Комитетом по правам человека</w:t>
      </w:r>
      <w:r w:rsidR="00946812" w:rsidRPr="00946812">
        <w:rPr>
          <w:rStyle w:val="a8"/>
        </w:rPr>
        <w:footnoteReference w:id="19"/>
      </w:r>
      <w:r w:rsidR="00946812">
        <w:rPr>
          <w:b/>
          <w:bCs/>
        </w:rPr>
        <w:t>;</w:t>
      </w:r>
    </w:p>
    <w:p w14:paraId="789E6A32" w14:textId="1FBDB58A" w:rsidR="00946812" w:rsidRPr="00593AFA" w:rsidRDefault="00D164D0" w:rsidP="0017110A">
      <w:pPr>
        <w:pStyle w:val="SingleTxtG"/>
        <w:rPr>
          <w:b/>
          <w:bCs/>
        </w:rPr>
      </w:pPr>
      <w:r>
        <w:rPr>
          <w:b/>
          <w:bCs/>
        </w:rPr>
        <w:tab/>
      </w:r>
      <w:r w:rsidR="00946812" w:rsidRPr="00D164D0">
        <w:rPr>
          <w:b/>
          <w:bCs/>
        </w:rPr>
        <w:t>b)</w:t>
      </w:r>
      <w:r w:rsidR="00946812" w:rsidRPr="00D164D0">
        <w:rPr>
          <w:b/>
          <w:bCs/>
        </w:rPr>
        <w:tab/>
      </w:r>
      <w:r w:rsidR="00946812">
        <w:rPr>
          <w:b/>
          <w:bCs/>
        </w:rPr>
        <w:t xml:space="preserve">должным образом учитывать </w:t>
      </w:r>
      <w:r w:rsidR="00946812">
        <w:rPr>
          <w:b/>
          <w:bCs/>
          <w:i/>
          <w:iCs/>
        </w:rPr>
        <w:t>Руководство по оказанию помощи, связанной с прерыванием беременности</w:t>
      </w:r>
      <w:r w:rsidR="00946812">
        <w:rPr>
          <w:b/>
          <w:bCs/>
        </w:rPr>
        <w:t>, Всемирной организации</w:t>
      </w:r>
      <w:r w:rsidR="0017110A">
        <w:rPr>
          <w:b/>
          <w:bCs/>
        </w:rPr>
        <w:t xml:space="preserve"> здравоохранения</w:t>
      </w:r>
      <w:r w:rsidR="00946812" w:rsidRPr="00946812">
        <w:rPr>
          <w:rStyle w:val="a8"/>
        </w:rPr>
        <w:footnoteReference w:id="20"/>
      </w:r>
      <w:r w:rsidR="00946812">
        <w:rPr>
          <w:b/>
          <w:bCs/>
        </w:rPr>
        <w:t>.</w:t>
      </w:r>
    </w:p>
    <w:p w14:paraId="705CFEB7" w14:textId="77777777" w:rsidR="00946812" w:rsidRPr="00593AFA" w:rsidRDefault="00946812" w:rsidP="00946812">
      <w:pPr>
        <w:pStyle w:val="SingleTxtG"/>
        <w:tabs>
          <w:tab w:val="left" w:pos="1134"/>
        </w:tabs>
        <w:rPr>
          <w:b/>
          <w:bCs/>
        </w:rPr>
      </w:pPr>
      <w:r>
        <w:t>62.</w:t>
      </w:r>
      <w:r>
        <w:tab/>
      </w:r>
      <w:r>
        <w:rPr>
          <w:b/>
          <w:bCs/>
        </w:rPr>
        <w:t>В этой связи Комитет напоминает о своем Замечании общего порядка № 22 (2016) о праве на сексуальное и репродуктивное здоровье.</w:t>
      </w:r>
    </w:p>
    <w:p w14:paraId="3AA4AABE" w14:textId="77777777" w:rsidR="00946812" w:rsidRPr="00593AFA" w:rsidRDefault="00946812" w:rsidP="00946812">
      <w:pPr>
        <w:pStyle w:val="SingleTxtG"/>
        <w:tabs>
          <w:tab w:val="left" w:pos="1134"/>
        </w:tabs>
        <w:rPr>
          <w:bCs/>
        </w:rPr>
      </w:pPr>
      <w:r>
        <w:t>63.</w:t>
      </w:r>
      <w:r>
        <w:tab/>
        <w:t>Комитет обеспокоен сообщениями о том, что система медицинского страхования в государстве-участнике регулируется многочисленными законодательными и административными нормами, что увеличивает связанную с транзакциями и административную нагрузку как на пациентов, так и на медицинских работников, а также сообщениями о том, что направление пациентов из государственных медицинских учреждений в частные медицинские учреждения увеличивает расходы государства-участника на медицинское обслуживание (статьи 9 и 12).</w:t>
      </w:r>
      <w:bookmarkStart w:id="5" w:name="_Hlk146711978"/>
      <w:bookmarkEnd w:id="5"/>
    </w:p>
    <w:p w14:paraId="5A370307" w14:textId="77777777" w:rsidR="00946812" w:rsidRPr="00593AFA" w:rsidRDefault="00946812" w:rsidP="00946812">
      <w:pPr>
        <w:pStyle w:val="SingleTxtG"/>
        <w:tabs>
          <w:tab w:val="left" w:pos="1134"/>
        </w:tabs>
        <w:rPr>
          <w:b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пересмотреть законодательную и административную базу медицинского страхования с целью унификации и упрощения системы и обнародовать эти изменения для обеспечения прозрачности и снижения связанной с транзакциями и административной нагрузки на поставщиков медицинских услуг и пациентов, а также укрепить государственную систему здравоохранения с целью снижения расходов, связанных с обращением к частным медицинским учреждениям.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14 (2000) о праве на наивысший достижимый уровень здоровья.</w:t>
      </w:r>
    </w:p>
    <w:p w14:paraId="0B7C12BD" w14:textId="64E831E8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Право на </w:t>
      </w:r>
      <w:r w:rsidR="00946812" w:rsidRPr="00D164D0">
        <w:t>образование</w:t>
      </w:r>
    </w:p>
    <w:p w14:paraId="31E7A56B" w14:textId="77777777" w:rsidR="00946812" w:rsidRPr="00593AFA" w:rsidRDefault="00946812" w:rsidP="00946812">
      <w:pPr>
        <w:pStyle w:val="SingleTxtG"/>
        <w:tabs>
          <w:tab w:val="left" w:pos="720"/>
        </w:tabs>
      </w:pPr>
      <w:r>
        <w:t>65.</w:t>
      </w:r>
      <w:r>
        <w:tab/>
        <w:t xml:space="preserve">Комитет обеспокоен сообщениями о непосещении и отсеве в системе обязательного образования, в частности детей с инвалидностью и детей бедуинов. Комитет также обеспокоен неспособностью государства-участника обеспечить адекватное финансирование системы образования в условиях жесткой экономии и сокращения донорской поддержки (статьи 13 и 14). </w:t>
      </w:r>
    </w:p>
    <w:p w14:paraId="1EC1BBA9" w14:textId="77777777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борьбы с непосещаемостью и отсевом в системе обязательного образования, в частности детей с инвалидностью и детей бедуинов.</w:t>
      </w:r>
      <w:r>
        <w:t xml:space="preserve"> </w:t>
      </w:r>
      <w:r>
        <w:rPr>
          <w:b/>
          <w:bCs/>
        </w:rPr>
        <w:t>Комитет также рекомендует государству-участнику выделять достаточные ресурсы на систему образования, в том числе путем взаимодействия с международными партнерами и донорами в этих целях.</w:t>
      </w:r>
      <w:r>
        <w:t xml:space="preserve"> </w:t>
      </w:r>
      <w:r>
        <w:rPr>
          <w:b/>
          <w:bCs/>
        </w:rPr>
        <w:t>В этой связи Комитет напоминает о своих замечаниях общего порядка № 11 (1999) о планах мероприятий по начальному образованию и № 13 (1999) о праве на образование.</w:t>
      </w:r>
    </w:p>
    <w:p w14:paraId="0949084E" w14:textId="44080204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67.</w:t>
      </w:r>
      <w:r>
        <w:tab/>
        <w:t>Комитет обеспокоен сообщениями о том, что учащиеся, чьи школы были разрушены оккупирующей державой, не могут продолжить образование (статьи 13 и</w:t>
      </w:r>
      <w:r w:rsidR="00D164D0">
        <w:rPr>
          <w:lang w:val="en-US"/>
        </w:rPr>
        <w:t> </w:t>
      </w:r>
      <w:r>
        <w:t>14).</w:t>
      </w:r>
    </w:p>
    <w:p w14:paraId="51D05DDE" w14:textId="77777777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 продолжать принимать все адекватные меры, в том числе путем взаимодействия с организациями гражданского общества и международными партнерами, для обеспечения наименьшего ущерба образованию учащихся в случаях разрушения их школ.</w:t>
      </w:r>
    </w:p>
    <w:p w14:paraId="41ADFD11" w14:textId="5C6E2C4E" w:rsidR="00946812" w:rsidRPr="00593AFA" w:rsidRDefault="00D164D0" w:rsidP="00D164D0">
      <w:pPr>
        <w:pStyle w:val="H23G"/>
        <w:rPr>
          <w:b w:val="0"/>
        </w:rPr>
      </w:pPr>
      <w:r>
        <w:lastRenderedPageBreak/>
        <w:tab/>
      </w:r>
      <w:r>
        <w:tab/>
      </w:r>
      <w:r w:rsidR="00946812">
        <w:t xml:space="preserve">Академическая свобода </w:t>
      </w:r>
    </w:p>
    <w:p w14:paraId="4AD252D6" w14:textId="77777777" w:rsidR="00946812" w:rsidRPr="00593AFA" w:rsidRDefault="00946812" w:rsidP="00946812">
      <w:pPr>
        <w:pStyle w:val="SingleTxtG"/>
        <w:tabs>
          <w:tab w:val="left" w:pos="720"/>
        </w:tabs>
      </w:pPr>
      <w:r>
        <w:t>69.</w:t>
      </w:r>
      <w:r>
        <w:tab/>
        <w:t>Комитет обеспокоен сообщениями о посягательствах государства-участника на академическую свободу студентов и сотрудников университетов, в том числе о задержании студентов и сотрудников органами безопасности государства-участника в связи с осуществлением свободы выражения мнений и деятельностью студенческих профсоюзов (статьи 13 и 14).</w:t>
      </w:r>
    </w:p>
    <w:p w14:paraId="01C0B789" w14:textId="77777777" w:rsidR="00946812" w:rsidRPr="00593AFA" w:rsidRDefault="00946812" w:rsidP="00946812">
      <w:pPr>
        <w:pStyle w:val="SingleTxtG"/>
        <w:tabs>
          <w:tab w:val="left" w:pos="720"/>
        </w:tabs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академической свободы студентов и сотрудников университетов, в том числе путем контроля за деятельностью органов безопасности государства-участника.</w:t>
      </w:r>
    </w:p>
    <w:p w14:paraId="594DA370" w14:textId="2F3F7A87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Культурные </w:t>
      </w:r>
      <w:r w:rsidR="00946812" w:rsidRPr="00D164D0">
        <w:t>права</w:t>
      </w:r>
      <w:r w:rsidR="00946812">
        <w:t xml:space="preserve"> </w:t>
      </w:r>
    </w:p>
    <w:p w14:paraId="1283E106" w14:textId="53D73164" w:rsidR="00946812" w:rsidRPr="00593AFA" w:rsidRDefault="00946812" w:rsidP="00946812">
      <w:pPr>
        <w:pStyle w:val="SingleTxtG"/>
        <w:tabs>
          <w:tab w:val="left" w:pos="720"/>
        </w:tabs>
      </w:pPr>
      <w:r>
        <w:t>71.</w:t>
      </w:r>
      <w:r>
        <w:tab/>
        <w:t>Комитет обеспокоен сообщениями о том, что правоохранительные органы не принимают адекватных мер для обеспечения защиты независимых учреждений культуры и отдельных творческих работников, а также сообщениями о том, что в последние годы участились случаи угроз и нападений на эти учреждения и отдельных лиц, в том числе в результате атмосферы безнаказанности (ст</w:t>
      </w:r>
      <w:r w:rsidR="0017110A">
        <w:t>атья</w:t>
      </w:r>
      <w:r>
        <w:t xml:space="preserve"> 15). </w:t>
      </w:r>
    </w:p>
    <w:p w14:paraId="685C6BC8" w14:textId="77777777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72.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защиты независимых учреждений культуры и отдельных творческих работников, а также обеспечить, чтобы все случаи угроз и нападений расследовались оперативно, эффективно и беспристрастно, чтобы виновные привлекались к ответственности и, в случае осуждения, несли наказание, соразмерное тяжести преступления, и чтобы жертвы таких нарушений получали полную компенсацию и возмещение ущерба.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21 (2009) о праве каждого человека на участие в культурной жизни.</w:t>
      </w:r>
      <w:bookmarkStart w:id="6" w:name="_Hlk140089923"/>
      <w:bookmarkEnd w:id="6"/>
    </w:p>
    <w:p w14:paraId="3C9FD83C" w14:textId="19A2B103" w:rsidR="00946812" w:rsidRPr="00593AFA" w:rsidRDefault="00D164D0" w:rsidP="00D164D0">
      <w:pPr>
        <w:pStyle w:val="H23G"/>
      </w:pPr>
      <w:r>
        <w:tab/>
      </w:r>
      <w:r>
        <w:tab/>
      </w:r>
      <w:r w:rsidR="00946812">
        <w:t xml:space="preserve">Доступ к Интернету </w:t>
      </w:r>
    </w:p>
    <w:p w14:paraId="5B3743F2" w14:textId="77777777" w:rsidR="00946812" w:rsidRPr="00593AFA" w:rsidRDefault="00946812" w:rsidP="00946812">
      <w:pPr>
        <w:pStyle w:val="SingleTxtG"/>
        <w:tabs>
          <w:tab w:val="left" w:pos="720"/>
        </w:tabs>
      </w:pPr>
      <w:r>
        <w:t>73.</w:t>
      </w:r>
      <w:r>
        <w:tab/>
        <w:t>Комитет обеспокоен тем, что меры, принятые государством-участником для расширения доступа к Интернету и цифровым технологиям, особенно для обездоленных и маргинализированных групп населения, в лагерях беженцев и в секторе Газа, оказались недостаточными (статья 15).</w:t>
      </w:r>
    </w:p>
    <w:p w14:paraId="7236860F" w14:textId="018E9F0D" w:rsidR="00946812" w:rsidRPr="00593AFA" w:rsidRDefault="00946812" w:rsidP="00946812">
      <w:pPr>
        <w:pStyle w:val="SingleTxtG"/>
        <w:tabs>
          <w:tab w:val="left" w:pos="720"/>
        </w:tabs>
        <w:rPr>
          <w:b/>
        </w:rPr>
      </w:pPr>
      <w:r>
        <w:t>74.</w:t>
      </w:r>
      <w:r>
        <w:tab/>
      </w:r>
      <w:r>
        <w:rPr>
          <w:b/>
          <w:bCs/>
        </w:rPr>
        <w:t>Комитет рекомендует государству-участнику расширить доступ к Интернету, в частности в лагерях беженцев и в секторе Газа, и выделить специальные средства на обеспечение доступа к Интернету неблагополучных и маргинализированных групп населения.</w:t>
      </w:r>
    </w:p>
    <w:p w14:paraId="30C1E3E9" w14:textId="116D8181" w:rsidR="00946812" w:rsidRPr="00593AFA" w:rsidRDefault="00D164D0" w:rsidP="00946812">
      <w:pPr>
        <w:pStyle w:val="H1G"/>
        <w:rPr>
          <w:bCs/>
          <w:i/>
          <w:iCs/>
        </w:rPr>
      </w:pPr>
      <w:r>
        <w:rPr>
          <w:bCs/>
        </w:rPr>
        <w:tab/>
      </w:r>
      <w:r w:rsidR="00946812">
        <w:rPr>
          <w:bCs/>
        </w:rPr>
        <w:t>D.</w:t>
      </w:r>
      <w:r w:rsidR="00946812">
        <w:tab/>
      </w:r>
      <w:r w:rsidR="00946812">
        <w:rPr>
          <w:bCs/>
        </w:rPr>
        <w:t>Другие рекомендации</w:t>
      </w:r>
    </w:p>
    <w:p w14:paraId="1951423B" w14:textId="77777777" w:rsidR="00946812" w:rsidRPr="00593AFA" w:rsidRDefault="00946812" w:rsidP="00946812">
      <w:pPr>
        <w:pStyle w:val="SingleTxtG"/>
      </w:pPr>
      <w:r>
        <w:t>75.</w:t>
      </w:r>
      <w:r>
        <w:tab/>
      </w:r>
      <w:r>
        <w:rPr>
          <w:b/>
          <w:bCs/>
        </w:rPr>
        <w:t>Комитет призывает государство-участник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а также Факультативный протокол к Международному пакту об экономических, социальных и культурных правах и Факультативный протокол к Международному пакту о гражданских и политических правах.</w:t>
      </w:r>
    </w:p>
    <w:p w14:paraId="5D668A14" w14:textId="77777777" w:rsidR="00946812" w:rsidRPr="00593AFA" w:rsidRDefault="00946812" w:rsidP="00946812">
      <w:pPr>
        <w:pStyle w:val="SingleTxtG"/>
        <w:rPr>
          <w:b/>
          <w:bCs/>
        </w:rPr>
      </w:pPr>
      <w:r>
        <w:t>76.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по Пакту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при восстановлении после пандемии коронавирусного заболевания (COVID-19), при необходимости пользуясь поддержкой международного сообщества и сотрудничеством с ним.</w:t>
      </w:r>
      <w:r>
        <w:t xml:space="preserve"> </w:t>
      </w:r>
      <w:r>
        <w:rPr>
          <w:b/>
          <w:bCs/>
        </w:rPr>
        <w:t xml:space="preserve"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</w:t>
      </w:r>
      <w:r>
        <w:rPr>
          <w:b/>
          <w:bCs/>
        </w:rPr>
        <w:lastRenderedPageBreak/>
        <w:t>правообладателями, которые могут претендовать на получение причитающихся им льгот.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и свершений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946812">
        <w:rPr>
          <w:rStyle w:val="a8"/>
        </w:rPr>
        <w:footnoteReference w:id="21"/>
      </w:r>
      <w:r>
        <w:rPr>
          <w:b/>
          <w:bCs/>
        </w:rPr>
        <w:t>.</w:t>
      </w:r>
    </w:p>
    <w:p w14:paraId="41CC0765" w14:textId="77777777" w:rsidR="00946812" w:rsidRPr="00593AFA" w:rsidRDefault="00946812" w:rsidP="00946812">
      <w:pPr>
        <w:pStyle w:val="SingleTxtG"/>
        <w:rPr>
          <w:b/>
        </w:rPr>
      </w:pPr>
      <w:r>
        <w:t>77.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муниципальном уровнях, в частности среди государственных должностных лиц и судебных органов, и в своем следующем периодическом докладе представить информацию о мерах, принятых для их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взаимодействовать с Независимой комиссией по правам человека, неправительственными организациями и другими членами гражданского общества в ходе последующей деятельности по реализации настоящими заключительными замечаниями и в процессе консультаций на национальном уровне до представления его следующего периодического доклада.</w:t>
      </w:r>
      <w:r>
        <w:t xml:space="preserve"> </w:t>
      </w:r>
    </w:p>
    <w:p w14:paraId="4B447745" w14:textId="459D724A" w:rsidR="00946812" w:rsidRPr="00593AFA" w:rsidRDefault="00946812" w:rsidP="00946812">
      <w:pPr>
        <w:pStyle w:val="SingleTxtG"/>
        <w:rPr>
          <w:b/>
          <w:bCs/>
        </w:rPr>
      </w:pPr>
      <w:r>
        <w:t>78.</w:t>
      </w:r>
      <w:r>
        <w:tab/>
      </w:r>
      <w:r>
        <w:rPr>
          <w:b/>
          <w:bCs/>
        </w:rPr>
        <w:t>В соответствии с процедурой последующих действий по осуществлению принятых Комитетом заключительных замечаний государству-участнику предлагается представить в течение 24 месяцев с момента принятия настоящих заключительных замечаний информацию о выполнении рекомендаций Комитета, содержащихся в вышеизложенных пунктах 36 (права профсоюзов), 38</w:t>
      </w:r>
      <w:r w:rsidR="00C23627">
        <w:rPr>
          <w:b/>
          <w:bCs/>
        </w:rPr>
        <w:t> </w:t>
      </w:r>
      <w:r>
        <w:rPr>
          <w:b/>
          <w:bCs/>
        </w:rPr>
        <w:t>(право на социальное обеспечение) и 44 (защита семьи и детей).</w:t>
      </w:r>
    </w:p>
    <w:p w14:paraId="1CA07A25" w14:textId="72941046" w:rsidR="00946812" w:rsidRPr="00593AFA" w:rsidRDefault="00946812" w:rsidP="00946812">
      <w:pPr>
        <w:pStyle w:val="SingleTxtG"/>
        <w:rPr>
          <w:u w:val="single"/>
        </w:rPr>
      </w:pPr>
      <w:r>
        <w:t>79.</w:t>
      </w:r>
      <w:r>
        <w:tab/>
      </w:r>
      <w:r>
        <w:rPr>
          <w:b/>
          <w:bCs/>
        </w:rPr>
        <w:t>Комитет просит государство-участник представить свой второй периодический доклад в соответствии со статьей 16 Пакта не позднее 31 октября 2028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 xml:space="preserve">В соответствии с резолюцией </w:t>
      </w:r>
      <w:hyperlink r:id="rId8" w:history="1">
        <w:r w:rsidR="00D164D0">
          <w:rPr>
            <w:rStyle w:val="a7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объем доклада не должен превышать 21</w:t>
      </w:r>
      <w:r w:rsidR="00C23627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Кроме того, он предлагает государству-участнику при необходимости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в области прав человека</w:t>
      </w:r>
      <w:r w:rsidRPr="00946812">
        <w:rPr>
          <w:rStyle w:val="a8"/>
        </w:rPr>
        <w:footnoteReference w:id="22"/>
      </w:r>
      <w:r>
        <w:rPr>
          <w:b/>
          <w:bCs/>
        </w:rPr>
        <w:t>.</w:t>
      </w:r>
    </w:p>
    <w:p w14:paraId="665B4F71" w14:textId="77777777" w:rsidR="00946812" w:rsidRDefault="00946812" w:rsidP="00946812">
      <w:pPr>
        <w:spacing w:before="240"/>
        <w:jc w:val="center"/>
        <w:rPr>
          <w:u w:val="single"/>
        </w:rPr>
      </w:pPr>
      <w:r w:rsidRPr="00593AFA">
        <w:rPr>
          <w:u w:val="single"/>
        </w:rPr>
        <w:tab/>
      </w:r>
      <w:r w:rsidRPr="00593AFA">
        <w:rPr>
          <w:u w:val="single"/>
        </w:rPr>
        <w:tab/>
      </w:r>
      <w:r w:rsidRPr="00593AFA">
        <w:rPr>
          <w:u w:val="single"/>
        </w:rPr>
        <w:tab/>
      </w:r>
    </w:p>
    <w:p w14:paraId="3300F2A3" w14:textId="229FC528" w:rsidR="00381C24" w:rsidRPr="00BC18B2" w:rsidRDefault="00381C24" w:rsidP="00896BA2"/>
    <w:sectPr w:rsidR="00381C24" w:rsidRPr="00BC18B2" w:rsidSect="0094681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D7C89" w14:textId="77777777" w:rsidR="00E43FA7" w:rsidRPr="00A312BC" w:rsidRDefault="00E43FA7" w:rsidP="00A312BC"/>
  </w:endnote>
  <w:endnote w:type="continuationSeparator" w:id="0">
    <w:p w14:paraId="49AEF8EC" w14:textId="77777777" w:rsidR="00E43FA7" w:rsidRPr="00A312BC" w:rsidRDefault="00E43FA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3D850" w14:textId="739A5858" w:rsidR="00946812" w:rsidRPr="00946812" w:rsidRDefault="00946812">
    <w:pPr>
      <w:pStyle w:val="aa"/>
    </w:pPr>
    <w:r w:rsidRPr="00946812">
      <w:rPr>
        <w:b/>
        <w:sz w:val="18"/>
      </w:rPr>
      <w:fldChar w:fldCharType="begin"/>
    </w:r>
    <w:r w:rsidRPr="00946812">
      <w:rPr>
        <w:b/>
        <w:sz w:val="18"/>
      </w:rPr>
      <w:instrText xml:space="preserve"> PAGE  \* MERGEFORMAT </w:instrText>
    </w:r>
    <w:r w:rsidRPr="00946812">
      <w:rPr>
        <w:b/>
        <w:sz w:val="18"/>
      </w:rPr>
      <w:fldChar w:fldCharType="separate"/>
    </w:r>
    <w:r w:rsidRPr="00946812">
      <w:rPr>
        <w:b/>
        <w:noProof/>
        <w:sz w:val="18"/>
      </w:rPr>
      <w:t>2</w:t>
    </w:r>
    <w:r w:rsidRPr="00946812">
      <w:rPr>
        <w:b/>
        <w:sz w:val="18"/>
      </w:rPr>
      <w:fldChar w:fldCharType="end"/>
    </w:r>
    <w:r>
      <w:rPr>
        <w:b/>
        <w:sz w:val="18"/>
      </w:rPr>
      <w:tab/>
    </w:r>
    <w:r>
      <w:t>GE.23-20265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D6B88" w14:textId="5A93DC9F" w:rsidR="00946812" w:rsidRPr="00946812" w:rsidRDefault="00946812" w:rsidP="00946812">
    <w:pPr>
      <w:pStyle w:val="aa"/>
      <w:tabs>
        <w:tab w:val="clear" w:pos="9639"/>
        <w:tab w:val="right" w:pos="9638"/>
      </w:tabs>
      <w:rPr>
        <w:b/>
        <w:sz w:val="18"/>
      </w:rPr>
    </w:pPr>
    <w:r>
      <w:t>GE.23-20265</w:t>
    </w:r>
    <w:r>
      <w:tab/>
    </w:r>
    <w:r w:rsidRPr="00946812">
      <w:rPr>
        <w:b/>
        <w:sz w:val="18"/>
      </w:rPr>
      <w:fldChar w:fldCharType="begin"/>
    </w:r>
    <w:r w:rsidRPr="00946812">
      <w:rPr>
        <w:b/>
        <w:sz w:val="18"/>
      </w:rPr>
      <w:instrText xml:space="preserve"> PAGE  \* MERGEFORMAT </w:instrText>
    </w:r>
    <w:r w:rsidRPr="00946812">
      <w:rPr>
        <w:b/>
        <w:sz w:val="18"/>
      </w:rPr>
      <w:fldChar w:fldCharType="separate"/>
    </w:r>
    <w:r w:rsidRPr="00946812">
      <w:rPr>
        <w:b/>
        <w:noProof/>
        <w:sz w:val="18"/>
      </w:rPr>
      <w:t>3</w:t>
    </w:r>
    <w:r w:rsidRPr="009468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365D2" w14:textId="0979C8B2" w:rsidR="00042B72" w:rsidRPr="008B1005" w:rsidRDefault="00946812" w:rsidP="0094681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6B89B4A" wp14:editId="7C590C3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23-20265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94A1132" wp14:editId="3A6EA9E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1005">
      <w:rPr>
        <w:lang w:val="en-US"/>
      </w:rPr>
      <w:t xml:space="preserve">   031123   161123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1120F" w14:textId="77777777" w:rsidR="00E43FA7" w:rsidRPr="001075E9" w:rsidRDefault="00E43FA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B84B3F9" w14:textId="77777777" w:rsidR="00E43FA7" w:rsidRDefault="00E43FA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1CE2542" w14:textId="77777777" w:rsidR="00946812" w:rsidRPr="00593AFA" w:rsidRDefault="00946812" w:rsidP="00946812">
      <w:pPr>
        <w:pStyle w:val="af"/>
      </w:pPr>
      <w:r>
        <w:tab/>
        <w:t>*</w:t>
      </w:r>
      <w:r>
        <w:tab/>
        <w:t>Приняты Комитетом на его семьдесят четвертой сессии (25 сентября — 13 октября 2023 года).</w:t>
      </w:r>
    </w:p>
  </w:footnote>
  <w:footnote w:id="2">
    <w:p w14:paraId="5ACBBC5C" w14:textId="77777777" w:rsidR="00DE43AF" w:rsidRPr="00593AFA" w:rsidRDefault="00DE43AF" w:rsidP="00DE43AF">
      <w:pPr>
        <w:pStyle w:val="af"/>
        <w:rPr>
          <w:lang w:val="es-ES"/>
        </w:rPr>
      </w:pPr>
      <w:r w:rsidRPr="0058086E"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ab/>
      </w:r>
      <w:hyperlink r:id="rId1" w:history="1">
        <w:r w:rsidRPr="00946812">
          <w:rPr>
            <w:rStyle w:val="a7"/>
            <w:lang w:val="es-ES"/>
          </w:rPr>
          <w:t>E/C.12/PSE/1</w:t>
        </w:r>
      </w:hyperlink>
      <w:r w:rsidRPr="00593AFA">
        <w:rPr>
          <w:lang w:val="es-ES"/>
        </w:rPr>
        <w:t>.</w:t>
      </w:r>
    </w:p>
  </w:footnote>
  <w:footnote w:id="3">
    <w:p w14:paraId="3424B3F1" w14:textId="77777777" w:rsidR="00DE43AF" w:rsidRPr="00593AFA" w:rsidRDefault="00DE43AF" w:rsidP="00DE43AF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ab/>
      </w:r>
      <w:r>
        <w:t>См</w:t>
      </w:r>
      <w:r w:rsidRPr="00593AFA">
        <w:rPr>
          <w:lang w:val="es-ES"/>
        </w:rPr>
        <w:t xml:space="preserve">. </w:t>
      </w:r>
      <w:hyperlink r:id="rId2" w:history="1">
        <w:r w:rsidRPr="00946812">
          <w:rPr>
            <w:rStyle w:val="a7"/>
            <w:lang w:val="es-ES"/>
          </w:rPr>
          <w:t>E/C.12/2023/SR.35</w:t>
        </w:r>
      </w:hyperlink>
      <w:r w:rsidRPr="00593AFA">
        <w:rPr>
          <w:lang w:val="es-ES"/>
        </w:rPr>
        <w:t xml:space="preserve"> </w:t>
      </w:r>
      <w:r>
        <w:t>и</w:t>
      </w:r>
      <w:r w:rsidRPr="00593AFA">
        <w:rPr>
          <w:lang w:val="es-ES"/>
        </w:rPr>
        <w:t xml:space="preserve"> </w:t>
      </w:r>
      <w:hyperlink r:id="rId3" w:history="1">
        <w:r w:rsidRPr="00946812">
          <w:rPr>
            <w:rStyle w:val="a7"/>
            <w:lang w:val="es-ES"/>
          </w:rPr>
          <w:t>E/C.12/2023/SR.37</w:t>
        </w:r>
      </w:hyperlink>
      <w:r w:rsidRPr="00593AFA">
        <w:rPr>
          <w:lang w:val="es-ES"/>
        </w:rPr>
        <w:t>.</w:t>
      </w:r>
    </w:p>
  </w:footnote>
  <w:footnote w:id="4">
    <w:p w14:paraId="28B3E316" w14:textId="67991DC8" w:rsidR="00946812" w:rsidRPr="00946812" w:rsidRDefault="00946812" w:rsidP="00946812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946812">
        <w:rPr>
          <w:lang w:val="es-ES"/>
        </w:rPr>
        <w:t xml:space="preserve"> </w:t>
      </w:r>
      <w:r w:rsidRPr="00946812">
        <w:rPr>
          <w:lang w:val="es-ES"/>
        </w:rPr>
        <w:tab/>
      </w:r>
      <w:hyperlink r:id="rId4" w:history="1">
        <w:r w:rsidRPr="00946812">
          <w:rPr>
            <w:rStyle w:val="a7"/>
            <w:lang w:val="es-ES"/>
          </w:rPr>
          <w:t>E/C.12/PSE/RQ/1</w:t>
        </w:r>
      </w:hyperlink>
      <w:r w:rsidRPr="00946812">
        <w:rPr>
          <w:lang w:val="es-ES"/>
        </w:rPr>
        <w:t>.</w:t>
      </w:r>
    </w:p>
  </w:footnote>
  <w:footnote w:id="5">
    <w:p w14:paraId="181B8F1F" w14:textId="23F17E10" w:rsidR="00946812" w:rsidRPr="00593AFA" w:rsidRDefault="00946812" w:rsidP="00946812">
      <w:pPr>
        <w:pStyle w:val="af"/>
      </w:pPr>
      <w:r w:rsidRPr="00946812">
        <w:rPr>
          <w:lang w:val="es-ES"/>
        </w:rPr>
        <w:tab/>
      </w:r>
      <w:r w:rsidRPr="00946812">
        <w:rPr>
          <w:rStyle w:val="a8"/>
        </w:rPr>
        <w:footnoteRef/>
      </w:r>
      <w:r w:rsidRPr="00DE43AF">
        <w:rPr>
          <w:lang w:val="es-ES"/>
        </w:rPr>
        <w:tab/>
      </w:r>
      <w:r>
        <w:t>См</w:t>
      </w:r>
      <w:r w:rsidRPr="00DE43AF">
        <w:rPr>
          <w:lang w:val="es-ES"/>
        </w:rPr>
        <w:t xml:space="preserve">. </w:t>
      </w:r>
      <w:r>
        <w:t>резолюцию</w:t>
      </w:r>
      <w:r w:rsidRPr="00DE43AF">
        <w:rPr>
          <w:lang w:val="es-ES"/>
        </w:rPr>
        <w:t xml:space="preserve"> </w:t>
      </w:r>
      <w:hyperlink r:id="rId5" w:history="1">
        <w:r w:rsidRPr="00946812">
          <w:rPr>
            <w:rStyle w:val="a7"/>
          </w:rPr>
          <w:t>2334 (2016)</w:t>
        </w:r>
      </w:hyperlink>
      <w:r>
        <w:t xml:space="preserve"> Совета Безопасности и другие соответствующие резолюции Совета, включая резолюции </w:t>
      </w:r>
      <w:hyperlink r:id="rId6" w:history="1">
        <w:r w:rsidRPr="00946812">
          <w:rPr>
            <w:rStyle w:val="a7"/>
          </w:rPr>
          <w:t>242 (1967)</w:t>
        </w:r>
      </w:hyperlink>
      <w:r>
        <w:t xml:space="preserve">, </w:t>
      </w:r>
      <w:hyperlink r:id="rId7" w:history="1">
        <w:r w:rsidRPr="00946812">
          <w:rPr>
            <w:rStyle w:val="a7"/>
          </w:rPr>
          <w:t>338 (1973)</w:t>
        </w:r>
      </w:hyperlink>
      <w:r>
        <w:t xml:space="preserve">, </w:t>
      </w:r>
      <w:hyperlink r:id="rId8" w:history="1">
        <w:r w:rsidRPr="00946812">
          <w:rPr>
            <w:rStyle w:val="a7"/>
          </w:rPr>
          <w:t>446 (1979)</w:t>
        </w:r>
      </w:hyperlink>
      <w:r>
        <w:t xml:space="preserve">, </w:t>
      </w:r>
      <w:hyperlink r:id="rId9" w:history="1">
        <w:r w:rsidRPr="00946812">
          <w:rPr>
            <w:rStyle w:val="a7"/>
          </w:rPr>
          <w:t>452 (1979)</w:t>
        </w:r>
      </w:hyperlink>
      <w:r>
        <w:t xml:space="preserve">, </w:t>
      </w:r>
      <w:hyperlink r:id="rId10" w:history="1">
        <w:r w:rsidRPr="00946812">
          <w:rPr>
            <w:rStyle w:val="a7"/>
          </w:rPr>
          <w:t>465 (1980)</w:t>
        </w:r>
      </w:hyperlink>
      <w:r>
        <w:t xml:space="preserve">, </w:t>
      </w:r>
      <w:hyperlink r:id="rId11" w:history="1">
        <w:r w:rsidRPr="00946812">
          <w:rPr>
            <w:rStyle w:val="a7"/>
          </w:rPr>
          <w:t>476 (1980)</w:t>
        </w:r>
      </w:hyperlink>
      <w:r>
        <w:t xml:space="preserve">, </w:t>
      </w:r>
      <w:hyperlink r:id="rId12" w:history="1">
        <w:r w:rsidRPr="00946812">
          <w:rPr>
            <w:rStyle w:val="a7"/>
          </w:rPr>
          <w:t>478 (1980)</w:t>
        </w:r>
      </w:hyperlink>
      <w:r>
        <w:t xml:space="preserve">, </w:t>
      </w:r>
      <w:hyperlink r:id="rId13" w:history="1">
        <w:r w:rsidRPr="00946812">
          <w:rPr>
            <w:rStyle w:val="a7"/>
          </w:rPr>
          <w:t>1397 (2002)</w:t>
        </w:r>
      </w:hyperlink>
      <w:r>
        <w:t xml:space="preserve">, </w:t>
      </w:r>
      <w:hyperlink r:id="rId14" w:history="1">
        <w:r w:rsidRPr="00946812">
          <w:rPr>
            <w:rStyle w:val="a7"/>
          </w:rPr>
          <w:t>1515 (2003)</w:t>
        </w:r>
      </w:hyperlink>
      <w:r>
        <w:t xml:space="preserve">, </w:t>
      </w:r>
      <w:hyperlink r:id="rId15" w:history="1">
        <w:r w:rsidRPr="00946812">
          <w:rPr>
            <w:rStyle w:val="a7"/>
          </w:rPr>
          <w:t>1850 (2008)</w:t>
        </w:r>
      </w:hyperlink>
      <w:r>
        <w:t xml:space="preserve"> и </w:t>
      </w:r>
      <w:hyperlink r:id="rId16" w:history="1">
        <w:r w:rsidRPr="00946812">
          <w:rPr>
            <w:rStyle w:val="a7"/>
          </w:rPr>
          <w:t>1860 (2009)</w:t>
        </w:r>
      </w:hyperlink>
      <w:r>
        <w:t xml:space="preserve">. См. также </w:t>
      </w:r>
      <w:r>
        <w:rPr>
          <w:i/>
          <w:iCs/>
        </w:rPr>
        <w:t>Консультативное заключение Международного Суда относительно правовых последствий строительства стены на оккупированной палестинской территории</w:t>
      </w:r>
      <w:r>
        <w:t xml:space="preserve">, </w:t>
      </w:r>
      <w:r>
        <w:rPr>
          <w:i/>
          <w:iCs/>
        </w:rPr>
        <w:t>I.C.J. Reports 2004</w:t>
      </w:r>
      <w:r>
        <w:t xml:space="preserve">, п.136; и резолюции Совета по правам человека </w:t>
      </w:r>
      <w:hyperlink r:id="rId17" w:history="1">
        <w:r w:rsidRPr="00946812">
          <w:rPr>
            <w:rStyle w:val="a7"/>
          </w:rPr>
          <w:t>S-9/1</w:t>
        </w:r>
      </w:hyperlink>
      <w:r>
        <w:t xml:space="preserve"> и </w:t>
      </w:r>
      <w:hyperlink r:id="rId18" w:history="1">
        <w:r w:rsidRPr="00946812">
          <w:rPr>
            <w:rStyle w:val="a7"/>
          </w:rPr>
          <w:t>S-12/1</w:t>
        </w:r>
      </w:hyperlink>
      <w:r>
        <w:t>.</w:t>
      </w:r>
    </w:p>
  </w:footnote>
  <w:footnote w:id="6">
    <w:p w14:paraId="744E60B7" w14:textId="38D8DC5A" w:rsidR="00946812" w:rsidRPr="00DE43AF" w:rsidRDefault="00946812" w:rsidP="00946812">
      <w:pPr>
        <w:pStyle w:val="af"/>
        <w:rPr>
          <w:lang w:val="en-US"/>
        </w:rPr>
      </w:pPr>
      <w:r w:rsidRPr="00593AFA">
        <w:tab/>
      </w:r>
      <w:r w:rsidRPr="00946812">
        <w:rPr>
          <w:rStyle w:val="a8"/>
        </w:rPr>
        <w:footnoteRef/>
      </w:r>
      <w:r w:rsidRPr="00593AFA">
        <w:rPr>
          <w:lang w:val="en-US"/>
        </w:rPr>
        <w:t xml:space="preserve"> </w:t>
      </w:r>
      <w:r w:rsidRPr="00593AFA">
        <w:rPr>
          <w:lang w:val="en-US"/>
        </w:rPr>
        <w:tab/>
      </w:r>
      <w:hyperlink r:id="rId19" w:history="1">
        <w:r w:rsidRPr="00946812">
          <w:rPr>
            <w:rStyle w:val="a7"/>
            <w:lang w:val="en-US"/>
          </w:rPr>
          <w:t>CEDAW/C/PSE/CO/1</w:t>
        </w:r>
      </w:hyperlink>
      <w:r w:rsidRPr="00593AFA">
        <w:rPr>
          <w:lang w:val="en-US"/>
        </w:rPr>
        <w:t xml:space="preserve">, </w:t>
      </w:r>
      <w:r>
        <w:t>п</w:t>
      </w:r>
      <w:r w:rsidRPr="00593AFA">
        <w:rPr>
          <w:lang w:val="en-US"/>
        </w:rPr>
        <w:t xml:space="preserve">. 9; </w:t>
      </w:r>
      <w:hyperlink r:id="rId20" w:history="1">
        <w:r w:rsidRPr="00946812">
          <w:rPr>
            <w:rStyle w:val="a7"/>
            <w:lang w:val="en-US"/>
          </w:rPr>
          <w:t>CERD/C/PSE/CO/1-2</w:t>
        </w:r>
      </w:hyperlink>
      <w:r w:rsidRPr="00593AFA">
        <w:rPr>
          <w:lang w:val="en-US"/>
        </w:rPr>
        <w:t xml:space="preserve">, </w:t>
      </w:r>
      <w:r>
        <w:t>п</w:t>
      </w:r>
      <w:r w:rsidRPr="00593AFA">
        <w:rPr>
          <w:lang w:val="en-US"/>
        </w:rPr>
        <w:t xml:space="preserve">. 3; </w:t>
      </w:r>
      <w:hyperlink r:id="rId21" w:history="1">
        <w:r w:rsidRPr="00946812">
          <w:rPr>
            <w:rStyle w:val="a7"/>
            <w:lang w:val="en-US"/>
          </w:rPr>
          <w:t>CRC/C/PSE/CO/1</w:t>
        </w:r>
      </w:hyperlink>
      <w:r w:rsidRPr="00593AFA">
        <w:rPr>
          <w:lang w:val="en-US"/>
        </w:rPr>
        <w:t xml:space="preserve">, </w:t>
      </w:r>
      <w:r>
        <w:t>п</w:t>
      </w:r>
      <w:r w:rsidRPr="00593AFA">
        <w:rPr>
          <w:lang w:val="en-US"/>
        </w:rPr>
        <w:t xml:space="preserve">. 4; </w:t>
      </w:r>
      <w:r>
        <w:t>и</w:t>
      </w:r>
      <w:r w:rsidR="00DE43AF">
        <w:rPr>
          <w:lang w:val="en-US"/>
        </w:rPr>
        <w:t> </w:t>
      </w:r>
      <w:hyperlink r:id="rId22" w:history="1">
        <w:r w:rsidRPr="00946812">
          <w:rPr>
            <w:rStyle w:val="a7"/>
            <w:lang w:val="en-US"/>
          </w:rPr>
          <w:t>CAT/C/PSE/CO/1</w:t>
        </w:r>
      </w:hyperlink>
      <w:r w:rsidRPr="00593AFA">
        <w:rPr>
          <w:lang w:val="en-US"/>
        </w:rPr>
        <w:t xml:space="preserve">, </w:t>
      </w:r>
      <w:r>
        <w:t>п</w:t>
      </w:r>
      <w:r w:rsidRPr="00593AFA">
        <w:rPr>
          <w:lang w:val="en-US"/>
        </w:rPr>
        <w:t>. 4</w:t>
      </w:r>
      <w:r w:rsidR="00DE43AF" w:rsidRPr="00DE43AF">
        <w:rPr>
          <w:lang w:val="en-US"/>
        </w:rPr>
        <w:t>.</w:t>
      </w:r>
    </w:p>
  </w:footnote>
  <w:footnote w:id="7">
    <w:p w14:paraId="7DE13F1E" w14:textId="2530924F" w:rsidR="00946812" w:rsidRPr="00946812" w:rsidRDefault="00946812" w:rsidP="00946812">
      <w:pPr>
        <w:pStyle w:val="af"/>
        <w:rPr>
          <w:lang w:val="en-US"/>
        </w:rPr>
      </w:pPr>
      <w:r w:rsidRPr="00593AFA">
        <w:rPr>
          <w:lang w:val="en-US"/>
        </w:rPr>
        <w:tab/>
      </w:r>
      <w:r w:rsidRPr="00946812">
        <w:rPr>
          <w:rStyle w:val="a8"/>
        </w:rPr>
        <w:footnoteRef/>
      </w:r>
      <w:r w:rsidRPr="00593AFA">
        <w:rPr>
          <w:lang w:val="en-US"/>
        </w:rPr>
        <w:t xml:space="preserve"> </w:t>
      </w:r>
      <w:r w:rsidRPr="00593AFA">
        <w:rPr>
          <w:lang w:val="en-US"/>
        </w:rPr>
        <w:tab/>
      </w:r>
      <w:hyperlink r:id="rId23" w:history="1">
        <w:r w:rsidRPr="00946812">
          <w:rPr>
            <w:rStyle w:val="a7"/>
            <w:lang w:val="en-US"/>
          </w:rPr>
          <w:t>CCPR/C/PSE/CO/1</w:t>
        </w:r>
      </w:hyperlink>
      <w:r w:rsidRPr="00593AFA">
        <w:rPr>
          <w:lang w:val="en-US"/>
        </w:rPr>
        <w:t xml:space="preserve">, </w:t>
      </w:r>
      <w:r>
        <w:t>п</w:t>
      </w:r>
      <w:r w:rsidRPr="00593AFA">
        <w:rPr>
          <w:lang w:val="en-US"/>
        </w:rPr>
        <w:t>. 6.</w:t>
      </w:r>
    </w:p>
  </w:footnote>
  <w:footnote w:id="8">
    <w:p w14:paraId="453F5ECE" w14:textId="77777777" w:rsidR="00946812" w:rsidRPr="00593AFA" w:rsidRDefault="00946812" w:rsidP="00946812">
      <w:pPr>
        <w:pStyle w:val="af"/>
      </w:pPr>
      <w:r w:rsidRPr="00593AFA">
        <w:rPr>
          <w:lang w:val="en-US"/>
        </w:rPr>
        <w:tab/>
      </w:r>
      <w:r w:rsidRPr="00946812">
        <w:rPr>
          <w:rStyle w:val="a8"/>
        </w:rPr>
        <w:footnoteRef/>
      </w:r>
      <w:r>
        <w:t xml:space="preserve"> </w:t>
      </w:r>
      <w:r>
        <w:tab/>
        <w:t>Там же, п. 42 a).</w:t>
      </w:r>
    </w:p>
  </w:footnote>
  <w:footnote w:id="9">
    <w:p w14:paraId="2B24D6E2" w14:textId="77777777" w:rsidR="00946812" w:rsidRPr="00593AFA" w:rsidRDefault="00946812" w:rsidP="00946812">
      <w:pPr>
        <w:pStyle w:val="af"/>
      </w:pPr>
      <w:r w:rsidRPr="0058086E">
        <w:tab/>
      </w:r>
      <w:r w:rsidRPr="00946812">
        <w:rPr>
          <w:rStyle w:val="a8"/>
        </w:rPr>
        <w:footnoteRef/>
      </w:r>
      <w:r>
        <w:t xml:space="preserve"> </w:t>
      </w:r>
      <w:r>
        <w:tab/>
        <w:t>Там же, п. 40 a).</w:t>
      </w:r>
    </w:p>
  </w:footnote>
  <w:footnote w:id="10">
    <w:p w14:paraId="3F5471F8" w14:textId="15FB4477" w:rsidR="00946812" w:rsidRPr="00593AFA" w:rsidRDefault="00946812" w:rsidP="00946812">
      <w:pPr>
        <w:pStyle w:val="af"/>
        <w:rPr>
          <w:lang w:val="es-ES"/>
        </w:rPr>
      </w:pPr>
      <w:r w:rsidRPr="0058086E"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 xml:space="preserve"> </w:t>
      </w:r>
      <w:r w:rsidRPr="00593AFA">
        <w:rPr>
          <w:lang w:val="es-ES"/>
        </w:rPr>
        <w:tab/>
      </w:r>
      <w:hyperlink r:id="rId24" w:history="1">
        <w:r w:rsidRPr="00946812">
          <w:rPr>
            <w:rStyle w:val="a7"/>
            <w:lang w:val="es-ES"/>
          </w:rPr>
          <w:t>E/C.12/2016/2</w:t>
        </w:r>
      </w:hyperlink>
      <w:r w:rsidRPr="00593AFA">
        <w:rPr>
          <w:lang w:val="es-ES"/>
        </w:rPr>
        <w:t>.</w:t>
      </w:r>
    </w:p>
  </w:footnote>
  <w:footnote w:id="11">
    <w:p w14:paraId="25A51714" w14:textId="722A4559" w:rsidR="00946812" w:rsidRPr="00593AFA" w:rsidRDefault="00946812" w:rsidP="00946812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 xml:space="preserve"> </w:t>
      </w:r>
      <w:r w:rsidRPr="00593AFA">
        <w:rPr>
          <w:lang w:val="es-ES"/>
        </w:rPr>
        <w:tab/>
      </w:r>
      <w:hyperlink r:id="rId25" w:history="1">
        <w:r w:rsidRPr="00946812">
          <w:rPr>
            <w:rStyle w:val="a7"/>
            <w:lang w:val="es-ES"/>
          </w:rPr>
          <w:t>E/C.12/2018/1</w:t>
        </w:r>
      </w:hyperlink>
      <w:r w:rsidRPr="00593AFA">
        <w:rPr>
          <w:lang w:val="es-ES"/>
        </w:rPr>
        <w:t>.</w:t>
      </w:r>
    </w:p>
  </w:footnote>
  <w:footnote w:id="12">
    <w:p w14:paraId="497327E4" w14:textId="2E887AA5" w:rsidR="00946812" w:rsidRPr="00593AFA" w:rsidRDefault="00946812" w:rsidP="00946812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 xml:space="preserve"> </w:t>
      </w:r>
      <w:r w:rsidRPr="00593AFA">
        <w:rPr>
          <w:lang w:val="es-ES"/>
        </w:rPr>
        <w:tab/>
      </w:r>
      <w:hyperlink r:id="rId26" w:history="1">
        <w:r w:rsidRPr="00946812">
          <w:rPr>
            <w:rStyle w:val="a7"/>
            <w:lang w:val="es-ES"/>
          </w:rPr>
          <w:t>E/C.12/2019/1</w:t>
        </w:r>
      </w:hyperlink>
      <w:r w:rsidRPr="00593AFA">
        <w:rPr>
          <w:lang w:val="es-ES"/>
        </w:rPr>
        <w:t>.</w:t>
      </w:r>
    </w:p>
  </w:footnote>
  <w:footnote w:id="13">
    <w:p w14:paraId="61CE368F" w14:textId="2CCFD31C" w:rsidR="00946812" w:rsidRPr="00593AFA" w:rsidRDefault="00946812" w:rsidP="00946812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ab/>
      </w:r>
      <w:hyperlink r:id="rId27" w:history="1">
        <w:r w:rsidRPr="00946812">
          <w:rPr>
            <w:rStyle w:val="a7"/>
            <w:lang w:val="es-ES"/>
          </w:rPr>
          <w:t>CCPR/C/PSE/CO/1</w:t>
        </w:r>
      </w:hyperlink>
      <w:r w:rsidRPr="00593AFA">
        <w:rPr>
          <w:lang w:val="es-ES"/>
        </w:rPr>
        <w:t xml:space="preserve">, </w:t>
      </w:r>
      <w:r>
        <w:t>п</w:t>
      </w:r>
      <w:r w:rsidRPr="00593AFA">
        <w:rPr>
          <w:lang w:val="es-ES"/>
        </w:rPr>
        <w:t xml:space="preserve">. 8 a) </w:t>
      </w:r>
      <w:r>
        <w:t>и</w:t>
      </w:r>
      <w:r w:rsidRPr="00593AFA">
        <w:rPr>
          <w:lang w:val="es-ES"/>
        </w:rPr>
        <w:t xml:space="preserve"> b).</w:t>
      </w:r>
    </w:p>
  </w:footnote>
  <w:footnote w:id="14">
    <w:p w14:paraId="3F0FF8E5" w14:textId="6FBF8E51" w:rsidR="00946812" w:rsidRPr="00593AFA" w:rsidRDefault="00946812" w:rsidP="00946812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 xml:space="preserve"> </w:t>
      </w:r>
      <w:r w:rsidRPr="00593AFA">
        <w:rPr>
          <w:lang w:val="es-ES"/>
        </w:rPr>
        <w:tab/>
      </w:r>
      <w:hyperlink r:id="rId28" w:history="1">
        <w:r w:rsidRPr="00946812">
          <w:rPr>
            <w:rStyle w:val="a7"/>
            <w:lang w:val="es-ES"/>
          </w:rPr>
          <w:t>E/C.12/2016/1</w:t>
        </w:r>
      </w:hyperlink>
      <w:r w:rsidRPr="00593AFA">
        <w:rPr>
          <w:lang w:val="es-ES"/>
        </w:rPr>
        <w:t>.</w:t>
      </w:r>
    </w:p>
  </w:footnote>
  <w:footnote w:id="15">
    <w:p w14:paraId="62CC4713" w14:textId="0A0781CC" w:rsidR="00946812" w:rsidRPr="00593AFA" w:rsidRDefault="00946812" w:rsidP="00946812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 xml:space="preserve"> </w:t>
      </w:r>
      <w:r w:rsidRPr="00593AFA">
        <w:rPr>
          <w:lang w:val="es-ES"/>
        </w:rPr>
        <w:tab/>
      </w:r>
      <w:hyperlink r:id="rId29" w:history="1">
        <w:r w:rsidRPr="00946812">
          <w:rPr>
            <w:rStyle w:val="a7"/>
            <w:lang w:val="es-ES"/>
          </w:rPr>
          <w:t>CCPR/C/PSE/CO/1</w:t>
        </w:r>
      </w:hyperlink>
      <w:r w:rsidRPr="00593AFA">
        <w:rPr>
          <w:lang w:val="es-ES"/>
        </w:rPr>
        <w:t xml:space="preserve">, </w:t>
      </w:r>
      <w:r>
        <w:t>п</w:t>
      </w:r>
      <w:r w:rsidRPr="00593AFA">
        <w:rPr>
          <w:lang w:val="es-ES"/>
        </w:rPr>
        <w:t>. 12 a).</w:t>
      </w:r>
    </w:p>
  </w:footnote>
  <w:footnote w:id="16">
    <w:p w14:paraId="51CF9498" w14:textId="3FA0A8CA" w:rsidR="00946812" w:rsidRPr="00593AFA" w:rsidRDefault="00946812" w:rsidP="00946812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 xml:space="preserve"> </w:t>
      </w:r>
      <w:r w:rsidRPr="00593AFA">
        <w:rPr>
          <w:lang w:val="es-ES"/>
        </w:rPr>
        <w:tab/>
      </w:r>
      <w:hyperlink r:id="rId30" w:history="1">
        <w:r w:rsidRPr="00946812">
          <w:rPr>
            <w:rStyle w:val="a7"/>
            <w:lang w:val="es-ES"/>
          </w:rPr>
          <w:t>E/C.12/66/5-CCPR/C/127/4</w:t>
        </w:r>
      </w:hyperlink>
      <w:r w:rsidRPr="00593AFA">
        <w:rPr>
          <w:lang w:val="es-ES"/>
        </w:rPr>
        <w:t>.</w:t>
      </w:r>
    </w:p>
  </w:footnote>
  <w:footnote w:id="17">
    <w:p w14:paraId="23846C41" w14:textId="28324363" w:rsidR="00946812" w:rsidRPr="00593AFA" w:rsidRDefault="00946812" w:rsidP="00946812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 xml:space="preserve"> </w:t>
      </w:r>
      <w:r w:rsidRPr="00593AFA">
        <w:rPr>
          <w:lang w:val="es-ES"/>
        </w:rPr>
        <w:tab/>
      </w:r>
      <w:hyperlink r:id="rId31" w:history="1">
        <w:r w:rsidRPr="00946812">
          <w:rPr>
            <w:rStyle w:val="a7"/>
            <w:lang w:val="es-ES"/>
          </w:rPr>
          <w:t>E/C.12/2010/1</w:t>
        </w:r>
      </w:hyperlink>
      <w:r w:rsidRPr="00593AFA">
        <w:rPr>
          <w:lang w:val="es-ES"/>
        </w:rPr>
        <w:t xml:space="preserve">. </w:t>
      </w:r>
    </w:p>
  </w:footnote>
  <w:footnote w:id="18">
    <w:p w14:paraId="2A39B5B5" w14:textId="01C93BD8" w:rsidR="00946812" w:rsidRPr="00593AFA" w:rsidRDefault="00946812" w:rsidP="00946812">
      <w:pPr>
        <w:pStyle w:val="af"/>
        <w:rPr>
          <w:lang w:val="es-E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s-ES"/>
        </w:rPr>
        <w:t xml:space="preserve"> </w:t>
      </w:r>
      <w:r w:rsidRPr="00593AFA">
        <w:rPr>
          <w:lang w:val="es-ES"/>
        </w:rPr>
        <w:tab/>
      </w:r>
      <w:hyperlink r:id="rId32" w:history="1">
        <w:r w:rsidRPr="00946812">
          <w:rPr>
            <w:rStyle w:val="a7"/>
            <w:lang w:val="es-ES"/>
          </w:rPr>
          <w:t>E/C.12/2001/10</w:t>
        </w:r>
      </w:hyperlink>
      <w:r w:rsidRPr="00593AFA">
        <w:rPr>
          <w:lang w:val="es-ES"/>
        </w:rPr>
        <w:t xml:space="preserve">. </w:t>
      </w:r>
    </w:p>
  </w:footnote>
  <w:footnote w:id="19">
    <w:p w14:paraId="02FCAE29" w14:textId="789D469D" w:rsidR="00946812" w:rsidRPr="00946812" w:rsidRDefault="00946812" w:rsidP="00946812">
      <w:pPr>
        <w:pStyle w:val="af"/>
        <w:rPr>
          <w:lang w:val="en-US"/>
        </w:rPr>
      </w:pPr>
      <w:r w:rsidRPr="00593AFA">
        <w:rPr>
          <w:lang w:val="es-ES"/>
        </w:rPr>
        <w:tab/>
      </w:r>
      <w:r w:rsidRPr="00946812">
        <w:rPr>
          <w:rStyle w:val="a8"/>
        </w:rPr>
        <w:footnoteRef/>
      </w:r>
      <w:r w:rsidRPr="00593AFA">
        <w:rPr>
          <w:lang w:val="en-US"/>
        </w:rPr>
        <w:t xml:space="preserve"> </w:t>
      </w:r>
      <w:r w:rsidRPr="00593AFA">
        <w:rPr>
          <w:lang w:val="en-US"/>
        </w:rPr>
        <w:tab/>
      </w:r>
      <w:hyperlink r:id="rId33" w:history="1">
        <w:r w:rsidRPr="00946812">
          <w:rPr>
            <w:rStyle w:val="a7"/>
            <w:lang w:val="en-US"/>
          </w:rPr>
          <w:t>CCPR/C/PSE/CO/1</w:t>
        </w:r>
      </w:hyperlink>
      <w:r w:rsidRPr="00593AFA">
        <w:rPr>
          <w:lang w:val="en-US"/>
        </w:rPr>
        <w:t xml:space="preserve">, </w:t>
      </w:r>
      <w:r>
        <w:t>п</w:t>
      </w:r>
      <w:r w:rsidRPr="00593AFA">
        <w:rPr>
          <w:lang w:val="en-US"/>
        </w:rPr>
        <w:t>. 16 a).</w:t>
      </w:r>
    </w:p>
  </w:footnote>
  <w:footnote w:id="20">
    <w:p w14:paraId="32B2005C" w14:textId="4BEA2CE0" w:rsidR="00946812" w:rsidRPr="00593AFA" w:rsidRDefault="00946812" w:rsidP="00946812">
      <w:pPr>
        <w:pStyle w:val="af"/>
      </w:pPr>
      <w:r w:rsidRPr="00593AFA">
        <w:rPr>
          <w:lang w:val="en-US"/>
        </w:rPr>
        <w:tab/>
      </w:r>
      <w:r w:rsidRPr="00946812">
        <w:rPr>
          <w:rStyle w:val="a8"/>
        </w:rPr>
        <w:footnoteRef/>
      </w:r>
      <w:r>
        <w:t xml:space="preserve"> </w:t>
      </w:r>
      <w:r>
        <w:tab/>
        <w:t>Женева, 2022 год</w:t>
      </w:r>
      <w:r w:rsidR="0017110A">
        <w:t>.</w:t>
      </w:r>
    </w:p>
  </w:footnote>
  <w:footnote w:id="21">
    <w:p w14:paraId="71C49C5E" w14:textId="2D07F82B" w:rsidR="00946812" w:rsidRPr="008B1005" w:rsidRDefault="00946812" w:rsidP="00946812">
      <w:pPr>
        <w:pStyle w:val="af"/>
      </w:pPr>
      <w:r w:rsidRPr="0058086E">
        <w:tab/>
      </w:r>
      <w:r w:rsidRPr="00946812">
        <w:rPr>
          <w:rStyle w:val="a8"/>
        </w:rPr>
        <w:footnoteRef/>
      </w:r>
      <w:r w:rsidRPr="008B1005">
        <w:t xml:space="preserve"> </w:t>
      </w:r>
      <w:r w:rsidRPr="008B1005">
        <w:tab/>
      </w:r>
      <w:hyperlink r:id="rId34" w:history="1">
        <w:r w:rsidRPr="00946812">
          <w:rPr>
            <w:rStyle w:val="a7"/>
            <w:lang w:val="en-US"/>
          </w:rPr>
          <w:t>E</w:t>
        </w:r>
        <w:r w:rsidRPr="008B1005">
          <w:rPr>
            <w:rStyle w:val="a7"/>
          </w:rPr>
          <w:t>/</w:t>
        </w:r>
        <w:r w:rsidRPr="00946812">
          <w:rPr>
            <w:rStyle w:val="a7"/>
            <w:lang w:val="en-US"/>
          </w:rPr>
          <w:t>C</w:t>
        </w:r>
        <w:r w:rsidRPr="008B1005">
          <w:rPr>
            <w:rStyle w:val="a7"/>
          </w:rPr>
          <w:t>.12/2019/1</w:t>
        </w:r>
      </w:hyperlink>
      <w:r w:rsidRPr="008B1005">
        <w:t>.</w:t>
      </w:r>
    </w:p>
  </w:footnote>
  <w:footnote w:id="22">
    <w:p w14:paraId="1EAFB5EA" w14:textId="086A1E3D" w:rsidR="00946812" w:rsidRPr="00946812" w:rsidRDefault="00946812" w:rsidP="00946812">
      <w:pPr>
        <w:pStyle w:val="af"/>
        <w:rPr>
          <w:lang w:val="en-US"/>
        </w:rPr>
      </w:pPr>
      <w:r w:rsidRPr="008B1005">
        <w:tab/>
      </w:r>
      <w:r w:rsidRPr="00946812">
        <w:rPr>
          <w:rStyle w:val="a8"/>
        </w:rPr>
        <w:footnoteRef/>
      </w:r>
      <w:r w:rsidRPr="008B1005">
        <w:tab/>
      </w:r>
      <w:hyperlink r:id="rId35" w:history="1">
        <w:r w:rsidRPr="00946812">
          <w:rPr>
            <w:rStyle w:val="a7"/>
            <w:lang w:val="en-US"/>
          </w:rPr>
          <w:t>HRI</w:t>
        </w:r>
        <w:r w:rsidRPr="008B1005">
          <w:rPr>
            <w:rStyle w:val="a7"/>
          </w:rPr>
          <w:t>/</w:t>
        </w:r>
        <w:r w:rsidRPr="00946812">
          <w:rPr>
            <w:rStyle w:val="a7"/>
            <w:lang w:val="en-US"/>
          </w:rPr>
          <w:t>GEN</w:t>
        </w:r>
        <w:r w:rsidRPr="008B1005">
          <w:rPr>
            <w:rStyle w:val="a7"/>
          </w:rPr>
          <w:t>/2/</w:t>
        </w:r>
        <w:r w:rsidRPr="00946812">
          <w:rPr>
            <w:rStyle w:val="a7"/>
            <w:lang w:val="en-US"/>
          </w:rPr>
          <w:t>Rev</w:t>
        </w:r>
        <w:r w:rsidRPr="008B1005">
          <w:rPr>
            <w:rStyle w:val="a7"/>
          </w:rPr>
          <w:t>.6</w:t>
        </w:r>
      </w:hyperlink>
      <w:r w:rsidRPr="008B1005">
        <w:t xml:space="preserve">, </w:t>
      </w:r>
      <w:r>
        <w:t>гл</w:t>
      </w:r>
      <w:r w:rsidRPr="008B1005">
        <w:t xml:space="preserve">. </w:t>
      </w:r>
      <w:r w:rsidRPr="00946812">
        <w:rPr>
          <w:lang w:val="en-US"/>
        </w:rPr>
        <w:t xml:space="preserve">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73316" w14:textId="41563A7C" w:rsidR="00946812" w:rsidRPr="00946812" w:rsidRDefault="00D164D0">
    <w:pPr>
      <w:pStyle w:val="a5"/>
    </w:pPr>
    <w:fldSimple w:instr=" TITLE  \* MERGEFORMAT ">
      <w:r w:rsidR="00981366">
        <w:t>E/C.12/PSE/CO/1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C97C2" w14:textId="5C8749B8" w:rsidR="00946812" w:rsidRPr="00946812" w:rsidRDefault="00D164D0" w:rsidP="00946812">
    <w:pPr>
      <w:pStyle w:val="a5"/>
      <w:jc w:val="right"/>
    </w:pPr>
    <w:fldSimple w:instr=" TITLE  \* MERGEFORMAT ">
      <w:r w:rsidR="00981366">
        <w:t>E/C.12/PSE/CO/1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FA7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7110A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B10E4"/>
    <w:rsid w:val="003D6B66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2388"/>
    <w:rsid w:val="00834B71"/>
    <w:rsid w:val="0086445C"/>
    <w:rsid w:val="00881771"/>
    <w:rsid w:val="00894693"/>
    <w:rsid w:val="00896BA2"/>
    <w:rsid w:val="008A08D7"/>
    <w:rsid w:val="008B1005"/>
    <w:rsid w:val="008B6909"/>
    <w:rsid w:val="008C30BC"/>
    <w:rsid w:val="00906890"/>
    <w:rsid w:val="00911BE4"/>
    <w:rsid w:val="00946812"/>
    <w:rsid w:val="00951972"/>
    <w:rsid w:val="009608F3"/>
    <w:rsid w:val="00981366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AD1DB1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23627"/>
    <w:rsid w:val="00C60F0C"/>
    <w:rsid w:val="00C805C9"/>
    <w:rsid w:val="00C92939"/>
    <w:rsid w:val="00CA1679"/>
    <w:rsid w:val="00CB151C"/>
    <w:rsid w:val="00CE5A1A"/>
    <w:rsid w:val="00CF55F6"/>
    <w:rsid w:val="00D1565E"/>
    <w:rsid w:val="00D164D0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E43AF"/>
    <w:rsid w:val="00DF71B9"/>
    <w:rsid w:val="00E43FA7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846AC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5DD74"/>
  <w15:docId w15:val="{03C69925-CC12-4C0F-91D4-D58509B9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946812"/>
    <w:rPr>
      <w:lang w:val="ru-RU" w:eastAsia="en-US"/>
    </w:rPr>
  </w:style>
  <w:style w:type="character" w:customStyle="1" w:styleId="H23GChar">
    <w:name w:val="_ H_2/3_G Char"/>
    <w:link w:val="H23G"/>
    <w:rsid w:val="00946812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9468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S/RES/446(1979)" TargetMode="External"/><Relationship Id="rId13" Type="http://schemas.openxmlformats.org/officeDocument/2006/relationships/hyperlink" Target="http://undocs.org/ru/S/RES/1397(2002)" TargetMode="External"/><Relationship Id="rId18" Type="http://schemas.openxmlformats.org/officeDocument/2006/relationships/hyperlink" Target="http://undocs.org/ru/A/HRC/RES/S-12/1" TargetMode="External"/><Relationship Id="rId26" Type="http://schemas.openxmlformats.org/officeDocument/2006/relationships/hyperlink" Target="http://undocs.org/ru/E/C.12/2019/1" TargetMode="External"/><Relationship Id="rId3" Type="http://schemas.openxmlformats.org/officeDocument/2006/relationships/hyperlink" Target="http://undocs.org/ru/E/C.12/2023/SR.37" TargetMode="External"/><Relationship Id="rId21" Type="http://schemas.openxmlformats.org/officeDocument/2006/relationships/hyperlink" Target="http://undocs.org/ru/CRC/C/PSE/CO/1" TargetMode="External"/><Relationship Id="rId34" Type="http://schemas.openxmlformats.org/officeDocument/2006/relationships/hyperlink" Target="http://undocs.org/ru/E/C.12/2019/1" TargetMode="External"/><Relationship Id="rId7" Type="http://schemas.openxmlformats.org/officeDocument/2006/relationships/hyperlink" Target="http://undocs.org/ru/S/RES/338(1973)" TargetMode="External"/><Relationship Id="rId12" Type="http://schemas.openxmlformats.org/officeDocument/2006/relationships/hyperlink" Target="http://undocs.org/ru/S/RES/478(1980)" TargetMode="External"/><Relationship Id="rId17" Type="http://schemas.openxmlformats.org/officeDocument/2006/relationships/hyperlink" Target="http://undocs.org/ru/A/HRC/RES/S-9/1" TargetMode="External"/><Relationship Id="rId25" Type="http://schemas.openxmlformats.org/officeDocument/2006/relationships/hyperlink" Target="http://undocs.org/ru/E/C.12/2018/1" TargetMode="External"/><Relationship Id="rId33" Type="http://schemas.openxmlformats.org/officeDocument/2006/relationships/hyperlink" Target="http://undocs.org/ru/CCPR/C/PSE/CO/1" TargetMode="External"/><Relationship Id="rId2" Type="http://schemas.openxmlformats.org/officeDocument/2006/relationships/hyperlink" Target="http://undocs.org/ru/E/C.12/2023/SR.35" TargetMode="External"/><Relationship Id="rId16" Type="http://schemas.openxmlformats.org/officeDocument/2006/relationships/hyperlink" Target="http://undocs.org/ru/S/RES/1860(2009)" TargetMode="External"/><Relationship Id="rId20" Type="http://schemas.openxmlformats.org/officeDocument/2006/relationships/hyperlink" Target="http://undocs.org/ru/CERD/C/PSE/CO/1-2" TargetMode="External"/><Relationship Id="rId29" Type="http://schemas.openxmlformats.org/officeDocument/2006/relationships/hyperlink" Target="http://undocs.org/ru/CCPR/C/PSE/CO/1" TargetMode="External"/><Relationship Id="rId1" Type="http://schemas.openxmlformats.org/officeDocument/2006/relationships/hyperlink" Target="http://undocs.org/ru/E/C.12/PSE/1" TargetMode="External"/><Relationship Id="rId6" Type="http://schemas.openxmlformats.org/officeDocument/2006/relationships/hyperlink" Target="http://undocs.org/ru/S/RES/242(1967)" TargetMode="External"/><Relationship Id="rId11" Type="http://schemas.openxmlformats.org/officeDocument/2006/relationships/hyperlink" Target="http://undocs.org/ru/S/RES/476(1980)" TargetMode="External"/><Relationship Id="rId24" Type="http://schemas.openxmlformats.org/officeDocument/2006/relationships/hyperlink" Target="http://undocs.org/ru/E/C.12/2016/2" TargetMode="External"/><Relationship Id="rId32" Type="http://schemas.openxmlformats.org/officeDocument/2006/relationships/hyperlink" Target="http://undocs.org/ru/E/C.12/2001/10" TargetMode="External"/><Relationship Id="rId5" Type="http://schemas.openxmlformats.org/officeDocument/2006/relationships/hyperlink" Target="http://undocs.org/ru/S/RES/2334(2016)" TargetMode="External"/><Relationship Id="rId15" Type="http://schemas.openxmlformats.org/officeDocument/2006/relationships/hyperlink" Target="http://undocs.org/ru/S/RES/1850(2008)" TargetMode="External"/><Relationship Id="rId23" Type="http://schemas.openxmlformats.org/officeDocument/2006/relationships/hyperlink" Target="http://undocs.org/ru/CCPR/C/PSE/CO/1" TargetMode="External"/><Relationship Id="rId28" Type="http://schemas.openxmlformats.org/officeDocument/2006/relationships/hyperlink" Target="http://undocs.org/ru/E/C.12/2016/1" TargetMode="External"/><Relationship Id="rId10" Type="http://schemas.openxmlformats.org/officeDocument/2006/relationships/hyperlink" Target="http://undocs.org/ru/S/RES/465(1980)" TargetMode="External"/><Relationship Id="rId19" Type="http://schemas.openxmlformats.org/officeDocument/2006/relationships/hyperlink" Target="http://undocs.org/ru/CEDAW/C/PSE/CO/1" TargetMode="External"/><Relationship Id="rId31" Type="http://schemas.openxmlformats.org/officeDocument/2006/relationships/hyperlink" Target="http://undocs.org/ru/E/C.12/2010/1" TargetMode="External"/><Relationship Id="rId4" Type="http://schemas.openxmlformats.org/officeDocument/2006/relationships/hyperlink" Target="http://undocs.org/ru/E/C.12/PSE/RQ/1" TargetMode="External"/><Relationship Id="rId9" Type="http://schemas.openxmlformats.org/officeDocument/2006/relationships/hyperlink" Target="http://undocs.org/ru/S/RES/452(1979)" TargetMode="External"/><Relationship Id="rId14" Type="http://schemas.openxmlformats.org/officeDocument/2006/relationships/hyperlink" Target="http://undocs.org/ru/S/RES/1515(2003)" TargetMode="External"/><Relationship Id="rId22" Type="http://schemas.openxmlformats.org/officeDocument/2006/relationships/hyperlink" Target="http://undocs.org/ru/CAT/C/PSE/CO/1" TargetMode="External"/><Relationship Id="rId27" Type="http://schemas.openxmlformats.org/officeDocument/2006/relationships/hyperlink" Target="http://undocs.org/ru/CCPR/C/PSE/CO/1" TargetMode="External"/><Relationship Id="rId30" Type="http://schemas.openxmlformats.org/officeDocument/2006/relationships/hyperlink" Target="http://undocs.org/ru/E/C.12/66/5-CCPR/C/127/4" TargetMode="External"/><Relationship Id="rId35" Type="http://schemas.openxmlformats.org/officeDocument/2006/relationships/hyperlink" Target="http://undocs.org/ru/HRI/GEN/2/Rev.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4</TotalTime>
  <Pages>12</Pages>
  <Words>4456</Words>
  <Characters>31170</Characters>
  <Application>Microsoft Office Word</Application>
  <DocSecurity>0</DocSecurity>
  <Lines>564</Lines>
  <Paragraphs>133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E/C.12/PSE/CO/1</vt:lpstr>
      <vt:lpstr>A/</vt:lpstr>
      <vt:lpstr>A/</vt:lpstr>
    </vt:vector>
  </TitlesOfParts>
  <Company>DCM</Company>
  <LinksUpToDate>false</LinksUpToDate>
  <CharactersWithSpaces>35586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E/C.12/PSE/CO/1</dc:title>
  <dc:subject/>
  <dc:creator>Anna BLAGODATSKIKH</dc:creator>
  <cp:keywords/>
  <cp:lastModifiedBy>Anna Blagodatskikh</cp:lastModifiedBy>
  <cp:revision>3</cp:revision>
  <cp:lastPrinted>2023-11-16T17:01:00Z</cp:lastPrinted>
  <dcterms:created xsi:type="dcterms:W3CDTF">2023-11-16T17:01:00Z</dcterms:created>
  <dcterms:modified xsi:type="dcterms:W3CDTF">2023-11-16T17:04:00Z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