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Предсессионная рабочая группа </w:t>
      </w:r>
      <w:r>
        <w:br/>
        <w:t>тридцать пятой сессии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15 мая — 2 июня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первоначального и периодического доклада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Малайзия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сводный первоначальный и второй периодический доклад Малайзии (CEDAW/C/MYS/1–2).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Просьба представить информацию о процессе подготовки доклада, в том числе сообщить, проводились ли консультации с неправительственными орг</w:t>
      </w:r>
      <w:r>
        <w:t>а</w:t>
      </w:r>
      <w:r>
        <w:t>низациями, в частности с женскими, и был ли доклад утвержден правительс</w:t>
      </w:r>
      <w:r>
        <w:t>т</w:t>
      </w:r>
      <w:r>
        <w:t>вом и вынесен на рассмотрение парламента.</w:t>
      </w:r>
    </w:p>
    <w:p w:rsidR="00000000" w:rsidRDefault="00000000">
      <w:pPr>
        <w:pStyle w:val="SingleTxt"/>
      </w:pPr>
      <w:r>
        <w:t>2.</w:t>
      </w:r>
      <w:r>
        <w:tab/>
        <w:t>Просьба сообщить о любом прогрессе в деле снятия Малайзией оговорок к статьям 5(a), 7(b), 9(2), 16(1)(a), 16(1)(c), 16(1)(f) и 16(1)(g) Конвенции о ли</w:t>
      </w:r>
      <w:r>
        <w:t>к</w:t>
      </w:r>
      <w:r>
        <w:t>видации всех форм дискриминации в отношении женщин.</w:t>
      </w:r>
    </w:p>
    <w:p w:rsidR="00000000" w:rsidRDefault="00000000">
      <w:pPr>
        <w:pStyle w:val="SingleTxt"/>
      </w:pPr>
      <w:r>
        <w:t>3.</w:t>
      </w:r>
      <w:r>
        <w:tab/>
        <w:t>В докладе говорится о многоэтническом составе населения Малайзии (см. пункт 3), но из обсуждения различных статей Конвенции в докладе не я</w:t>
      </w:r>
      <w:r>
        <w:t>с</w:t>
      </w:r>
      <w:r>
        <w:t>но, сталкиваются ли отдельные этнические группы с особыми трудностями в различных областях и принимаются ли конкретные меры к устранению таких тру</w:t>
      </w:r>
      <w:r>
        <w:t>д</w:t>
      </w:r>
      <w:r>
        <w:t>ностей. Просьба сообщить об этом.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4.</w:t>
      </w:r>
      <w:r>
        <w:tab/>
        <w:t>В докладе говорится, что в 2001 году в Конституцию была внесена п</w:t>
      </w:r>
      <w:r>
        <w:t>о</w:t>
      </w:r>
      <w:r>
        <w:t>правка, запрещающая дискриминацию по признаку пола, и что в настоящее время проводится экспертиза всего законодательства на предмет обеспечения гендерного равенства (см. пункты 63–67). Просьба сообщить, осуществляется ли реформа дискриминационного законодательства, в частности в его части, касающейся положения женщин и их прав в соответствии с нормами шариата. Просьба также сообщить о сроках, в течение которых планируется завершить реформу.</w:t>
      </w:r>
    </w:p>
    <w:p w:rsidR="00000000" w:rsidRDefault="00000000">
      <w:pPr>
        <w:pStyle w:val="SingleTxt"/>
      </w:pPr>
      <w:r>
        <w:t>5.</w:t>
      </w:r>
      <w:r>
        <w:tab/>
        <w:t>В одном из недавних решений Федерального суда положения о равенстве статьи 8(1) Федеральной конституции были истолкованы как распространя</w:t>
      </w:r>
      <w:r>
        <w:t>ю</w:t>
      </w:r>
      <w:r>
        <w:t>щиеся лишь на «лиц одного и того же класса», и, таким образом, женщины в данном конкретном случае были отнесены к разному с мужчинами классу. Просьба объяснять, как трактуется концепция «равенства» в Федеральной ко</w:t>
      </w:r>
      <w:r>
        <w:t>н</w:t>
      </w:r>
      <w:r>
        <w:t>ституции и соответствует ли эта концепция обязательствам Малайзии по Ко</w:t>
      </w:r>
      <w:r>
        <w:t>н</w:t>
      </w:r>
      <w:r>
        <w:t>венции.</w:t>
      </w:r>
    </w:p>
    <w:p w:rsidR="00000000" w:rsidRDefault="00000000">
      <w:pPr>
        <w:pStyle w:val="SingleTxt"/>
      </w:pPr>
      <w:r>
        <w:t>6.</w:t>
      </w:r>
      <w:r>
        <w:tab/>
        <w:t>Статья 8(2) Федеральной конституции, запрещающая дискриминацию, в том числе по признаку пола, толкуется малазийскими судами как защищающая отдельных лиц от дискриминации только со стороны государства или госуда</w:t>
      </w:r>
      <w:r>
        <w:t>р</w:t>
      </w:r>
      <w:r>
        <w:t>ственных органов. Какие принимаются меры по разработке антидискримин</w:t>
      </w:r>
      <w:r>
        <w:t>а</w:t>
      </w:r>
      <w:r>
        <w:t>ционного законодательства, которое защищало бы женщин от дискриминации не только со стороны государства или государственных органов, но и со стор</w:t>
      </w:r>
      <w:r>
        <w:t>о</w:t>
      </w:r>
      <w:r>
        <w:t>ны других субъектов, в соответствии со статьями 2(b) и 2(e) Ко</w:t>
      </w:r>
      <w:r>
        <w:t>н</w:t>
      </w:r>
      <w:r>
        <w:t>венции?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7.</w:t>
      </w:r>
      <w:r>
        <w:tab/>
        <w:t>В докладе упоминается о мерах, принятых с целью создания информац</w:t>
      </w:r>
      <w:r>
        <w:t>и</w:t>
      </w:r>
      <w:r>
        <w:t>онной системы с дезагрегированными по признаку пола данными для монит</w:t>
      </w:r>
      <w:r>
        <w:t>о</w:t>
      </w:r>
      <w:r>
        <w:t>ринга прогресса в осуществлении программ и мероприятий в интересах же</w:t>
      </w:r>
      <w:r>
        <w:t>н</w:t>
      </w:r>
      <w:r>
        <w:t>щин (см. пункт 83). Просьба сообщить о ходе работы по созданию этой сист</w:t>
      </w:r>
      <w:r>
        <w:t>е</w:t>
      </w:r>
      <w:r>
        <w:t>мы и подробно информировать о ее масштабах и сфере о</w:t>
      </w:r>
      <w:r>
        <w:t>х</w:t>
      </w:r>
      <w:r>
        <w:t>вата.</w:t>
      </w:r>
    </w:p>
    <w:p w:rsidR="00000000" w:rsidRDefault="00000000">
      <w:pPr>
        <w:pStyle w:val="SingleTxt"/>
      </w:pPr>
      <w:r>
        <w:t>8.</w:t>
      </w:r>
      <w:r>
        <w:tab/>
        <w:t>Просьба подробно сообщить о работе, которую проводит министерство по делам женщин и развития семьи с момента его создания, в частности о работе гендерных координаторов в министерствах, а также о функциях министерства и его полномочиях в составе правительства и о имеющихся в его распоряжении чел</w:t>
      </w:r>
      <w:r>
        <w:t>о</w:t>
      </w:r>
      <w:r>
        <w:t>веческих и финансовых ресурсах.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9.</w:t>
      </w:r>
      <w:r>
        <w:tab/>
        <w:t>В докладе говорится, что проведение близорукой в гендерном отношении политики найма, расстановки и выдвижения кадров на государственной службе зачастую приводит к недостаточной представленности женщин на уровне пр</w:t>
      </w:r>
      <w:r>
        <w:t>и</w:t>
      </w:r>
      <w:r>
        <w:t>нятия решений (см. пункт 96). В то же время в докладе отмечается, что прав</w:t>
      </w:r>
      <w:r>
        <w:t>и</w:t>
      </w:r>
      <w:r>
        <w:t>тельство пока не применяет правил о квотах и преференциях (см. пункт 85). Рассматривается ли возможность применения временных специальных мер, таких, как установление квот или стимулов для ускорения достижения раве</w:t>
      </w:r>
      <w:r>
        <w:t>н</w:t>
      </w:r>
      <w:r>
        <w:t>ства, особенно в области участия женщин в политической и общественной жизни, в свете положений пункта 1 статьи 4 Конвенции и общей рекоменд</w:t>
      </w:r>
      <w:r>
        <w:t>а</w:t>
      </w:r>
      <w:r>
        <w:t>ции 25 Комитета по пункту 1 статьи 4 Конвенции и общей рекомендации 23 об участии женщин в общественной жизни?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В докладе говорится, что способность женщин участвовать в жизни о</w:t>
      </w:r>
      <w:r>
        <w:t>б</w:t>
      </w:r>
      <w:r>
        <w:t>щества … нередко подвергается сомнению в силу широко распространенного стереотипного представления о женщинах, согласно которому женщины игр</w:t>
      </w:r>
      <w:r>
        <w:t>а</w:t>
      </w:r>
      <w:r>
        <w:t>ют подчиненную и второстепенную роль и не являются лидерами или равными партнерами (см. пункт 89). В докладе говорится, что министерство по делам женщин и развитию семьи обратилось к министерству образования с просьбой отказаться от стереотипного отображения женщин в учебниках (см. пункт 95). Просьба указать, какой достигнут прогресс в устранении стереотипов из уче</w:t>
      </w:r>
      <w:r>
        <w:t>б</w:t>
      </w:r>
      <w:r>
        <w:t>ников и какие меры принимаются для ликвидации стереотипных представл</w:t>
      </w:r>
      <w:r>
        <w:t>е</w:t>
      </w:r>
      <w:r>
        <w:t>ний в средствах массовой и</w:t>
      </w:r>
      <w:r>
        <w:t>н</w:t>
      </w:r>
      <w:r>
        <w:t>формации.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Какие категории данных собираются о случаях насилия в отношении женщин Малайзии, включая насилие в семье и сексуальное насилие, и какие тенденции можно вывести на основе этих данных?</w:t>
      </w:r>
    </w:p>
    <w:p w:rsidR="00000000" w:rsidRDefault="00000000">
      <w:pPr>
        <w:pStyle w:val="SingleTxt"/>
      </w:pPr>
      <w:r>
        <w:t>12.</w:t>
      </w:r>
      <w:r>
        <w:tab/>
        <w:t>В докладе говорится, что Закон о насилии в семье 1994 года обеспечивает женщинам защиту от бытового насилия, но не квалифицирует как преступл</w:t>
      </w:r>
      <w:r>
        <w:t>е</w:t>
      </w:r>
      <w:r>
        <w:t>ние изнасилование во время брака, за исключением случаев, когда супруги проживают раздельно на основании решения суда, когда супруге судом предп</w:t>
      </w:r>
      <w:r>
        <w:t>и</w:t>
      </w:r>
      <w:r>
        <w:t>сано воздерживаться от половых контактов со своим супругом или когда же</w:t>
      </w:r>
      <w:r>
        <w:t>н</w:t>
      </w:r>
      <w:r>
        <w:t>щина находится в периоде «иддаха» (см. пункт 453). Просьба сообщить, обе</w:t>
      </w:r>
      <w:r>
        <w:t>с</w:t>
      </w:r>
      <w:r>
        <w:t>печивает ли Закон о насилии в семье защиту от изнасилования во время брака, и если да, то какую.</w:t>
      </w:r>
    </w:p>
    <w:p w:rsidR="00000000" w:rsidRDefault="00000000">
      <w:pPr>
        <w:pStyle w:val="SingleTxt"/>
      </w:pPr>
      <w:r>
        <w:t>13.</w:t>
      </w:r>
      <w:r>
        <w:tab/>
        <w:t>Специальный докладчик по вопросу о насилии в отношении женщин, его причинах и последствиях в своем докладе от 27 февраля 2003 года (E/CN.4./2003/75/Add.1) указывает, что «в Малайзии все большее беспокойство вызывают насильственные действия, совершаемые в отношении трудящихся-иностранцев, главным образом женщин, … которые могут проявляться в таких формах, как избиение, сверхурочная работа, невыплата заработной платы, н</w:t>
      </w:r>
      <w:r>
        <w:t>е</w:t>
      </w:r>
      <w:r>
        <w:t>достаточное питание и запрет на контакты с семьей» (см. пункт 1079). Просьба сообщить, какие принимаются меры для недопущения таких злоупотреблений и защиты трудящихся, включая борьбу с распространенными в обществе пре</w:t>
      </w:r>
      <w:r>
        <w:t>д</w:t>
      </w:r>
      <w:r>
        <w:t>ставлениями, оправдывающими такие зл</w:t>
      </w:r>
      <w:r>
        <w:t>о</w:t>
      </w:r>
      <w:r>
        <w:t>употребления.</w:t>
      </w:r>
    </w:p>
    <w:p w:rsidR="00000000" w:rsidRDefault="00000000">
      <w:pPr>
        <w:pStyle w:val="SingleTxt"/>
      </w:pPr>
      <w:r>
        <w:t>14.</w:t>
      </w:r>
      <w:r>
        <w:tab/>
        <w:t>В сводном первоначальном и втором периодическом докладе Малайзии указывается, что министерство по делам женщин и развитию семьи вместе с министерством трудовых ресурсов и другими заинтересованными сторонами в настоящее время изучают предложение о разработке специального законод</w:t>
      </w:r>
      <w:r>
        <w:t>а</w:t>
      </w:r>
      <w:r>
        <w:t>тельства для борьбы с сексуальным домогательством (CEDAW/C/MYS/1–2, пункт 216). Сообщите, как продвигается работа над этим предложением?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Специальный докладчик по вопросу о насилии в отношении женщин и его причинах и последствиях в своем докладе от 18 марта 2005 года (E/CN.4/2005/72/Add.1) обращает внимание на проблему торговли индонези</w:t>
      </w:r>
      <w:r>
        <w:t>й</w:t>
      </w:r>
      <w:r>
        <w:t>скими женщинами в Малайзии для целей сексуальной эксплуатации и для ц</w:t>
      </w:r>
      <w:r>
        <w:t>е</w:t>
      </w:r>
      <w:r>
        <w:t>лей продажи их детей для законного усыновления/удочерения (см. пункты 192–196, 240–244). Однако в докладе не содержится никакой информации о ма</w:t>
      </w:r>
      <w:r>
        <w:t>с</w:t>
      </w:r>
      <w:r>
        <w:t>штабах распространения такой торговли. Просьба сообщить о числе женщин и девочек, вовлеченных в торговый оборот из Малайзии, в Малайзию и на терр</w:t>
      </w:r>
      <w:r>
        <w:t>и</w:t>
      </w:r>
      <w:r>
        <w:t>тории Малайзии.</w:t>
      </w:r>
    </w:p>
    <w:p w:rsidR="00000000" w:rsidRDefault="00000000">
      <w:pPr>
        <w:pStyle w:val="SingleTxt"/>
      </w:pPr>
      <w:r>
        <w:t>16.</w:t>
      </w:r>
      <w:r>
        <w:tab/>
        <w:t>В сводном первоначальном и втором периодическом докладе Малайзии указывается, что уголовное наказание за торговлю людьми в Малайзии не пр</w:t>
      </w:r>
      <w:r>
        <w:t>е</w:t>
      </w:r>
      <w:r>
        <w:t>дусмотрено, но в стране есть законы, которые используются для борьбы с то</w:t>
      </w:r>
      <w:r>
        <w:t>р</w:t>
      </w:r>
      <w:r>
        <w:t>говлей людьми (см. CEDAW/C/MYS/1–2, пункт 105). Просьба сообщить, ра</w:t>
      </w:r>
      <w:r>
        <w:t>с</w:t>
      </w:r>
      <w:r>
        <w:t>сматривает ли правительство возможность принятия специального закона для борьбы с торговлей людьми, и какие приняты меры по организации специал</w:t>
      </w:r>
      <w:r>
        <w:t>и</w:t>
      </w:r>
      <w:r>
        <w:t>зированной подготовки по вопросам торговли людьми для сотрудников пол</w:t>
      </w:r>
      <w:r>
        <w:t>и</w:t>
      </w:r>
      <w:r>
        <w:t>ции и судебных работников.</w:t>
      </w:r>
    </w:p>
    <w:p w:rsidR="00000000" w:rsidRDefault="00000000">
      <w:pPr>
        <w:pStyle w:val="SingleTxt"/>
      </w:pPr>
      <w:r>
        <w:t>17.</w:t>
      </w:r>
      <w:r>
        <w:tab/>
        <w:t>В докладе говорится, что департамент социального обеспечения отвечает за защиту, реабилитацию девочек-подростков и женщин в возрасте до 18 лет, ведущих порочный образ жизни и занимающихся проституцией (см. пункт 109). Просьба сообщить о реабилитационных и защитных мерах в отношении женщин и девочек всех возрастов, явля</w:t>
      </w:r>
      <w:r>
        <w:t>ю</w:t>
      </w:r>
      <w:r>
        <w:t>щихся объектом купли-продажи для целей проституции и других форм сексуальной эксплуатации. Просьба также сообщить об эффе</w:t>
      </w:r>
      <w:r>
        <w:t>к</w:t>
      </w:r>
      <w:r>
        <w:t>тивности этих мер.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Согласно докладу, в 2000 году женщины были представлены на уровне лишь 10,4 процента в нижней палате парламента и 5,5 процента в законод</w:t>
      </w:r>
      <w:r>
        <w:t>а</w:t>
      </w:r>
      <w:r>
        <w:t>тельных собраниях различных штатов, а в 2001 году среди 28 министров каб</w:t>
      </w:r>
      <w:r>
        <w:t>и</w:t>
      </w:r>
      <w:r>
        <w:t>нета насчитывалось лишь две женщины (см. пункт 116). Просьба сообщить, улучшилась ли эта ситуация, и подробно информировать о конкретных пр</w:t>
      </w:r>
      <w:r>
        <w:t>о</w:t>
      </w:r>
      <w:r>
        <w:t>граммах, которые осуществляются с целью активизировать участие женщин в общественной и политической жизни.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В докладе говорится, что число малазийских женщин, работающих в м</w:t>
      </w:r>
      <w:r>
        <w:t>е</w:t>
      </w:r>
      <w:r>
        <w:t>ждународных организациях, является очень низким и что это обусловлено о</w:t>
      </w:r>
      <w:r>
        <w:t>г</w:t>
      </w:r>
      <w:r>
        <w:t>раничениями культурного характера и «проявлением уважения к особенностям принимающей страны» (см. пункт 139). Просьба объяснить эти заявления и подробно информировать о мерах, принимаемых правительством с целью ус</w:t>
      </w:r>
      <w:r>
        <w:t>т</w:t>
      </w:r>
      <w:r>
        <w:t>ранения препятствий на пути активизации участия женщин в работе междун</w:t>
      </w:r>
      <w:r>
        <w:t>а</w:t>
      </w:r>
      <w:r>
        <w:t>родных организаций.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9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20.</w:t>
      </w:r>
      <w:r>
        <w:tab/>
        <w:t>В докладе говорится, что Закон о гражданстве, сформулированный в ст</w:t>
      </w:r>
      <w:r>
        <w:t>а</w:t>
      </w:r>
      <w:r>
        <w:t>тье 14 Федеральной конституции, является дискриминационным, потому что рожденный от иностранки ребенок и иностранка, вышедшая замуж за мал</w:t>
      </w:r>
      <w:r>
        <w:t>а</w:t>
      </w:r>
      <w:r>
        <w:t>зийца, имеют право на получение малазийского гражданства, а ребенок, ро</w:t>
      </w:r>
      <w:r>
        <w:t>ж</w:t>
      </w:r>
      <w:r>
        <w:t>денный от иностранца, и иностранец, женившийся на малазийке, такого права не имеют (см. пункт 149). Просьба сообщить, какие принимаются меры по р</w:t>
      </w:r>
      <w:r>
        <w:t>е</w:t>
      </w:r>
      <w:r>
        <w:t>формированию этого закона и указать примерные сроки завершения р</w:t>
      </w:r>
      <w:r>
        <w:t>е</w:t>
      </w:r>
      <w:r>
        <w:t>формы.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21.</w:t>
      </w:r>
      <w:r>
        <w:tab/>
        <w:t>В докладе говорится, что на управленческом и руководящем уровнях в министерстве образования и департаментах образования штатов ключевые п</w:t>
      </w:r>
      <w:r>
        <w:t>о</w:t>
      </w:r>
      <w:r>
        <w:t>зиции занимают «в основном мужчины» (см. пункт 191) и что, хотя среди школьных преподавателей число женщин значительно превышает число му</w:t>
      </w:r>
      <w:r>
        <w:t>ж</w:t>
      </w:r>
      <w:r>
        <w:t>чин, их доля среди директоров начальных и средних школ составляет менее 30 процентов, а среди руководителей высших учебных заведений менее 9 процентов (см. пункт 192). В докладе указывается, что даже тогда, когда женщины имеют более высокую квалификацию по сравнению с мужчинами, они сталкиваются с трудностями при назначении их на руководящие или кл</w:t>
      </w:r>
      <w:r>
        <w:t>ю</w:t>
      </w:r>
      <w:r>
        <w:t>чевые должности (см. пункт 195). Просьба сообщить, какие меры принимаются для устранения разрыва между квалификацией женщин и их назначением на ключевые управленческие и руководящие должности в секторе обр</w:t>
      </w:r>
      <w:r>
        <w:t>а</w:t>
      </w:r>
      <w:r>
        <w:t>зования.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В докладе отмечается, что правительство проводит исследование для о</w:t>
      </w:r>
      <w:r>
        <w:t>п</w:t>
      </w:r>
      <w:r>
        <w:t>ределения факторов, вызывающих на рынке труда несоответствие професси</w:t>
      </w:r>
      <w:r>
        <w:t>о</w:t>
      </w:r>
      <w:r>
        <w:t>нальной подготовки профессиональным возможностям (см. пункт 228). Прос</w:t>
      </w:r>
      <w:r>
        <w:t>ь</w:t>
      </w:r>
      <w:r>
        <w:t>ба сообщить о результатах этого исследования и о том, использовались ли они для формулирования конкретной политики, нацеленной на устранение разрыва между профессиональной подготовкой женщин и их возможностями в плане трудоустройства.</w:t>
      </w:r>
    </w:p>
    <w:p w:rsidR="00000000" w:rsidRDefault="00000000">
      <w:pPr>
        <w:pStyle w:val="SingleTxt"/>
      </w:pPr>
      <w:r>
        <w:t>23.</w:t>
      </w:r>
      <w:r>
        <w:tab/>
        <w:t>Согласно докладу, закон о занятости 1955 года содержит положения, к</w:t>
      </w:r>
      <w:r>
        <w:t>а</w:t>
      </w:r>
      <w:r>
        <w:t>сающиеся «защиты» женщин, в том числе положения, запрещающие примен</w:t>
      </w:r>
      <w:r>
        <w:t>е</w:t>
      </w:r>
      <w:r>
        <w:t>ние женского труда на любом сельскохозяйственном или промышленном пре</w:t>
      </w:r>
      <w:r>
        <w:t>д</w:t>
      </w:r>
      <w:r>
        <w:t>приятии с 10 часов вечера до 5 часов утра или использование женщин на раб</w:t>
      </w:r>
      <w:r>
        <w:t>о</w:t>
      </w:r>
      <w:r>
        <w:t>тах с перерывом для отдыха менее 11 непрерывных часов, а также на шахтных работах (см. пункт 207). В докладе говорится, что во многих случаях работод</w:t>
      </w:r>
      <w:r>
        <w:t>а</w:t>
      </w:r>
      <w:r>
        <w:t>тели неохотно принимают на работу женщин ввиду существования таких сп</w:t>
      </w:r>
      <w:r>
        <w:t>е</w:t>
      </w:r>
      <w:r>
        <w:t>циальных положений (см. пункт 226). Просьба сообщить, проводился ли ан</w:t>
      </w:r>
      <w:r>
        <w:t>а</w:t>
      </w:r>
      <w:r>
        <w:t>лиз влияния этих положений на занятость женщин, и подробно информировать о результатах такого анализа и планах по устранению негативных последс</w:t>
      </w:r>
      <w:r>
        <w:t>т</w:t>
      </w:r>
      <w:r>
        <w:t>вий.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24.</w:t>
      </w:r>
      <w:r>
        <w:tab/>
        <w:t>В докладе говорится, что, хотя есть косвенные и опосредованные доказ</w:t>
      </w:r>
      <w:r>
        <w:t>а</w:t>
      </w:r>
      <w:r>
        <w:t>тельства того, что права некоторых групп женщин, например женщин-инвалидов, женщин-мигрантов, женщин из числа коренных народов и женщин, живущих/работающих в поместьях и на плантациях, ущемляются, достоверных данных на этот счет не имеется (см. пункт 243). Просьба сообщить о мерах, к</w:t>
      </w:r>
      <w:r>
        <w:t>о</w:t>
      </w:r>
      <w:r>
        <w:t>торые принимаются для сбора таких данных и обеспечения доступа к мед</w:t>
      </w:r>
      <w:r>
        <w:t>и</w:t>
      </w:r>
      <w:r>
        <w:t>цинским услугам для этих групп женщин.</w:t>
      </w:r>
    </w:p>
    <w:p w:rsidR="00000000" w:rsidRDefault="00000000">
      <w:pPr>
        <w:pStyle w:val="SingleTxt"/>
      </w:pPr>
      <w:r>
        <w:t>25.</w:t>
      </w:r>
      <w:r>
        <w:tab/>
        <w:t>В докладе говорится, что при проведении кампаний и осуществлении стратегий по борьбе с ВИЧ/СПИДом не учитывается реальное положение женщин, поскольку упор в них делается на снижении числа сексуальных пар</w:t>
      </w:r>
      <w:r>
        <w:t>т</w:t>
      </w:r>
      <w:r>
        <w:t>неров, сохранении верности в браке и постоянном пользовании презерватив</w:t>
      </w:r>
      <w:r>
        <w:t>а</w:t>
      </w:r>
      <w:r>
        <w:t>ми, тогда как женщины, как правило, ведут моногамный образ жизни и обычно не в состоянии потребовать, чтобы мужья сохраняли им верность или польз</w:t>
      </w:r>
      <w:r>
        <w:t>о</w:t>
      </w:r>
      <w:r>
        <w:t>вались презервативами (см. пункт 257). Просьба сообщить, какие рассматр</w:t>
      </w:r>
      <w:r>
        <w:t>и</w:t>
      </w:r>
      <w:r>
        <w:t>ваются или осуществляются альтернативные, учитывающие культурные ос</w:t>
      </w:r>
      <w:r>
        <w:t>о</w:t>
      </w:r>
      <w:r>
        <w:t>бенности стратегии в области профилактики ВИЧ/СПИДа, предназначенные непосредственно для женщин. Просьба также указать, какие группы женщин подвергаются особому риску заболевания ВИЧ/СПИДом и какая профилакт</w:t>
      </w:r>
      <w:r>
        <w:t>и</w:t>
      </w:r>
      <w:r>
        <w:t>ческая работа проводится с такими групп</w:t>
      </w:r>
      <w:r>
        <w:t>а</w:t>
      </w:r>
      <w:r>
        <w:t>ми.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В докладе говорится, что сельские женщины не участвуют в процессе принятия решений на окружном или более высоком уровне, что они мало пре</w:t>
      </w:r>
      <w:r>
        <w:t>д</w:t>
      </w:r>
      <w:r>
        <w:t>ставлены в фермерских организациях и кооперативах, что их голос редко зв</w:t>
      </w:r>
      <w:r>
        <w:t>у</w:t>
      </w:r>
      <w:r>
        <w:t>чит на сельских сходках и что они играют роль лидера только в чисто женских организациях, являющихся преимущественно социальными и благотворител</w:t>
      </w:r>
      <w:r>
        <w:t>ь</w:t>
      </w:r>
      <w:r>
        <w:t>ными по своему характеру (см. пункт 321). В докладе указывается, что прав</w:t>
      </w:r>
      <w:r>
        <w:t>и</w:t>
      </w:r>
      <w:r>
        <w:t>тельство, действуя через женские группы, предпринимает усилия по мобилиз</w:t>
      </w:r>
      <w:r>
        <w:t>а</w:t>
      </w:r>
      <w:r>
        <w:t>ции сельских женщин (см. пункт 318) и что оно организует курсы и учебу с ц</w:t>
      </w:r>
      <w:r>
        <w:t>е</w:t>
      </w:r>
      <w:r>
        <w:t>лью помочь сельским женщинам повысить свои знания и развить у них навыки лидера (см. пункт 325). Просьба сообщить о результативности усилий прав</w:t>
      </w:r>
      <w:r>
        <w:t>и</w:t>
      </w:r>
      <w:r>
        <w:t>тельства по активизации участия сельских женщин в процессах принятия р</w:t>
      </w:r>
      <w:r>
        <w:t>е</w:t>
      </w:r>
      <w:r>
        <w:t>шения на всех уровнях.</w:t>
      </w:r>
    </w:p>
    <w:p w:rsidR="00000000" w:rsidRDefault="00000000">
      <w:pPr>
        <w:pStyle w:val="SingleTxt"/>
      </w:pPr>
      <w:r>
        <w:t>27.</w:t>
      </w:r>
      <w:r>
        <w:tab/>
        <w:t>В докладе говорится о росте в Малайзии числа домохозяйств, возглавля</w:t>
      </w:r>
      <w:r>
        <w:t>е</w:t>
      </w:r>
      <w:r>
        <w:t>мых женщинами, и о том, что, по данным переписи 1991 года, женщины во</w:t>
      </w:r>
      <w:r>
        <w:t>з</w:t>
      </w:r>
      <w:r>
        <w:t>главляли 18,2 процента всех сельских домохозяйств в Малайзии (см. пункт 323). Просьба сообщить о политике и программах правительства, направленных на удовлетворение конкретных нужд домохозяйств, возглавля</w:t>
      </w:r>
      <w:r>
        <w:t>е</w:t>
      </w:r>
      <w:r>
        <w:t>мых женщинами в сельских районах.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15 и 16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В докладе говорится, что положение женщины в семье определяется культурой и традиционными представлениями различных этнических групп, что жена должна слушаться своего мужа и его семью и что эти нормы и уст</w:t>
      </w:r>
      <w:r>
        <w:t>а</w:t>
      </w:r>
      <w:r>
        <w:t>новки практически не обсуждаются и не допускают отклонений от них (см. пункт 380). Просьба указать, какие шаги предпринимаются правительс</w:t>
      </w:r>
      <w:r>
        <w:t>т</w:t>
      </w:r>
      <w:r>
        <w:t xml:space="preserve">вом, в том числе через систему образования и средства массовой информации, чтобы повысить информированность о равных правах женщин и мужчин во время брака и активизировать обсуждение положения женщины в семье. </w:t>
      </w:r>
    </w:p>
    <w:p w:rsidR="00000000" w:rsidRDefault="00000000">
      <w:pPr>
        <w:pStyle w:val="SingleTxt"/>
      </w:pPr>
      <w:r>
        <w:t>29.</w:t>
      </w:r>
      <w:r>
        <w:tab/>
        <w:t>Законопроект 2005 года об исламском семейном праве (федеральные те</w:t>
      </w:r>
      <w:r>
        <w:t>р</w:t>
      </w:r>
      <w:r>
        <w:t>ритории) (поправка) содержит ряд положений, носящих дискриминационный по отношению к мусульманским женщинам характер, например положения, упрощающие порядок вступления в полигамный брак для мужчин и предоста</w:t>
      </w:r>
      <w:r>
        <w:t>в</w:t>
      </w:r>
      <w:r>
        <w:t>ляющие мужчине-мусульманину право требовать свою долю имущества жены при заключении полигамного брака, а также право на получение решения суда, запрещающего жене распоряжаться ее имуществом, что заставляет жену выб</w:t>
      </w:r>
      <w:r>
        <w:t>и</w:t>
      </w:r>
      <w:r>
        <w:t>рать между содержанием или разделом супружеского имущества при заключ</w:t>
      </w:r>
      <w:r>
        <w:t>е</w:t>
      </w:r>
      <w:r>
        <w:t>нии полигамного брака, а также разрешающие мужу воспользоваться правом жены на расторжение брака по процедуре «фасах», но лишающие жену во</w:t>
      </w:r>
      <w:r>
        <w:t>з</w:t>
      </w:r>
      <w:r>
        <w:t>можности использовать аналогичное право мужа по процедуре «талак». Просьба сообщить в деталях, проводились ли с женскими группами, особенно с мусульманскими, консультации при подготовке этого законопроекта, и ук</w:t>
      </w:r>
      <w:r>
        <w:t>а</w:t>
      </w:r>
      <w:r>
        <w:t>зать, какие меры принимаются для отмены дискриминационных де-факто п</w:t>
      </w:r>
      <w:r>
        <w:t>о</w:t>
      </w:r>
      <w:r>
        <w:t>ложений законопроекта и приведения его в соответствие с положениями Ко</w:t>
      </w:r>
      <w:r>
        <w:t>н</w:t>
      </w:r>
      <w:r>
        <w:t>ве</w:t>
      </w:r>
      <w:r>
        <w:t>н</w:t>
      </w:r>
      <w:r>
        <w:t>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Просьба сообщить о любом прогрессе, достигнутом в ратификации Ф</w:t>
      </w:r>
      <w:r>
        <w:t>а</w:t>
      </w:r>
      <w:r>
        <w:t>культативного протокола к Конвенции о ликвидации всех форм дискриминации в отношении женщин или в присоединении к нему.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2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NO&gt;&gt;N0624211R&lt;&lt;ODS JOB NO&gt;&gt;</w:t>
      </w:r>
    </w:p>
    <w:p w:rsidR="00000000" w:rsidRDefault="00000000">
      <w:pPr>
        <w:pStyle w:val="CommentText"/>
      </w:pPr>
      <w:r>
        <w:t>&lt;&lt;ODS DOC SYMBOL1&gt;&gt;CEDAW/C/MYS/Q/2&lt;&lt;ODS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06-24211 (R)    100306    100306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*0624211*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28.8pt;width:7in;height:50.4pt;z-index:2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CEDAW/C/MYS/Q/2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28.8pt;width:7in;height:50.4pt;z-index:1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CEDAW/C/MYS/Q/2</w:t>
                      </w:r>
                    </w:p>
                  </w:tc>
                </w:tr>
              </w:tbl>
              <w:p w:rsidR="00000000" w:rsidRDefault="00000000"/>
            </w:txbxContent>
          </v:textbox>
          <w10:wrap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/C/MYS/Q/2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10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0/03/2006 17:36:39"/>
    <w:docVar w:name="DocCategory" w:val="Doc"/>
    <w:docVar w:name="DocType" w:val="Final"/>
    <w:docVar w:name="JobNo" w:val="0624211R"/>
    <w:docVar w:name="OandT" w:val=" "/>
    <w:docVar w:name="Symbol1" w:val="CEDAW/C/MYS/Q/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7</Pages>
  <Words>2331</Words>
  <Characters>13287</Characters>
  <Application>Microsoft Office Word</Application>
  <DocSecurity>4</DocSecurity>
  <Lines>110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16317</CharactersWithSpaces>
  <SharedDoc>false</SharedDoc>
  <HLinks>
    <vt:vector size="6" baseType="variant">
      <vt:variant>
        <vt:i4>4522087</vt:i4>
      </vt:variant>
      <vt:variant>
        <vt:i4>33490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Tatyana Nikitina</dc:creator>
  <cp:keywords/>
  <dc:description/>
  <cp:lastModifiedBy>DGAACS User</cp:lastModifiedBy>
  <cp:revision>29</cp:revision>
  <cp:lastPrinted>2006-03-10T21:03:00Z</cp:lastPrinted>
  <dcterms:created xsi:type="dcterms:W3CDTF">2006-03-10T20:25:00Z</dcterms:created>
  <dcterms:modified xsi:type="dcterms:W3CDTF">2006-03-10T21:13:00Z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0624211</vt:lpwstr>
  </property>
  <property fmtid="{D5CDD505-2E9C-101B-9397-08002B2CF9AE}" pid="3" name="Symbol1">
    <vt:lpwstr>CEDAW/C/MYS/Q/2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Kostyuchenko</vt:lpwstr>
  </property>
</Properties>
</file>