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151367FF" w14:textId="77777777" w:rsidTr="00462E8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02FA0035" w14:textId="77777777" w:rsidR="002D5AAC" w:rsidRPr="003067C5" w:rsidRDefault="002D5AAC" w:rsidP="009C508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nfasi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BE69991" w14:textId="77777777" w:rsidR="002D5AAC" w:rsidRPr="00BD33EE" w:rsidRDefault="00BD33EE" w:rsidP="00462E81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689E1EE0" w14:textId="59E38EF7" w:rsidR="002D5AAC" w:rsidRDefault="009C5087" w:rsidP="009C5087">
            <w:pPr>
              <w:jc w:val="right"/>
            </w:pPr>
            <w:r w:rsidRPr="009C5087">
              <w:rPr>
                <w:sz w:val="40"/>
              </w:rPr>
              <w:t>CAT</w:t>
            </w:r>
            <w:r>
              <w:t>/C/ARM/FCO/5</w:t>
            </w:r>
          </w:p>
        </w:tc>
      </w:tr>
      <w:tr w:rsidR="002D5AAC" w14:paraId="64267DC6" w14:textId="77777777" w:rsidTr="00462E81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4895557" w14:textId="77777777" w:rsidR="002D5AAC" w:rsidRDefault="00FD6905" w:rsidP="00462E81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17B3288B" wp14:editId="4F27228E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39BAAD2" w14:textId="77777777" w:rsidR="002D5AAC" w:rsidRPr="00033EE1" w:rsidRDefault="00F94155" w:rsidP="00462E81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033EE1">
              <w:rPr>
                <w:b/>
                <w:sz w:val="34"/>
                <w:szCs w:val="34"/>
              </w:rPr>
              <w:t xml:space="preserve">Convención contra </w:t>
            </w:r>
            <w:r w:rsidR="007021FF" w:rsidRPr="00033EE1">
              <w:rPr>
                <w:b/>
                <w:sz w:val="34"/>
                <w:szCs w:val="34"/>
              </w:rPr>
              <w:t xml:space="preserve">la </w:t>
            </w:r>
            <w:r w:rsidRPr="00033EE1">
              <w:rPr>
                <w:b/>
                <w:sz w:val="34"/>
                <w:szCs w:val="34"/>
              </w:rPr>
              <w:t>Tortura</w:t>
            </w:r>
            <w:r w:rsidR="00033EE1">
              <w:rPr>
                <w:b/>
                <w:sz w:val="34"/>
                <w:szCs w:val="34"/>
              </w:rPr>
              <w:br/>
            </w:r>
            <w:r w:rsidRPr="00033EE1">
              <w:rPr>
                <w:b/>
                <w:sz w:val="34"/>
                <w:szCs w:val="34"/>
              </w:rPr>
              <w:t xml:space="preserve">y Otros </w:t>
            </w:r>
            <w:r w:rsidR="007021FF" w:rsidRPr="00033EE1">
              <w:rPr>
                <w:b/>
                <w:sz w:val="34"/>
                <w:szCs w:val="34"/>
              </w:rPr>
              <w:t xml:space="preserve">Tratos </w:t>
            </w:r>
            <w:r w:rsidRPr="00033EE1">
              <w:rPr>
                <w:b/>
                <w:sz w:val="34"/>
                <w:szCs w:val="34"/>
              </w:rPr>
              <w:t>o Penas Crueles,</w:t>
            </w:r>
            <w:r w:rsidRPr="00033EE1">
              <w:rPr>
                <w:b/>
                <w:sz w:val="34"/>
                <w:szCs w:val="34"/>
              </w:rPr>
              <w:br/>
              <w:t>Inhumanos o Degradantes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34D150B7" w14:textId="77777777" w:rsidR="002D5AAC" w:rsidRDefault="009C5087" w:rsidP="00462E81">
            <w:pPr>
              <w:spacing w:before="240"/>
            </w:pPr>
            <w:r>
              <w:t>Distr. general</w:t>
            </w:r>
          </w:p>
          <w:p w14:paraId="11C2402E" w14:textId="0517BA65" w:rsidR="009C5087" w:rsidRDefault="001040FB" w:rsidP="009C5087">
            <w:pPr>
              <w:spacing w:line="240" w:lineRule="exact"/>
            </w:pPr>
            <w:r>
              <w:t xml:space="preserve">19 </w:t>
            </w:r>
            <w:r w:rsidR="009C5087">
              <w:t>de mayo de 2025</w:t>
            </w:r>
          </w:p>
          <w:p w14:paraId="427C5421" w14:textId="77777777" w:rsidR="009C5087" w:rsidRDefault="009C5087" w:rsidP="009C5087">
            <w:pPr>
              <w:spacing w:line="240" w:lineRule="exact"/>
            </w:pPr>
            <w:r>
              <w:t>Español</w:t>
            </w:r>
          </w:p>
          <w:p w14:paraId="623CF064" w14:textId="77777777" w:rsidR="009C5087" w:rsidRDefault="009C5087" w:rsidP="009C5087">
            <w:pPr>
              <w:spacing w:line="240" w:lineRule="exact"/>
            </w:pPr>
            <w:r>
              <w:t>Original: inglés</w:t>
            </w:r>
          </w:p>
          <w:p w14:paraId="45F50751" w14:textId="02E644F7" w:rsidR="001040FB" w:rsidRDefault="001040FB" w:rsidP="009C5087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33B3FC7B" w14:textId="77777777" w:rsidR="00505971" w:rsidRDefault="00505971" w:rsidP="00004304">
      <w:pPr>
        <w:spacing w:before="120"/>
        <w:rPr>
          <w:b/>
          <w:sz w:val="24"/>
          <w:szCs w:val="24"/>
        </w:rPr>
      </w:pPr>
      <w:r w:rsidRPr="00505971">
        <w:rPr>
          <w:b/>
          <w:sz w:val="24"/>
          <w:szCs w:val="24"/>
        </w:rPr>
        <w:t>Comité contra la Tortura</w:t>
      </w:r>
    </w:p>
    <w:p w14:paraId="0C61796A" w14:textId="493AE2E2" w:rsidR="001040FB" w:rsidRPr="001040FB" w:rsidRDefault="001040FB" w:rsidP="001040FB">
      <w:pPr>
        <w:pStyle w:val="HMG"/>
        <w:rPr>
          <w:lang w:val="en-GB"/>
        </w:rPr>
      </w:pPr>
      <w:r>
        <w:rPr>
          <w:lang w:val="en-GB"/>
        </w:rPr>
        <w:tab/>
      </w:r>
      <w:r w:rsidRPr="001040FB">
        <w:rPr>
          <w:lang w:val="en-GB"/>
        </w:rPr>
        <w:tab/>
      </w:r>
      <w:r w:rsidRPr="001040FB">
        <w:rPr>
          <w:lang w:val="es-ES_tradnl"/>
        </w:rPr>
        <w:t xml:space="preserve">Información recibida de Armenia relativa </w:t>
      </w:r>
      <w:r>
        <w:rPr>
          <w:lang w:val="es-ES_tradnl"/>
        </w:rPr>
        <w:br/>
      </w:r>
      <w:r w:rsidRPr="001040FB">
        <w:rPr>
          <w:lang w:val="es-ES_tradnl"/>
        </w:rPr>
        <w:t xml:space="preserve">al seguimiento de las observaciones finales </w:t>
      </w:r>
      <w:r>
        <w:rPr>
          <w:lang w:val="es-ES_tradnl"/>
        </w:rPr>
        <w:br/>
      </w:r>
      <w:r w:rsidRPr="001040FB">
        <w:rPr>
          <w:lang w:val="es-ES_tradnl"/>
        </w:rPr>
        <w:t>sobre su quinto informe periódico</w:t>
      </w:r>
      <w:r w:rsidRPr="001040FB">
        <w:rPr>
          <w:b w:val="0"/>
          <w:bCs/>
          <w:sz w:val="20"/>
          <w:szCs w:val="10"/>
          <w:lang w:val="es-ES_tradnl"/>
        </w:rPr>
        <w:footnoteReference w:customMarkFollows="1" w:id="1"/>
        <w:t>*</w:t>
      </w:r>
    </w:p>
    <w:p w14:paraId="127B995F" w14:textId="77777777" w:rsidR="001040FB" w:rsidRPr="001040FB" w:rsidRDefault="001040FB" w:rsidP="001040FB">
      <w:pPr>
        <w:pStyle w:val="SingleTxtG"/>
        <w:jc w:val="right"/>
        <w:rPr>
          <w:lang w:val="en-GB"/>
        </w:rPr>
      </w:pPr>
      <w:r w:rsidRPr="001040FB">
        <w:rPr>
          <w:lang w:val="es-ES_tradnl"/>
        </w:rPr>
        <w:t>[Fecha de recepción: 8 de mayo de 2025]</w:t>
      </w:r>
    </w:p>
    <w:p w14:paraId="7FE4A22B" w14:textId="77777777" w:rsidR="001040FB" w:rsidRDefault="001040FB">
      <w:pPr>
        <w:spacing w:line="240" w:lineRule="auto"/>
        <w:rPr>
          <w:b/>
          <w:lang w:val="en-GB"/>
        </w:rPr>
      </w:pPr>
      <w:r>
        <w:rPr>
          <w:b/>
          <w:lang w:val="en-GB"/>
        </w:rPr>
        <w:br w:type="page"/>
      </w:r>
    </w:p>
    <w:p w14:paraId="2AB79E64" w14:textId="70012FE0" w:rsidR="001040FB" w:rsidRPr="001040FB" w:rsidRDefault="001040FB" w:rsidP="001040FB">
      <w:pPr>
        <w:pStyle w:val="HChG"/>
        <w:rPr>
          <w:lang w:val="en-GB"/>
        </w:rPr>
      </w:pPr>
      <w:r>
        <w:rPr>
          <w:lang w:val="en-GB"/>
        </w:rPr>
        <w:lastRenderedPageBreak/>
        <w:tab/>
      </w:r>
      <w:r w:rsidRPr="001040FB">
        <w:rPr>
          <w:lang w:val="en-GB"/>
        </w:rPr>
        <w:tab/>
      </w:r>
      <w:r w:rsidRPr="001040FB">
        <w:rPr>
          <w:lang w:val="es-ES_tradnl"/>
        </w:rPr>
        <w:t xml:space="preserve">Información sobre el seguimiento de las observaciones </w:t>
      </w:r>
      <w:r>
        <w:rPr>
          <w:lang w:val="es-ES_tradnl"/>
        </w:rPr>
        <w:br/>
      </w:r>
      <w:r w:rsidRPr="001040FB">
        <w:rPr>
          <w:lang w:val="es-ES_tradnl"/>
        </w:rPr>
        <w:t>finales (CAT/C/ARM/CO/5)</w:t>
      </w:r>
    </w:p>
    <w:p w14:paraId="614423BD" w14:textId="77777777" w:rsidR="001040FB" w:rsidRPr="001040FB" w:rsidRDefault="001040FB" w:rsidP="001040FB">
      <w:pPr>
        <w:pStyle w:val="SingleTxtG"/>
        <w:rPr>
          <w:lang w:val="en-GB"/>
        </w:rPr>
      </w:pPr>
      <w:r w:rsidRPr="001040FB">
        <w:rPr>
          <w:lang w:val="en-GB"/>
        </w:rPr>
        <w:t>1.</w:t>
      </w:r>
      <w:r w:rsidRPr="001040FB">
        <w:rPr>
          <w:lang w:val="en-GB"/>
        </w:rPr>
        <w:tab/>
      </w:r>
      <w:r w:rsidRPr="001040FB">
        <w:rPr>
          <w:lang w:val="es-ES_tradnl"/>
        </w:rPr>
        <w:t>Armenia toma nota de las observaciones finales del Comité contra la Tortura sobre su quinto informe periódico en virtud de la Convención contra la Tortura y Otros Tratos o Penas Crueles, Inhumanos o Degradantes y tiene el honor de transmitir adjuntos sus comentarios.</w:t>
      </w:r>
      <w:r w:rsidRPr="001040FB">
        <w:rPr>
          <w:lang w:val="en-GB"/>
        </w:rPr>
        <w:t xml:space="preserve"> </w:t>
      </w:r>
    </w:p>
    <w:p w14:paraId="0E1BF975" w14:textId="77777777" w:rsidR="001040FB" w:rsidRPr="001040FB" w:rsidRDefault="001040FB" w:rsidP="001040FB">
      <w:pPr>
        <w:pStyle w:val="SingleTxtG"/>
        <w:rPr>
          <w:lang w:val="en-GB"/>
        </w:rPr>
      </w:pPr>
      <w:r w:rsidRPr="001040FB">
        <w:rPr>
          <w:lang w:val="en-GB"/>
        </w:rPr>
        <w:t>2.</w:t>
      </w:r>
      <w:r w:rsidRPr="001040FB">
        <w:rPr>
          <w:lang w:val="en-GB"/>
        </w:rPr>
        <w:tab/>
      </w:r>
      <w:r w:rsidRPr="001040FB">
        <w:rPr>
          <w:lang w:val="es-ES_tradnl"/>
        </w:rPr>
        <w:t>Armenia señala respetuosamente que parte de la información y las explicaciones proporcionadas por la delegación durante el diálogo interactivo en el 82º período de sesiones (sesiones 2184ª y 2187ª) no se reflejó plenamente en las observaciones finales y, por lo tanto, presenta las siguientes aclaraciones relativas a determinadas inexactitudes de hecho y de contexto.</w:t>
      </w:r>
    </w:p>
    <w:p w14:paraId="623DB147" w14:textId="77777777" w:rsidR="001040FB" w:rsidRPr="001040FB" w:rsidRDefault="001040FB" w:rsidP="001040FB">
      <w:pPr>
        <w:pStyle w:val="SingleTxtG"/>
        <w:rPr>
          <w:lang w:val="en-GB"/>
        </w:rPr>
      </w:pPr>
      <w:r w:rsidRPr="001040FB">
        <w:rPr>
          <w:lang w:val="en-GB"/>
        </w:rPr>
        <w:t>3.</w:t>
      </w:r>
      <w:r w:rsidRPr="001040FB">
        <w:rPr>
          <w:lang w:val="en-GB"/>
        </w:rPr>
        <w:tab/>
      </w:r>
      <w:r w:rsidRPr="001040FB">
        <w:rPr>
          <w:lang w:val="es-ES_tradnl"/>
        </w:rPr>
        <w:t>La Estrategia del Sector Penitenciario y de Libertad Vigilada de Armenia se aplica al período 2024-2026, y no al período 2023-2026 como se indica en el párrafo 6 a).</w:t>
      </w:r>
      <w:r w:rsidRPr="001040FB">
        <w:rPr>
          <w:lang w:val="en-GB"/>
        </w:rPr>
        <w:t xml:space="preserve"> </w:t>
      </w:r>
      <w:r w:rsidRPr="001040FB">
        <w:rPr>
          <w:lang w:val="es-ES_tradnl"/>
        </w:rPr>
        <w:t>Además, el párrafo 6 d) no refleja con exactitud que la Estrategia de Reforma de la Policía de Armenia comprende dos estrategias separadas para los períodos 2020-2022 y 2024-2026, cada una acompañada de su propio plan de acción.</w:t>
      </w:r>
      <w:r w:rsidRPr="001040FB">
        <w:rPr>
          <w:lang w:val="en-GB"/>
        </w:rPr>
        <w:t xml:space="preserve"> </w:t>
      </w:r>
      <w:r w:rsidRPr="001040FB">
        <w:rPr>
          <w:lang w:val="es-ES_tradnl"/>
        </w:rPr>
        <w:t>Armenia señala además que el párrafo 6 no refleja la aprobación de la Estrategia y Plan de Acción para la Aplicación de la Política de Género en la República de Armenia (2025).</w:t>
      </w:r>
    </w:p>
    <w:p w14:paraId="73C6DE56" w14:textId="77777777" w:rsidR="001040FB" w:rsidRPr="001040FB" w:rsidRDefault="001040FB" w:rsidP="001040FB">
      <w:pPr>
        <w:pStyle w:val="SingleTxtG"/>
        <w:rPr>
          <w:lang w:val="en-GB"/>
        </w:rPr>
      </w:pPr>
      <w:r w:rsidRPr="001040FB">
        <w:rPr>
          <w:lang w:val="en-GB"/>
        </w:rPr>
        <w:t>4.</w:t>
      </w:r>
      <w:r w:rsidRPr="001040FB">
        <w:rPr>
          <w:lang w:val="en-GB"/>
        </w:rPr>
        <w:tab/>
      </w:r>
      <w:r w:rsidRPr="001040FB">
        <w:rPr>
          <w:lang w:val="es-ES_tradnl"/>
        </w:rPr>
        <w:t>El personal de la Defensoría de los Derechos Humanos recibe una remuneración acorde con la escala general de la función pública.</w:t>
      </w:r>
      <w:r w:rsidRPr="001040FB">
        <w:rPr>
          <w:lang w:val="en-GB"/>
        </w:rPr>
        <w:t xml:space="preserve"> </w:t>
      </w:r>
      <w:r w:rsidRPr="001040FB">
        <w:rPr>
          <w:lang w:val="es-ES_tradnl"/>
        </w:rPr>
        <w:t>Aunque existen algunas discrepancias en comparación con otras instituciones estatales, ello no es de por sí indicativo de una desigualdad o insuficiencia.</w:t>
      </w:r>
      <w:r w:rsidRPr="001040FB">
        <w:rPr>
          <w:lang w:val="en-GB"/>
        </w:rPr>
        <w:t xml:space="preserve"> </w:t>
      </w:r>
      <w:r w:rsidRPr="001040FB">
        <w:rPr>
          <w:lang w:val="es-ES_tradnl"/>
        </w:rPr>
        <w:t>Armenia observa respetuosamente que no se ha presentado ninguna prueba empírica que corrobore la afirmación de que el mecanismo nacional de protección carece de autonomía.</w:t>
      </w:r>
    </w:p>
    <w:p w14:paraId="2F4C7883" w14:textId="77777777" w:rsidR="001040FB" w:rsidRPr="001040FB" w:rsidRDefault="001040FB" w:rsidP="001040FB">
      <w:pPr>
        <w:pStyle w:val="SingleTxtG"/>
        <w:rPr>
          <w:lang w:val="en-GB"/>
        </w:rPr>
      </w:pPr>
      <w:r w:rsidRPr="001040FB">
        <w:rPr>
          <w:lang w:val="en-GB"/>
        </w:rPr>
        <w:t>5.</w:t>
      </w:r>
      <w:r w:rsidRPr="001040FB">
        <w:rPr>
          <w:lang w:val="en-GB"/>
        </w:rPr>
        <w:tab/>
      </w:r>
      <w:r w:rsidRPr="001040FB">
        <w:rPr>
          <w:lang w:val="es-ES_tradnl"/>
        </w:rPr>
        <w:t>Además, las afirmaciones relativas a los supuestos obstáculos al procedimiento de asilo no reflejan fielmente la información presentada por la delegación.</w:t>
      </w:r>
      <w:r w:rsidRPr="001040FB">
        <w:rPr>
          <w:lang w:val="en-GB"/>
        </w:rPr>
        <w:t xml:space="preserve"> </w:t>
      </w:r>
      <w:r w:rsidRPr="001040FB">
        <w:rPr>
          <w:lang w:val="es-ES_tradnl"/>
        </w:rPr>
        <w:t>En este contexto, se recuerda respetuosamente que durante el diálogo se facilitaron datos estadísticos detallados que demostraban que desde las instituciones penitenciarias se habían presentado 24, 45 y 85 solicitudes de asilo en 2022, 2023 y 2024, respectivamente.</w:t>
      </w:r>
      <w:r w:rsidRPr="001040FB">
        <w:rPr>
          <w:lang w:val="en-GB"/>
        </w:rPr>
        <w:t xml:space="preserve"> </w:t>
      </w:r>
      <w:r w:rsidRPr="001040FB">
        <w:rPr>
          <w:lang w:val="es-ES_tradnl"/>
        </w:rPr>
        <w:t>Estas cifras reflejan claramente tanto la accesibilidad del sistema de asilo para las personas recluidas como el hecho de que el personal penitenciario conoce cada vez mejor los procedimientos pertinentes.</w:t>
      </w:r>
    </w:p>
    <w:p w14:paraId="23B80964" w14:textId="77777777" w:rsidR="001040FB" w:rsidRPr="001040FB" w:rsidRDefault="001040FB" w:rsidP="001040FB">
      <w:pPr>
        <w:pStyle w:val="SingleTxtG"/>
        <w:rPr>
          <w:lang w:val="en-GB"/>
        </w:rPr>
      </w:pPr>
      <w:r w:rsidRPr="001040FB">
        <w:rPr>
          <w:lang w:val="en-GB"/>
        </w:rPr>
        <w:t>6.</w:t>
      </w:r>
      <w:r w:rsidRPr="001040FB">
        <w:rPr>
          <w:lang w:val="en-GB"/>
        </w:rPr>
        <w:tab/>
      </w:r>
      <w:r w:rsidRPr="001040FB">
        <w:rPr>
          <w:lang w:val="es-ES_tradnl"/>
        </w:rPr>
        <w:t>Por otro lado, la pena mínima por el delito de tortura conforme a la legislación armenia es de cuatro a ocho años de prisión, aunque existe la posibilidad de imponer penas más severas en caso de que concurran circunstancias agravantes.</w:t>
      </w:r>
      <w:r w:rsidRPr="001040FB">
        <w:rPr>
          <w:lang w:val="en-GB"/>
        </w:rPr>
        <w:t xml:space="preserve"> </w:t>
      </w:r>
      <w:r w:rsidRPr="001040FB">
        <w:rPr>
          <w:lang w:val="es-ES_tradnl"/>
        </w:rPr>
        <w:t>La tortura está tipificada como delito grave, y la horquilla de penas correspondiente se estableció en consonancia con los cánones y las mejores prácticas internacionales.</w:t>
      </w:r>
    </w:p>
    <w:p w14:paraId="664D05F6" w14:textId="5541BA33" w:rsidR="001040FB" w:rsidRPr="001040FB" w:rsidRDefault="001040FB" w:rsidP="001040FB">
      <w:pPr>
        <w:pStyle w:val="SingleTxtG"/>
        <w:rPr>
          <w:lang w:val="en-GB"/>
        </w:rPr>
      </w:pPr>
      <w:r w:rsidRPr="001040FB">
        <w:rPr>
          <w:lang w:val="en-GB"/>
        </w:rPr>
        <w:t>7.</w:t>
      </w:r>
      <w:r w:rsidRPr="001040FB">
        <w:rPr>
          <w:lang w:val="en-GB"/>
        </w:rPr>
        <w:tab/>
      </w:r>
      <w:r w:rsidRPr="001040FB">
        <w:rPr>
          <w:lang w:val="es-ES_tradnl"/>
        </w:rPr>
        <w:t xml:space="preserve">Armenia señala categóricamente que la referencia a la </w:t>
      </w:r>
      <w:r w:rsidR="006C08D0">
        <w:rPr>
          <w:lang w:val="es-ES_tradnl"/>
        </w:rPr>
        <w:t>“</w:t>
      </w:r>
      <w:r w:rsidRPr="001040FB">
        <w:rPr>
          <w:lang w:val="es-ES_tradnl"/>
        </w:rPr>
        <w:t>profanación y mutilación de cadáveres</w:t>
      </w:r>
      <w:r w:rsidR="006C08D0">
        <w:rPr>
          <w:lang w:val="es-ES_tradnl"/>
        </w:rPr>
        <w:t>”</w:t>
      </w:r>
      <w:r w:rsidRPr="001040FB">
        <w:rPr>
          <w:lang w:val="es-ES_tradnl"/>
        </w:rPr>
        <w:t xml:space="preserve"> no se planteó durante el diálogo con la delegación, y que la inclusión de afirmaciones que van más allá del ámbito de lo que realmente se trató durante el diálogo constituye un grave problema de procedimiento.</w:t>
      </w:r>
      <w:r w:rsidRPr="001040FB">
        <w:rPr>
          <w:lang w:val="en-GB"/>
        </w:rPr>
        <w:t xml:space="preserve"> </w:t>
      </w:r>
      <w:r w:rsidRPr="001040FB">
        <w:rPr>
          <w:lang w:val="es-ES_tradnl"/>
        </w:rPr>
        <w:t>Además, el párrafo no refleja la información presentada claramente por la delegación, a saber, que la investigación reveló indicios racionales que planteaban serias dudas sobre el origen y la autenticidad de los videos en cuestión, cuestión que, lamentablemente, no se reconoció en las observaciones finales.</w:t>
      </w:r>
    </w:p>
    <w:p w14:paraId="33EA96E5" w14:textId="77777777" w:rsidR="001040FB" w:rsidRDefault="001040FB" w:rsidP="001040FB">
      <w:pPr>
        <w:pStyle w:val="SingleTxtG"/>
        <w:rPr>
          <w:lang w:val="es-ES_tradnl"/>
        </w:rPr>
      </w:pPr>
      <w:r w:rsidRPr="001040FB">
        <w:rPr>
          <w:lang w:val="en-GB"/>
        </w:rPr>
        <w:t>8.</w:t>
      </w:r>
      <w:r w:rsidRPr="001040FB">
        <w:rPr>
          <w:lang w:val="en-GB"/>
        </w:rPr>
        <w:tab/>
      </w:r>
      <w:r w:rsidRPr="001040FB">
        <w:rPr>
          <w:lang w:val="es-ES_tradnl"/>
        </w:rPr>
        <w:t>A este respecto, tras un examen preliminar y sin perjuicio de las opiniones y observaciones de fondo que puedan transmitirse posteriormente en relación con el documento en cuestión, Armenia considera que algunas de las conclusiones y recomendaciones (en particular los párrafos 6, 8, 10 y 11, 14, 28 y 37 a 40) deben reconsiderarse a la luz de la información y las explicaciones facilitadas por Armenia durante el examen y en la presente nota de seguimiento.</w:t>
      </w:r>
    </w:p>
    <w:p w14:paraId="70DB75E3" w14:textId="2E466885" w:rsidR="001040FB" w:rsidRPr="001040FB" w:rsidRDefault="001040FB" w:rsidP="001040FB">
      <w:pPr>
        <w:pStyle w:val="SingleTxtG"/>
        <w:suppressAutoHyphens/>
        <w:spacing w:before="240" w:after="0"/>
        <w:jc w:val="center"/>
        <w:rPr>
          <w:u w:val="single"/>
          <w:lang w:val="en-GB"/>
        </w:rPr>
      </w:pPr>
      <w:r>
        <w:rPr>
          <w:u w:val="single"/>
          <w:lang w:val="en-GB"/>
        </w:rPr>
        <w:tab/>
      </w:r>
      <w:r>
        <w:rPr>
          <w:u w:val="single"/>
          <w:lang w:val="en-GB"/>
        </w:rPr>
        <w:tab/>
      </w:r>
      <w:r>
        <w:rPr>
          <w:u w:val="single"/>
          <w:lang w:val="en-GB"/>
        </w:rPr>
        <w:tab/>
      </w:r>
    </w:p>
    <w:sectPr w:rsidR="001040FB" w:rsidRPr="001040FB" w:rsidSect="009C508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7EDBE" w14:textId="77777777" w:rsidR="00F41231" w:rsidRPr="00A312BC" w:rsidRDefault="00F41231" w:rsidP="00A312BC">
      <w:pPr>
        <w:pStyle w:val="Piedepgina"/>
      </w:pPr>
    </w:p>
  </w:endnote>
  <w:endnote w:type="continuationSeparator" w:id="0">
    <w:p w14:paraId="7CF1D615" w14:textId="77777777" w:rsidR="00F41231" w:rsidRPr="00A312BC" w:rsidRDefault="00F41231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B4BDC" w14:textId="36EB0C22" w:rsidR="009C5087" w:rsidRPr="009C5087" w:rsidRDefault="009C5087" w:rsidP="009C5087">
    <w:pPr>
      <w:pStyle w:val="Piedepgina"/>
      <w:tabs>
        <w:tab w:val="right" w:pos="9638"/>
      </w:tabs>
    </w:pPr>
    <w:r w:rsidRPr="009C5087">
      <w:rPr>
        <w:b/>
        <w:sz w:val="18"/>
      </w:rPr>
      <w:fldChar w:fldCharType="begin"/>
    </w:r>
    <w:r w:rsidRPr="009C5087">
      <w:rPr>
        <w:b/>
        <w:sz w:val="18"/>
      </w:rPr>
      <w:instrText xml:space="preserve"> PAGE  \* MERGEFORMAT </w:instrText>
    </w:r>
    <w:r w:rsidRPr="009C5087">
      <w:rPr>
        <w:b/>
        <w:sz w:val="18"/>
      </w:rPr>
      <w:fldChar w:fldCharType="separate"/>
    </w:r>
    <w:r w:rsidRPr="009C5087">
      <w:rPr>
        <w:b/>
        <w:noProof/>
        <w:sz w:val="18"/>
      </w:rPr>
      <w:t>2</w:t>
    </w:r>
    <w:r w:rsidRPr="009C5087">
      <w:rPr>
        <w:b/>
        <w:sz w:val="18"/>
      </w:rPr>
      <w:fldChar w:fldCharType="end"/>
    </w:r>
    <w:r>
      <w:rPr>
        <w:b/>
        <w:sz w:val="18"/>
      </w:rPr>
      <w:tab/>
    </w:r>
    <w:r>
      <w:t>GE.25-07747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68FC4" w14:textId="74AA4DFE" w:rsidR="009C5087" w:rsidRPr="009C5087" w:rsidRDefault="009C5087" w:rsidP="009C5087">
    <w:pPr>
      <w:pStyle w:val="Piedepgina"/>
      <w:tabs>
        <w:tab w:val="right" w:pos="9638"/>
      </w:tabs>
      <w:rPr>
        <w:b/>
        <w:sz w:val="18"/>
      </w:rPr>
    </w:pPr>
    <w:r>
      <w:t>GE.25-07747</w:t>
    </w:r>
    <w:r>
      <w:tab/>
    </w:r>
    <w:r w:rsidRPr="009C5087">
      <w:rPr>
        <w:b/>
        <w:sz w:val="18"/>
      </w:rPr>
      <w:fldChar w:fldCharType="begin"/>
    </w:r>
    <w:r w:rsidRPr="009C5087">
      <w:rPr>
        <w:b/>
        <w:sz w:val="18"/>
      </w:rPr>
      <w:instrText xml:space="preserve"> PAGE  \* MERGEFORMAT </w:instrText>
    </w:r>
    <w:r w:rsidRPr="009C5087">
      <w:rPr>
        <w:b/>
        <w:sz w:val="18"/>
      </w:rPr>
      <w:fldChar w:fldCharType="separate"/>
    </w:r>
    <w:r w:rsidRPr="009C5087">
      <w:rPr>
        <w:b/>
        <w:noProof/>
        <w:sz w:val="18"/>
      </w:rPr>
      <w:t>3</w:t>
    </w:r>
    <w:r w:rsidRPr="009C508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EAF79" w14:textId="032DD248" w:rsidR="00042B72" w:rsidRPr="009C5087" w:rsidRDefault="009C5087" w:rsidP="009C5087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FD6905">
      <w:rPr>
        <w:noProof/>
      </w:rPr>
      <w:drawing>
        <wp:anchor distT="0" distB="0" distL="114300" distR="114300" simplePos="0" relativeHeight="251657728" behindDoc="0" locked="1" layoutInCell="1" allowOverlap="1" wp14:anchorId="7FD19C13" wp14:editId="5AE41B0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25-07747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526495BF" wp14:editId="4F917C54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32944875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230525    230525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88142" w14:textId="77777777" w:rsidR="00F41231" w:rsidRPr="001075E9" w:rsidRDefault="00F4123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6162B7F" w14:textId="77777777" w:rsidR="00F41231" w:rsidRDefault="00F4123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A47B460" w14:textId="77777777" w:rsidR="001040FB" w:rsidRPr="009618E1" w:rsidRDefault="001040FB" w:rsidP="001040FB">
      <w:pPr>
        <w:pStyle w:val="Textonotapie"/>
      </w:pPr>
      <w:r w:rsidRPr="009618E1">
        <w:tab/>
      </w:r>
      <w:r w:rsidRPr="001040FB">
        <w:rPr>
          <w:sz w:val="20"/>
          <w:szCs w:val="22"/>
        </w:rPr>
        <w:t>*</w:t>
      </w:r>
      <w:r w:rsidRPr="009618E1">
        <w:tab/>
      </w:r>
      <w:r w:rsidRPr="009618E1">
        <w:rPr>
          <w:lang w:val="es-ES_tradnl"/>
        </w:rPr>
        <w:t>La versión original del presente documento no fue objeto de revisión editorial oficial.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F07ED" w14:textId="789E42C5" w:rsidR="009C5087" w:rsidRPr="009C5087" w:rsidRDefault="009C5087">
    <w:pPr>
      <w:pStyle w:val="Encabezado"/>
    </w:pPr>
    <w:fldSimple w:instr=" TITLE  \* MERGEFORMAT ">
      <w:r w:rsidR="00C6040D">
        <w:t>CAT/C/ARM/FCO/5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6E440" w14:textId="10EF2A8F" w:rsidR="009C5087" w:rsidRPr="009C5087" w:rsidRDefault="009C5087" w:rsidP="009C5087">
    <w:pPr>
      <w:pStyle w:val="Encabezado"/>
      <w:jc w:val="right"/>
    </w:pPr>
    <w:fldSimple w:instr=" TITLE  \* MERGEFORMAT ">
      <w:r w:rsidR="00C6040D">
        <w:t>CAT/C/ARM/FCO/5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4DCD36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2000501569">
    <w:abstractNumId w:val="14"/>
  </w:num>
  <w:num w:numId="2" w16cid:durableId="957250609">
    <w:abstractNumId w:val="11"/>
  </w:num>
  <w:num w:numId="3" w16cid:durableId="899363352">
    <w:abstractNumId w:val="16"/>
  </w:num>
  <w:num w:numId="4" w16cid:durableId="1407264725">
    <w:abstractNumId w:val="15"/>
  </w:num>
  <w:num w:numId="5" w16cid:durableId="586424417">
    <w:abstractNumId w:val="13"/>
  </w:num>
  <w:num w:numId="6" w16cid:durableId="238711494">
    <w:abstractNumId w:val="8"/>
  </w:num>
  <w:num w:numId="7" w16cid:durableId="2020043686">
    <w:abstractNumId w:val="3"/>
  </w:num>
  <w:num w:numId="8" w16cid:durableId="918831474">
    <w:abstractNumId w:val="2"/>
  </w:num>
  <w:num w:numId="9" w16cid:durableId="1379284381">
    <w:abstractNumId w:val="1"/>
  </w:num>
  <w:num w:numId="10" w16cid:durableId="1957565514">
    <w:abstractNumId w:val="0"/>
  </w:num>
  <w:num w:numId="11" w16cid:durableId="759526248">
    <w:abstractNumId w:val="9"/>
  </w:num>
  <w:num w:numId="12" w16cid:durableId="663167422">
    <w:abstractNumId w:val="7"/>
  </w:num>
  <w:num w:numId="13" w16cid:durableId="264311860">
    <w:abstractNumId w:val="6"/>
  </w:num>
  <w:num w:numId="14" w16cid:durableId="1336684511">
    <w:abstractNumId w:val="5"/>
  </w:num>
  <w:num w:numId="15" w16cid:durableId="707493386">
    <w:abstractNumId w:val="4"/>
  </w:num>
  <w:num w:numId="16" w16cid:durableId="1643928283">
    <w:abstractNumId w:val="10"/>
  </w:num>
  <w:num w:numId="17" w16cid:durableId="1443843687">
    <w:abstractNumId w:val="14"/>
  </w:num>
  <w:num w:numId="18" w16cid:durableId="2025940261">
    <w:abstractNumId w:val="11"/>
  </w:num>
  <w:num w:numId="19" w16cid:durableId="824247313">
    <w:abstractNumId w:val="10"/>
  </w:num>
  <w:num w:numId="20" w16cid:durableId="56635981">
    <w:abstractNumId w:val="16"/>
  </w:num>
  <w:num w:numId="21" w16cid:durableId="2044087016">
    <w:abstractNumId w:val="15"/>
  </w:num>
  <w:num w:numId="22" w16cid:durableId="125976719">
    <w:abstractNumId w:val="12"/>
  </w:num>
  <w:num w:numId="23" w16cid:durableId="1002900930">
    <w:abstractNumId w:val="12"/>
  </w:num>
  <w:num w:numId="24" w16cid:durableId="1573734542">
    <w:abstractNumId w:val="13"/>
  </w:num>
  <w:num w:numId="25" w16cid:durableId="1303922382">
    <w:abstractNumId w:val="9"/>
  </w:num>
  <w:num w:numId="26" w16cid:durableId="344868729">
    <w:abstractNumId w:val="7"/>
  </w:num>
  <w:num w:numId="27" w16cid:durableId="637613914">
    <w:abstractNumId w:val="6"/>
  </w:num>
  <w:num w:numId="28" w16cid:durableId="1331253653">
    <w:abstractNumId w:val="5"/>
  </w:num>
  <w:num w:numId="29" w16cid:durableId="1149513359">
    <w:abstractNumId w:val="4"/>
  </w:num>
  <w:num w:numId="30" w16cid:durableId="799543066">
    <w:abstractNumId w:val="8"/>
  </w:num>
  <w:num w:numId="31" w16cid:durableId="1798528788">
    <w:abstractNumId w:val="3"/>
  </w:num>
  <w:num w:numId="32" w16cid:durableId="555237726">
    <w:abstractNumId w:val="2"/>
  </w:num>
  <w:num w:numId="33" w16cid:durableId="1747067076">
    <w:abstractNumId w:val="1"/>
  </w:num>
  <w:num w:numId="34" w16cid:durableId="1767117403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231"/>
    <w:rsid w:val="00004304"/>
    <w:rsid w:val="00033B4F"/>
    <w:rsid w:val="00033EE1"/>
    <w:rsid w:val="00042B72"/>
    <w:rsid w:val="000558BD"/>
    <w:rsid w:val="000B57E7"/>
    <w:rsid w:val="000B6373"/>
    <w:rsid w:val="000E713F"/>
    <w:rsid w:val="000F09DF"/>
    <w:rsid w:val="000F61B2"/>
    <w:rsid w:val="001040FB"/>
    <w:rsid w:val="001075E9"/>
    <w:rsid w:val="00147975"/>
    <w:rsid w:val="00180183"/>
    <w:rsid w:val="0018024D"/>
    <w:rsid w:val="0018649F"/>
    <w:rsid w:val="00196389"/>
    <w:rsid w:val="001B3EF6"/>
    <w:rsid w:val="001C7A89"/>
    <w:rsid w:val="001D6A30"/>
    <w:rsid w:val="00217D36"/>
    <w:rsid w:val="002A2EFC"/>
    <w:rsid w:val="002C0E18"/>
    <w:rsid w:val="002D5AAC"/>
    <w:rsid w:val="002F405F"/>
    <w:rsid w:val="00301299"/>
    <w:rsid w:val="003067C5"/>
    <w:rsid w:val="00307FB6"/>
    <w:rsid w:val="00317339"/>
    <w:rsid w:val="00322004"/>
    <w:rsid w:val="003402C2"/>
    <w:rsid w:val="00356E51"/>
    <w:rsid w:val="00381C24"/>
    <w:rsid w:val="00382A13"/>
    <w:rsid w:val="003958D0"/>
    <w:rsid w:val="003B00E5"/>
    <w:rsid w:val="00407B78"/>
    <w:rsid w:val="00424203"/>
    <w:rsid w:val="00452493"/>
    <w:rsid w:val="00454E07"/>
    <w:rsid w:val="00462E81"/>
    <w:rsid w:val="0050108D"/>
    <w:rsid w:val="00505971"/>
    <w:rsid w:val="00513081"/>
    <w:rsid w:val="00517901"/>
    <w:rsid w:val="00526683"/>
    <w:rsid w:val="005709E0"/>
    <w:rsid w:val="00572E19"/>
    <w:rsid w:val="005961C8"/>
    <w:rsid w:val="005D7914"/>
    <w:rsid w:val="005F0B42"/>
    <w:rsid w:val="00681A10"/>
    <w:rsid w:val="006C08D0"/>
    <w:rsid w:val="006C2031"/>
    <w:rsid w:val="006D461A"/>
    <w:rsid w:val="006E7495"/>
    <w:rsid w:val="006F35EE"/>
    <w:rsid w:val="007021FF"/>
    <w:rsid w:val="00712895"/>
    <w:rsid w:val="00740428"/>
    <w:rsid w:val="00757357"/>
    <w:rsid w:val="00825F8D"/>
    <w:rsid w:val="0083326A"/>
    <w:rsid w:val="00834B71"/>
    <w:rsid w:val="00844557"/>
    <w:rsid w:val="0086445C"/>
    <w:rsid w:val="00894693"/>
    <w:rsid w:val="008A08D7"/>
    <w:rsid w:val="008B6909"/>
    <w:rsid w:val="00906890"/>
    <w:rsid w:val="00911BE4"/>
    <w:rsid w:val="0093114A"/>
    <w:rsid w:val="00951972"/>
    <w:rsid w:val="009608F3"/>
    <w:rsid w:val="009C5087"/>
    <w:rsid w:val="00A312BC"/>
    <w:rsid w:val="00A84021"/>
    <w:rsid w:val="00A917B3"/>
    <w:rsid w:val="00AB4B51"/>
    <w:rsid w:val="00AC611E"/>
    <w:rsid w:val="00B10CC7"/>
    <w:rsid w:val="00B4174A"/>
    <w:rsid w:val="00B539E7"/>
    <w:rsid w:val="00B62458"/>
    <w:rsid w:val="00BC6C8F"/>
    <w:rsid w:val="00BD33EE"/>
    <w:rsid w:val="00BF4DE6"/>
    <w:rsid w:val="00C106D6"/>
    <w:rsid w:val="00C6040D"/>
    <w:rsid w:val="00C60F0C"/>
    <w:rsid w:val="00C805C9"/>
    <w:rsid w:val="00C92939"/>
    <w:rsid w:val="00CA1679"/>
    <w:rsid w:val="00CB151C"/>
    <w:rsid w:val="00CE5A1A"/>
    <w:rsid w:val="00CF55F6"/>
    <w:rsid w:val="00D33D63"/>
    <w:rsid w:val="00D8412A"/>
    <w:rsid w:val="00D90138"/>
    <w:rsid w:val="00DE4223"/>
    <w:rsid w:val="00E73F76"/>
    <w:rsid w:val="00E876C3"/>
    <w:rsid w:val="00EA2C9F"/>
    <w:rsid w:val="00ED0BDA"/>
    <w:rsid w:val="00EE7EDE"/>
    <w:rsid w:val="00EF1360"/>
    <w:rsid w:val="00EF3220"/>
    <w:rsid w:val="00F41231"/>
    <w:rsid w:val="00F4145E"/>
    <w:rsid w:val="00F94155"/>
    <w:rsid w:val="00FD2EF7"/>
    <w:rsid w:val="00FD6905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638A23"/>
  <w15:docId w15:val="{A286F5C0-184B-4A68-A97B-1ABF9CFF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DE4223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DE4223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DE4223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DE42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DE422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DE422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DE4223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DE4223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DE4223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DE422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DE4223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DE4223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DE4223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DE4223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DE422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DE422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DE4223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DE422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DE422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DE4223"/>
    <w:pPr>
      <w:numPr>
        <w:numId w:val="3"/>
      </w:numPr>
    </w:pPr>
  </w:style>
  <w:style w:type="numbering" w:styleId="1ai">
    <w:name w:val="Outline List 1"/>
    <w:basedOn w:val="Sinlista"/>
    <w:rsid w:val="00DE4223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DE4223"/>
  </w:style>
  <w:style w:type="numbering" w:styleId="ArtculoSeccin">
    <w:name w:val="Outline List 3"/>
    <w:basedOn w:val="Sinlista"/>
    <w:rsid w:val="00DE4223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DE4223"/>
    <w:pPr>
      <w:ind w:left="4252"/>
    </w:pPr>
  </w:style>
  <w:style w:type="character" w:styleId="CitaHTML">
    <w:name w:val="HTML Cite"/>
    <w:semiHidden/>
    <w:rsid w:val="00DE4223"/>
    <w:rPr>
      <w:i/>
      <w:iCs/>
    </w:rPr>
  </w:style>
  <w:style w:type="character" w:styleId="CdigoHTML">
    <w:name w:val="HTML Code"/>
    <w:semiHidden/>
    <w:rsid w:val="00DE4223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DE4223"/>
    <w:pPr>
      <w:spacing w:after="120"/>
      <w:ind w:left="283"/>
    </w:pPr>
  </w:style>
  <w:style w:type="paragraph" w:styleId="Continuarlista2">
    <w:name w:val="List Continue 2"/>
    <w:basedOn w:val="Normal"/>
    <w:semiHidden/>
    <w:rsid w:val="00DE4223"/>
    <w:pPr>
      <w:spacing w:after="120"/>
      <w:ind w:left="566"/>
    </w:pPr>
  </w:style>
  <w:style w:type="paragraph" w:styleId="Continuarlista3">
    <w:name w:val="List Continue 3"/>
    <w:basedOn w:val="Normal"/>
    <w:semiHidden/>
    <w:rsid w:val="00DE4223"/>
    <w:pPr>
      <w:spacing w:after="120"/>
      <w:ind w:left="849"/>
    </w:pPr>
  </w:style>
  <w:style w:type="paragraph" w:styleId="Continuarlista4">
    <w:name w:val="List Continue 4"/>
    <w:basedOn w:val="Normal"/>
    <w:semiHidden/>
    <w:rsid w:val="00DE4223"/>
    <w:pPr>
      <w:spacing w:after="120"/>
      <w:ind w:left="1132"/>
    </w:pPr>
  </w:style>
  <w:style w:type="paragraph" w:styleId="Continuarlista5">
    <w:name w:val="List Continue 5"/>
    <w:basedOn w:val="Normal"/>
    <w:semiHidden/>
    <w:rsid w:val="00DE4223"/>
    <w:pPr>
      <w:spacing w:after="120"/>
      <w:ind w:left="1415"/>
    </w:pPr>
  </w:style>
  <w:style w:type="character" w:styleId="DefinicinHTML">
    <w:name w:val="HTML Definition"/>
    <w:semiHidden/>
    <w:rsid w:val="00DE4223"/>
    <w:rPr>
      <w:i/>
      <w:iCs/>
    </w:rPr>
  </w:style>
  <w:style w:type="paragraph" w:styleId="DireccinHTML">
    <w:name w:val="HTML Address"/>
    <w:basedOn w:val="Normal"/>
    <w:link w:val="DireccinHTMLCar"/>
    <w:semiHidden/>
    <w:rsid w:val="00DE4223"/>
    <w:rPr>
      <w:i/>
      <w:iCs/>
    </w:rPr>
  </w:style>
  <w:style w:type="paragraph" w:styleId="Direccinsobre">
    <w:name w:val="envelope address"/>
    <w:basedOn w:val="Normal"/>
    <w:semiHidden/>
    <w:rsid w:val="00DE4223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DE4223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DE422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DE4223"/>
  </w:style>
  <w:style w:type="character" w:styleId="nfasis">
    <w:name w:val="Emphasis"/>
    <w:semiHidden/>
    <w:rsid w:val="00DE4223"/>
    <w:rPr>
      <w:i/>
      <w:iCs/>
    </w:rPr>
  </w:style>
  <w:style w:type="paragraph" w:styleId="Fecha">
    <w:name w:val="Date"/>
    <w:basedOn w:val="Normal"/>
    <w:next w:val="Normal"/>
    <w:link w:val="FechaCar"/>
    <w:semiHidden/>
    <w:rsid w:val="00DE4223"/>
  </w:style>
  <w:style w:type="paragraph" w:styleId="Firma">
    <w:name w:val="Signature"/>
    <w:basedOn w:val="Normal"/>
    <w:link w:val="FirmaCar"/>
    <w:semiHidden/>
    <w:rsid w:val="00DE4223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DE4223"/>
  </w:style>
  <w:style w:type="character" w:styleId="Hipervnculo">
    <w:name w:val="Hyperlink"/>
    <w:uiPriority w:val="4"/>
    <w:rsid w:val="00DE4223"/>
    <w:rPr>
      <w:color w:val="0000FF"/>
      <w:u w:val="none"/>
    </w:rPr>
  </w:style>
  <w:style w:type="character" w:styleId="Hipervnculovisitado">
    <w:name w:val="FollowedHyperlink"/>
    <w:uiPriority w:val="4"/>
    <w:rsid w:val="00DE4223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DE4223"/>
    <w:rPr>
      <w:rFonts w:ascii="Courier New" w:hAnsi="Courier New" w:cs="Courier New"/>
    </w:rPr>
  </w:style>
  <w:style w:type="paragraph" w:styleId="Lista">
    <w:name w:val="List"/>
    <w:basedOn w:val="Normal"/>
    <w:semiHidden/>
    <w:rsid w:val="00DE4223"/>
    <w:pPr>
      <w:ind w:left="283" w:hanging="283"/>
    </w:pPr>
  </w:style>
  <w:style w:type="paragraph" w:styleId="Lista2">
    <w:name w:val="List 2"/>
    <w:basedOn w:val="Normal"/>
    <w:semiHidden/>
    <w:rsid w:val="00DE4223"/>
    <w:pPr>
      <w:ind w:left="566" w:hanging="283"/>
    </w:pPr>
  </w:style>
  <w:style w:type="paragraph" w:styleId="Lista3">
    <w:name w:val="List 3"/>
    <w:basedOn w:val="Normal"/>
    <w:semiHidden/>
    <w:rsid w:val="00DE4223"/>
    <w:pPr>
      <w:ind w:left="849" w:hanging="283"/>
    </w:pPr>
  </w:style>
  <w:style w:type="paragraph" w:styleId="Lista4">
    <w:name w:val="List 4"/>
    <w:basedOn w:val="Normal"/>
    <w:semiHidden/>
    <w:rsid w:val="00DE4223"/>
    <w:pPr>
      <w:ind w:left="1132" w:hanging="283"/>
    </w:pPr>
  </w:style>
  <w:style w:type="paragraph" w:styleId="Lista5">
    <w:name w:val="List 5"/>
    <w:basedOn w:val="Normal"/>
    <w:semiHidden/>
    <w:rsid w:val="00DE4223"/>
    <w:pPr>
      <w:ind w:left="1415" w:hanging="283"/>
    </w:pPr>
  </w:style>
  <w:style w:type="paragraph" w:styleId="Listaconnmeros">
    <w:name w:val="List Number"/>
    <w:basedOn w:val="Normal"/>
    <w:semiHidden/>
    <w:rsid w:val="00DE4223"/>
    <w:pPr>
      <w:numPr>
        <w:numId w:val="30"/>
      </w:numPr>
    </w:pPr>
  </w:style>
  <w:style w:type="paragraph" w:styleId="Listaconnmeros2">
    <w:name w:val="List Number 2"/>
    <w:basedOn w:val="Normal"/>
    <w:semiHidden/>
    <w:rsid w:val="00DE4223"/>
    <w:pPr>
      <w:numPr>
        <w:numId w:val="31"/>
      </w:numPr>
    </w:pPr>
  </w:style>
  <w:style w:type="paragraph" w:styleId="Listaconnmeros3">
    <w:name w:val="List Number 3"/>
    <w:basedOn w:val="Normal"/>
    <w:semiHidden/>
    <w:rsid w:val="00DE4223"/>
    <w:pPr>
      <w:numPr>
        <w:numId w:val="32"/>
      </w:numPr>
    </w:pPr>
  </w:style>
  <w:style w:type="paragraph" w:styleId="Listaconnmeros4">
    <w:name w:val="List Number 4"/>
    <w:basedOn w:val="Normal"/>
    <w:semiHidden/>
    <w:rsid w:val="00DE4223"/>
    <w:pPr>
      <w:numPr>
        <w:numId w:val="33"/>
      </w:numPr>
    </w:pPr>
  </w:style>
  <w:style w:type="paragraph" w:styleId="Listaconnmeros5">
    <w:name w:val="List Number 5"/>
    <w:basedOn w:val="Normal"/>
    <w:semiHidden/>
    <w:rsid w:val="00DE4223"/>
    <w:pPr>
      <w:numPr>
        <w:numId w:val="34"/>
      </w:numPr>
    </w:pPr>
  </w:style>
  <w:style w:type="paragraph" w:styleId="Listaconvietas">
    <w:name w:val="List Bullet"/>
    <w:basedOn w:val="Normal"/>
    <w:semiHidden/>
    <w:rsid w:val="00DE4223"/>
    <w:pPr>
      <w:numPr>
        <w:numId w:val="25"/>
      </w:numPr>
    </w:pPr>
  </w:style>
  <w:style w:type="paragraph" w:styleId="Listaconvietas2">
    <w:name w:val="List Bullet 2"/>
    <w:basedOn w:val="Normal"/>
    <w:semiHidden/>
    <w:rsid w:val="00DE4223"/>
    <w:pPr>
      <w:numPr>
        <w:numId w:val="26"/>
      </w:numPr>
    </w:pPr>
  </w:style>
  <w:style w:type="paragraph" w:styleId="Listaconvietas3">
    <w:name w:val="List Bullet 3"/>
    <w:basedOn w:val="Normal"/>
    <w:semiHidden/>
    <w:rsid w:val="00DE4223"/>
    <w:pPr>
      <w:numPr>
        <w:numId w:val="27"/>
      </w:numPr>
    </w:pPr>
  </w:style>
  <w:style w:type="paragraph" w:styleId="Listaconvietas4">
    <w:name w:val="List Bullet 4"/>
    <w:basedOn w:val="Normal"/>
    <w:semiHidden/>
    <w:rsid w:val="00DE4223"/>
    <w:pPr>
      <w:numPr>
        <w:numId w:val="28"/>
      </w:numPr>
    </w:pPr>
  </w:style>
  <w:style w:type="paragraph" w:styleId="Listaconvietas5">
    <w:name w:val="List Bullet 5"/>
    <w:basedOn w:val="Normal"/>
    <w:semiHidden/>
    <w:rsid w:val="00DE4223"/>
    <w:pPr>
      <w:numPr>
        <w:numId w:val="29"/>
      </w:numPr>
    </w:pPr>
  </w:style>
  <w:style w:type="character" w:styleId="MquinadeescribirHTML">
    <w:name w:val="HTML Typewriter"/>
    <w:semiHidden/>
    <w:rsid w:val="00DE4223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E4223"/>
    <w:rPr>
      <w:sz w:val="24"/>
      <w:szCs w:val="24"/>
    </w:rPr>
  </w:style>
  <w:style w:type="character" w:styleId="Nmerodelnea">
    <w:name w:val="line number"/>
    <w:basedOn w:val="Fuentedeprrafopredeter"/>
    <w:semiHidden/>
    <w:rsid w:val="00DE4223"/>
  </w:style>
  <w:style w:type="character" w:styleId="Nmerodepgina">
    <w:name w:val="page number"/>
    <w:aliases w:val="7_G"/>
    <w:uiPriority w:val="3"/>
    <w:qFormat/>
    <w:rsid w:val="00DE4223"/>
    <w:rPr>
      <w:b/>
      <w:sz w:val="18"/>
    </w:rPr>
  </w:style>
  <w:style w:type="character" w:styleId="Refdenotaalfinal">
    <w:name w:val="endnote reference"/>
    <w:aliases w:val="1_G"/>
    <w:uiPriority w:val="3"/>
    <w:qFormat/>
    <w:rsid w:val="00DE4223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DE4223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DE4223"/>
  </w:style>
  <w:style w:type="paragraph" w:styleId="Sangra2detindependiente">
    <w:name w:val="Body Text Indent 2"/>
    <w:basedOn w:val="Normal"/>
    <w:link w:val="Sangra2detindependienteCar"/>
    <w:semiHidden/>
    <w:rsid w:val="00DE4223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DE4223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DE4223"/>
    <w:pPr>
      <w:spacing w:after="120"/>
      <w:ind w:left="283"/>
    </w:pPr>
  </w:style>
  <w:style w:type="paragraph" w:styleId="Sangranormal">
    <w:name w:val="Normal Indent"/>
    <w:basedOn w:val="Normal"/>
    <w:semiHidden/>
    <w:rsid w:val="00DE4223"/>
    <w:pPr>
      <w:ind w:left="567"/>
    </w:pPr>
  </w:style>
  <w:style w:type="paragraph" w:styleId="Subttulo">
    <w:name w:val="Subtitle"/>
    <w:basedOn w:val="Normal"/>
    <w:link w:val="SubttuloCar"/>
    <w:semiHidden/>
    <w:rsid w:val="00DE4223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DE4223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DE4223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DE4223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DE4223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DE4223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DE4223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DE4223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DE4223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DE4223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DE4223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DE4223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DE4223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DE4223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DE4223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DE4223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DE4223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DE4223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DE4223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DE4223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DE4223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DE4223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DE4223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DE4223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DE4223"/>
    <w:pPr>
      <w:spacing w:after="120"/>
      <w:ind w:left="1440" w:right="1440"/>
    </w:pPr>
  </w:style>
  <w:style w:type="character" w:styleId="Textoennegrita">
    <w:name w:val="Strong"/>
    <w:semiHidden/>
    <w:rsid w:val="00DE4223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DE4223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DE4223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DE4223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DE4223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DE4223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DE4223"/>
  </w:style>
  <w:style w:type="paragraph" w:styleId="Textosinformato">
    <w:name w:val="Plain Text"/>
    <w:basedOn w:val="Normal"/>
    <w:link w:val="TextosinformatoCar"/>
    <w:semiHidden/>
    <w:rsid w:val="00DE4223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DE422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DE4223"/>
    <w:rPr>
      <w:i/>
      <w:iCs/>
    </w:rPr>
  </w:style>
  <w:style w:type="paragraph" w:customStyle="1" w:styleId="Bullet1G">
    <w:name w:val="_Bullet 1_G"/>
    <w:basedOn w:val="Normal"/>
    <w:uiPriority w:val="1"/>
    <w:qFormat/>
    <w:rsid w:val="00DE4223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DE4223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DE422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E4223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DE4223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DE4223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DE4223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DE4223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E4223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DE4223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DE4223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DE4223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DE4223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DE4223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DE4223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DE4223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DE4223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DE4223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DE4223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DE4223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DE4223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DE4223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DE4223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DE4223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DE4223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DE4223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semiHidden/>
    <w:rsid w:val="00DE4223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DE422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DE4223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DE4223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DE4223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DE4223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DE4223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DE4223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DE4223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DE4223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DE4223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DE4223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DE4223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DE4223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DE4223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DE4223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DE4223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DE4223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DE4223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DE4223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DE42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2</Pages>
  <Words>664</Words>
  <Characters>3609</Characters>
  <Application>Microsoft Office Word</Application>
  <DocSecurity>0</DocSecurity>
  <Lines>68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CAT/C/ARM/FCO/5</vt:lpstr>
    </vt:vector>
  </TitlesOfParts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CAT/C/ARM/FCO/5</dc:title>
  <dc:subject/>
  <dc:creator>Javier RODRIGUEZ PEREZ</dc:creator>
  <cp:keywords/>
  <cp:lastModifiedBy>Javier Rodriguez Perez</cp:lastModifiedBy>
  <cp:revision>3</cp:revision>
  <cp:lastPrinted>2025-05-23T08:58:00Z</cp:lastPrinted>
  <dcterms:created xsi:type="dcterms:W3CDTF">2025-05-23T08:58:00Z</dcterms:created>
  <dcterms:modified xsi:type="dcterms:W3CDTF">2025-05-23T08:59:00Z</dcterms:modified>
</cp:coreProperties>
</file>