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España figura en el documento CEDAW/C/5/Add.30, examinado por el Comité en su sexto período de sesiones. El segundo informe periódico presentado por el Gobierno de España figura en el documento CEDAW/C/13/Add.19, examinado por el Comité en su 11° período de sesiones. El tercer informe periódico presentado por el Gobierno de España figura en el documento CEDAW/C/ESP/3, examinado por el Comité en su 21° período de sesiones. El cuarto informe periódico presentado por el Gobierno de España figura en el documento CEDAW/C/ESP/4, examinado por el Comité en su 21° período de s</w:t>
      </w:r>
      <w:r>
        <w:rPr>
          <w:sz w:val="17"/>
        </w:rPr>
        <w:t>e</w:t>
      </w:r>
      <w:r>
        <w:rPr>
          <w:sz w:val="17"/>
        </w:rPr>
        <w:t>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presente documento se publica sin revisión editorial.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España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1. Definición de discriminación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2. Obligación de eliminar la discriminación</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Artículo 3. Avance de la mujer y garantía del ejercicio de los derechos humanos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 4. Medidas de acción positiva</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5. Roles y estereotipos de los sexos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6. Tráfico y prostitución</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7. Vida política y pública</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8. Representación y participación internacional</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10. Educación</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11. Empleo</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Artículo 12. Salud</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13. Beneficios sociales y económicos</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14. Mujeres rurales</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Artículos 15 y 16. Igualdad en el derecho civil</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Exclusión</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Medidas realizadas para combatir la violencia contra las mujeres</w:t>
            </w:r>
            <w:r>
              <w:rPr>
                <w:spacing w:val="60"/>
                <w:sz w:val="17"/>
              </w:rPr>
              <w:tab/>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Anexos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1.</w:t>
            </w:r>
            <w:r>
              <w:tab/>
              <w:t>Legislación y jurisprudencia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2.</w:t>
            </w:r>
            <w:r>
              <w:tab/>
              <w:t>Información relativa a las Comunidades Autónomas de: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Andalucía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Aragón</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Asturias</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Baleares</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Canarias</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Cantabria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Castilla-León</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Cataluña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Ceuta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Extremadura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Galicia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La Rioja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Madrid</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Murcia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Melilla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Navarra</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pPr>
            <w:r>
              <w:tab/>
            </w:r>
            <w:r>
              <w:tab/>
              <w:t>País Vasco</w:t>
            </w:r>
          </w:p>
        </w:tc>
        <w:tc>
          <w:tcPr>
            <w:tcW w:w="792" w:type="dxa"/>
            <w:vAlign w:val="bottom"/>
          </w:tcPr>
          <w:p w:rsidR="00000000" w:rsidRDefault="00000000">
            <w:pPr>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Valencia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pPr>
            <w:r>
              <w:tab/>
              <w:t>3.</w:t>
            </w:r>
            <w:r>
              <w:tab/>
              <w:t>Información relativa a las Organizaciones participantes en el Consejo Rector del Instituto de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Confederación Española para el Lobby Europeo de Mujeres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Federación de la Mujer Rural (FEMUR)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Federación Nacional de Mujeres para la Democracia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Organización de Mujeres Empresarias y Gerencia Activa (OMEGA)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Secretarías de la Mujer de los Sindicatos: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r>
            <w:r>
              <w:tab/>
              <w:t>Comisiones Obreras (CCOO)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r>
            <w:r>
              <w:tab/>
              <w:t>Unión General de Trabajadores (UGT)</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4.</w:t>
            </w:r>
            <w:r>
              <w:tab/>
              <w:t>Planes de Acción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Plan de Acción para el Empleo del Reino de España 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Plan Nacional de Inclusión Social (2001-2003)</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Plan Integral de Apoyo a la Familia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III Plan para la Igualdad de Oportunidades entre Mujeres y Hombres (1997-2000)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Primer Plan de Acción contra la Violencia Doméstica (1996-2000)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II Plan Integral contra la Violencia Doméstica (2000-2004)</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5.</w:t>
            </w:r>
            <w:r>
              <w:tab/>
              <w:t>Otras publicaciones: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Protocolo Sanitario ante los malos tratos domésticos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La violencia contra las mujeres. Resultados de la macroencuesta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pPr>
            <w:r>
              <w:tab/>
            </w:r>
            <w:r>
              <w:tab/>
              <w:t>Síntesis de resultados de la evaluación del III Plan para la Igualdad de Oportunidades entre mujeres y hombres (1997-2000)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Oportunidades entre mujeres y hombres (1997-2000)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Informe de ejecución del Plan de Acción contra la violencia doméstica (1996-2000)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r>
            <w:r>
              <w:tab/>
              <w:t>Informe del Observatorio de la Publicidad Sexista 2001</w:t>
            </w:r>
          </w:p>
        </w:tc>
        <w:tc>
          <w:tcPr>
            <w:tcW w:w="792" w:type="dxa"/>
            <w:vAlign w:val="bottom"/>
          </w:tcPr>
          <w:p w:rsidR="00000000" w:rsidRDefault="00000000">
            <w:pPr>
              <w:spacing w:after="120"/>
              <w:ind w:right="40"/>
              <w:jc w:val="right"/>
            </w:pPr>
          </w:p>
        </w:tc>
      </w:tr>
    </w:tbl>
    <w:p w:rsidR="00000000" w:rsidRDefault="00000000">
      <w:pPr>
        <w:pStyle w:val="SingleTxt"/>
      </w:pPr>
    </w:p>
    <w:p w:rsidR="00000000" w:rsidRDefault="00000000">
      <w:pPr>
        <w:tabs>
          <w:tab w:val="left" w:pos="9356"/>
        </w:tabs>
        <w:ind w:left="1134" w:right="565"/>
        <w:jc w:val="center"/>
        <w:rPr>
          <w:rFonts w:ascii="Arial" w:hAnsi="Arial"/>
          <w:b/>
        </w:rPr>
      </w:pPr>
      <w:r>
        <w:br w:type="page"/>
      </w:r>
      <w:r>
        <w:rPr>
          <w:rFonts w:ascii="Arial" w:hAnsi="Arial"/>
          <w:b/>
        </w:rPr>
        <w:t xml:space="preserve">Anexo de Legislación y Jurisprudencia en relación con el articulado de la Convención </w:t>
      </w:r>
      <w:r>
        <w:rPr>
          <w:rStyle w:val="FootnoteReference"/>
          <w:rFonts w:ascii="Arial" w:hAnsi="Arial"/>
          <w:b/>
        </w:rPr>
        <w:footnoteReference w:id="1"/>
      </w:r>
    </w:p>
    <w:p w:rsidR="00000000" w:rsidRDefault="00000000">
      <w:pPr>
        <w:ind w:left="1134" w:right="565"/>
        <w:jc w:val="both"/>
        <w:rPr>
          <w:rFonts w:ascii="Arial" w:hAnsi="Arial"/>
        </w:rPr>
      </w:pPr>
    </w:p>
    <w:p w:rsidR="00000000" w:rsidRDefault="00000000">
      <w:pPr>
        <w:ind w:left="1134" w:right="565"/>
        <w:jc w:val="both"/>
        <w:rPr>
          <w:rFonts w:ascii="Arial" w:hAnsi="Arial"/>
        </w:rPr>
      </w:pPr>
    </w:p>
    <w:p w:rsidR="00000000" w:rsidRDefault="00000000">
      <w:pPr>
        <w:ind w:left="1134" w:right="565"/>
        <w:jc w:val="both"/>
        <w:rPr>
          <w:rFonts w:ascii="Arial" w:hAnsi="Arial"/>
        </w:rPr>
      </w:pPr>
    </w:p>
    <w:p w:rsidR="00000000" w:rsidRDefault="00000000">
      <w:pPr>
        <w:pStyle w:val="Heading3"/>
        <w:ind w:left="1134"/>
        <w:jc w:val="left"/>
        <w:rPr>
          <w:b/>
        </w:rPr>
      </w:pPr>
      <w:r>
        <w:rPr>
          <w:b/>
        </w:rPr>
        <w:t>Artículo 1</w:t>
      </w:r>
    </w:p>
    <w:p w:rsidR="00000000" w:rsidRDefault="00000000"/>
    <w:p w:rsidR="00000000" w:rsidRDefault="00000000">
      <w:pPr>
        <w:ind w:left="1134" w:right="565"/>
        <w:jc w:val="both"/>
        <w:rPr>
          <w:rFonts w:ascii="Arial" w:hAnsi="Arial"/>
        </w:rPr>
      </w:pPr>
      <w:r>
        <w:rPr>
          <w:rFonts w:ascii="Arial" w:hAnsi="Arial"/>
        </w:rPr>
        <w:t xml:space="preserve">- Sentencia del Tribunal Constitucional 41/1999, de  22 de marzo. </w:t>
      </w:r>
    </w:p>
    <w:p w:rsidR="00000000" w:rsidRDefault="00000000">
      <w:pPr>
        <w:ind w:left="1134" w:right="565"/>
        <w:jc w:val="both"/>
        <w:rPr>
          <w:rFonts w:ascii="Arial" w:hAnsi="Arial"/>
        </w:rPr>
      </w:pPr>
      <w:r>
        <w:rPr>
          <w:rFonts w:ascii="Arial" w:hAnsi="Arial"/>
        </w:rPr>
        <w:t>- Sentencia del Tribunal Constitucional 140/1999, de 22 de julio.</w:t>
      </w:r>
    </w:p>
    <w:p w:rsidR="00000000" w:rsidRDefault="00000000">
      <w:pPr>
        <w:ind w:left="1134" w:right="565"/>
        <w:jc w:val="both"/>
        <w:rPr>
          <w:rFonts w:ascii="Arial" w:hAnsi="Arial"/>
        </w:rPr>
      </w:pPr>
      <w:r>
        <w:rPr>
          <w:rFonts w:ascii="Arial" w:hAnsi="Arial"/>
        </w:rPr>
        <w:t>- Sentencia del Tribunal Constitucional 240/1999, de 20 de diciembre.</w:t>
      </w:r>
    </w:p>
    <w:p w:rsidR="00000000" w:rsidRDefault="00000000">
      <w:pPr>
        <w:ind w:left="1134" w:right="565"/>
        <w:jc w:val="both"/>
        <w:rPr>
          <w:rFonts w:ascii="Arial" w:hAnsi="Arial"/>
        </w:rPr>
      </w:pPr>
      <w:r>
        <w:rPr>
          <w:rFonts w:ascii="Arial" w:hAnsi="Arial"/>
        </w:rPr>
        <w:t>- Sentencia del Tribunal Constitucional 203/2000, de 24 de julio.</w:t>
      </w:r>
    </w:p>
    <w:p w:rsidR="00000000" w:rsidRDefault="00000000">
      <w:pPr>
        <w:ind w:left="1134" w:right="565"/>
        <w:jc w:val="both"/>
        <w:rPr>
          <w:rFonts w:ascii="Arial" w:hAnsi="Arial"/>
        </w:rPr>
      </w:pPr>
      <w:r>
        <w:rPr>
          <w:rFonts w:ascii="Arial" w:hAnsi="Arial"/>
        </w:rPr>
        <w:t xml:space="preserve">- Sentencia del Tribunal Constitucional 236/2000, de16 de octubre. </w:t>
      </w:r>
    </w:p>
    <w:p w:rsidR="00000000" w:rsidRDefault="00000000">
      <w:pPr>
        <w:ind w:left="1134" w:right="565"/>
        <w:jc w:val="both"/>
        <w:rPr>
          <w:rFonts w:ascii="Arial" w:hAnsi="Arial"/>
        </w:rPr>
      </w:pPr>
      <w:r>
        <w:rPr>
          <w:rFonts w:ascii="Arial" w:hAnsi="Arial"/>
        </w:rPr>
        <w:t>- Sentencia del Tribunal Constitucional 250/2000, de 30 de octubre.</w:t>
      </w:r>
    </w:p>
    <w:p w:rsidR="00000000" w:rsidRDefault="00000000">
      <w:pPr>
        <w:ind w:left="1134" w:right="565"/>
        <w:jc w:val="both"/>
        <w:rPr>
          <w:rFonts w:ascii="Arial" w:hAnsi="Arial"/>
        </w:rPr>
      </w:pPr>
      <w:r>
        <w:rPr>
          <w:rFonts w:ascii="Arial" w:hAnsi="Arial"/>
        </w:rPr>
        <w:t>- Sentencia del Tribunal Constitucional 20/2001, de  29 de enero.</w:t>
      </w:r>
    </w:p>
    <w:p w:rsidR="00000000" w:rsidRDefault="00000000">
      <w:pPr>
        <w:ind w:left="1134" w:right="565"/>
        <w:jc w:val="both"/>
        <w:rPr>
          <w:rFonts w:ascii="Arial" w:hAnsi="Arial"/>
        </w:rPr>
      </w:pPr>
      <w:r>
        <w:rPr>
          <w:rFonts w:ascii="Arial" w:hAnsi="Arial"/>
        </w:rPr>
        <w:t>- Sentencia del Tribunal Constitucional 40/2002, de 14 de febrero.</w:t>
      </w:r>
    </w:p>
    <w:p w:rsidR="00000000" w:rsidRDefault="00000000">
      <w:pPr>
        <w:ind w:left="1134" w:right="565"/>
        <w:jc w:val="both"/>
        <w:rPr>
          <w:rFonts w:ascii="Arial" w:hAnsi="Arial"/>
          <w:b/>
        </w:rPr>
      </w:pPr>
    </w:p>
    <w:p w:rsidR="00000000" w:rsidRDefault="00000000">
      <w:pPr>
        <w:ind w:left="1134" w:right="565"/>
        <w:jc w:val="both"/>
        <w:rPr>
          <w:rFonts w:ascii="Arial" w:hAnsi="Arial"/>
          <w:b/>
        </w:rPr>
      </w:pPr>
    </w:p>
    <w:p w:rsidR="00000000" w:rsidRDefault="00000000">
      <w:pPr>
        <w:pStyle w:val="Heading3"/>
        <w:ind w:left="1134"/>
        <w:jc w:val="left"/>
        <w:rPr>
          <w:b/>
          <w:lang w:val="es-ES_tradnl"/>
        </w:rPr>
      </w:pPr>
      <w:r>
        <w:rPr>
          <w:b/>
          <w:lang w:val="es-ES_tradnl"/>
        </w:rPr>
        <w:t>Artículo 4</w:t>
      </w:r>
    </w:p>
    <w:p w:rsidR="00000000" w:rsidRDefault="00000000"/>
    <w:p w:rsidR="00000000" w:rsidRDefault="00000000">
      <w:pPr>
        <w:ind w:left="1134" w:right="565"/>
        <w:jc w:val="both"/>
        <w:rPr>
          <w:rFonts w:ascii="Arial" w:hAnsi="Arial"/>
        </w:rPr>
      </w:pPr>
      <w:r>
        <w:rPr>
          <w:rFonts w:ascii="Arial" w:hAnsi="Arial"/>
        </w:rPr>
        <w:t>- Sentencia del Tribunal Supremo, de 4 de febrero de 2002, de la Sala Tercera</w:t>
      </w:r>
    </w:p>
    <w:p w:rsidR="00000000" w:rsidRDefault="00000000">
      <w:pPr>
        <w:ind w:left="1134" w:right="565"/>
        <w:jc w:val="both"/>
        <w:rPr>
          <w:rFonts w:ascii="Arial" w:hAnsi="Arial"/>
          <w:b/>
        </w:rPr>
      </w:pPr>
    </w:p>
    <w:p w:rsidR="00000000" w:rsidRDefault="00000000">
      <w:pPr>
        <w:ind w:left="1134" w:right="565"/>
        <w:jc w:val="both"/>
        <w:rPr>
          <w:rFonts w:ascii="Arial" w:hAnsi="Arial"/>
          <w:b/>
        </w:rPr>
      </w:pPr>
    </w:p>
    <w:p w:rsidR="00000000" w:rsidRDefault="00000000">
      <w:pPr>
        <w:pStyle w:val="Heading3"/>
        <w:ind w:left="1134"/>
        <w:jc w:val="left"/>
        <w:rPr>
          <w:lang w:val="es-ES_tradnl"/>
        </w:rPr>
      </w:pPr>
      <w:r>
        <w:rPr>
          <w:lang w:val="es-ES_tradnl"/>
        </w:rPr>
        <w:t>Artículo 5</w:t>
      </w:r>
    </w:p>
    <w:p w:rsidR="00000000" w:rsidRDefault="00000000"/>
    <w:p w:rsidR="00000000" w:rsidRDefault="00000000">
      <w:pPr>
        <w:ind w:left="1276" w:right="565" w:hanging="142"/>
        <w:jc w:val="both"/>
        <w:rPr>
          <w:rFonts w:ascii="Arial" w:hAnsi="Arial"/>
        </w:rPr>
      </w:pPr>
      <w:r>
        <w:rPr>
          <w:rFonts w:ascii="Arial" w:hAnsi="Arial"/>
        </w:rPr>
        <w:t>- Real Decreto 1686/2000, de 6 de Octubre, de creación del Observatorio de la Igualdad</w:t>
      </w:r>
    </w:p>
    <w:p w:rsidR="00000000" w:rsidRDefault="00000000">
      <w:pPr>
        <w:ind w:left="1134" w:right="565"/>
        <w:jc w:val="both"/>
        <w:rPr>
          <w:rFonts w:ascii="Arial" w:hAnsi="Arial"/>
          <w:b/>
        </w:rPr>
      </w:pPr>
    </w:p>
    <w:p w:rsidR="00000000" w:rsidRDefault="00000000">
      <w:pPr>
        <w:ind w:left="1134" w:right="565"/>
        <w:jc w:val="both"/>
        <w:rPr>
          <w:rFonts w:ascii="Arial" w:hAnsi="Arial"/>
          <w:b/>
        </w:rPr>
      </w:pPr>
    </w:p>
    <w:p w:rsidR="00000000" w:rsidRDefault="00000000">
      <w:pPr>
        <w:pStyle w:val="Heading3"/>
        <w:ind w:left="1134"/>
        <w:jc w:val="left"/>
        <w:rPr>
          <w:b/>
          <w:lang w:val="es-ES_tradnl"/>
        </w:rPr>
      </w:pPr>
      <w:r>
        <w:rPr>
          <w:b/>
          <w:lang w:val="es-ES_tradnl"/>
        </w:rPr>
        <w:t>Artículo 6</w:t>
      </w:r>
    </w:p>
    <w:p w:rsidR="00000000" w:rsidRDefault="00000000"/>
    <w:p w:rsidR="00000000" w:rsidRDefault="00000000">
      <w:pPr>
        <w:ind w:left="1276" w:right="565" w:hanging="142"/>
        <w:jc w:val="both"/>
        <w:rPr>
          <w:rFonts w:ascii="Arial" w:hAnsi="Arial"/>
        </w:rPr>
      </w:pPr>
      <w:r>
        <w:rPr>
          <w:rFonts w:ascii="Arial" w:hAnsi="Arial"/>
        </w:rPr>
        <w:t>- Ley Orgánica 11/99, de 30 de Abril, por la que se modifican algunos artículos del titulo VIII, del Libro II del Código Penal (De los delitos contra la libertad e indemnidad sexuales)</w:t>
      </w:r>
    </w:p>
    <w:p w:rsidR="00000000" w:rsidRDefault="00000000">
      <w:pPr>
        <w:ind w:left="1276" w:right="565" w:hanging="142"/>
        <w:jc w:val="both"/>
        <w:rPr>
          <w:rFonts w:ascii="Arial" w:hAnsi="Arial"/>
        </w:rPr>
      </w:pPr>
      <w:r>
        <w:rPr>
          <w:rFonts w:ascii="Arial" w:hAnsi="Arial"/>
        </w:rPr>
        <w:t>- Ley Orgánica 4/2000, de 11 de enero, modificada por la Ley Orgánica 8/2000, de 22 de diciembre, sobre derechos y libertades de los extranjeros en España y su integración social</w:t>
      </w:r>
    </w:p>
    <w:p w:rsidR="00000000" w:rsidRDefault="00000000">
      <w:pPr>
        <w:pStyle w:val="Heading3"/>
        <w:ind w:left="1134"/>
        <w:rPr>
          <w:lang w:val="es-ES_tradnl"/>
        </w:rPr>
      </w:pPr>
    </w:p>
    <w:p w:rsidR="00000000" w:rsidRDefault="00000000"/>
    <w:p w:rsidR="00000000" w:rsidRDefault="00000000">
      <w:pPr>
        <w:pStyle w:val="Heading3"/>
        <w:ind w:left="1134"/>
        <w:jc w:val="left"/>
        <w:rPr>
          <w:b/>
          <w:lang w:val="es-ES_tradnl"/>
        </w:rPr>
      </w:pPr>
      <w:r>
        <w:rPr>
          <w:b/>
          <w:lang w:val="es-ES_tradnl"/>
        </w:rPr>
        <w:t>Artículo 7</w:t>
      </w:r>
    </w:p>
    <w:p w:rsidR="00000000" w:rsidRDefault="00000000"/>
    <w:p w:rsidR="00000000" w:rsidRDefault="00000000">
      <w:pPr>
        <w:ind w:left="1276" w:right="565" w:hanging="142"/>
        <w:jc w:val="both"/>
        <w:rPr>
          <w:rFonts w:ascii="Arial" w:hAnsi="Arial"/>
        </w:rPr>
      </w:pPr>
      <w:r>
        <w:rPr>
          <w:rFonts w:ascii="Arial" w:hAnsi="Arial"/>
        </w:rPr>
        <w:t>- Ley 6/2002, de 21 de junio, de modificación de la Ley 8/1986, de 26 de noviembre, Electoral de la Comunidad Autónoma de IIIes Balears</w:t>
      </w:r>
    </w:p>
    <w:p w:rsidR="00000000" w:rsidRDefault="00000000">
      <w:pPr>
        <w:ind w:left="1276" w:right="565" w:hanging="142"/>
        <w:jc w:val="both"/>
        <w:rPr>
          <w:rFonts w:ascii="Arial" w:hAnsi="Arial"/>
        </w:rPr>
      </w:pPr>
      <w:r>
        <w:rPr>
          <w:rFonts w:ascii="Arial" w:hAnsi="Arial"/>
        </w:rPr>
        <w:t>- Ley 11/2002, de 27 de junio, de modificación de la Ley 5/1986, de 23 de diciembre, Electoral de Castilla la Mancha</w:t>
      </w:r>
    </w:p>
    <w:p w:rsidR="00000000" w:rsidRDefault="00000000">
      <w:pPr>
        <w:ind w:left="1134" w:right="565"/>
        <w:jc w:val="both"/>
        <w:rPr>
          <w:rFonts w:ascii="Arial" w:hAnsi="Arial"/>
          <w:b/>
        </w:rPr>
      </w:pPr>
    </w:p>
    <w:p w:rsidR="00000000" w:rsidRDefault="00000000">
      <w:pPr>
        <w:ind w:left="1134" w:right="565"/>
        <w:jc w:val="both"/>
        <w:rPr>
          <w:rFonts w:ascii="Arial" w:hAnsi="Arial"/>
          <w:b/>
        </w:rPr>
      </w:pPr>
    </w:p>
    <w:p w:rsidR="00000000" w:rsidRDefault="00000000">
      <w:pPr>
        <w:pStyle w:val="Heading3"/>
        <w:ind w:left="1134"/>
        <w:rPr>
          <w:lang w:val="es-ES_tradnl"/>
        </w:rPr>
      </w:pPr>
    </w:p>
    <w:p w:rsidR="00000000" w:rsidRDefault="00000000">
      <w:pPr>
        <w:pStyle w:val="Heading3"/>
        <w:ind w:left="1134"/>
        <w:jc w:val="left"/>
        <w:rPr>
          <w:b/>
          <w:lang w:val="es-ES_tradnl"/>
        </w:rPr>
      </w:pPr>
      <w:r>
        <w:rPr>
          <w:b/>
          <w:lang w:val="es-ES_tradnl"/>
        </w:rPr>
        <w:t>Artículo 9</w:t>
      </w:r>
    </w:p>
    <w:p w:rsidR="00000000" w:rsidRDefault="00000000"/>
    <w:p w:rsidR="00000000" w:rsidRDefault="00000000">
      <w:pPr>
        <w:ind w:left="1276" w:right="565" w:hanging="142"/>
        <w:jc w:val="both"/>
        <w:rPr>
          <w:rFonts w:ascii="Arial" w:hAnsi="Arial"/>
        </w:rPr>
      </w:pPr>
      <w:r>
        <w:rPr>
          <w:rFonts w:ascii="Arial" w:hAnsi="Arial"/>
        </w:rPr>
        <w:t>- Ley 36/2002, de 8 de octubre, de modificación del Código civil en materia de nacionalidad.</w:t>
      </w:r>
    </w:p>
    <w:p w:rsidR="00000000" w:rsidRDefault="00000000">
      <w:pPr>
        <w:ind w:left="1134" w:right="565"/>
        <w:jc w:val="both"/>
        <w:rPr>
          <w:rFonts w:ascii="Arial" w:hAnsi="Arial"/>
        </w:rPr>
      </w:pPr>
    </w:p>
    <w:p w:rsidR="00000000" w:rsidRDefault="00000000">
      <w:pPr>
        <w:pStyle w:val="Heading3"/>
        <w:ind w:left="1134"/>
        <w:rPr>
          <w:lang w:val="es-ES_tradnl"/>
        </w:rPr>
      </w:pPr>
    </w:p>
    <w:p w:rsidR="00000000" w:rsidRDefault="00000000">
      <w:pPr>
        <w:pStyle w:val="Heading3"/>
        <w:ind w:left="1134"/>
        <w:jc w:val="left"/>
        <w:rPr>
          <w:b/>
          <w:lang w:val="es-ES_tradnl"/>
        </w:rPr>
      </w:pPr>
      <w:r>
        <w:rPr>
          <w:b/>
        </w:rPr>
        <w:t>Artículo 11</w:t>
      </w:r>
    </w:p>
    <w:p w:rsidR="00000000" w:rsidRDefault="00000000"/>
    <w:p w:rsidR="00000000" w:rsidRDefault="00000000">
      <w:pPr>
        <w:numPr>
          <w:ilvl w:val="0"/>
          <w:numId w:val="2"/>
        </w:numPr>
        <w:ind w:right="565" w:firstLine="720"/>
        <w:jc w:val="both"/>
        <w:rPr>
          <w:rFonts w:ascii="Arial" w:hAnsi="Arial"/>
          <w:b/>
        </w:rPr>
      </w:pPr>
      <w:r>
        <w:rPr>
          <w:rFonts w:ascii="Arial" w:hAnsi="Arial"/>
          <w:b/>
        </w:rPr>
        <w:t>Reformas Laborales</w:t>
      </w:r>
    </w:p>
    <w:p w:rsidR="00000000" w:rsidRDefault="00000000">
      <w:pPr>
        <w:ind w:left="1134" w:right="565"/>
        <w:jc w:val="both"/>
        <w:rPr>
          <w:rFonts w:ascii="Arial" w:hAnsi="Arial"/>
          <w:b/>
        </w:rPr>
      </w:pPr>
    </w:p>
    <w:p w:rsidR="00000000" w:rsidRDefault="00000000">
      <w:pPr>
        <w:ind w:left="1276" w:right="565" w:hanging="142"/>
        <w:jc w:val="both"/>
        <w:rPr>
          <w:rFonts w:ascii="Arial" w:hAnsi="Arial"/>
        </w:rPr>
      </w:pPr>
      <w:r>
        <w:rPr>
          <w:rFonts w:ascii="Arial" w:hAnsi="Arial"/>
        </w:rPr>
        <w:t>- Ley 39/1999, de 5 de noviembre, para promover la conciliación de la vida familiar y laboral de las personas trabajadoras</w:t>
      </w:r>
    </w:p>
    <w:p w:rsidR="00000000" w:rsidRDefault="00000000">
      <w:pPr>
        <w:ind w:left="1276" w:right="565" w:hanging="142"/>
        <w:jc w:val="both"/>
        <w:rPr>
          <w:rFonts w:ascii="Arial" w:hAnsi="Arial"/>
        </w:rPr>
      </w:pPr>
      <w:r>
        <w:rPr>
          <w:rFonts w:ascii="Arial" w:hAnsi="Arial"/>
        </w:rPr>
        <w:t>- Real Decreto Legislativo 5/2000, de 4 de agosto,  por el que se aprueba el texto refundido de la Ley sobre Infracciones y Sanciones en el Orden Social.</w:t>
      </w:r>
    </w:p>
    <w:p w:rsidR="00000000" w:rsidRDefault="00000000">
      <w:pPr>
        <w:ind w:left="1276" w:right="565" w:hanging="142"/>
        <w:jc w:val="both"/>
        <w:rPr>
          <w:rFonts w:ascii="Arial" w:hAnsi="Arial"/>
        </w:rPr>
      </w:pPr>
      <w:r>
        <w:rPr>
          <w:rFonts w:ascii="Arial" w:hAnsi="Arial"/>
        </w:rPr>
        <w:t>- Ley 33/2002, de 5 de julio, de modificación del artículo 28 del texto refundido de la Ley del Estatuto de los Trabajadores, aprobado por Real Decreto Legislativo 1/1995, de 24 de marzo.</w:t>
      </w:r>
    </w:p>
    <w:p w:rsidR="00000000" w:rsidRDefault="00000000">
      <w:pPr>
        <w:ind w:left="1134" w:right="565"/>
        <w:jc w:val="both"/>
        <w:rPr>
          <w:rFonts w:ascii="Arial" w:hAnsi="Arial"/>
        </w:rPr>
      </w:pPr>
    </w:p>
    <w:p w:rsidR="00000000" w:rsidRDefault="00000000">
      <w:pPr>
        <w:numPr>
          <w:ilvl w:val="0"/>
          <w:numId w:val="2"/>
        </w:numPr>
        <w:ind w:right="565" w:firstLine="720"/>
        <w:jc w:val="both"/>
        <w:rPr>
          <w:rFonts w:ascii="Arial" w:hAnsi="Arial"/>
          <w:b/>
        </w:rPr>
      </w:pPr>
      <w:r>
        <w:rPr>
          <w:rFonts w:ascii="Arial" w:hAnsi="Arial"/>
          <w:b/>
        </w:rPr>
        <w:t>Medidas de Fomento de Empleo</w:t>
      </w:r>
    </w:p>
    <w:p w:rsidR="00000000" w:rsidRDefault="00000000">
      <w:pPr>
        <w:ind w:left="1276" w:right="565" w:hanging="142"/>
        <w:jc w:val="both"/>
        <w:rPr>
          <w:rFonts w:ascii="Arial" w:hAnsi="Arial"/>
        </w:rPr>
      </w:pPr>
    </w:p>
    <w:p w:rsidR="00000000" w:rsidRDefault="00000000">
      <w:pPr>
        <w:ind w:left="1276" w:right="565" w:hanging="142"/>
        <w:jc w:val="both"/>
        <w:rPr>
          <w:rFonts w:ascii="Arial" w:hAnsi="Arial"/>
        </w:rPr>
      </w:pPr>
      <w:r>
        <w:rPr>
          <w:rFonts w:ascii="Arial" w:hAnsi="Arial"/>
        </w:rPr>
        <w:t>- Real Decreto – Ley 11/1998, de 4 de septiembre por el que se regulan las bonificaciones de las cuotas a la Seguridad Social de los contratos de interinidad que se celebran con personas desempleadas para sustituir a trabajadoras durante los períodos de descanso por maternidad, adopción y acogimiento.</w:t>
      </w:r>
    </w:p>
    <w:p w:rsidR="00000000" w:rsidRDefault="00000000">
      <w:pPr>
        <w:ind w:left="1276" w:right="565" w:hanging="142"/>
        <w:jc w:val="both"/>
        <w:rPr>
          <w:rFonts w:ascii="Arial" w:hAnsi="Arial"/>
        </w:rPr>
      </w:pPr>
      <w:r>
        <w:rPr>
          <w:rFonts w:ascii="Arial" w:hAnsi="Arial"/>
        </w:rPr>
        <w:t>- Orden de 16 de noviembre de 1998 para el fomento del empleo estable de mujeres en las profesiones y ocupaciones con menor índice de empleo femenino.</w:t>
      </w:r>
    </w:p>
    <w:p w:rsidR="00000000" w:rsidRDefault="00000000">
      <w:pPr>
        <w:ind w:left="1276" w:right="565" w:hanging="142"/>
        <w:jc w:val="both"/>
        <w:rPr>
          <w:rFonts w:ascii="Arial" w:hAnsi="Arial"/>
        </w:rPr>
      </w:pPr>
      <w:r>
        <w:rPr>
          <w:rFonts w:ascii="Arial" w:hAnsi="Arial"/>
        </w:rPr>
        <w:t>- Ley 55/1999,de 29 de diciembre, de Medidas Fiscales, Administrativas y de Orden Social,</w:t>
      </w:r>
    </w:p>
    <w:p w:rsidR="00000000" w:rsidRDefault="00000000">
      <w:pPr>
        <w:ind w:left="1276" w:right="565" w:hanging="142"/>
        <w:jc w:val="both"/>
        <w:rPr>
          <w:rFonts w:ascii="Arial" w:hAnsi="Arial"/>
        </w:rPr>
      </w:pPr>
      <w:r>
        <w:rPr>
          <w:rFonts w:ascii="Arial" w:hAnsi="Arial"/>
        </w:rPr>
        <w:t>- Ley 12/2001, de 9 de julio, de medidas urgentes de reforma del mercado de trabajo para el incremento del empleo y la mejora de su calidad.</w:t>
      </w:r>
    </w:p>
    <w:p w:rsidR="00000000" w:rsidRDefault="00000000">
      <w:pPr>
        <w:ind w:left="1134" w:right="565"/>
        <w:jc w:val="both"/>
        <w:rPr>
          <w:rFonts w:ascii="Arial" w:hAnsi="Arial"/>
          <w:b/>
        </w:rPr>
      </w:pPr>
    </w:p>
    <w:p w:rsidR="00000000" w:rsidRDefault="00000000">
      <w:pPr>
        <w:numPr>
          <w:ilvl w:val="0"/>
          <w:numId w:val="2"/>
        </w:numPr>
        <w:ind w:right="565" w:firstLine="720"/>
        <w:jc w:val="both"/>
        <w:rPr>
          <w:rFonts w:ascii="Arial" w:hAnsi="Arial"/>
          <w:b/>
        </w:rPr>
      </w:pPr>
      <w:r>
        <w:rPr>
          <w:rFonts w:ascii="Arial" w:hAnsi="Arial"/>
          <w:b/>
        </w:rPr>
        <w:t>Seguridad Social</w:t>
      </w:r>
    </w:p>
    <w:p w:rsidR="00000000" w:rsidRDefault="00000000">
      <w:pPr>
        <w:ind w:left="1276" w:right="565" w:hanging="142"/>
        <w:jc w:val="both"/>
        <w:rPr>
          <w:rFonts w:ascii="Arial" w:hAnsi="Arial"/>
        </w:rPr>
      </w:pPr>
    </w:p>
    <w:p w:rsidR="00000000" w:rsidRDefault="00000000">
      <w:pPr>
        <w:ind w:left="1276" w:right="565" w:hanging="142"/>
        <w:jc w:val="both"/>
        <w:rPr>
          <w:rFonts w:ascii="Arial" w:hAnsi="Arial"/>
          <w:snapToGrid w:val="0"/>
          <w:lang w:eastAsia="es-ES"/>
        </w:rPr>
      </w:pPr>
      <w:r>
        <w:rPr>
          <w:rFonts w:ascii="Arial" w:hAnsi="Arial"/>
        </w:rPr>
        <w:t xml:space="preserve">- Real Decreto 144/1999, de 29 de enero, </w:t>
      </w:r>
      <w:r>
        <w:rPr>
          <w:rFonts w:ascii="Arial" w:hAnsi="Arial"/>
          <w:snapToGrid w:val="0"/>
          <w:lang w:eastAsia="es-ES"/>
        </w:rPr>
        <w:t>por el que se desarrolla, en materia de acción protectora de la Seguridad Social, el Real Decreto-Ley 15/1998, de 27 de noviembre, de medidas  urgentes para la mejora del mercado de trabajo en relación con el trabajo a tiempo parcial y el fomento de su estabilidad. (Incluye corrección de errores y Convalidación por el congreso de los Diputados).</w:t>
      </w:r>
    </w:p>
    <w:p w:rsidR="00000000" w:rsidRDefault="00000000">
      <w:pPr>
        <w:ind w:left="1276" w:right="565" w:hanging="142"/>
        <w:jc w:val="both"/>
        <w:rPr>
          <w:rFonts w:ascii="Arial" w:hAnsi="Arial"/>
        </w:rPr>
      </w:pPr>
      <w:r>
        <w:rPr>
          <w:rFonts w:ascii="Arial" w:hAnsi="Arial"/>
        </w:rPr>
        <w:t>- Real Decreto-Ley 1/2000, de 14 de enero, sobre determinadas medidas de mejora de la protección familiar de la Seguridad Social.</w:t>
      </w:r>
    </w:p>
    <w:p w:rsidR="00000000" w:rsidRDefault="00000000">
      <w:pPr>
        <w:ind w:left="1276" w:right="565" w:hanging="142"/>
        <w:jc w:val="both"/>
        <w:rPr>
          <w:rFonts w:ascii="Arial" w:hAnsi="Arial"/>
        </w:rPr>
      </w:pPr>
      <w:r>
        <w:rPr>
          <w:rFonts w:ascii="Arial" w:hAnsi="Arial"/>
        </w:rPr>
        <w:t>- Real Decreto 1368/2000, de 19 de julio, de desarrollo de las prestaciones económicas de pago único por nacimiento de tercer o sucesivos hijos y por parto múltiple.</w:t>
      </w:r>
    </w:p>
    <w:p w:rsidR="00000000" w:rsidRDefault="00000000">
      <w:pPr>
        <w:ind w:left="1276" w:right="565" w:hanging="142"/>
        <w:jc w:val="both"/>
        <w:rPr>
          <w:rFonts w:ascii="Arial" w:hAnsi="Arial"/>
        </w:rPr>
      </w:pPr>
      <w:r>
        <w:rPr>
          <w:rFonts w:ascii="Arial" w:hAnsi="Arial"/>
        </w:rPr>
        <w:t>- Orden de 9 de enero de 2001, por la que se modifica parcialmente la Orden de 18 de julio de 1991, por la que se regula el Convenio especial en el sistema de la Seguridad Social.</w:t>
      </w:r>
    </w:p>
    <w:p w:rsidR="00000000" w:rsidRDefault="00000000">
      <w:pPr>
        <w:ind w:left="1276" w:right="565" w:hanging="142"/>
        <w:jc w:val="both"/>
        <w:rPr>
          <w:rFonts w:ascii="Arial" w:hAnsi="Arial"/>
        </w:rPr>
      </w:pPr>
      <w:r>
        <w:rPr>
          <w:rFonts w:ascii="Arial" w:hAnsi="Arial"/>
        </w:rPr>
        <w:t xml:space="preserve">- Real Decreto 1251/2001, de 16 de noviembre, por el que se regulan las prestaciones económicas del sistema de la Seguridad Social por maternidad y riesgo durante el embarazo. </w:t>
      </w:r>
    </w:p>
    <w:p w:rsidR="00000000" w:rsidRDefault="00000000">
      <w:pPr>
        <w:ind w:left="1276" w:right="565" w:hanging="142"/>
        <w:jc w:val="both"/>
        <w:rPr>
          <w:rFonts w:ascii="Arial" w:hAnsi="Arial"/>
        </w:rPr>
      </w:pPr>
      <w:r>
        <w:rPr>
          <w:rFonts w:ascii="Arial" w:hAnsi="Arial"/>
        </w:rPr>
        <w:t>- Orden de 9 de enero de 2001 de regulación del Convenio Especial de la Seguridad Social.</w:t>
      </w:r>
    </w:p>
    <w:p w:rsidR="00000000" w:rsidRDefault="00000000">
      <w:pPr>
        <w:ind w:left="1276" w:right="565" w:hanging="142"/>
        <w:jc w:val="both"/>
        <w:rPr>
          <w:rFonts w:ascii="Arial" w:hAnsi="Arial"/>
        </w:rPr>
      </w:pPr>
      <w:r>
        <w:rPr>
          <w:rFonts w:ascii="Arial" w:hAnsi="Arial"/>
        </w:rPr>
        <w:t>- Ley 24/2001, de 27 de diciembre, de medidas fiscales, administrativas y del orden social.</w:t>
      </w:r>
    </w:p>
    <w:p w:rsidR="00000000" w:rsidRDefault="00000000">
      <w:pPr>
        <w:ind w:left="1276" w:right="565" w:hanging="142"/>
        <w:jc w:val="both"/>
        <w:rPr>
          <w:rFonts w:ascii="Arial" w:hAnsi="Arial"/>
        </w:rPr>
      </w:pPr>
      <w:r>
        <w:rPr>
          <w:rFonts w:ascii="Arial" w:hAnsi="Arial"/>
        </w:rPr>
        <w:t>- Real Decreto 1465/2001, de 27 de diciembre, de modificación parcial del régimen jurídico de las prestaciones de muerte y supervivencia mantiene la extinción de la pensión de viudedad</w:t>
      </w:r>
    </w:p>
    <w:p w:rsidR="00000000" w:rsidRDefault="00000000">
      <w:pPr>
        <w:ind w:left="1134" w:right="565"/>
        <w:jc w:val="both"/>
        <w:rPr>
          <w:rFonts w:ascii="Arial" w:hAnsi="Arial"/>
        </w:rPr>
      </w:pPr>
      <w:r>
        <w:rPr>
          <w:rFonts w:ascii="Arial" w:hAnsi="Arial"/>
        </w:rPr>
        <w:t>- Jurisprudencia en materia laboral y de la Seguridad Social</w:t>
      </w:r>
    </w:p>
    <w:p w:rsidR="00000000" w:rsidRDefault="00000000">
      <w:pPr>
        <w:ind w:left="1134" w:right="565"/>
        <w:jc w:val="both"/>
        <w:rPr>
          <w:rFonts w:ascii="Arial" w:hAnsi="Arial"/>
        </w:rPr>
      </w:pPr>
    </w:p>
    <w:p w:rsidR="00000000" w:rsidRDefault="00000000">
      <w:pPr>
        <w:ind w:left="1134" w:right="565"/>
        <w:jc w:val="both"/>
        <w:rPr>
          <w:rFonts w:ascii="Arial" w:hAnsi="Arial"/>
        </w:rPr>
      </w:pPr>
    </w:p>
    <w:p w:rsidR="00000000" w:rsidRDefault="00000000">
      <w:pPr>
        <w:pStyle w:val="Heading3"/>
        <w:ind w:left="1134"/>
        <w:jc w:val="left"/>
        <w:rPr>
          <w:b/>
          <w:lang w:val="es-ES_tradnl"/>
        </w:rPr>
      </w:pPr>
      <w:r>
        <w:rPr>
          <w:b/>
          <w:lang w:val="es-ES_tradnl"/>
        </w:rPr>
        <w:t>Artículo 15 y 16</w:t>
      </w:r>
    </w:p>
    <w:p w:rsidR="00000000" w:rsidRDefault="00000000"/>
    <w:p w:rsidR="00000000" w:rsidRDefault="00000000">
      <w:pPr>
        <w:ind w:left="1276" w:right="565" w:hanging="142"/>
        <w:jc w:val="both"/>
        <w:rPr>
          <w:rFonts w:ascii="Arial" w:hAnsi="Arial"/>
        </w:rPr>
      </w:pPr>
      <w:r>
        <w:rPr>
          <w:rFonts w:ascii="Arial" w:hAnsi="Arial"/>
        </w:rPr>
        <w:t>- Ley 40/1999, de 5 de noviembre, sobre nombre y apellidos y orden de los mismos</w:t>
      </w:r>
    </w:p>
    <w:p w:rsidR="00000000" w:rsidRDefault="00000000">
      <w:pPr>
        <w:ind w:left="1276" w:right="565" w:hanging="142"/>
        <w:jc w:val="both"/>
        <w:rPr>
          <w:rFonts w:ascii="Arial" w:hAnsi="Arial"/>
        </w:rPr>
      </w:pPr>
      <w:r>
        <w:rPr>
          <w:rFonts w:ascii="Arial" w:hAnsi="Arial"/>
        </w:rPr>
        <w:t>- Real Decreto 193/2000, de 11 de febrero, de modificación de determinados artículos del Reglamento del Registro Civil</w:t>
      </w:r>
    </w:p>
    <w:p w:rsidR="00000000" w:rsidRDefault="00000000">
      <w:pPr>
        <w:ind w:left="1134" w:right="565"/>
        <w:jc w:val="both"/>
        <w:rPr>
          <w:rFonts w:ascii="Arial" w:hAnsi="Arial"/>
        </w:rPr>
      </w:pPr>
      <w:r>
        <w:rPr>
          <w:rFonts w:ascii="Arial" w:hAnsi="Arial"/>
        </w:rPr>
        <w:t>- Jurisprudencia civil</w:t>
      </w:r>
    </w:p>
    <w:p w:rsidR="00000000" w:rsidRDefault="00000000">
      <w:pPr>
        <w:ind w:left="1134" w:right="565"/>
        <w:jc w:val="both"/>
        <w:rPr>
          <w:rFonts w:ascii="Arial" w:hAnsi="Arial"/>
          <w:b/>
        </w:rPr>
      </w:pPr>
    </w:p>
    <w:p w:rsidR="00000000" w:rsidRDefault="00000000">
      <w:pPr>
        <w:ind w:left="1134" w:right="565"/>
        <w:jc w:val="both"/>
        <w:rPr>
          <w:rFonts w:ascii="Arial" w:hAnsi="Arial"/>
          <w:b/>
        </w:rPr>
      </w:pPr>
      <w:r>
        <w:rPr>
          <w:rFonts w:ascii="Arial" w:hAnsi="Arial"/>
          <w:b/>
        </w:rPr>
        <w:t>Violencia:</w:t>
      </w:r>
    </w:p>
    <w:p w:rsidR="00000000" w:rsidRDefault="00000000">
      <w:pPr>
        <w:ind w:left="1134" w:right="565"/>
        <w:jc w:val="both"/>
        <w:rPr>
          <w:rFonts w:ascii="Arial" w:hAnsi="Arial"/>
          <w:b/>
        </w:rPr>
      </w:pPr>
    </w:p>
    <w:p w:rsidR="00000000" w:rsidRDefault="00000000">
      <w:pPr>
        <w:ind w:left="1276" w:right="565" w:hanging="142"/>
        <w:jc w:val="both"/>
        <w:rPr>
          <w:rFonts w:ascii="Arial" w:hAnsi="Arial"/>
        </w:rPr>
      </w:pPr>
      <w:r>
        <w:rPr>
          <w:rFonts w:ascii="Arial" w:hAnsi="Arial"/>
        </w:rPr>
        <w:t>- Ley Orgánica 14/1999, de 9 de junio, de modificación del Código Penal de 1995, en materia de protección a las víctimas de malos tratos y de la Ley de Enjuiciamiento Criminal.</w:t>
      </w:r>
    </w:p>
    <w:p w:rsidR="00000000" w:rsidRDefault="00000000">
      <w:pPr>
        <w:ind w:left="1276" w:right="565" w:hanging="142"/>
        <w:jc w:val="both"/>
        <w:rPr>
          <w:rFonts w:ascii="Arial" w:hAnsi="Arial"/>
        </w:rPr>
      </w:pPr>
      <w:r>
        <w:rPr>
          <w:rFonts w:ascii="Arial" w:hAnsi="Arial"/>
        </w:rPr>
        <w:t xml:space="preserve">- Ley 5/2001, de 17 de mayo, de prevención de malos tratos y protección a las mujeres maltratadas de Castilla la Mancha. </w:t>
      </w:r>
    </w:p>
    <w:p w:rsidR="00000000" w:rsidRDefault="00000000">
      <w:pPr>
        <w:ind w:left="1276" w:right="565" w:hanging="142"/>
        <w:jc w:val="both"/>
        <w:rPr>
          <w:rFonts w:ascii="Arial" w:hAnsi="Arial"/>
        </w:rPr>
      </w:pPr>
      <w:r>
        <w:rPr>
          <w:rFonts w:ascii="Arial" w:hAnsi="Arial"/>
        </w:rPr>
        <w:t>- Ley 38/2002, de 24 de octubre,  de reforma parcial de la Ley de Enjuiciamiento Criminal, sobre procedimiento para el enjuiciamiento rápido e inmediato de determinados delitos y faltas y de modificación del procedimiento abreviado.</w:t>
      </w:r>
    </w:p>
    <w:p w:rsidR="00000000" w:rsidRDefault="00000000">
      <w:pPr>
        <w:ind w:left="1134" w:right="565"/>
        <w:jc w:val="both"/>
        <w:rPr>
          <w:rFonts w:ascii="Arial" w:hAnsi="Arial"/>
        </w:rPr>
      </w:pPr>
      <w:r>
        <w:rPr>
          <w:rFonts w:ascii="Arial" w:hAnsi="Arial"/>
        </w:rPr>
        <w:t>- Jurisprudencia penal.</w:t>
      </w:r>
    </w:p>
    <w:p w:rsidR="00000000" w:rsidRDefault="00000000">
      <w:pPr>
        <w:ind w:left="1134" w:right="565"/>
        <w:jc w:val="both"/>
        <w:rPr>
          <w:rFonts w:ascii="Arial" w:hAnsi="Arial"/>
        </w:rPr>
      </w:pPr>
    </w:p>
    <w:p w:rsidR="00000000" w:rsidRDefault="00000000">
      <w:pPr>
        <w:ind w:left="1134" w:right="565"/>
        <w:jc w:val="both"/>
        <w:rPr>
          <w:rFonts w:ascii="Arial" w:hAnsi="Arial"/>
          <w:b/>
        </w:rPr>
      </w:pPr>
      <w:r>
        <w:rPr>
          <w:rFonts w:ascii="Arial" w:hAnsi="Arial"/>
          <w:b/>
        </w:rPr>
        <w:t>Exclusión</w:t>
      </w:r>
    </w:p>
    <w:p w:rsidR="00000000" w:rsidRDefault="00000000">
      <w:pPr>
        <w:ind w:left="1134" w:right="565"/>
        <w:jc w:val="both"/>
        <w:rPr>
          <w:rFonts w:ascii="Arial" w:hAnsi="Arial"/>
          <w:b/>
        </w:rPr>
      </w:pPr>
    </w:p>
    <w:p w:rsidR="00000000" w:rsidRDefault="00000000">
      <w:pPr>
        <w:ind w:left="1276" w:right="565" w:hanging="142"/>
        <w:jc w:val="both"/>
        <w:rPr>
          <w:rFonts w:ascii="Arial" w:hAnsi="Arial"/>
        </w:rPr>
      </w:pPr>
      <w:r>
        <w:rPr>
          <w:rFonts w:ascii="Arial" w:hAnsi="Arial"/>
        </w:rPr>
        <w:t>- Ley 36/1999, 18 octubre, de Concesión del Subsidio de Desempleo y Garantías de Integración Sociolaboral para Delincuentes Toxicómanos</w:t>
      </w:r>
    </w:p>
    <w:p w:rsidR="00000000" w:rsidRDefault="00000000">
      <w:pPr>
        <w:ind w:left="1276" w:right="565" w:hanging="142"/>
        <w:jc w:val="both"/>
      </w:pPr>
      <w:r>
        <w:rPr>
          <w:rFonts w:ascii="Arial" w:hAnsi="Arial"/>
        </w:rPr>
        <w:t>- Real Decreto Ley 5/2002, de 24 de mayo, de Medidas Urgentes para la Reforma del Sistema de Protección por Desempleo y Mejora de la Ocupab</w:t>
      </w:r>
      <w:r>
        <w:rPr>
          <w:rFonts w:ascii="Arial" w:hAnsi="Arial"/>
        </w:rPr>
        <w:t>i</w:t>
      </w:r>
      <w:r>
        <w:rPr>
          <w:rFonts w:ascii="Arial" w:hAnsi="Arial"/>
        </w:rPr>
        <w:t>lidad.</w:t>
      </w:r>
    </w:p>
    <w:p w:rsidR="00000000" w:rsidRDefault="00000000">
      <w:pPr>
        <w:ind w:left="1276" w:right="565" w:hanging="142"/>
        <w:jc w:val="both"/>
      </w:pPr>
    </w:p>
    <w:p w:rsidR="00000000" w:rsidRDefault="00000000">
      <w:pPr>
        <w:jc w:val="both"/>
        <w:rPr>
          <w:rFonts w:ascii="Arial" w:hAnsi="Arial"/>
          <w:b/>
        </w:rPr>
      </w:pPr>
      <w:r>
        <w:br w:type="page"/>
      </w:r>
      <w:r>
        <w:rPr>
          <w:rFonts w:ascii="Arial" w:hAnsi="Arial"/>
          <w:b/>
        </w:rPr>
        <w:t>V INFORME PERIÓDICO DE ESPAÑA A LA CONVENCIÓN SOBRE LA ELIMINACIÓN DE TODAS LAS FORMAS DE DISCRIMINACIÓN CONTRA LA MUJER.</w:t>
      </w:r>
    </w:p>
    <w:p w:rsidR="00000000" w:rsidRDefault="00000000">
      <w:pPr>
        <w:jc w:val="both"/>
        <w:rPr>
          <w:rFonts w:ascii="Arial" w:hAnsi="Arial"/>
          <w:b/>
        </w:rPr>
      </w:pPr>
    </w:p>
    <w:p w:rsidR="00000000" w:rsidRDefault="00000000">
      <w:pPr>
        <w:tabs>
          <w:tab w:val="left" w:pos="8222"/>
        </w:tabs>
        <w:jc w:val="both"/>
        <w:rPr>
          <w:rFonts w:ascii="Arial" w:hAnsi="Arial"/>
        </w:rPr>
      </w:pPr>
    </w:p>
    <w:p w:rsidR="00000000" w:rsidRDefault="00000000">
      <w:pPr>
        <w:tabs>
          <w:tab w:val="left" w:pos="8222"/>
        </w:tabs>
        <w:jc w:val="both"/>
        <w:rPr>
          <w:rFonts w:ascii="Arial" w:hAnsi="Arial"/>
        </w:rPr>
      </w:pPr>
    </w:p>
    <w:p w:rsidR="00000000" w:rsidRDefault="00000000">
      <w:pPr>
        <w:pStyle w:val="Heading2"/>
        <w:rPr>
          <w:rFonts w:ascii="Arial" w:hAnsi="Arial"/>
          <w:sz w:val="22"/>
        </w:rPr>
      </w:pPr>
      <w:r>
        <w:rPr>
          <w:rFonts w:ascii="Arial" w:hAnsi="Arial"/>
          <w:sz w:val="22"/>
        </w:rPr>
        <w:t>INTRODUCCIÓN</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Convención para la Eliminación de Todas las Formas de Discriminación contra la Mujer, adoptada en Nueva York el 18 de diciembre de 1979, fue ratificada por España el 16 de diciembre de 1983 y publicada en el Boletín Oficial del Estado el 21 de marzo de 1984. La ratificación se realizó con una reserva, que se mantiene en la actualidad: </w:t>
      </w:r>
      <w:r>
        <w:rPr>
          <w:rFonts w:ascii="Arial" w:hAnsi="Arial"/>
          <w:i/>
        </w:rPr>
        <w:t>la ratificación por España de la Convención no afectará a las disposiciones constitucionales en materia de sucesión a la Corona</w:t>
      </w:r>
      <w:r>
        <w:rPr>
          <w:rFonts w:ascii="Arial" w:hAnsi="Arial"/>
        </w:rPr>
        <w:t>.</w:t>
      </w:r>
    </w:p>
    <w:p w:rsidR="00000000" w:rsidRDefault="00000000">
      <w:pPr>
        <w:jc w:val="both"/>
        <w:rPr>
          <w:rFonts w:ascii="Arial" w:hAnsi="Arial"/>
        </w:rPr>
      </w:pPr>
    </w:p>
    <w:p w:rsidR="00000000" w:rsidRDefault="00000000">
      <w:pPr>
        <w:jc w:val="both"/>
        <w:rPr>
          <w:rFonts w:ascii="Arial" w:hAnsi="Arial"/>
        </w:rPr>
      </w:pPr>
      <w:r>
        <w:rPr>
          <w:rFonts w:ascii="Arial" w:hAnsi="Arial"/>
        </w:rPr>
        <w:t>Desde la fecha de su publicación, este Tratado forma parte del ordenamiento jurídico nacional, tal y como proclama el artículo 96.1 de la Constitución Española de 1978 y el artículo 1.5 del Código Civil.</w:t>
      </w:r>
    </w:p>
    <w:p w:rsidR="00000000" w:rsidRDefault="00000000">
      <w:pPr>
        <w:jc w:val="both"/>
        <w:rPr>
          <w:rFonts w:ascii="Arial" w:hAnsi="Arial"/>
        </w:rPr>
      </w:pPr>
    </w:p>
    <w:p w:rsidR="00000000" w:rsidRDefault="00000000">
      <w:pPr>
        <w:jc w:val="both"/>
        <w:rPr>
          <w:rFonts w:ascii="Arial" w:hAnsi="Arial"/>
        </w:rPr>
      </w:pPr>
      <w:r>
        <w:rPr>
          <w:rFonts w:ascii="Arial" w:hAnsi="Arial"/>
        </w:rPr>
        <w:t>De acuerdo con el artículo 18 de la Convención, España ha presentado informes en 1985, 1989, 1995 y 1998. Dado que el último informe se defendió ante el Comité en julio de 1999, el V Informe que ahora se presenta abarca el periodo comprendido entre 1999 y 2001, incorporándose también algunas medidas y actuaciones correspondientes al año 2002.</w:t>
      </w:r>
    </w:p>
    <w:p w:rsidR="00000000" w:rsidRDefault="00000000">
      <w:pPr>
        <w:jc w:val="both"/>
        <w:rPr>
          <w:rFonts w:ascii="Arial" w:hAnsi="Arial"/>
        </w:rPr>
      </w:pPr>
    </w:p>
    <w:p w:rsidR="00000000" w:rsidRDefault="00000000">
      <w:pPr>
        <w:jc w:val="both"/>
        <w:rPr>
          <w:rFonts w:ascii="Arial" w:hAnsi="Arial"/>
        </w:rPr>
      </w:pPr>
      <w:r>
        <w:rPr>
          <w:rFonts w:ascii="Arial" w:hAnsi="Arial"/>
        </w:rPr>
        <w:t>Se presentan los avances conseguidos en  materia de Igualdad de Oportunidades en relación con los mandatos contenidos en el texto de la Convención, los compromisos derivados de la Plataforma de Acción adoptados en la IV Conferencia Mundial de las Mujer, y los de la Sesión Especial de la Asamblea General: “Mujeres 2000: Igualdad de Género, desarrollo y paz para el siglo XXI” de junio de 2000, y todo ello en el marco de la legislación y políticas de la Unión Europea.</w:t>
      </w:r>
    </w:p>
    <w:p w:rsidR="00000000" w:rsidRDefault="00000000">
      <w:pPr>
        <w:jc w:val="both"/>
        <w:rPr>
          <w:rFonts w:ascii="Arial" w:hAnsi="Arial"/>
        </w:rPr>
      </w:pPr>
    </w:p>
    <w:p w:rsidR="00000000" w:rsidRDefault="00000000">
      <w:pPr>
        <w:jc w:val="both"/>
        <w:rPr>
          <w:rFonts w:ascii="Arial" w:hAnsi="Arial"/>
        </w:rPr>
      </w:pPr>
      <w:r>
        <w:rPr>
          <w:rFonts w:ascii="Arial" w:hAnsi="Arial"/>
        </w:rPr>
        <w:t>El informe se ha elaborado con arreglo a las “directrices generales sobre la forma y contenido de los informes” y se estructura siguiendo el articulado de la Convención si bien se han incorporado capítulos, - tales como el de Exclusión Social y violencia -, relacionados con materias que, o bien no se contemplan en un artículo específico de la Convención, o bien son objeto de alguna recomendación concreta del Comité.</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relación con cada capítulo, se incorporan datos estadísticos relativos a la situación de la mujer en el área correspondiente, las principales modificaciones que afectan al ordenamiento jurídico y la descripción de las políticas, programas y actuaciones más relevantes para avanzar en la consecución de la igualdad real entre mujeres y hombres y para superar las dificultades que, sin duda, persisten en determinadas materias. </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realización del informe ha correspondido al Instituto de la Mujer, Organismo Autónomo dependiente del Ministerio de Trabajo y Asuntos Sociales, que en el ámbito de la Administración Central del Estado, ostenta las competencias en materia de Igualdad de Oportunidades.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Bajo su coordinación, y con el apoyo de la Oficina de Derechos Humanos del Ministerio de Asuntos Exteriores, los diferentes Departamentos Ministeriales han suministrado información para el informe.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También las Comunidades Autónomas en el marco de las competencias que tienen atribuidas en la materia, han enviado la información contenida en el Anexo I y finalmente, las ONG del Consejo Rector del Instituto de la Mujer, la información reflejada en el Anexo II. </w:t>
      </w:r>
    </w:p>
    <w:p w:rsidR="00000000" w:rsidRDefault="00000000">
      <w:pPr>
        <w:pStyle w:val="Heading2"/>
        <w:jc w:val="center"/>
        <w:rPr>
          <w:rFonts w:ascii="Arial" w:hAnsi="Arial"/>
          <w:sz w:val="22"/>
        </w:rPr>
      </w:pPr>
      <w:r>
        <w:rPr>
          <w:rFonts w:ascii="Arial" w:hAnsi="Arial"/>
          <w:sz w:val="22"/>
        </w:rPr>
        <w:t>Parte I de la Convención (Artículos 1 –6)</w:t>
      </w:r>
    </w:p>
    <w:p w:rsidR="00000000" w:rsidRDefault="00000000">
      <w:pPr>
        <w:pStyle w:val="Heading2"/>
        <w:rPr>
          <w:rFonts w:ascii="Arial" w:hAnsi="Arial"/>
          <w:b w:val="0"/>
          <w:sz w:val="22"/>
        </w:rPr>
      </w:pPr>
    </w:p>
    <w:p w:rsidR="00000000" w:rsidRDefault="00000000">
      <w:pPr>
        <w:pStyle w:val="Heading2"/>
        <w:rPr>
          <w:rFonts w:ascii="Arial" w:hAnsi="Arial"/>
          <w:sz w:val="22"/>
        </w:rPr>
      </w:pPr>
      <w:r>
        <w:rPr>
          <w:rFonts w:ascii="Arial" w:hAnsi="Arial"/>
          <w:sz w:val="22"/>
        </w:rPr>
        <w:t>Artículo 1: Definición de discriminación</w:t>
      </w:r>
    </w:p>
    <w:p w:rsidR="00000000" w:rsidRDefault="00000000">
      <w:pPr>
        <w:jc w:val="both"/>
        <w:rPr>
          <w:rFonts w:ascii="Arial" w:hAnsi="Arial"/>
          <w:b/>
        </w:rPr>
      </w:pPr>
    </w:p>
    <w:p w:rsidR="00000000" w:rsidRDefault="00000000">
      <w:pPr>
        <w:jc w:val="both"/>
        <w:rPr>
          <w:rFonts w:ascii="Arial" w:hAnsi="Arial"/>
          <w:b/>
        </w:rPr>
      </w:pPr>
      <w:r>
        <w:rPr>
          <w:rFonts w:ascii="Arial" w:hAnsi="Arial"/>
        </w:rPr>
        <w:t xml:space="preserve">Como se reflejaba en el IV Informe de España al Comité, el marco general para analizar la igualdad de oportunidades en nuestro país es </w:t>
      </w:r>
      <w:r>
        <w:rPr>
          <w:rFonts w:ascii="Arial" w:hAnsi="Arial"/>
          <w:b/>
        </w:rPr>
        <w:t>la Constitución de 1978,</w:t>
      </w:r>
      <w:r>
        <w:rPr>
          <w:rFonts w:ascii="Arial" w:hAnsi="Arial"/>
        </w:rPr>
        <w:t xml:space="preserve"> que </w:t>
      </w:r>
      <w:r>
        <w:rPr>
          <w:rFonts w:ascii="Arial" w:hAnsi="Arial"/>
          <w:b/>
        </w:rPr>
        <w:t xml:space="preserve">concreta en su artículo 1.1 los valores superiores del ordenamiento jurídico español en la libertad, la igualdad, la justicia y el pluralismo político.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Se trata de principios generales del Derecho y, por tanto, según la doctrina mayoritaria, principios informadores de todo el ordenamiento jurídico y, además, con fuerza normativa, según interpretación del Tribunal Constitucional. </w:t>
      </w:r>
    </w:p>
    <w:p w:rsidR="00000000" w:rsidRDefault="00000000">
      <w:pPr>
        <w:jc w:val="both"/>
        <w:rPr>
          <w:rFonts w:ascii="Arial" w:hAnsi="Arial"/>
        </w:rPr>
      </w:pPr>
    </w:p>
    <w:p w:rsidR="00000000" w:rsidRDefault="00000000">
      <w:pPr>
        <w:jc w:val="both"/>
        <w:rPr>
          <w:rFonts w:ascii="Arial" w:hAnsi="Arial"/>
        </w:rPr>
      </w:pPr>
      <w:r>
        <w:rPr>
          <w:rFonts w:ascii="Arial" w:hAnsi="Arial"/>
        </w:rPr>
        <w:t>Esto supone que, aunque el planteamiento de la igualdad se lleva a cabo de forma genérica, la igualdad debe interpretarse como elemento transversal de todo el ordenamiento jurídico.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igualdad de oportunidades entre mujeres y hombres, se perfila sobre la base de los siguientes preceptos constitucionales: </w:t>
      </w:r>
    </w:p>
    <w:p w:rsidR="00000000" w:rsidRDefault="00000000">
      <w:pPr>
        <w:ind w:hanging="1417"/>
        <w:jc w:val="both"/>
        <w:rPr>
          <w:rFonts w:ascii="Arial" w:hAnsi="Arial"/>
        </w:rPr>
      </w:pPr>
    </w:p>
    <w:p w:rsidR="00000000" w:rsidRDefault="00000000">
      <w:pPr>
        <w:tabs>
          <w:tab w:val="left" w:pos="720"/>
          <w:tab w:val="left" w:pos="1134"/>
        </w:tabs>
        <w:ind w:left="720" w:hanging="720"/>
        <w:jc w:val="both"/>
        <w:rPr>
          <w:rFonts w:ascii="Arial" w:hAnsi="Arial"/>
          <w:i/>
        </w:rPr>
      </w:pPr>
      <w:r>
        <w:rPr>
          <w:rFonts w:ascii="Arial" w:hAnsi="Arial"/>
          <w:i/>
        </w:rPr>
        <w:t>9.2</w:t>
      </w:r>
      <w:r>
        <w:rPr>
          <w:rFonts w:ascii="Arial" w:hAnsi="Arial"/>
          <w:i/>
        </w:rPr>
        <w:tab/>
        <w:t>Corresponde a los poderes públicos promover las condiciones para que la libertad y la igualdad del individuo y de los grupos en que se integran sean reales y efectivas; remover los obstáculos que impidan o dificulten su plenitud y facilitar la participación de todos los ciudadanos en la vida política, económica, cultural y social.</w:t>
      </w:r>
    </w:p>
    <w:p w:rsidR="00000000" w:rsidRDefault="00000000">
      <w:pPr>
        <w:tabs>
          <w:tab w:val="left" w:pos="720"/>
          <w:tab w:val="left" w:pos="1134"/>
        </w:tabs>
        <w:ind w:left="720" w:hanging="720"/>
        <w:jc w:val="both"/>
        <w:rPr>
          <w:rFonts w:ascii="Arial" w:hAnsi="Arial"/>
          <w:i/>
        </w:rPr>
      </w:pPr>
      <w:r>
        <w:rPr>
          <w:rFonts w:ascii="Arial" w:hAnsi="Arial"/>
          <w:i/>
        </w:rPr>
        <w:t>10.1</w:t>
      </w:r>
      <w:r>
        <w:rPr>
          <w:rFonts w:ascii="Arial" w:hAnsi="Arial"/>
          <w:i/>
        </w:rPr>
        <w:tab/>
        <w:t>La dignidad de la persona, los derechos inviolables que le son inherentes, el libre desarrollo de la personalidad, el respeto a la ley y a los derechos de los demás son fundamento del orden político y de la paz social.</w:t>
      </w:r>
    </w:p>
    <w:p w:rsidR="00000000" w:rsidRDefault="00000000">
      <w:pPr>
        <w:tabs>
          <w:tab w:val="left" w:pos="720"/>
        </w:tabs>
        <w:ind w:left="720" w:hanging="720"/>
        <w:jc w:val="both"/>
        <w:rPr>
          <w:rFonts w:ascii="Arial" w:hAnsi="Arial"/>
          <w:i/>
        </w:rPr>
      </w:pPr>
      <w:r>
        <w:rPr>
          <w:rFonts w:ascii="Arial" w:hAnsi="Arial"/>
          <w:i/>
        </w:rPr>
        <w:t>10.2</w:t>
      </w:r>
      <w:r>
        <w:rPr>
          <w:rFonts w:ascii="Arial" w:hAnsi="Arial"/>
          <w:i/>
        </w:rPr>
        <w:tab/>
        <w:t>Las normas relativas a los derechos fundamentales y a las libertades que la Constitución reconoce, se interpretarán de conformidad con la Declaración Universal de Derechos Humanos y los tratados y acuerdos internacionales sobre las mismas materias ratificados por España.</w:t>
      </w:r>
    </w:p>
    <w:p w:rsidR="00000000" w:rsidRDefault="00000000">
      <w:pPr>
        <w:tabs>
          <w:tab w:val="left" w:pos="720"/>
          <w:tab w:val="left" w:pos="1134"/>
        </w:tabs>
        <w:ind w:left="720" w:hanging="720"/>
        <w:jc w:val="both"/>
        <w:rPr>
          <w:rFonts w:ascii="Arial" w:hAnsi="Arial"/>
          <w:i/>
        </w:rPr>
      </w:pPr>
      <w:r>
        <w:rPr>
          <w:rFonts w:ascii="Arial" w:hAnsi="Arial"/>
          <w:i/>
        </w:rPr>
        <w:t>14</w:t>
      </w:r>
      <w:r>
        <w:rPr>
          <w:rFonts w:ascii="Arial" w:hAnsi="Arial"/>
          <w:i/>
        </w:rPr>
        <w:tab/>
        <w:t>Los españoles son iguales ante la ley, sin que pueda prevalecer discriminación por razón de nacimiento, raza, sexo, religión, opinión o cualquier otra condición o circunstancia personal o social.</w:t>
      </w:r>
    </w:p>
    <w:p w:rsidR="00000000" w:rsidRDefault="00000000">
      <w:pPr>
        <w:tabs>
          <w:tab w:val="left" w:pos="720"/>
        </w:tabs>
        <w:ind w:left="720" w:hanging="720"/>
        <w:jc w:val="both"/>
        <w:rPr>
          <w:rFonts w:ascii="Arial" w:hAnsi="Arial"/>
          <w:i/>
        </w:rPr>
      </w:pPr>
      <w:r>
        <w:rPr>
          <w:rFonts w:ascii="Arial" w:hAnsi="Arial"/>
          <w:i/>
        </w:rPr>
        <w:t>23.1</w:t>
      </w:r>
      <w:r>
        <w:rPr>
          <w:rFonts w:ascii="Arial" w:hAnsi="Arial"/>
          <w:i/>
        </w:rPr>
        <w:tab/>
        <w:t>Los ciudadanos tienen el derecho a participar en los asuntos públicos, directamente o por medio de representantes, libremente elegidos en elecciones periódicas por sufragio universal.</w:t>
      </w:r>
    </w:p>
    <w:p w:rsidR="00000000" w:rsidRDefault="00000000">
      <w:pPr>
        <w:tabs>
          <w:tab w:val="left" w:pos="720"/>
        </w:tabs>
        <w:ind w:left="720" w:hanging="720"/>
        <w:jc w:val="both"/>
        <w:rPr>
          <w:rFonts w:ascii="Arial" w:hAnsi="Arial"/>
          <w:i/>
        </w:rPr>
      </w:pPr>
      <w:r>
        <w:rPr>
          <w:rFonts w:ascii="Arial" w:hAnsi="Arial"/>
          <w:i/>
        </w:rPr>
        <w:t xml:space="preserve">23.2  </w:t>
      </w:r>
      <w:r>
        <w:rPr>
          <w:rFonts w:ascii="Arial" w:hAnsi="Arial"/>
          <w:i/>
        </w:rPr>
        <w:tab/>
        <w:t>Asimismo, tienen derecho a acceder en condiciones de igualdad a las funciones y cargos públicos, con los requisitos que señalen las leyes.</w:t>
      </w:r>
    </w:p>
    <w:p w:rsidR="00000000" w:rsidRDefault="00000000">
      <w:pPr>
        <w:tabs>
          <w:tab w:val="left" w:pos="720"/>
        </w:tabs>
        <w:ind w:left="720" w:hanging="720"/>
        <w:jc w:val="both"/>
        <w:rPr>
          <w:rFonts w:ascii="Arial" w:hAnsi="Arial"/>
          <w:i/>
        </w:rPr>
      </w:pPr>
      <w:r>
        <w:rPr>
          <w:rFonts w:ascii="Arial" w:hAnsi="Arial"/>
          <w:i/>
        </w:rPr>
        <w:t>27.1</w:t>
      </w:r>
      <w:r>
        <w:rPr>
          <w:rFonts w:ascii="Arial" w:hAnsi="Arial"/>
          <w:i/>
        </w:rPr>
        <w:tab/>
        <w:t>Todos tienen el derecho a la educación. Se reconoce la libertad de enseñanza.</w:t>
      </w:r>
    </w:p>
    <w:p w:rsidR="00000000" w:rsidRDefault="00000000">
      <w:pPr>
        <w:tabs>
          <w:tab w:val="left" w:pos="720"/>
        </w:tabs>
        <w:ind w:left="720" w:hanging="720"/>
        <w:jc w:val="both"/>
        <w:rPr>
          <w:rFonts w:ascii="Arial" w:hAnsi="Arial"/>
          <w:i/>
        </w:rPr>
      </w:pPr>
      <w:r>
        <w:rPr>
          <w:rFonts w:ascii="Arial" w:hAnsi="Arial"/>
          <w:i/>
        </w:rPr>
        <w:t>32.1</w:t>
      </w:r>
      <w:r>
        <w:rPr>
          <w:rFonts w:ascii="Arial" w:hAnsi="Arial"/>
          <w:i/>
        </w:rPr>
        <w:tab/>
        <w:t>El hombre y la mujer tienen derecho a contraer matrimonio con plena igualdad jurídica.</w:t>
      </w:r>
    </w:p>
    <w:p w:rsidR="00000000" w:rsidRDefault="00000000">
      <w:pPr>
        <w:tabs>
          <w:tab w:val="left" w:pos="720"/>
        </w:tabs>
        <w:ind w:left="720" w:hanging="720"/>
        <w:jc w:val="both"/>
        <w:rPr>
          <w:rFonts w:ascii="Arial" w:hAnsi="Arial"/>
          <w:i/>
        </w:rPr>
      </w:pPr>
      <w:r>
        <w:rPr>
          <w:rFonts w:ascii="Arial" w:hAnsi="Arial"/>
          <w:i/>
        </w:rPr>
        <w:t>32.2</w:t>
      </w:r>
      <w:r>
        <w:rPr>
          <w:rFonts w:ascii="Arial" w:hAnsi="Arial"/>
          <w:i/>
        </w:rPr>
        <w:tab/>
        <w:t>La Ley regulará las formas de matrimonio, la edad y la capacidad para contraerlo, los derechos y deberes de los cónyuges, las causas de separación y disolución y sus efectos".</w:t>
      </w:r>
    </w:p>
    <w:p w:rsidR="00000000" w:rsidRDefault="00000000">
      <w:pPr>
        <w:tabs>
          <w:tab w:val="left" w:pos="720"/>
        </w:tabs>
        <w:ind w:left="720" w:hanging="720"/>
        <w:jc w:val="both"/>
        <w:rPr>
          <w:rFonts w:ascii="Arial" w:hAnsi="Arial"/>
          <w:i/>
        </w:rPr>
      </w:pPr>
      <w:r>
        <w:rPr>
          <w:rFonts w:ascii="Arial" w:hAnsi="Arial"/>
          <w:i/>
        </w:rPr>
        <w:t>35.1</w:t>
      </w:r>
      <w:r>
        <w:rPr>
          <w:rFonts w:ascii="Arial" w:hAnsi="Arial"/>
          <w:i/>
        </w:rPr>
        <w:tab/>
        <w:t>Todos los españoles tienen el deber de trabajar y el derecho al trabajo, a la libre elección de profesión y oficio, a la promoción a través del trabajo y a una remuneración suficiente para satisfacer sus necesidades y las de su familia, sin que en ningún caso pueda hacerse discriminación por razón de su sexo.</w:t>
      </w:r>
    </w:p>
    <w:p w:rsidR="00000000" w:rsidRDefault="00000000">
      <w:pPr>
        <w:tabs>
          <w:tab w:val="left" w:pos="720"/>
        </w:tabs>
        <w:ind w:left="720" w:hanging="720"/>
        <w:jc w:val="both"/>
        <w:rPr>
          <w:rFonts w:ascii="Arial" w:hAnsi="Arial"/>
          <w:i/>
        </w:rPr>
      </w:pPr>
      <w:r>
        <w:rPr>
          <w:rFonts w:ascii="Arial" w:hAnsi="Arial"/>
          <w:i/>
        </w:rPr>
        <w:t>39.1</w:t>
      </w:r>
      <w:r>
        <w:rPr>
          <w:rFonts w:ascii="Arial" w:hAnsi="Arial"/>
          <w:i/>
        </w:rPr>
        <w:tab/>
        <w:t>Los poderes públicos aseguran la protección social, económica y jurídica de la familia.</w:t>
      </w:r>
    </w:p>
    <w:p w:rsidR="00000000" w:rsidRDefault="00000000">
      <w:pPr>
        <w:tabs>
          <w:tab w:val="left" w:pos="720"/>
        </w:tabs>
        <w:ind w:left="720" w:hanging="720"/>
        <w:jc w:val="both"/>
        <w:rPr>
          <w:rFonts w:ascii="Arial" w:hAnsi="Arial"/>
          <w:i/>
        </w:rPr>
      </w:pPr>
      <w:r>
        <w:rPr>
          <w:rFonts w:ascii="Arial" w:hAnsi="Arial"/>
          <w:i/>
        </w:rPr>
        <w:t xml:space="preserve">39.2 </w:t>
      </w:r>
      <w:r>
        <w:rPr>
          <w:rFonts w:ascii="Arial" w:hAnsi="Arial"/>
          <w:i/>
        </w:rPr>
        <w:tab/>
        <w:t>Los poderes públicos aseguran, asimismo, la protección integral de los hijos, iguales éstos ante la ley con independencia de su filiación y de las madres, cualquiera que sea su estado civil. La ley posibilitará la investigación de la paternidad.</w:t>
      </w:r>
    </w:p>
    <w:p w:rsidR="00000000" w:rsidRDefault="00000000">
      <w:pPr>
        <w:tabs>
          <w:tab w:val="left" w:pos="720"/>
        </w:tabs>
        <w:ind w:left="720" w:hanging="720"/>
        <w:jc w:val="both"/>
        <w:rPr>
          <w:rFonts w:ascii="Arial" w:hAnsi="Arial"/>
          <w:i/>
        </w:rPr>
      </w:pPr>
      <w:r>
        <w:rPr>
          <w:rFonts w:ascii="Arial" w:hAnsi="Arial"/>
          <w:i/>
        </w:rPr>
        <w:tab/>
        <w:t>Los padres deben prestar asistencia de todo orden a los hijos habidos dentro o fuera del matrimonio durante su minoría de edad y en los demás casos que legalmente proceda.</w:t>
      </w:r>
    </w:p>
    <w:p w:rsidR="00000000" w:rsidRDefault="00000000">
      <w:pPr>
        <w:tabs>
          <w:tab w:val="left" w:pos="720"/>
        </w:tabs>
        <w:ind w:left="720" w:hanging="720"/>
        <w:jc w:val="both"/>
        <w:rPr>
          <w:rFonts w:ascii="Arial" w:hAnsi="Arial"/>
        </w:rPr>
      </w:pPr>
      <w:r>
        <w:rPr>
          <w:rFonts w:ascii="Arial" w:hAnsi="Arial"/>
          <w:i/>
        </w:rPr>
        <w:t>139.1</w:t>
      </w:r>
      <w:r>
        <w:rPr>
          <w:rFonts w:ascii="Arial" w:hAnsi="Arial"/>
          <w:i/>
        </w:rPr>
        <w:tab/>
        <w:t>Todos los españoles tienen los mismos derechos y obligaciones en cualquier parte del territorio del Estado.</w:t>
      </w:r>
    </w:p>
    <w:p w:rsidR="00000000" w:rsidRDefault="00000000">
      <w:pPr>
        <w:pStyle w:val="BlockText"/>
        <w:tabs>
          <w:tab w:val="left" w:pos="720"/>
        </w:tabs>
        <w:ind w:left="720" w:right="0" w:hanging="720"/>
        <w:rPr>
          <w:i/>
        </w:rPr>
      </w:pPr>
      <w:r>
        <w:rPr>
          <w:i/>
        </w:rPr>
        <w:t>149.1</w:t>
      </w:r>
      <w:r>
        <w:rPr>
          <w:i/>
        </w:rPr>
        <w:tab/>
        <w:t>El Estado tiene competencia exclusiva sobre las siguientes materias: la regulación de las condiciones básicas que garanticen la igualdad de todos los españoles en el ejercicio de los derechos y en el cumplimiento de los deberes constitucionales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Tribunal Constitucional</w:t>
      </w:r>
      <w:r>
        <w:rPr>
          <w:rFonts w:ascii="Arial" w:hAnsi="Arial"/>
        </w:rPr>
        <w:t>, máxime intérprete de la Constitución, a través de sus Sentencias, ha elaborado una doctrina precisa del significado de la igualdad y de la no-discriminación por razón de sexo. Entre las sentencias más relevantes, dictadas en el período que comprende el informe, pueden citarse las siguientes:</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i/>
        </w:rPr>
      </w:pPr>
      <w:r>
        <w:rPr>
          <w:rFonts w:ascii="Arial" w:hAnsi="Arial"/>
        </w:rPr>
        <w:t>Sentencia del Tribunal Constitucional 140/1999, de 22 de julio, según la cual, cuando se alegue que una decisión empresarial encubre en realidad una conducta lesiva de los derechos fundamentales, incumbe al empresario la carga de probar que su actuación obedece a motivos razonables, extraños a todo propósito atentatorio de un derecho fundamental. Si bien, para que juegue en el citado sentido la carga probatoria, el trabajador ha de aportar un indicio razonable de que el acto empresarial lesiona sus derechos fundamentales. Es decir no es suficiente la mera alegación de la vulneración…</w:t>
      </w:r>
    </w:p>
    <w:p w:rsidR="00000000" w:rsidRDefault="00000000">
      <w:pPr>
        <w:ind w:left="342"/>
        <w:jc w:val="both"/>
        <w:rPr>
          <w:rFonts w:ascii="Arial" w:hAnsi="Arial"/>
          <w:i/>
        </w:rPr>
      </w:pPr>
    </w:p>
    <w:p w:rsidR="00000000" w:rsidRDefault="00000000">
      <w:pPr>
        <w:numPr>
          <w:ilvl w:val="0"/>
          <w:numId w:val="1494"/>
        </w:numPr>
        <w:tabs>
          <w:tab w:val="clear" w:pos="720"/>
        </w:tabs>
        <w:ind w:left="216" w:hanging="216"/>
        <w:jc w:val="both"/>
        <w:rPr>
          <w:rFonts w:ascii="Arial" w:hAnsi="Arial"/>
          <w:i/>
        </w:rPr>
      </w:pPr>
      <w:r>
        <w:rPr>
          <w:rFonts w:ascii="Arial" w:hAnsi="Arial"/>
        </w:rPr>
        <w:t>Las Sentencias 240/1999,de 20 de diciembre y la 203/2000, 24 de julio, vienen a señalar que la específica prohibición de discriminación por razón de sexo, consagrada en el artículo 14 CE, comprende no sólo la discriminación directa, es decir, el tratamiento jurídico diferenciado y desfavorable a una persona por razón de su sexo, sino también la indirecta, esto es, aquel tratamiento formalmente neutro o no discriminatorio del que deriva, por las diversas condiciones fácticas que se dan entre trabajadores de uno y otro sexo, un impacto adverso sobre los miembros de un determinado colectivo. Afirmando en la de diciembre que Cuando se denuncia una discriminación indirecta, no se exige aportar como término de comparación la existencia de un trato más beneficioso atribuido única y exclusivamente a los varones; basta que exista, en primer lugar, una norma o una interpretación o aplicación de la misma que produzca efectos desfavorables para un grupo formado mayoritariamente, aunque no necesariamente de forma exclusiva, por trabajadoras femeninas --trabajadores a tiempo parcial, trabajadores con menos de dos años de permanencia...</w:t>
      </w:r>
    </w:p>
    <w:p w:rsidR="00000000" w:rsidRDefault="00000000">
      <w:pPr>
        <w:ind w:left="342"/>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En la Sentencia del Tribunal Constitucional de 25 de febrero de 2002 se reitera que la discriminación por razón de sexo comprende aquellos tratamientos peyorativos que se fundan no sólo en la pura y simple constatación del sexo de la víctima, sino en la concurrencia de razones o circunstancias que tengan con el sexo de la persona una conexión directa e inequívoca. Tal sucede con el embarazo, elemento o factor diferencial que, por razones obvias, incide de forma exclusiva sobre las mujeres. Las decisiones extintivas basadas en el embarazo, al afectar exclusivamente a la mujer, constituyen, por tanto, una discriminación por razón de sexo proscrita por el artículo 14 de la  Constitución Española.</w:t>
      </w:r>
    </w:p>
    <w:p w:rsidR="00000000" w:rsidRDefault="00000000">
      <w:pPr>
        <w:ind w:left="342"/>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Igualmente, la Sentencia 20/2001, de 29 de enero, afirma que la prohibición de discriminación consagrada en el art. 14 CE comprende no sólo la discriminación patente, es decir, el tratamiento jurídico manifiesta e injustificadamente diferenciado y desfavorable de unas personas respecto a otras, sino también la encubierta, esto es, aquel tratamiento formal o aparentemente neutro o no discriminatorio del que se deriva, por las diversas circunstancias de hecho concurrentes en el caso, un impacto adverso sobre la persona objeto de la práctica o conducta.</w:t>
      </w:r>
    </w:p>
    <w:p w:rsidR="00000000" w:rsidRDefault="00000000">
      <w:pPr>
        <w:pStyle w:val="BodyTextIndent"/>
        <w:ind w:left="0"/>
        <w:rPr>
          <w:i/>
        </w:rPr>
      </w:pPr>
    </w:p>
    <w:p w:rsidR="00000000" w:rsidRDefault="00000000">
      <w:pPr>
        <w:jc w:val="both"/>
        <w:rPr>
          <w:rFonts w:ascii="Arial" w:hAnsi="Arial"/>
        </w:rPr>
      </w:pPr>
      <w:r>
        <w:rPr>
          <w:rFonts w:ascii="Arial" w:hAnsi="Arial"/>
        </w:rPr>
        <w:t>Otras Sentencias del Tribunal Constitucional que pueden consultarse son: SSTC 236/2000, de 16 de octubre; 250/2000, de 30 de octubre y 39/2002, de 14 de febrero.</w:t>
      </w:r>
    </w:p>
    <w:p w:rsidR="00000000" w:rsidRDefault="00000000">
      <w:pPr>
        <w:ind w:hanging="1135"/>
        <w:jc w:val="both"/>
        <w:rPr>
          <w:rFonts w:ascii="Arial" w:hAnsi="Arial"/>
        </w:rPr>
      </w:pPr>
    </w:p>
    <w:p w:rsidR="00000000" w:rsidRDefault="00000000">
      <w:pPr>
        <w:pStyle w:val="Heading2"/>
        <w:rPr>
          <w:rFonts w:ascii="Arial" w:hAnsi="Arial"/>
          <w:sz w:val="22"/>
        </w:rPr>
      </w:pPr>
    </w:p>
    <w:p w:rsidR="00000000" w:rsidRDefault="00000000">
      <w:pPr>
        <w:pStyle w:val="Heading2"/>
        <w:rPr>
          <w:rFonts w:ascii="Arial" w:hAnsi="Arial"/>
          <w:sz w:val="22"/>
        </w:rPr>
      </w:pPr>
      <w:r>
        <w:rPr>
          <w:rFonts w:ascii="Arial" w:hAnsi="Arial"/>
          <w:sz w:val="22"/>
        </w:rPr>
        <w:t>Artículo 2: Obligación de eliminar la discriminación</w:t>
      </w:r>
    </w:p>
    <w:p w:rsidR="00000000" w:rsidRDefault="00000000">
      <w:pPr>
        <w:jc w:val="both"/>
        <w:rPr>
          <w:rFonts w:ascii="Arial" w:hAnsi="Arial"/>
          <w:b/>
        </w:rPr>
      </w:pPr>
    </w:p>
    <w:p w:rsidR="00000000" w:rsidRDefault="00000000">
      <w:pPr>
        <w:jc w:val="both"/>
        <w:rPr>
          <w:rFonts w:ascii="Arial" w:hAnsi="Arial"/>
        </w:rPr>
      </w:pPr>
      <w:r>
        <w:rPr>
          <w:rFonts w:ascii="Arial" w:hAnsi="Arial"/>
        </w:rPr>
        <w:t>Como se ha señalado, la Constitución Española de 1978 establece el principio de igualdad y no-discriminación e insta a los poderes públicos a promover las condiciones para que la libertad y la igualdad sean reales y efectivas, removiendo los obstáculos que impiden o dificultan su plenitud, facilitando la participación de todos los ciudadanos en la vida política, económica, cultural y social.</w:t>
      </w:r>
    </w:p>
    <w:p w:rsidR="00000000" w:rsidRDefault="00000000">
      <w:pPr>
        <w:jc w:val="both"/>
        <w:rPr>
          <w:rFonts w:ascii="Arial" w:hAnsi="Arial"/>
        </w:rPr>
      </w:pPr>
    </w:p>
    <w:p w:rsidR="00000000" w:rsidRDefault="00000000">
      <w:pPr>
        <w:jc w:val="both"/>
        <w:rPr>
          <w:rFonts w:ascii="Arial" w:hAnsi="Arial"/>
        </w:rPr>
      </w:pPr>
      <w:r>
        <w:rPr>
          <w:rFonts w:ascii="Arial" w:hAnsi="Arial"/>
        </w:rPr>
        <w:t>De acuerdo con ello, desde la presentación del anterior informe al Comité, se han intensificado las políticas, programas y actuaciones para propiciar una participación igualitaria de las mujeres en la sociedad y garantizar no sólo la igualdad formal, sino también la igualdad real.</w:t>
      </w:r>
    </w:p>
    <w:p w:rsidR="00000000" w:rsidRDefault="00000000">
      <w:pPr>
        <w:jc w:val="both"/>
        <w:rPr>
          <w:rFonts w:ascii="Arial" w:hAnsi="Arial"/>
        </w:rPr>
      </w:pPr>
    </w:p>
    <w:p w:rsidR="00000000" w:rsidRDefault="00000000">
      <w:pPr>
        <w:jc w:val="both"/>
        <w:rPr>
          <w:rFonts w:ascii="Arial" w:hAnsi="Arial"/>
        </w:rPr>
      </w:pPr>
      <w:r>
        <w:rPr>
          <w:rFonts w:ascii="Arial" w:hAnsi="Arial"/>
        </w:rPr>
        <w:t>En este sentido, puede destacarse el trabajo desarrollado por diferentes instituciones, organismos y organizaciones.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Así, el </w:t>
      </w:r>
      <w:r>
        <w:rPr>
          <w:rFonts w:ascii="Arial" w:hAnsi="Arial"/>
          <w:b/>
        </w:rPr>
        <w:t>Defensor del Pueblo</w:t>
      </w:r>
      <w:r>
        <w:rPr>
          <w:rFonts w:ascii="Arial" w:hAnsi="Arial"/>
        </w:rPr>
        <w:t xml:space="preserve">, junto con el Tribunal Constitucional,  es uno de los órganos que velan por el cumplimiento de los mandatos contenidos en la Norma Fundamental. Definido como Alto Comisionado de las Cortes Generales es designado por éstas para la defensa de los derechos fundamentales entre los que se encuentra el derecho a la igualdad. Anualmente, presenta ante las Cortes Generales un informe sobre su actuación. Cabe destacar del último presentado su preocupación por la violencia que sufren las mujeres; el impago de las pensiones, principalmente cuando hay menores; la situación de las mujeres presas; la problemática de las mujeres inmigrantes, etc.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desarrollo del Estado autonómico establecido constitucionalmente ha configurado una red de Instituciones autonómicas similares al Defensor del Pueblo que tienen igual función, pero circunscrita a su propio territorio.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w:t>
      </w:r>
      <w:r>
        <w:rPr>
          <w:rFonts w:ascii="Arial" w:hAnsi="Arial"/>
          <w:b/>
        </w:rPr>
        <w:t>organización territorial del Estado</w:t>
      </w:r>
      <w:r>
        <w:rPr>
          <w:rFonts w:ascii="Arial" w:hAnsi="Arial"/>
        </w:rPr>
        <w:t xml:space="preserve"> español que se concreta en la existencia de municipios, provincias y Comunidades Autónomas, es importante para analizar la distribución de competencias en matera de igualdad de oportunidades.</w:t>
      </w:r>
    </w:p>
    <w:p w:rsidR="00000000" w:rsidRDefault="00000000">
      <w:pPr>
        <w:jc w:val="both"/>
        <w:rPr>
          <w:rFonts w:ascii="Arial" w:hAnsi="Arial"/>
        </w:rPr>
      </w:pPr>
    </w:p>
    <w:p w:rsidR="00000000" w:rsidRDefault="00000000">
      <w:pPr>
        <w:jc w:val="both"/>
        <w:rPr>
          <w:rFonts w:ascii="Arial" w:hAnsi="Arial"/>
        </w:rPr>
      </w:pPr>
      <w:r>
        <w:rPr>
          <w:rFonts w:ascii="Arial" w:hAnsi="Arial"/>
        </w:rPr>
        <w:t>Entre las competencias que se integran en los Estatutos de Autonomía de las Comunidades Autónomas, el artículo 148.1.20 de la Constitución recoge la “asistencia social” de la que forma parte la igualdad de oportunidades.</w:t>
      </w:r>
    </w:p>
    <w:p w:rsidR="00000000" w:rsidRDefault="00000000">
      <w:pPr>
        <w:jc w:val="both"/>
        <w:rPr>
          <w:rFonts w:ascii="Arial" w:hAnsi="Arial"/>
          <w:color w:val="FF0000"/>
        </w:rPr>
      </w:pPr>
    </w:p>
    <w:p w:rsidR="00000000" w:rsidRDefault="00000000">
      <w:pPr>
        <w:jc w:val="both"/>
        <w:rPr>
          <w:rFonts w:ascii="Arial" w:hAnsi="Arial"/>
        </w:rPr>
      </w:pPr>
      <w:r>
        <w:rPr>
          <w:rFonts w:ascii="Arial" w:hAnsi="Arial"/>
        </w:rPr>
        <w:t>Sobre la base de dichas competencias, en la actualidad las diecisiete Comunidades Autónomas cuentan con mecanismos de igualdad de oportunidades en sus respectivos ámbitos territoriales.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 la </w:t>
      </w:r>
      <w:r>
        <w:rPr>
          <w:rFonts w:ascii="Arial" w:hAnsi="Arial"/>
          <w:b/>
        </w:rPr>
        <w:t>Administración Local</w:t>
      </w:r>
      <w:r>
        <w:rPr>
          <w:rFonts w:ascii="Arial" w:hAnsi="Arial"/>
        </w:rPr>
        <w:t>, de acuerdo con la normativa vigente, los municipios pueden realizar actividades complementarias de las propias de otras Administraciones Públicas, en particular, las relativas a la promoción de la mujer. Los municipios con más de 20.000 habitantes, por sí mismos o asociados, deberán llevar a cabo, en todo caso, la prestación de servicios sociales.</w:t>
      </w:r>
    </w:p>
    <w:p w:rsidR="00000000" w:rsidRDefault="00000000">
      <w:pPr>
        <w:jc w:val="both"/>
        <w:rPr>
          <w:rFonts w:ascii="Arial" w:hAnsi="Arial"/>
        </w:rPr>
      </w:pPr>
    </w:p>
    <w:p w:rsidR="00000000" w:rsidRDefault="00000000">
      <w:pPr>
        <w:jc w:val="both"/>
        <w:rPr>
          <w:rFonts w:ascii="Arial" w:hAnsi="Arial"/>
        </w:rPr>
      </w:pPr>
      <w:r>
        <w:rPr>
          <w:rFonts w:ascii="Arial" w:hAnsi="Arial"/>
        </w:rPr>
        <w:t>En el ámbito de la Administración del Estado, las competencias sobre asuntos sociales han sido transferidas a las Comunidades Autónomas, si bien el Estado ostenta una serie de competencias exclusivas, entre las que se encuentran la regulación de las condiciones básicas que garanticen la igualdad de todos los españoles en el ejercicio de los derechos y en el cumplimiento de los deberes constitucionales, la legislación en algunos ámbitos y las relaciones internacionales.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Teniendo en cuenta este referente legal, el </w:t>
      </w:r>
      <w:r>
        <w:rPr>
          <w:rFonts w:ascii="Arial" w:hAnsi="Arial"/>
          <w:b/>
        </w:rPr>
        <w:t>Instituto de la Mujer</w:t>
      </w:r>
      <w:r>
        <w:rPr>
          <w:rFonts w:ascii="Arial" w:hAnsi="Arial"/>
        </w:rPr>
        <w:t>, creado en 1983, es el organismo autónomo competente para la promoción y fomento de la igualdad de oportunidades con el fin de conseguir las condiciones necesarias que posibiliten la participación de la mujer en la vida política, cultural, económica y social.</w:t>
      </w:r>
    </w:p>
    <w:p w:rsidR="00000000" w:rsidRDefault="00000000">
      <w:pPr>
        <w:jc w:val="both"/>
        <w:rPr>
          <w:rFonts w:ascii="Arial" w:hAnsi="Arial"/>
        </w:rPr>
      </w:pPr>
    </w:p>
    <w:p w:rsidR="00000000" w:rsidRDefault="00000000">
      <w:pPr>
        <w:jc w:val="both"/>
        <w:rPr>
          <w:rFonts w:ascii="Arial" w:hAnsi="Arial"/>
        </w:rPr>
      </w:pPr>
      <w:r>
        <w:rPr>
          <w:rFonts w:ascii="Arial" w:hAnsi="Arial"/>
        </w:rPr>
        <w:t>Este organismo vigila la adecuación de las normas al principio de igualdad, mediante la evacuación de los informes pertinentes a los proyectos de leyes y normas de inferior rango. También interesa destacar la tramitación en vía administrativa de las denuncias presentadas ante el Instituto por parte de las mujeres, referidas a casos concretos de discriminación de hecho o de derecho por razón de sexo.</w:t>
      </w:r>
    </w:p>
    <w:p w:rsidR="00000000" w:rsidRDefault="00000000">
      <w:pPr>
        <w:jc w:val="both"/>
        <w:rPr>
          <w:rFonts w:ascii="Arial" w:hAnsi="Arial"/>
        </w:rPr>
      </w:pPr>
    </w:p>
    <w:p w:rsidR="00000000" w:rsidRDefault="00000000">
      <w:pPr>
        <w:jc w:val="both"/>
        <w:rPr>
          <w:rFonts w:ascii="Arial" w:hAnsi="Arial"/>
        </w:rPr>
      </w:pPr>
      <w:r>
        <w:rPr>
          <w:rFonts w:ascii="Arial" w:hAnsi="Arial"/>
        </w:rPr>
        <w:t>En los últimos años, se ha producido un continuo y progresivo incremento de los presupuestos anuales asignados al Instituto de la Mujer para el logro de sus objetivos y que ha pasado de una asignación de 13.997,57 euros en el año 1996, a 22.692,70 euros en el año 2002, lo que representa un incremento del 62% en dicho período.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Como se reflejaba en informes anteriores, el Instituto de la Mujer cuenta con un </w:t>
      </w:r>
      <w:r>
        <w:rPr>
          <w:rFonts w:ascii="Arial" w:hAnsi="Arial"/>
          <w:b/>
        </w:rPr>
        <w:t>Consejo Rector</w:t>
      </w:r>
      <w:r>
        <w:rPr>
          <w:rFonts w:ascii="Arial" w:hAnsi="Arial"/>
        </w:rPr>
        <w:t xml:space="preserve"> para la coordinación de las políticas de igualdad con los distintos Departamentos Ministeriales y en el que existe también representación de ONG relevantes en distintos ámbitos y de los sindicatos mayoritarios.</w:t>
      </w:r>
    </w:p>
    <w:p w:rsidR="00000000" w:rsidRDefault="00000000">
      <w:pPr>
        <w:jc w:val="both"/>
        <w:rPr>
          <w:rFonts w:ascii="Arial" w:hAnsi="Arial"/>
        </w:rPr>
      </w:pPr>
    </w:p>
    <w:p w:rsidR="00000000" w:rsidRDefault="00000000">
      <w:pPr>
        <w:jc w:val="both"/>
        <w:rPr>
          <w:rFonts w:ascii="Arial" w:hAnsi="Arial"/>
        </w:rPr>
      </w:pPr>
      <w:r>
        <w:rPr>
          <w:rFonts w:ascii="Arial" w:hAnsi="Arial"/>
        </w:rPr>
        <w:t>Desde la aprobación del Real Decreto 1910/1999, de 17 de diciembre, de creación del</w:t>
      </w:r>
      <w:r>
        <w:rPr>
          <w:rFonts w:ascii="Arial" w:hAnsi="Arial"/>
          <w:b/>
        </w:rPr>
        <w:t xml:space="preserve"> Consejo Estatal de Organizaciones no Gubernamentales de Acción Social</w:t>
      </w:r>
      <w:r>
        <w:rPr>
          <w:rFonts w:ascii="Arial" w:hAnsi="Arial"/>
        </w:rPr>
        <w:t>, el Instituto de la Mujer, a través de su Directora General, forma parte de este órgano de impulso de la política de cooperación entre la Administración y la sociedad civil en el desarrollo de la política social.</w:t>
      </w:r>
    </w:p>
    <w:p w:rsidR="00000000" w:rsidRDefault="00000000">
      <w:pPr>
        <w:jc w:val="both"/>
        <w:rPr>
          <w:rFonts w:ascii="Arial" w:hAnsi="Arial"/>
        </w:rPr>
      </w:pPr>
    </w:p>
    <w:p w:rsidR="00000000" w:rsidRDefault="00000000">
      <w:pPr>
        <w:jc w:val="both"/>
        <w:rPr>
          <w:rFonts w:ascii="Arial" w:hAnsi="Arial"/>
        </w:rPr>
      </w:pPr>
      <w:r>
        <w:rPr>
          <w:rFonts w:ascii="Arial" w:hAnsi="Arial"/>
        </w:rPr>
        <w:t>La coordinación con las Comunidades Autónomas se articula a través de la</w:t>
      </w:r>
      <w:r>
        <w:rPr>
          <w:rFonts w:ascii="Arial" w:hAnsi="Arial"/>
          <w:b/>
        </w:rPr>
        <w:t xml:space="preserve"> Conferencia Sectorial de la Mujer</w:t>
      </w:r>
      <w:r>
        <w:rPr>
          <w:rFonts w:ascii="Arial" w:hAnsi="Arial"/>
        </w:rPr>
        <w:t xml:space="preserve"> existente desde 1995. Se trata de un órgano de encuentro y deliberación que tiene como finalidad primordial conseguir la máxima coherencia en la determinación y aplicación de las políticas de igualdad definidas por la Administración del Estado y las Comunidades Autónomas.</w:t>
      </w:r>
    </w:p>
    <w:p w:rsidR="00000000" w:rsidRDefault="00000000">
      <w:pPr>
        <w:jc w:val="both"/>
        <w:rPr>
          <w:rFonts w:ascii="Arial" w:hAnsi="Arial"/>
        </w:rPr>
      </w:pPr>
    </w:p>
    <w:p w:rsidR="00000000" w:rsidRDefault="00000000">
      <w:pPr>
        <w:jc w:val="both"/>
        <w:rPr>
          <w:rFonts w:ascii="Arial" w:hAnsi="Arial"/>
          <w:snapToGrid w:val="0"/>
          <w:lang w:eastAsia="es-ES"/>
        </w:rPr>
      </w:pPr>
      <w:r>
        <w:rPr>
          <w:rFonts w:ascii="Arial" w:hAnsi="Arial"/>
        </w:rPr>
        <w:t xml:space="preserve">Otro importante mecanismo de colaboración entre la Administración del Estado, las Comunidades autónomas y las Corporaciones Locales son los </w:t>
      </w:r>
      <w:r>
        <w:rPr>
          <w:rFonts w:ascii="Arial" w:hAnsi="Arial"/>
          <w:b/>
        </w:rPr>
        <w:t>Convenios de Colaboración</w:t>
      </w:r>
      <w:r>
        <w:rPr>
          <w:rFonts w:ascii="Arial" w:hAnsi="Arial"/>
        </w:rPr>
        <w:t>. En el último ejercicio, el Instituto de la Mujer ha firmado este tipo de convenios con todas las Comunidades Autónomas (excepto País Vasco y Navarra) para la cooperación en programas y actuaciones dirigidos específicamente a mujeres: estancias de tiempo libre para mujeres solas con hijas e hijos menores, exclusivamente a su cargo; cursos de formación dirigidos a mejorar la cualificación de las mujeres; adaptar su formación a las necesidades del mercado de trabajo, diversificar la formación y proporcionar formación especializada; y, finalmente, para inversiones en proyectos de obras de acondicionamiento y/o equipamiento de Centros para mujeres, dando prioridad a proyectos destinados a centros de acogida para mujeres víctimas de violencia.</w:t>
      </w:r>
    </w:p>
    <w:p w:rsidR="00000000" w:rsidRDefault="00000000">
      <w:pPr>
        <w:jc w:val="both"/>
        <w:rPr>
          <w:rFonts w:ascii="Arial" w:hAnsi="Arial"/>
        </w:rPr>
      </w:pPr>
    </w:p>
    <w:p w:rsidR="00000000" w:rsidRDefault="00000000">
      <w:pPr>
        <w:jc w:val="both"/>
        <w:rPr>
          <w:rFonts w:ascii="Arial" w:hAnsi="Arial"/>
        </w:rPr>
      </w:pPr>
      <w:r>
        <w:rPr>
          <w:rFonts w:ascii="Arial" w:hAnsi="Arial"/>
        </w:rPr>
        <w:t>Durante este período, han seguido aumentando los departamentos dependientes de Diputaciones y Ayuntamientos dirigidos a las mujeres ofertándoles asesoramiento y/o recursos en el ámbito social. La cooperación en este ámbito se ha realizado a través de los Convenios de colaboración entre las administraciones locales y el propio Instituto de la Mujer. De este modo, durante el último año, el Instituto de la Mujer ha firmado 129 Convenios con ayuntamientos para el acondicionamiento y equipamiento de servicios de información para mujeres.</w:t>
      </w:r>
    </w:p>
    <w:p w:rsidR="00000000" w:rsidRDefault="00000000">
      <w:pPr>
        <w:jc w:val="both"/>
        <w:rPr>
          <w:rFonts w:ascii="Arial" w:hAnsi="Arial"/>
        </w:rPr>
      </w:pPr>
      <w:r>
        <w:rPr>
          <w:rFonts w:ascii="Arial" w:hAnsi="Arial"/>
        </w:rPr>
        <w:t xml:space="preserve">Desde su creación, el Instituto, presta </w:t>
      </w:r>
      <w:r>
        <w:rPr>
          <w:rFonts w:ascii="Arial" w:hAnsi="Arial"/>
          <w:b/>
        </w:rPr>
        <w:t>apoyo</w:t>
      </w:r>
      <w:r>
        <w:rPr>
          <w:rFonts w:ascii="Arial" w:hAnsi="Arial"/>
        </w:rPr>
        <w:t xml:space="preserve"> técnico, financiero e infraestructura </w:t>
      </w:r>
      <w:r>
        <w:rPr>
          <w:rFonts w:ascii="Arial" w:hAnsi="Arial"/>
          <w:b/>
        </w:rPr>
        <w:t>a las ONG</w:t>
      </w:r>
      <w:r>
        <w:rPr>
          <w:rFonts w:ascii="Arial" w:hAnsi="Arial"/>
        </w:rPr>
        <w:t>. El financiero se presta a  través de dos vías:</w:t>
      </w:r>
    </w:p>
    <w:p w:rsidR="00000000" w:rsidRDefault="00000000">
      <w:pPr>
        <w:pStyle w:val="BodyText2"/>
        <w:ind w:right="0"/>
      </w:pPr>
    </w:p>
    <w:p w:rsidR="00000000" w:rsidRDefault="00000000">
      <w:pPr>
        <w:numPr>
          <w:ilvl w:val="0"/>
          <w:numId w:val="1494"/>
        </w:numPr>
        <w:tabs>
          <w:tab w:val="clear" w:pos="720"/>
        </w:tabs>
        <w:ind w:left="216" w:hanging="216"/>
        <w:jc w:val="both"/>
        <w:rPr>
          <w:rFonts w:ascii="Arial" w:hAnsi="Arial"/>
        </w:rPr>
      </w:pPr>
      <w:r>
        <w:rPr>
          <w:rFonts w:ascii="Arial" w:hAnsi="Arial"/>
        </w:rPr>
        <w:t>Convocatoria del Régimen General del Instituto de la Mujer que subvenciona, básicamente, actividades dirigidas a potenciar la igualdad de oportunidades entre mujeres y hombres y la participación de la mujer en el ámbito político, cultural, económico y social y, el fortalecimiento del movimiento asociativo de mujeres.</w:t>
      </w:r>
    </w:p>
    <w:p w:rsidR="00000000" w:rsidRDefault="00000000">
      <w:pPr>
        <w:jc w:val="both"/>
        <w:rPr>
          <w:rFonts w:ascii="Arial" w:hAnsi="Arial"/>
        </w:rPr>
      </w:pPr>
    </w:p>
    <w:p w:rsidR="00000000" w:rsidRDefault="00000000">
      <w:pPr>
        <w:jc w:val="both"/>
        <w:rPr>
          <w:rFonts w:ascii="Arial" w:hAnsi="Arial"/>
        </w:rPr>
      </w:pPr>
      <w:r>
        <w:rPr>
          <w:rFonts w:ascii="Arial" w:hAnsi="Arial"/>
        </w:rPr>
        <w:t>En la convocatoria del año 2001, se han subvencionado 116 programas a 69 entidades por un importe de 1.589.677 €.</w:t>
      </w:r>
    </w:p>
    <w:p w:rsidR="00000000" w:rsidRDefault="00000000">
      <w:pPr>
        <w:pStyle w:val="BodyText2"/>
        <w:tabs>
          <w:tab w:val="left" w:pos="1134"/>
        </w:tabs>
        <w:ind w:right="0"/>
      </w:pPr>
    </w:p>
    <w:p w:rsidR="00000000" w:rsidRDefault="00000000">
      <w:pPr>
        <w:numPr>
          <w:ilvl w:val="0"/>
          <w:numId w:val="1494"/>
        </w:numPr>
        <w:tabs>
          <w:tab w:val="clear" w:pos="720"/>
        </w:tabs>
        <w:ind w:left="216" w:hanging="216"/>
        <w:jc w:val="both"/>
        <w:rPr>
          <w:rFonts w:ascii="Arial" w:hAnsi="Arial"/>
        </w:rPr>
      </w:pPr>
      <w:r>
        <w:rPr>
          <w:rFonts w:ascii="Arial" w:hAnsi="Arial"/>
        </w:rPr>
        <w:t>Convocatoria de subvenciones del IRPF (crédito habilitado en la Dirección General de Acción Social, el Menor y la Familia), a través de la cual se subvencionan, dentro del colectivo mujeres, programas de educación e inserción social, programas dirigidos a mujeres del medio rural y del ámbito marítimo-pesquero, fomento del empleo y autoempleo, prevención de la violencia y atención integral a mujeres víctimas de violencia y programas dirigidos a cofinanciar los proyectos presentados a Iniciativas Comunitarias en las que se contemplen la igualdad de oportunidades entre mujeres y hombres.</w:t>
      </w:r>
    </w:p>
    <w:p w:rsidR="00000000" w:rsidRDefault="00000000">
      <w:pPr>
        <w:jc w:val="both"/>
        <w:rPr>
          <w:rFonts w:ascii="Arial" w:hAnsi="Arial"/>
        </w:rPr>
      </w:pPr>
    </w:p>
    <w:p w:rsidR="00000000" w:rsidRDefault="00000000">
      <w:pPr>
        <w:jc w:val="both"/>
        <w:rPr>
          <w:rFonts w:ascii="Arial" w:hAnsi="Arial"/>
        </w:rPr>
      </w:pPr>
      <w:r>
        <w:rPr>
          <w:rFonts w:ascii="Arial" w:hAnsi="Arial"/>
        </w:rPr>
        <w:t>En la convocatoria del año 2001, se han subvencionado 117 programas por un importe de 8.157.537,26  € y, en la del 2002, 116 programas por un importe de 8.167.690,07 €.</w:t>
      </w:r>
    </w:p>
    <w:p w:rsidR="00000000" w:rsidRDefault="00000000">
      <w:pPr>
        <w:pStyle w:val="BodyText2"/>
        <w:ind w:right="0"/>
      </w:pPr>
    </w:p>
    <w:p w:rsidR="00000000" w:rsidRDefault="00000000">
      <w:pPr>
        <w:jc w:val="both"/>
        <w:rPr>
          <w:rFonts w:ascii="Arial" w:hAnsi="Arial"/>
        </w:rPr>
      </w:pPr>
      <w:r>
        <w:rPr>
          <w:rFonts w:ascii="Arial" w:hAnsi="Arial"/>
        </w:rPr>
        <w:t>Por otra parte, y con el fin de dar apoyo al movimiento asociativo de mujeres, se ceden en uso, una serie de  espacios donde se ubican las sedes sociales de las entidades, así como se permite la utilización de  diversas salas para realizar sus actividades.</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Finalmente, otras Entidades, Organismos e Instituciones realizan, asimismo, una importante labor en la materia; así, por ejemplo, la Comisión Mixta de los Derechos de la Mujer (Comisión Permanente Parlamentaria), las Universidades y otras entidades con las que se trabaja estrechamente.</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p>
    <w:p w:rsidR="00000000" w:rsidRDefault="00000000">
      <w:pPr>
        <w:pStyle w:val="Heading2"/>
        <w:rPr>
          <w:rFonts w:ascii="Arial" w:hAnsi="Arial"/>
          <w:snapToGrid w:val="0"/>
          <w:sz w:val="22"/>
          <w:lang w:val="es-ES" w:eastAsia="es-ES"/>
        </w:rPr>
      </w:pPr>
      <w:r>
        <w:rPr>
          <w:rFonts w:ascii="Arial" w:hAnsi="Arial"/>
          <w:snapToGrid w:val="0"/>
          <w:sz w:val="22"/>
          <w:lang w:val="es-ES" w:eastAsia="es-ES"/>
        </w:rPr>
        <w:t>Artículo 3: Avance de la mujer y garantía del ejercicio de los derechos humanos</w:t>
      </w:r>
    </w:p>
    <w:p w:rsidR="00000000" w:rsidRDefault="00000000">
      <w:pPr>
        <w:jc w:val="both"/>
        <w:rPr>
          <w:rFonts w:ascii="Arial" w:hAnsi="Arial"/>
          <w:b/>
          <w:snapToGrid w:val="0"/>
          <w:lang w:eastAsia="es-ES"/>
        </w:rPr>
      </w:pPr>
    </w:p>
    <w:p w:rsidR="00000000" w:rsidRDefault="00000000">
      <w:pPr>
        <w:jc w:val="both"/>
        <w:rPr>
          <w:rFonts w:ascii="Arial" w:hAnsi="Arial"/>
        </w:rPr>
      </w:pPr>
      <w:r>
        <w:rPr>
          <w:rFonts w:ascii="Arial" w:hAnsi="Arial"/>
          <w:snapToGrid w:val="0"/>
          <w:lang w:eastAsia="es-ES"/>
        </w:rPr>
        <w:t>Desde el Instituto de la Mujer se impulsan</w:t>
      </w:r>
      <w:r>
        <w:rPr>
          <w:rFonts w:ascii="Arial" w:hAnsi="Arial"/>
        </w:rPr>
        <w:t xml:space="preserve"> medidas que contribuyen a eliminar las discriminaciones contra la mujer, concretadas, fundamentalmente, en los tres Planes de Igualdad de Oportunidades, los Planes de Acción para el Empleo del Reino de España, de carácter anual, y los dos Planes contra la Violencia, pero también en el Plan de Formación Profesional, el Plan Integral de Apoyo a la Familia, el Plan de Inclusión Social, etc. en los que se comprometen para su ejecución diferentes departamentos ministeriales y que desarrollan políticas de igualdad de oportunidades.</w:t>
      </w:r>
    </w:p>
    <w:p w:rsidR="00000000" w:rsidRDefault="00000000">
      <w:pPr>
        <w:jc w:val="both"/>
        <w:rPr>
          <w:rFonts w:ascii="Arial" w:hAnsi="Arial"/>
        </w:rPr>
      </w:pPr>
    </w:p>
    <w:p w:rsidR="00000000" w:rsidRDefault="00000000">
      <w:pPr>
        <w:jc w:val="both"/>
        <w:rPr>
          <w:rFonts w:ascii="Arial" w:hAnsi="Arial"/>
        </w:rPr>
      </w:pPr>
      <w:r>
        <w:rPr>
          <w:rFonts w:ascii="Arial" w:hAnsi="Arial"/>
        </w:rPr>
        <w:t>Durante el período objeto de estudio ha finalizado el plazo de ejecución del III Plan para la Igualdad de Oportunidades entre mujeres y hombres 1997-2000 y del I Plan de Acción contra la Violencia Doméstica 1998-2000; se han ejecutado cuatro Planes de Empleo y se ha aprobado el II Plan Integral contra la Violencia Doméstica 2001-2004.</w:t>
      </w:r>
    </w:p>
    <w:p w:rsidR="00000000" w:rsidRDefault="00000000">
      <w:pPr>
        <w:pStyle w:val="BodyTextIndent"/>
        <w:ind w:left="0"/>
      </w:pPr>
    </w:p>
    <w:p w:rsidR="00000000" w:rsidRDefault="00000000">
      <w:pPr>
        <w:jc w:val="both"/>
        <w:rPr>
          <w:rFonts w:ascii="Arial" w:hAnsi="Arial"/>
        </w:rPr>
      </w:pPr>
      <w:r>
        <w:rPr>
          <w:rFonts w:ascii="Arial" w:hAnsi="Arial"/>
        </w:rPr>
        <w:t>Si la aprobación del I PIOM (1988-1990), supuso la revisión de la legislación con el principal objetivo de la eliminación de las disposiciones legales discriminatorias existentes en nuestra legislación, especialmente en materia civil, laboral y penal y el II</w:t>
      </w:r>
      <w:r>
        <w:rPr>
          <w:rFonts w:ascii="Arial" w:hAnsi="Arial"/>
          <w:b/>
        </w:rPr>
        <w:t xml:space="preserve"> </w:t>
      </w:r>
      <w:r>
        <w:rPr>
          <w:rFonts w:ascii="Arial" w:hAnsi="Arial"/>
        </w:rPr>
        <w:t>(1993</w:t>
      </w:r>
      <w:r>
        <w:rPr>
          <w:rFonts w:ascii="Arial" w:hAnsi="Arial"/>
          <w:b/>
        </w:rPr>
        <w:t>-</w:t>
      </w:r>
      <w:r>
        <w:rPr>
          <w:rFonts w:ascii="Arial" w:hAnsi="Arial"/>
        </w:rPr>
        <w:t>1995) tuvo como finalidad básica la adopción de medidas para avanzar desde la igualdad formal hacia la igualdad real, es decir, la promoción y desarrollo de medidas de acción positiva, principalmente, en los ámbitos de la educación, la formación y el empleo, el III Plan para la Igualdad de Oportunidades entre mujeres y hombres (1997-2000), ha supuesto la introducción de la óptica de igualdad en todas las políticas del Gobierno y la promoción de la participación de las mujeres en todas las esferas de la vida social con el fin de que las mujeres se tornen en agentes copartícipes de la toma de decisiones, ya que sin la participación de las mujeres es imposible alcanzar  objetivos de igualdad y desarrollo. De este modo, se pretende promover la integración de la dimensión de la igualdad de oportunidades en la elaboración, aplicación y seguimiento de todas las políticas, medidas y acciones realizadas. Es lo que, principalmente, desde la IV Conferencia Mundial sobre las Mujeres y  el IV Plan de Acción Comunitaria, se ha venido a denominar “</w:t>
      </w:r>
      <w:r>
        <w:rPr>
          <w:rFonts w:ascii="Arial" w:hAnsi="Arial"/>
          <w:b/>
        </w:rPr>
        <w:t>principio de mainstreaming</w:t>
      </w:r>
      <w:r>
        <w:rPr>
          <w:rFonts w:ascii="Arial" w:hAnsi="Arial"/>
        </w:rPr>
        <w:t xml:space="preserve">.” </w:t>
      </w:r>
    </w:p>
    <w:p w:rsidR="00000000" w:rsidRDefault="00000000">
      <w:pPr>
        <w:jc w:val="both"/>
        <w:rPr>
          <w:rFonts w:ascii="Arial" w:hAnsi="Arial"/>
        </w:rPr>
      </w:pPr>
    </w:p>
    <w:p w:rsidR="00000000" w:rsidRDefault="00000000">
      <w:pPr>
        <w:jc w:val="both"/>
        <w:rPr>
          <w:rFonts w:ascii="Arial" w:hAnsi="Arial"/>
        </w:rPr>
      </w:pPr>
      <w:r>
        <w:rPr>
          <w:rFonts w:ascii="Arial" w:hAnsi="Arial"/>
        </w:rPr>
        <w:t>Es tal la importancia que va cobrando este principio en España que, todos los Planes de Igualdad, ya sean a nivel nacional, promovidos por el Instituto de la Mujer del Ministerio de Trabajo y Asuntos Sociales, a nivel regional, promovidos por los Organismos de Igualdad de las Comunidades Autónomas, o a nivel local, promovidos desde los Ayuntamientos, están siendo elaborados desde el punto de vista integrador del mainstreaming.</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Según la Síntesis de resultados de la evaluación del III Plan Para la Igualdad de Oportunidades entre Mujeres y Hombres (1997-2000), publicada por el Instituto de la Mujer, de las 192 actuaciones que contenía el PIOM, se han puesto en marcha 189; en unos casos pueden considerarse plenamente cumplidas, y en otros continúan su proceso de realización. </w:t>
      </w:r>
    </w:p>
    <w:p w:rsidR="00000000" w:rsidRDefault="00000000">
      <w:pPr>
        <w:jc w:val="both"/>
        <w:rPr>
          <w:rFonts w:ascii="Arial" w:hAnsi="Arial"/>
        </w:rPr>
      </w:pPr>
    </w:p>
    <w:p w:rsidR="00000000" w:rsidRDefault="00000000">
      <w:pPr>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F" w:firstRow="1" w:lastRow="0" w:firstColumn="1" w:lastColumn="0" w:noHBand="0" w:noVBand="0"/>
      </w:tblPr>
      <w:tblGrid>
        <w:gridCol w:w="3828"/>
        <w:gridCol w:w="567"/>
        <w:gridCol w:w="992"/>
        <w:gridCol w:w="567"/>
        <w:gridCol w:w="850"/>
        <w:gridCol w:w="709"/>
        <w:gridCol w:w="851"/>
      </w:tblGrid>
      <w:tr w:rsidR="00000000">
        <w:tblPrEx>
          <w:tblCellMar>
            <w:top w:w="0" w:type="dxa"/>
            <w:bottom w:w="0" w:type="dxa"/>
          </w:tblCellMar>
        </w:tblPrEx>
        <w:trPr>
          <w:cantSplit/>
          <w:trHeight w:val="281"/>
          <w:jc w:val="center"/>
        </w:trPr>
        <w:tc>
          <w:tcPr>
            <w:tcW w:w="3828" w:type="dxa"/>
            <w:vMerge w:val="restart"/>
            <w:vAlign w:val="center"/>
          </w:tcPr>
          <w:p w:rsidR="00000000" w:rsidRDefault="00000000">
            <w:pPr>
              <w:jc w:val="both"/>
              <w:rPr>
                <w:rFonts w:ascii="Arial" w:hAnsi="Arial"/>
                <w:b/>
                <w:sz w:val="16"/>
              </w:rPr>
            </w:pPr>
            <w:r>
              <w:rPr>
                <w:rFonts w:ascii="Arial" w:hAnsi="Arial"/>
                <w:b/>
                <w:sz w:val="16"/>
              </w:rPr>
              <w:t>ÁREAS</w:t>
            </w:r>
          </w:p>
        </w:tc>
        <w:tc>
          <w:tcPr>
            <w:tcW w:w="1559" w:type="dxa"/>
            <w:gridSpan w:val="2"/>
          </w:tcPr>
          <w:p w:rsidR="00000000" w:rsidRDefault="00000000">
            <w:pPr>
              <w:jc w:val="both"/>
              <w:rPr>
                <w:rFonts w:ascii="Arial" w:hAnsi="Arial"/>
                <w:b/>
                <w:sz w:val="16"/>
              </w:rPr>
            </w:pPr>
            <w:r>
              <w:rPr>
                <w:rFonts w:ascii="Arial" w:hAnsi="Arial"/>
                <w:b/>
                <w:sz w:val="16"/>
              </w:rPr>
              <w:t>ACTUACIONES INICIADAS</w:t>
            </w:r>
          </w:p>
        </w:tc>
        <w:tc>
          <w:tcPr>
            <w:tcW w:w="1417" w:type="dxa"/>
            <w:gridSpan w:val="2"/>
          </w:tcPr>
          <w:p w:rsidR="00000000" w:rsidRDefault="00000000">
            <w:pPr>
              <w:jc w:val="both"/>
              <w:rPr>
                <w:rFonts w:ascii="Arial" w:hAnsi="Arial"/>
                <w:b/>
                <w:sz w:val="16"/>
              </w:rPr>
            </w:pPr>
            <w:r>
              <w:rPr>
                <w:rFonts w:ascii="Arial" w:hAnsi="Arial"/>
                <w:b/>
                <w:sz w:val="16"/>
              </w:rPr>
              <w:t>ACTUACIONES</w:t>
            </w:r>
          </w:p>
          <w:p w:rsidR="00000000" w:rsidRDefault="00000000">
            <w:pPr>
              <w:jc w:val="both"/>
              <w:rPr>
                <w:rFonts w:ascii="Arial" w:hAnsi="Arial"/>
                <w:b/>
                <w:sz w:val="16"/>
              </w:rPr>
            </w:pPr>
            <w:r>
              <w:rPr>
                <w:rFonts w:ascii="Arial" w:hAnsi="Arial"/>
                <w:b/>
                <w:sz w:val="16"/>
              </w:rPr>
              <w:t xml:space="preserve"> NO INICIADAS</w:t>
            </w:r>
          </w:p>
        </w:tc>
        <w:tc>
          <w:tcPr>
            <w:tcW w:w="1560" w:type="dxa"/>
            <w:gridSpan w:val="2"/>
            <w:vAlign w:val="center"/>
          </w:tcPr>
          <w:p w:rsidR="00000000" w:rsidRDefault="00000000">
            <w:pPr>
              <w:jc w:val="both"/>
              <w:rPr>
                <w:rFonts w:ascii="Arial" w:hAnsi="Arial"/>
                <w:b/>
                <w:sz w:val="16"/>
              </w:rPr>
            </w:pPr>
            <w:r>
              <w:rPr>
                <w:rFonts w:ascii="Arial" w:hAnsi="Arial"/>
                <w:b/>
                <w:sz w:val="16"/>
              </w:rPr>
              <w:t>TOTALES</w:t>
            </w:r>
          </w:p>
        </w:tc>
      </w:tr>
      <w:tr w:rsidR="00000000">
        <w:tblPrEx>
          <w:tblCellMar>
            <w:top w:w="0" w:type="dxa"/>
            <w:bottom w:w="0" w:type="dxa"/>
          </w:tblCellMar>
        </w:tblPrEx>
        <w:trPr>
          <w:cantSplit/>
          <w:trHeight w:val="280"/>
          <w:jc w:val="center"/>
        </w:trPr>
        <w:tc>
          <w:tcPr>
            <w:tcW w:w="3828" w:type="dxa"/>
            <w:vMerge/>
          </w:tcPr>
          <w:p w:rsidR="00000000" w:rsidRDefault="00000000">
            <w:pPr>
              <w:jc w:val="both"/>
              <w:rPr>
                <w:rFonts w:ascii="Arial" w:hAnsi="Arial"/>
                <w:b/>
                <w:sz w:val="16"/>
              </w:rPr>
            </w:pPr>
          </w:p>
        </w:tc>
        <w:tc>
          <w:tcPr>
            <w:tcW w:w="567" w:type="dxa"/>
          </w:tcPr>
          <w:p w:rsidR="00000000" w:rsidRDefault="00000000">
            <w:pPr>
              <w:jc w:val="both"/>
              <w:rPr>
                <w:rFonts w:ascii="Arial" w:hAnsi="Arial"/>
                <w:b/>
                <w:sz w:val="16"/>
              </w:rPr>
            </w:pPr>
            <w:r>
              <w:rPr>
                <w:rFonts w:ascii="Arial" w:hAnsi="Arial"/>
                <w:b/>
                <w:sz w:val="16"/>
              </w:rPr>
              <w:t>Nº</w:t>
            </w:r>
          </w:p>
        </w:tc>
        <w:tc>
          <w:tcPr>
            <w:tcW w:w="992" w:type="dxa"/>
          </w:tcPr>
          <w:p w:rsidR="00000000" w:rsidRDefault="00000000">
            <w:pPr>
              <w:jc w:val="both"/>
              <w:rPr>
                <w:rFonts w:ascii="Arial" w:hAnsi="Arial"/>
                <w:b/>
                <w:sz w:val="16"/>
              </w:rPr>
            </w:pPr>
            <w:r>
              <w:rPr>
                <w:rFonts w:ascii="Arial" w:hAnsi="Arial"/>
                <w:b/>
                <w:sz w:val="16"/>
              </w:rPr>
              <w:t>%</w:t>
            </w:r>
          </w:p>
        </w:tc>
        <w:tc>
          <w:tcPr>
            <w:tcW w:w="567" w:type="dxa"/>
          </w:tcPr>
          <w:p w:rsidR="00000000" w:rsidRDefault="00000000">
            <w:pPr>
              <w:jc w:val="both"/>
              <w:rPr>
                <w:rFonts w:ascii="Arial" w:hAnsi="Arial"/>
                <w:b/>
                <w:sz w:val="16"/>
              </w:rPr>
            </w:pPr>
            <w:r>
              <w:rPr>
                <w:rFonts w:ascii="Arial" w:hAnsi="Arial"/>
                <w:b/>
                <w:sz w:val="16"/>
              </w:rPr>
              <w:t>Nº</w:t>
            </w:r>
          </w:p>
        </w:tc>
        <w:tc>
          <w:tcPr>
            <w:tcW w:w="850" w:type="dxa"/>
          </w:tcPr>
          <w:p w:rsidR="00000000" w:rsidRDefault="00000000">
            <w:pPr>
              <w:jc w:val="both"/>
              <w:rPr>
                <w:rFonts w:ascii="Arial" w:hAnsi="Arial"/>
                <w:b/>
                <w:sz w:val="16"/>
              </w:rPr>
            </w:pPr>
            <w:r>
              <w:rPr>
                <w:rFonts w:ascii="Arial" w:hAnsi="Arial"/>
                <w:b/>
                <w:sz w:val="16"/>
              </w:rPr>
              <w:t>%</w:t>
            </w:r>
          </w:p>
        </w:tc>
        <w:tc>
          <w:tcPr>
            <w:tcW w:w="709" w:type="dxa"/>
          </w:tcPr>
          <w:p w:rsidR="00000000" w:rsidRDefault="00000000">
            <w:pPr>
              <w:jc w:val="both"/>
              <w:rPr>
                <w:rFonts w:ascii="Arial" w:hAnsi="Arial"/>
                <w:b/>
                <w:sz w:val="16"/>
              </w:rPr>
            </w:pPr>
            <w:r>
              <w:rPr>
                <w:rFonts w:ascii="Arial" w:hAnsi="Arial"/>
                <w:b/>
                <w:sz w:val="16"/>
              </w:rPr>
              <w:t>Nº</w:t>
            </w:r>
          </w:p>
        </w:tc>
        <w:tc>
          <w:tcPr>
            <w:tcW w:w="851" w:type="dxa"/>
          </w:tcPr>
          <w:p w:rsidR="00000000" w:rsidRDefault="00000000">
            <w:pPr>
              <w:jc w:val="both"/>
              <w:rPr>
                <w:rFonts w:ascii="Arial" w:hAnsi="Arial"/>
                <w:b/>
                <w:sz w:val="16"/>
              </w:rPr>
            </w:pPr>
            <w:r>
              <w:rPr>
                <w:rFonts w:ascii="Arial" w:hAnsi="Arial"/>
                <w:b/>
                <w:sz w:val="16"/>
              </w:rPr>
              <w:t>%</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1. EDUCACIÓN</w:t>
            </w:r>
          </w:p>
        </w:tc>
        <w:tc>
          <w:tcPr>
            <w:tcW w:w="567" w:type="dxa"/>
          </w:tcPr>
          <w:p w:rsidR="00000000" w:rsidRDefault="00000000">
            <w:pPr>
              <w:jc w:val="both"/>
              <w:rPr>
                <w:rFonts w:ascii="Arial" w:hAnsi="Arial"/>
                <w:sz w:val="16"/>
              </w:rPr>
            </w:pPr>
            <w:r>
              <w:rPr>
                <w:rFonts w:ascii="Arial" w:hAnsi="Arial"/>
                <w:sz w:val="16"/>
              </w:rPr>
              <w:t>34</w:t>
            </w:r>
          </w:p>
        </w:tc>
        <w:tc>
          <w:tcPr>
            <w:tcW w:w="992" w:type="dxa"/>
          </w:tcPr>
          <w:p w:rsidR="00000000" w:rsidRDefault="00000000">
            <w:pPr>
              <w:jc w:val="both"/>
              <w:rPr>
                <w:rFonts w:ascii="Arial" w:hAnsi="Arial"/>
                <w:sz w:val="16"/>
              </w:rPr>
            </w:pPr>
            <w:r>
              <w:rPr>
                <w:rFonts w:ascii="Arial" w:hAnsi="Arial"/>
                <w:sz w:val="16"/>
              </w:rPr>
              <w:t>97,14</w:t>
            </w:r>
          </w:p>
        </w:tc>
        <w:tc>
          <w:tcPr>
            <w:tcW w:w="567" w:type="dxa"/>
          </w:tcPr>
          <w:p w:rsidR="00000000" w:rsidRDefault="00000000">
            <w:pPr>
              <w:jc w:val="both"/>
              <w:rPr>
                <w:rFonts w:ascii="Arial" w:hAnsi="Arial"/>
                <w:sz w:val="16"/>
              </w:rPr>
            </w:pPr>
            <w:r>
              <w:rPr>
                <w:rFonts w:ascii="Arial" w:hAnsi="Arial"/>
                <w:sz w:val="16"/>
              </w:rPr>
              <w:t>1</w:t>
            </w:r>
          </w:p>
        </w:tc>
        <w:tc>
          <w:tcPr>
            <w:tcW w:w="850" w:type="dxa"/>
          </w:tcPr>
          <w:p w:rsidR="00000000" w:rsidRDefault="00000000">
            <w:pPr>
              <w:jc w:val="both"/>
              <w:rPr>
                <w:rFonts w:ascii="Arial" w:hAnsi="Arial"/>
                <w:sz w:val="16"/>
              </w:rPr>
            </w:pPr>
            <w:r>
              <w:rPr>
                <w:rFonts w:ascii="Arial" w:hAnsi="Arial"/>
                <w:sz w:val="16"/>
              </w:rPr>
              <w:t>2,86</w:t>
            </w:r>
          </w:p>
        </w:tc>
        <w:tc>
          <w:tcPr>
            <w:tcW w:w="709" w:type="dxa"/>
          </w:tcPr>
          <w:p w:rsidR="00000000" w:rsidRDefault="00000000">
            <w:pPr>
              <w:jc w:val="both"/>
              <w:rPr>
                <w:rFonts w:ascii="Arial" w:hAnsi="Arial"/>
                <w:sz w:val="16"/>
              </w:rPr>
            </w:pPr>
            <w:r>
              <w:rPr>
                <w:rFonts w:ascii="Arial" w:hAnsi="Arial"/>
                <w:sz w:val="16"/>
              </w:rPr>
              <w:t>35</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2. SALUD</w:t>
            </w:r>
          </w:p>
        </w:tc>
        <w:tc>
          <w:tcPr>
            <w:tcW w:w="567" w:type="dxa"/>
          </w:tcPr>
          <w:p w:rsidR="00000000" w:rsidRDefault="00000000">
            <w:pPr>
              <w:jc w:val="both"/>
              <w:rPr>
                <w:rFonts w:ascii="Arial" w:hAnsi="Arial"/>
                <w:sz w:val="16"/>
              </w:rPr>
            </w:pPr>
            <w:r>
              <w:rPr>
                <w:rFonts w:ascii="Arial" w:hAnsi="Arial"/>
                <w:sz w:val="16"/>
              </w:rPr>
              <w:t>25</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25</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3. ECONOMIA Y EMPLEO</w:t>
            </w:r>
          </w:p>
        </w:tc>
        <w:tc>
          <w:tcPr>
            <w:tcW w:w="567" w:type="dxa"/>
          </w:tcPr>
          <w:p w:rsidR="00000000" w:rsidRDefault="00000000">
            <w:pPr>
              <w:jc w:val="both"/>
              <w:rPr>
                <w:rFonts w:ascii="Arial" w:hAnsi="Arial"/>
                <w:sz w:val="16"/>
              </w:rPr>
            </w:pPr>
            <w:r>
              <w:rPr>
                <w:rFonts w:ascii="Arial" w:hAnsi="Arial"/>
                <w:sz w:val="16"/>
              </w:rPr>
              <w:t>43</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43</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vAlign w:val="center"/>
          </w:tcPr>
          <w:p w:rsidR="00000000" w:rsidRDefault="00000000">
            <w:pPr>
              <w:ind w:hanging="426"/>
              <w:jc w:val="both"/>
              <w:rPr>
                <w:rFonts w:ascii="Arial" w:hAnsi="Arial"/>
                <w:sz w:val="16"/>
              </w:rPr>
            </w:pPr>
            <w:r>
              <w:rPr>
                <w:rFonts w:ascii="Arial" w:hAnsi="Arial"/>
                <w:sz w:val="16"/>
              </w:rPr>
              <w:t xml:space="preserve">E  </w:t>
            </w:r>
            <w:r>
              <w:rPr>
                <w:rFonts w:ascii="Arial" w:hAnsi="Arial"/>
                <w:sz w:val="16"/>
              </w:rPr>
              <w:tab/>
              <w:t>4. PODER Y TOMA DE DECISIONES</w:t>
            </w:r>
          </w:p>
        </w:tc>
        <w:tc>
          <w:tcPr>
            <w:tcW w:w="567" w:type="dxa"/>
            <w:vAlign w:val="center"/>
          </w:tcPr>
          <w:p w:rsidR="00000000" w:rsidRDefault="00000000">
            <w:pPr>
              <w:jc w:val="both"/>
              <w:rPr>
                <w:rFonts w:ascii="Arial" w:hAnsi="Arial"/>
                <w:sz w:val="16"/>
              </w:rPr>
            </w:pPr>
            <w:r>
              <w:rPr>
                <w:rFonts w:ascii="Arial" w:hAnsi="Arial"/>
                <w:sz w:val="16"/>
              </w:rPr>
              <w:t>5</w:t>
            </w:r>
          </w:p>
        </w:tc>
        <w:tc>
          <w:tcPr>
            <w:tcW w:w="992" w:type="dxa"/>
            <w:vAlign w:val="center"/>
          </w:tcPr>
          <w:p w:rsidR="00000000" w:rsidRDefault="00000000">
            <w:pPr>
              <w:jc w:val="both"/>
              <w:rPr>
                <w:rFonts w:ascii="Arial" w:hAnsi="Arial"/>
                <w:sz w:val="16"/>
              </w:rPr>
            </w:pPr>
            <w:r>
              <w:rPr>
                <w:rFonts w:ascii="Arial" w:hAnsi="Arial"/>
                <w:sz w:val="16"/>
              </w:rPr>
              <w:t>100</w:t>
            </w:r>
          </w:p>
        </w:tc>
        <w:tc>
          <w:tcPr>
            <w:tcW w:w="567" w:type="dxa"/>
            <w:vAlign w:val="center"/>
          </w:tcPr>
          <w:p w:rsidR="00000000" w:rsidRDefault="00000000">
            <w:pPr>
              <w:jc w:val="both"/>
              <w:rPr>
                <w:rFonts w:ascii="Arial" w:hAnsi="Arial"/>
                <w:sz w:val="16"/>
              </w:rPr>
            </w:pPr>
            <w:r>
              <w:rPr>
                <w:rFonts w:ascii="Arial" w:hAnsi="Arial"/>
                <w:sz w:val="16"/>
              </w:rPr>
              <w:t>0</w:t>
            </w:r>
          </w:p>
        </w:tc>
        <w:tc>
          <w:tcPr>
            <w:tcW w:w="850" w:type="dxa"/>
            <w:vAlign w:val="center"/>
          </w:tcPr>
          <w:p w:rsidR="00000000" w:rsidRDefault="00000000">
            <w:pPr>
              <w:jc w:val="both"/>
              <w:rPr>
                <w:rFonts w:ascii="Arial" w:hAnsi="Arial"/>
                <w:sz w:val="16"/>
              </w:rPr>
            </w:pPr>
            <w:r>
              <w:rPr>
                <w:rFonts w:ascii="Arial" w:hAnsi="Arial"/>
                <w:sz w:val="16"/>
              </w:rPr>
              <w:t>0</w:t>
            </w:r>
          </w:p>
        </w:tc>
        <w:tc>
          <w:tcPr>
            <w:tcW w:w="709" w:type="dxa"/>
            <w:vAlign w:val="center"/>
          </w:tcPr>
          <w:p w:rsidR="00000000" w:rsidRDefault="00000000">
            <w:pPr>
              <w:jc w:val="both"/>
              <w:rPr>
                <w:rFonts w:ascii="Arial" w:hAnsi="Arial"/>
                <w:sz w:val="16"/>
              </w:rPr>
            </w:pPr>
            <w:r>
              <w:rPr>
                <w:rFonts w:ascii="Arial" w:hAnsi="Arial"/>
                <w:sz w:val="16"/>
              </w:rPr>
              <w:t>5</w:t>
            </w:r>
          </w:p>
        </w:tc>
        <w:tc>
          <w:tcPr>
            <w:tcW w:w="851" w:type="dxa"/>
            <w:vAlign w:val="center"/>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vAlign w:val="center"/>
          </w:tcPr>
          <w:p w:rsidR="00000000" w:rsidRDefault="00000000">
            <w:pPr>
              <w:ind w:hanging="426"/>
              <w:jc w:val="both"/>
              <w:rPr>
                <w:rFonts w:ascii="Arial" w:hAnsi="Arial"/>
                <w:sz w:val="16"/>
              </w:rPr>
            </w:pPr>
            <w:r>
              <w:rPr>
                <w:rFonts w:ascii="Arial" w:hAnsi="Arial"/>
                <w:sz w:val="16"/>
              </w:rPr>
              <w:tab/>
              <w:t>5. IMAGEN Y MEDIOS DE COMUNICACIÓN</w:t>
            </w:r>
          </w:p>
        </w:tc>
        <w:tc>
          <w:tcPr>
            <w:tcW w:w="567" w:type="dxa"/>
            <w:vAlign w:val="center"/>
          </w:tcPr>
          <w:p w:rsidR="00000000" w:rsidRDefault="00000000">
            <w:pPr>
              <w:jc w:val="both"/>
              <w:rPr>
                <w:rFonts w:ascii="Arial" w:hAnsi="Arial"/>
                <w:sz w:val="16"/>
              </w:rPr>
            </w:pPr>
            <w:r>
              <w:rPr>
                <w:rFonts w:ascii="Arial" w:hAnsi="Arial"/>
                <w:sz w:val="16"/>
              </w:rPr>
              <w:t>8</w:t>
            </w:r>
          </w:p>
        </w:tc>
        <w:tc>
          <w:tcPr>
            <w:tcW w:w="992" w:type="dxa"/>
            <w:vAlign w:val="center"/>
          </w:tcPr>
          <w:p w:rsidR="00000000" w:rsidRDefault="00000000">
            <w:pPr>
              <w:jc w:val="both"/>
              <w:rPr>
                <w:rFonts w:ascii="Arial" w:hAnsi="Arial"/>
                <w:sz w:val="16"/>
              </w:rPr>
            </w:pPr>
            <w:r>
              <w:rPr>
                <w:rFonts w:ascii="Arial" w:hAnsi="Arial"/>
                <w:sz w:val="16"/>
              </w:rPr>
              <w:t>100</w:t>
            </w:r>
          </w:p>
        </w:tc>
        <w:tc>
          <w:tcPr>
            <w:tcW w:w="567" w:type="dxa"/>
            <w:vAlign w:val="center"/>
          </w:tcPr>
          <w:p w:rsidR="00000000" w:rsidRDefault="00000000">
            <w:pPr>
              <w:jc w:val="both"/>
              <w:rPr>
                <w:rFonts w:ascii="Arial" w:hAnsi="Arial"/>
                <w:sz w:val="16"/>
              </w:rPr>
            </w:pPr>
            <w:r>
              <w:rPr>
                <w:rFonts w:ascii="Arial" w:hAnsi="Arial"/>
                <w:sz w:val="16"/>
              </w:rPr>
              <w:t>0</w:t>
            </w:r>
          </w:p>
        </w:tc>
        <w:tc>
          <w:tcPr>
            <w:tcW w:w="850" w:type="dxa"/>
            <w:vAlign w:val="center"/>
          </w:tcPr>
          <w:p w:rsidR="00000000" w:rsidRDefault="00000000">
            <w:pPr>
              <w:jc w:val="both"/>
              <w:rPr>
                <w:rFonts w:ascii="Arial" w:hAnsi="Arial"/>
                <w:sz w:val="16"/>
              </w:rPr>
            </w:pPr>
            <w:r>
              <w:rPr>
                <w:rFonts w:ascii="Arial" w:hAnsi="Arial"/>
                <w:sz w:val="16"/>
              </w:rPr>
              <w:t>0</w:t>
            </w:r>
          </w:p>
        </w:tc>
        <w:tc>
          <w:tcPr>
            <w:tcW w:w="709" w:type="dxa"/>
            <w:vAlign w:val="center"/>
          </w:tcPr>
          <w:p w:rsidR="00000000" w:rsidRDefault="00000000">
            <w:pPr>
              <w:jc w:val="both"/>
              <w:rPr>
                <w:rFonts w:ascii="Arial" w:hAnsi="Arial"/>
                <w:sz w:val="16"/>
              </w:rPr>
            </w:pPr>
            <w:r>
              <w:rPr>
                <w:rFonts w:ascii="Arial" w:hAnsi="Arial"/>
                <w:sz w:val="16"/>
              </w:rPr>
              <w:t>8</w:t>
            </w:r>
          </w:p>
        </w:tc>
        <w:tc>
          <w:tcPr>
            <w:tcW w:w="851" w:type="dxa"/>
            <w:vAlign w:val="center"/>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6. MEDIO AMBIENTE</w:t>
            </w:r>
          </w:p>
        </w:tc>
        <w:tc>
          <w:tcPr>
            <w:tcW w:w="567" w:type="dxa"/>
          </w:tcPr>
          <w:p w:rsidR="00000000" w:rsidRDefault="00000000">
            <w:pPr>
              <w:jc w:val="both"/>
              <w:rPr>
                <w:rFonts w:ascii="Arial" w:hAnsi="Arial"/>
                <w:sz w:val="16"/>
              </w:rPr>
            </w:pPr>
            <w:r>
              <w:rPr>
                <w:rFonts w:ascii="Arial" w:hAnsi="Arial"/>
                <w:sz w:val="16"/>
              </w:rPr>
              <w:t>6</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6</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7. VIOLENCIA</w:t>
            </w:r>
          </w:p>
        </w:tc>
        <w:tc>
          <w:tcPr>
            <w:tcW w:w="567" w:type="dxa"/>
          </w:tcPr>
          <w:p w:rsidR="00000000" w:rsidRDefault="00000000">
            <w:pPr>
              <w:jc w:val="both"/>
              <w:rPr>
                <w:rFonts w:ascii="Arial" w:hAnsi="Arial"/>
                <w:sz w:val="16"/>
              </w:rPr>
            </w:pPr>
            <w:r>
              <w:rPr>
                <w:rFonts w:ascii="Arial" w:hAnsi="Arial"/>
                <w:sz w:val="16"/>
              </w:rPr>
              <w:t>20</w:t>
            </w:r>
          </w:p>
        </w:tc>
        <w:tc>
          <w:tcPr>
            <w:tcW w:w="992" w:type="dxa"/>
          </w:tcPr>
          <w:p w:rsidR="00000000" w:rsidRDefault="00000000">
            <w:pPr>
              <w:jc w:val="both"/>
              <w:rPr>
                <w:rFonts w:ascii="Arial" w:hAnsi="Arial"/>
                <w:sz w:val="16"/>
              </w:rPr>
            </w:pPr>
            <w:r>
              <w:rPr>
                <w:rFonts w:ascii="Arial" w:hAnsi="Arial"/>
                <w:sz w:val="16"/>
              </w:rPr>
              <w:t>95,24</w:t>
            </w:r>
          </w:p>
        </w:tc>
        <w:tc>
          <w:tcPr>
            <w:tcW w:w="567" w:type="dxa"/>
          </w:tcPr>
          <w:p w:rsidR="00000000" w:rsidRDefault="00000000">
            <w:pPr>
              <w:jc w:val="both"/>
              <w:rPr>
                <w:rFonts w:ascii="Arial" w:hAnsi="Arial"/>
                <w:sz w:val="16"/>
              </w:rPr>
            </w:pPr>
            <w:r>
              <w:rPr>
                <w:rFonts w:ascii="Arial" w:hAnsi="Arial"/>
                <w:sz w:val="16"/>
              </w:rPr>
              <w:t>1</w:t>
            </w:r>
          </w:p>
        </w:tc>
        <w:tc>
          <w:tcPr>
            <w:tcW w:w="850" w:type="dxa"/>
          </w:tcPr>
          <w:p w:rsidR="00000000" w:rsidRDefault="00000000">
            <w:pPr>
              <w:jc w:val="both"/>
              <w:rPr>
                <w:rFonts w:ascii="Arial" w:hAnsi="Arial"/>
                <w:sz w:val="16"/>
              </w:rPr>
            </w:pPr>
            <w:r>
              <w:rPr>
                <w:rFonts w:ascii="Arial" w:hAnsi="Arial"/>
                <w:sz w:val="16"/>
              </w:rPr>
              <w:t>4,76</w:t>
            </w:r>
          </w:p>
        </w:tc>
        <w:tc>
          <w:tcPr>
            <w:tcW w:w="709" w:type="dxa"/>
          </w:tcPr>
          <w:p w:rsidR="00000000" w:rsidRDefault="00000000">
            <w:pPr>
              <w:jc w:val="both"/>
              <w:rPr>
                <w:rFonts w:ascii="Arial" w:hAnsi="Arial"/>
                <w:sz w:val="16"/>
              </w:rPr>
            </w:pPr>
            <w:r>
              <w:rPr>
                <w:rFonts w:ascii="Arial" w:hAnsi="Arial"/>
                <w:sz w:val="16"/>
              </w:rPr>
              <w:t>21</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8. EXCLUSIÓN SOCIAL</w:t>
            </w:r>
          </w:p>
        </w:tc>
        <w:tc>
          <w:tcPr>
            <w:tcW w:w="567" w:type="dxa"/>
          </w:tcPr>
          <w:p w:rsidR="00000000" w:rsidRDefault="00000000">
            <w:pPr>
              <w:jc w:val="both"/>
              <w:rPr>
                <w:rFonts w:ascii="Arial" w:hAnsi="Arial"/>
                <w:sz w:val="16"/>
              </w:rPr>
            </w:pPr>
            <w:r>
              <w:rPr>
                <w:rFonts w:ascii="Arial" w:hAnsi="Arial"/>
                <w:sz w:val="16"/>
              </w:rPr>
              <w:t>9</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9</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9. MUJERES RURALES</w:t>
            </w:r>
          </w:p>
        </w:tc>
        <w:tc>
          <w:tcPr>
            <w:tcW w:w="567" w:type="dxa"/>
          </w:tcPr>
          <w:p w:rsidR="00000000" w:rsidRDefault="00000000">
            <w:pPr>
              <w:jc w:val="both"/>
              <w:rPr>
                <w:rFonts w:ascii="Arial" w:hAnsi="Arial"/>
                <w:sz w:val="16"/>
              </w:rPr>
            </w:pPr>
            <w:r>
              <w:rPr>
                <w:rFonts w:ascii="Arial" w:hAnsi="Arial"/>
                <w:sz w:val="16"/>
              </w:rPr>
              <w:t>9</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9</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3828" w:type="dxa"/>
          </w:tcPr>
          <w:p w:rsidR="00000000" w:rsidRDefault="00000000">
            <w:pPr>
              <w:jc w:val="both"/>
              <w:rPr>
                <w:rFonts w:ascii="Arial" w:hAnsi="Arial"/>
                <w:sz w:val="16"/>
              </w:rPr>
            </w:pPr>
            <w:r>
              <w:rPr>
                <w:rFonts w:ascii="Arial" w:hAnsi="Arial"/>
                <w:sz w:val="16"/>
              </w:rPr>
              <w:t>10. COOPERACIÓN</w:t>
            </w:r>
          </w:p>
        </w:tc>
        <w:tc>
          <w:tcPr>
            <w:tcW w:w="567" w:type="dxa"/>
          </w:tcPr>
          <w:p w:rsidR="00000000" w:rsidRDefault="00000000">
            <w:pPr>
              <w:jc w:val="both"/>
              <w:rPr>
                <w:rFonts w:ascii="Arial" w:hAnsi="Arial"/>
                <w:sz w:val="16"/>
              </w:rPr>
            </w:pPr>
            <w:r>
              <w:rPr>
                <w:rFonts w:ascii="Arial" w:hAnsi="Arial"/>
                <w:sz w:val="16"/>
              </w:rPr>
              <w:t>31</w:t>
            </w:r>
          </w:p>
        </w:tc>
        <w:tc>
          <w:tcPr>
            <w:tcW w:w="992" w:type="dxa"/>
          </w:tcPr>
          <w:p w:rsidR="00000000" w:rsidRDefault="00000000">
            <w:pPr>
              <w:jc w:val="both"/>
              <w:rPr>
                <w:rFonts w:ascii="Arial" w:hAnsi="Arial"/>
                <w:sz w:val="16"/>
              </w:rPr>
            </w:pPr>
            <w:r>
              <w:rPr>
                <w:rFonts w:ascii="Arial" w:hAnsi="Arial"/>
                <w:sz w:val="16"/>
              </w:rPr>
              <w:t>100</w:t>
            </w:r>
          </w:p>
        </w:tc>
        <w:tc>
          <w:tcPr>
            <w:tcW w:w="567" w:type="dxa"/>
          </w:tcPr>
          <w:p w:rsidR="00000000" w:rsidRDefault="00000000">
            <w:pPr>
              <w:jc w:val="both"/>
              <w:rPr>
                <w:rFonts w:ascii="Arial" w:hAnsi="Arial"/>
                <w:sz w:val="16"/>
              </w:rPr>
            </w:pPr>
            <w:r>
              <w:rPr>
                <w:rFonts w:ascii="Arial" w:hAnsi="Arial"/>
                <w:sz w:val="16"/>
              </w:rPr>
              <w:t>0</w:t>
            </w:r>
          </w:p>
        </w:tc>
        <w:tc>
          <w:tcPr>
            <w:tcW w:w="850" w:type="dxa"/>
          </w:tcPr>
          <w:p w:rsidR="00000000" w:rsidRDefault="00000000">
            <w:pPr>
              <w:jc w:val="both"/>
              <w:rPr>
                <w:rFonts w:ascii="Arial" w:hAnsi="Arial"/>
                <w:sz w:val="16"/>
              </w:rPr>
            </w:pPr>
            <w:r>
              <w:rPr>
                <w:rFonts w:ascii="Arial" w:hAnsi="Arial"/>
                <w:sz w:val="16"/>
              </w:rPr>
              <w:t>0</w:t>
            </w:r>
          </w:p>
        </w:tc>
        <w:tc>
          <w:tcPr>
            <w:tcW w:w="709" w:type="dxa"/>
          </w:tcPr>
          <w:p w:rsidR="00000000" w:rsidRDefault="00000000">
            <w:pPr>
              <w:jc w:val="both"/>
              <w:rPr>
                <w:rFonts w:ascii="Arial" w:hAnsi="Arial"/>
                <w:sz w:val="16"/>
              </w:rPr>
            </w:pPr>
            <w:r>
              <w:rPr>
                <w:rFonts w:ascii="Arial" w:hAnsi="Arial"/>
                <w:sz w:val="16"/>
              </w:rPr>
              <w:t>31</w:t>
            </w:r>
          </w:p>
        </w:tc>
        <w:tc>
          <w:tcPr>
            <w:tcW w:w="851" w:type="dxa"/>
          </w:tcPr>
          <w:p w:rsidR="00000000" w:rsidRDefault="00000000">
            <w:pPr>
              <w:jc w:val="both"/>
              <w:rPr>
                <w:rFonts w:ascii="Arial" w:hAnsi="Arial"/>
                <w:sz w:val="16"/>
              </w:rPr>
            </w:pPr>
            <w:r>
              <w:rPr>
                <w:rFonts w:ascii="Arial" w:hAnsi="Arial"/>
                <w:sz w:val="16"/>
              </w:rPr>
              <w:t>100</w:t>
            </w:r>
          </w:p>
        </w:tc>
      </w:tr>
      <w:tr w:rsidR="00000000">
        <w:tblPrEx>
          <w:tblCellMar>
            <w:top w:w="0" w:type="dxa"/>
            <w:bottom w:w="0" w:type="dxa"/>
          </w:tblCellMar>
        </w:tblPrEx>
        <w:trPr>
          <w:cantSplit/>
          <w:trHeight w:hRule="exact" w:val="400"/>
          <w:jc w:val="center"/>
        </w:trPr>
        <w:tc>
          <w:tcPr>
            <w:tcW w:w="3828" w:type="dxa"/>
            <w:vAlign w:val="center"/>
          </w:tcPr>
          <w:p w:rsidR="00000000" w:rsidRDefault="00000000">
            <w:pPr>
              <w:jc w:val="both"/>
              <w:rPr>
                <w:rFonts w:ascii="Arial" w:hAnsi="Arial"/>
                <w:b/>
                <w:sz w:val="16"/>
              </w:rPr>
            </w:pPr>
            <w:r>
              <w:rPr>
                <w:rFonts w:ascii="Arial" w:hAnsi="Arial"/>
                <w:b/>
                <w:sz w:val="16"/>
              </w:rPr>
              <w:t>TOTALES</w:t>
            </w:r>
          </w:p>
        </w:tc>
        <w:tc>
          <w:tcPr>
            <w:tcW w:w="567" w:type="dxa"/>
            <w:vAlign w:val="center"/>
          </w:tcPr>
          <w:p w:rsidR="00000000" w:rsidRDefault="00000000">
            <w:pPr>
              <w:jc w:val="both"/>
              <w:rPr>
                <w:rFonts w:ascii="Arial" w:hAnsi="Arial"/>
                <w:b/>
                <w:sz w:val="16"/>
              </w:rPr>
            </w:pPr>
            <w:r>
              <w:rPr>
                <w:rFonts w:ascii="Arial" w:hAnsi="Arial"/>
                <w:b/>
                <w:sz w:val="16"/>
              </w:rPr>
              <w:t>190</w:t>
            </w:r>
          </w:p>
        </w:tc>
        <w:tc>
          <w:tcPr>
            <w:tcW w:w="992" w:type="dxa"/>
            <w:vAlign w:val="center"/>
          </w:tcPr>
          <w:p w:rsidR="00000000" w:rsidRDefault="00000000">
            <w:pPr>
              <w:jc w:val="both"/>
              <w:rPr>
                <w:rFonts w:ascii="Arial" w:hAnsi="Arial"/>
                <w:b/>
                <w:sz w:val="16"/>
              </w:rPr>
            </w:pPr>
            <w:r>
              <w:rPr>
                <w:rFonts w:ascii="Arial" w:hAnsi="Arial"/>
                <w:b/>
                <w:sz w:val="16"/>
              </w:rPr>
              <w:t>98,96</w:t>
            </w:r>
          </w:p>
        </w:tc>
        <w:tc>
          <w:tcPr>
            <w:tcW w:w="567" w:type="dxa"/>
            <w:vAlign w:val="center"/>
          </w:tcPr>
          <w:p w:rsidR="00000000" w:rsidRDefault="00000000">
            <w:pPr>
              <w:jc w:val="both"/>
              <w:rPr>
                <w:rFonts w:ascii="Arial" w:hAnsi="Arial"/>
                <w:b/>
                <w:sz w:val="16"/>
              </w:rPr>
            </w:pPr>
            <w:r>
              <w:rPr>
                <w:rFonts w:ascii="Arial" w:hAnsi="Arial"/>
                <w:b/>
                <w:sz w:val="16"/>
              </w:rPr>
              <w:t>2</w:t>
            </w:r>
          </w:p>
        </w:tc>
        <w:tc>
          <w:tcPr>
            <w:tcW w:w="850" w:type="dxa"/>
            <w:vAlign w:val="center"/>
          </w:tcPr>
          <w:p w:rsidR="00000000" w:rsidRDefault="00000000">
            <w:pPr>
              <w:jc w:val="both"/>
              <w:rPr>
                <w:rFonts w:ascii="Arial" w:hAnsi="Arial"/>
                <w:b/>
                <w:sz w:val="16"/>
              </w:rPr>
            </w:pPr>
            <w:r>
              <w:rPr>
                <w:rFonts w:ascii="Arial" w:hAnsi="Arial"/>
                <w:b/>
                <w:sz w:val="16"/>
              </w:rPr>
              <w:t>1,14</w:t>
            </w:r>
          </w:p>
        </w:tc>
        <w:tc>
          <w:tcPr>
            <w:tcW w:w="709" w:type="dxa"/>
            <w:vAlign w:val="center"/>
          </w:tcPr>
          <w:p w:rsidR="00000000" w:rsidRDefault="00000000">
            <w:pPr>
              <w:jc w:val="both"/>
              <w:rPr>
                <w:rFonts w:ascii="Arial" w:hAnsi="Arial"/>
                <w:b/>
                <w:sz w:val="16"/>
              </w:rPr>
            </w:pPr>
            <w:r>
              <w:rPr>
                <w:rFonts w:ascii="Arial" w:hAnsi="Arial"/>
                <w:b/>
                <w:sz w:val="16"/>
              </w:rPr>
              <w:t>192</w:t>
            </w:r>
          </w:p>
        </w:tc>
        <w:tc>
          <w:tcPr>
            <w:tcW w:w="851" w:type="dxa"/>
            <w:vAlign w:val="center"/>
          </w:tcPr>
          <w:p w:rsidR="00000000" w:rsidRDefault="00000000">
            <w:pPr>
              <w:jc w:val="both"/>
              <w:rPr>
                <w:rFonts w:ascii="Arial" w:hAnsi="Arial"/>
                <w:b/>
                <w:sz w:val="16"/>
              </w:rPr>
            </w:pPr>
            <w:r>
              <w:rPr>
                <w:rFonts w:ascii="Arial" w:hAnsi="Arial"/>
                <w:b/>
                <w:sz w:val="16"/>
              </w:rPr>
              <w:t>100</w:t>
            </w:r>
          </w:p>
        </w:tc>
      </w:tr>
    </w:tbl>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En relación con los Planes de Igualdad de Oportunidades de ámbito regional, consultar la información ofrecida como Anexo 1.</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estos momentos se está elaborando el IV Plan de Igualdad de Oportunidades para mujeres y hombres que se pretende aprobar por el Consejo de Ministros en los próximos meses y que tendrá una vigencia hasta el año 2006. </w:t>
      </w:r>
    </w:p>
    <w:p w:rsidR="00000000" w:rsidRDefault="00000000">
      <w:pPr>
        <w:jc w:val="both"/>
        <w:rPr>
          <w:rFonts w:ascii="Arial" w:hAnsi="Arial"/>
        </w:rPr>
      </w:pPr>
    </w:p>
    <w:p w:rsidR="00000000" w:rsidRDefault="00000000">
      <w:pPr>
        <w:jc w:val="both"/>
        <w:rPr>
          <w:rFonts w:ascii="Arial" w:hAnsi="Arial"/>
        </w:rPr>
      </w:pPr>
      <w:r>
        <w:rPr>
          <w:rFonts w:ascii="Arial" w:hAnsi="Arial"/>
        </w:rPr>
        <w:t>Este IV Plan de Igualdad está basado en las directrices marcadas por la Estrategia Marco Comunitaria sobre la Igualdad entre hombres y mujeres (2001-2005), que tiene como objetivo fundamental introducir la dimensión de la igualdad de oportunidades en todas las políticas y acciones realizadas en el ámbito comunitario y en los Estados miembros (Se adjunta como Anexo). Este PIOM persigue potenciar el mainstreaming de género, manteniendo, en las áreas necesarias, políticas específicas de igualdad de oportunidades – es decir, acciones positivas.</w:t>
      </w:r>
    </w:p>
    <w:p w:rsidR="00000000" w:rsidRDefault="00000000">
      <w:pPr>
        <w:jc w:val="both"/>
        <w:rPr>
          <w:rFonts w:ascii="Arial" w:hAnsi="Arial"/>
        </w:rPr>
      </w:pPr>
    </w:p>
    <w:p w:rsidR="00000000" w:rsidRDefault="00000000">
      <w:pPr>
        <w:jc w:val="both"/>
        <w:rPr>
          <w:rFonts w:ascii="Arial" w:hAnsi="Arial"/>
        </w:rPr>
      </w:pPr>
      <w:r>
        <w:rPr>
          <w:rFonts w:ascii="Arial" w:hAnsi="Arial"/>
        </w:rPr>
        <w:t>El plan, estructurado en grandes áreas, presenta, como objetivo principal la introducción de la perspectiva de género en las políticas públicas, así como:</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La Igualdad entre hombres y mujeres en la vida económica. Se pretende trabajar la perspectiva de género en las políticas de empleo, así como el fomento de la participación de las mujeres en el mercado laboral. Estos objetivos se completan con otros, como la promoción de la mujer como empresaria y la eliminación de barreras que dificultan las mismas condiciones laborales para mujeres y hombres.</w:t>
      </w:r>
    </w:p>
    <w:p w:rsidR="00000000" w:rsidRDefault="00000000">
      <w:pPr>
        <w:tabs>
          <w:tab w:val="num" w:pos="502"/>
        </w:tabs>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Participación en la toma de decisiones. Se trata de impulsar la presencia de las mujeres en la toma de decisiones en la política, la economía  y en la sociedad, así como fomentar la promoción profesional de las mujeres en las Administraciones Públicas.</w:t>
      </w:r>
    </w:p>
    <w:p w:rsidR="00000000" w:rsidRDefault="00000000">
      <w:pPr>
        <w:tabs>
          <w:tab w:val="num" w:pos="502"/>
        </w:tabs>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Promoción de la calidad de vida de las mujeres. Se engloban los objetivos relativos al ámbito de la salud, en su concepto integral, de la educación y de la cultura, trabajando sobre las carencias de la población femenina y contribuyendo a la igualdad en estos campos con especial incidencia en la prevención y erradicación de la pobreza y la exclusión social de las mujeres.</w:t>
      </w:r>
    </w:p>
    <w:p w:rsidR="00000000" w:rsidRDefault="00000000">
      <w:pPr>
        <w:ind w:hanging="284"/>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Fomento de la igualdad en la vida civil. Se incide en el campo legislativo y judicial, en relación con la igualdad, y acoge las políticas relativas a la lucha contra la violencia contra las mujeres.</w:t>
      </w:r>
    </w:p>
    <w:p w:rsidR="00000000" w:rsidRDefault="00000000">
      <w:pPr>
        <w:ind w:hanging="284"/>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Transmisión de valores y actitudes igualitarias. Se trata de insistir en el desarrollo de valores y prácticas que fundamentan la igualdad, así como en la eliminación de estereotipos en los medios de comunicación y la publicidad..</w:t>
      </w:r>
    </w:p>
    <w:p w:rsidR="00000000" w:rsidRDefault="00000000">
      <w:pPr>
        <w:ind w:hanging="284"/>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Conciliación de la vida familiar y laboral, donde se incluyen medidas legales que faciliten esta compatibilidad.</w:t>
      </w:r>
    </w:p>
    <w:p w:rsidR="00000000" w:rsidRDefault="00000000">
      <w:pPr>
        <w:ind w:hanging="284"/>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Cooperación. Se recogen los objetivos de fomentar la cooperación con las administraciones públicas e instituciones públicas y privadas, así como de reforzar la participación española en organismos internacionales y de impulsar la cooperación al desarrollo con las ONG y otras instituciones como la Agencia Española de Cooperación Internacional (AECI).</w:t>
      </w:r>
    </w:p>
    <w:p w:rsidR="00000000" w:rsidRDefault="00000000">
      <w:pPr>
        <w:ind w:hanging="284"/>
        <w:jc w:val="both"/>
        <w:rPr>
          <w:rFonts w:ascii="Arial" w:hAnsi="Arial"/>
        </w:rPr>
      </w:pPr>
    </w:p>
    <w:p w:rsidR="00000000" w:rsidRDefault="00000000">
      <w:pPr>
        <w:jc w:val="both"/>
        <w:rPr>
          <w:rFonts w:ascii="Arial" w:hAnsi="Arial"/>
        </w:rPr>
      </w:pPr>
    </w:p>
    <w:p w:rsidR="00000000" w:rsidRDefault="00000000">
      <w:pPr>
        <w:pStyle w:val="Heading2"/>
        <w:rPr>
          <w:rFonts w:ascii="Arial" w:hAnsi="Arial"/>
          <w:sz w:val="22"/>
        </w:rPr>
      </w:pPr>
      <w:r>
        <w:rPr>
          <w:rFonts w:ascii="Arial" w:hAnsi="Arial"/>
          <w:sz w:val="22"/>
        </w:rPr>
        <w:t>Modificaciones del ordenamiento jurídico</w:t>
      </w:r>
    </w:p>
    <w:p w:rsidR="00000000" w:rsidRDefault="00000000">
      <w:pPr>
        <w:jc w:val="both"/>
        <w:rPr>
          <w:rFonts w:ascii="Arial" w:hAnsi="Arial"/>
          <w:b/>
        </w:rPr>
      </w:pPr>
    </w:p>
    <w:p w:rsidR="00000000" w:rsidRDefault="00000000">
      <w:pPr>
        <w:jc w:val="both"/>
        <w:rPr>
          <w:rFonts w:ascii="Arial" w:hAnsi="Arial"/>
        </w:rPr>
      </w:pPr>
      <w:r>
        <w:rPr>
          <w:rFonts w:ascii="Arial" w:hAnsi="Arial"/>
        </w:rPr>
        <w:t>Durante el período objeto de este informe, España ha ratificado numerosos Convenios internacionales que se han integrado en el ordenamiento interno. Éstos han sido:</w:t>
      </w:r>
    </w:p>
    <w:p w:rsidR="00000000" w:rsidRDefault="00000000">
      <w:pPr>
        <w:jc w:val="both"/>
        <w:rPr>
          <w:rFonts w:ascii="Arial" w:hAnsi="Arial"/>
        </w:rPr>
      </w:pPr>
    </w:p>
    <w:p w:rsidR="00000000" w:rsidRDefault="00000000">
      <w:pPr>
        <w:jc w:val="both"/>
        <w:rPr>
          <w:rFonts w:ascii="Arial" w:hAnsi="Arial"/>
        </w:rPr>
      </w:pPr>
      <w:r>
        <w:rPr>
          <w:rFonts w:ascii="Arial" w:hAnsi="Arial"/>
          <w:b/>
        </w:rPr>
        <w:t>Estatuto de Roma de la Corte Penal Internacional,</w:t>
      </w:r>
      <w:r>
        <w:rPr>
          <w:rFonts w:ascii="Arial" w:hAnsi="Arial"/>
        </w:rPr>
        <w:t xml:space="preserve"> hecho en Roma el 17 de junio de 1998. Instrumento de ratificación, de 25 de octubre de 2000..</w:t>
      </w:r>
    </w:p>
    <w:p w:rsidR="00000000" w:rsidRDefault="00000000">
      <w:pPr>
        <w:jc w:val="both"/>
        <w:rPr>
          <w:rFonts w:ascii="Arial" w:hAnsi="Arial"/>
        </w:rPr>
      </w:pPr>
    </w:p>
    <w:p w:rsidR="00000000" w:rsidRDefault="00000000">
      <w:pPr>
        <w:jc w:val="both"/>
        <w:rPr>
          <w:rFonts w:ascii="Arial" w:hAnsi="Arial"/>
        </w:rPr>
      </w:pPr>
      <w:r>
        <w:rPr>
          <w:rFonts w:ascii="Arial" w:hAnsi="Arial"/>
          <w:b/>
        </w:rPr>
        <w:t>Protocolo facultativo de la Convención para la eliminación de todas las formas de discriminación contra la mujer</w:t>
      </w:r>
      <w:r>
        <w:rPr>
          <w:rFonts w:ascii="Arial" w:hAnsi="Arial"/>
        </w:rPr>
        <w:t xml:space="preserve">. Instrumento de ratificación, de 29 de junio de 2001. Depositado en poder del Secretario General de las Naciones Unidas el 6 de julio de 2001. Entró en vigor para España el 6 de octubre de 2001. </w:t>
      </w:r>
    </w:p>
    <w:p w:rsidR="00000000" w:rsidRDefault="00000000">
      <w:pPr>
        <w:jc w:val="both"/>
        <w:rPr>
          <w:rFonts w:ascii="Arial" w:hAnsi="Arial"/>
          <w:b/>
        </w:rPr>
      </w:pPr>
    </w:p>
    <w:p w:rsidR="00000000" w:rsidRDefault="00000000">
      <w:pPr>
        <w:jc w:val="both"/>
        <w:rPr>
          <w:rFonts w:ascii="Arial" w:hAnsi="Arial"/>
        </w:rPr>
      </w:pPr>
      <w:r>
        <w:rPr>
          <w:rFonts w:ascii="Arial" w:hAnsi="Arial"/>
        </w:rPr>
        <w:t>En el grupo de trabajo creado para la elaboración del Protocolo facultativo, cabe destacar la participación de un experto designado por el Instituto de la Mujer.</w:t>
      </w:r>
    </w:p>
    <w:p w:rsidR="00000000" w:rsidRDefault="00000000">
      <w:pPr>
        <w:jc w:val="both"/>
        <w:rPr>
          <w:rFonts w:ascii="Arial" w:hAnsi="Arial"/>
        </w:rPr>
      </w:pPr>
    </w:p>
    <w:p w:rsidR="00000000" w:rsidRDefault="00000000">
      <w:pPr>
        <w:jc w:val="both"/>
        <w:rPr>
          <w:rFonts w:ascii="Arial" w:hAnsi="Arial"/>
        </w:rPr>
      </w:pPr>
      <w:r>
        <w:rPr>
          <w:rFonts w:ascii="Arial" w:hAnsi="Arial"/>
        </w:rPr>
        <w:t>Con el fin de difundir entre la población la importancia de los nuevos mecanismos de garantía de los derechos de las mujeres y el papel que a partir de la ratificación van a tener tanto los particulares como las ONG´s, el Instituto de la Mujer, además de ofrecer a través de su página WEB amplia información, editó un Boletín bajo el título "Un acontecimiento histórico para el avance de la mujer: entrada en vigor del Protocolo Facultativo de la Convención sobre la eliminación de todas las formas de discriminación contra la mujer" y organizó un Seminario de difusión.</w:t>
      </w:r>
    </w:p>
    <w:p w:rsidR="00000000" w:rsidRDefault="00000000">
      <w:pPr>
        <w:jc w:val="both"/>
        <w:rPr>
          <w:rFonts w:ascii="Arial" w:hAnsi="Arial"/>
        </w:rPr>
      </w:pPr>
    </w:p>
    <w:p w:rsidR="00000000" w:rsidRDefault="00000000">
      <w:pPr>
        <w:jc w:val="both"/>
        <w:rPr>
          <w:rFonts w:ascii="Arial" w:hAnsi="Arial"/>
        </w:rPr>
      </w:pPr>
      <w:r>
        <w:rPr>
          <w:rFonts w:ascii="Arial" w:hAnsi="Arial"/>
          <w:b/>
        </w:rPr>
        <w:t>Protocolo Adicional a la Carta Social Europea</w:t>
      </w:r>
      <w:r>
        <w:rPr>
          <w:rFonts w:ascii="Arial" w:hAnsi="Arial"/>
        </w:rPr>
        <w:t>, hecho en Estrasburgo el 5 de mayo de 1988. Instrumento de ratificación, de 7 de enero de 2000. Entró en vigor para España el 23 de febrero de 2000.</w:t>
      </w:r>
    </w:p>
    <w:p w:rsidR="00000000" w:rsidRDefault="00000000">
      <w:pPr>
        <w:jc w:val="both"/>
        <w:rPr>
          <w:rFonts w:ascii="Arial" w:hAnsi="Arial"/>
          <w:b/>
        </w:rPr>
      </w:pPr>
    </w:p>
    <w:p w:rsidR="00000000" w:rsidRDefault="00000000">
      <w:pPr>
        <w:jc w:val="both"/>
        <w:rPr>
          <w:rFonts w:ascii="Arial" w:hAnsi="Arial"/>
        </w:rPr>
      </w:pPr>
      <w:r>
        <w:rPr>
          <w:rFonts w:ascii="Arial" w:hAnsi="Arial"/>
          <w:b/>
        </w:rPr>
        <w:t>Convenio Europeo sobre Indemnización a las víctimas de delitos violentos</w:t>
      </w:r>
      <w:r>
        <w:rPr>
          <w:rFonts w:ascii="Arial" w:hAnsi="Arial"/>
        </w:rPr>
        <w:t>, hecho en Estrasburgo el 24 de Noviembre de 1983. Instrumento de ratificación, de 20 de octubre de 2001.</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rPr>
      </w:pPr>
      <w:r>
        <w:rPr>
          <w:rFonts w:ascii="Arial" w:hAnsi="Arial"/>
          <w:b/>
        </w:rPr>
        <w:t xml:space="preserve">Protocolo facultativo de la Convención  sobre los Derechos del Niño, relativo a la venta de niños en la pornografía. </w:t>
      </w:r>
      <w:r>
        <w:rPr>
          <w:rFonts w:ascii="Arial" w:hAnsi="Arial"/>
        </w:rPr>
        <w:t>Instrumento de ratificación, de 5 de diciembre de 2001, depositado en poder del Secretario General de las Naciones Unidas el 18 de diciembre de 2001. Entró en vigor para España el 18 de enero de 2002.</w:t>
      </w:r>
    </w:p>
    <w:p w:rsidR="00000000" w:rsidRDefault="00000000">
      <w:pPr>
        <w:jc w:val="both"/>
        <w:rPr>
          <w:rFonts w:ascii="Arial" w:hAnsi="Arial"/>
        </w:rPr>
      </w:pPr>
    </w:p>
    <w:p w:rsidR="00000000" w:rsidRDefault="00000000">
      <w:pPr>
        <w:jc w:val="both"/>
        <w:rPr>
          <w:rFonts w:ascii="Arial" w:hAnsi="Arial"/>
        </w:rPr>
      </w:pPr>
      <w:r>
        <w:rPr>
          <w:rFonts w:ascii="Arial" w:hAnsi="Arial"/>
          <w:b/>
        </w:rPr>
        <w:t xml:space="preserve">Protocolo facultativo de la Convención  sobre los Derechos del Niño, relativo a la participación de niños en los conflictos armados. </w:t>
      </w:r>
      <w:r>
        <w:rPr>
          <w:rFonts w:ascii="Arial" w:hAnsi="Arial"/>
        </w:rPr>
        <w:t>Instrumento de ratificación, de 1 de marzo de 2002. Depositado en poder del Secretario General de las Naciones Unidas el 8 de marzo de 2002. Entró en vigor para España el 8 de abril de 2002.</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relación con la </w:t>
      </w:r>
      <w:r>
        <w:rPr>
          <w:rFonts w:ascii="Arial" w:hAnsi="Arial"/>
          <w:b/>
        </w:rPr>
        <w:t>Convención de las Naciones Unidas contra la delincuencia organizada transnacional</w:t>
      </w:r>
      <w:r>
        <w:rPr>
          <w:rFonts w:ascii="Arial" w:hAnsi="Arial"/>
        </w:rPr>
        <w:t xml:space="preserve">, hecha en Nueva York el 15 de noviembre de 2001, así como los dos </w:t>
      </w:r>
      <w:r>
        <w:rPr>
          <w:rFonts w:ascii="Arial" w:hAnsi="Arial"/>
          <w:b/>
        </w:rPr>
        <w:t>Protocolos anejos, contra el tráfico ilícito de migrantes por tierra, mar y aire y para prevenir, reprimir y sancionar la trata de personas, especialmente mujeres y niños,</w:t>
      </w:r>
      <w:r>
        <w:rPr>
          <w:rFonts w:ascii="Arial" w:hAnsi="Arial"/>
        </w:rPr>
        <w:t xml:space="preserve"> ha  concluido la obligada tramitación en las Cortes Generales y se encuentra pendiente de publicación en el Boletín Oficial del Estado.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relación con la </w:t>
      </w:r>
      <w:r>
        <w:rPr>
          <w:rFonts w:ascii="Arial" w:hAnsi="Arial"/>
          <w:b/>
        </w:rPr>
        <w:t>protección jurídica de los derechos</w:t>
      </w:r>
      <w:r>
        <w:rPr>
          <w:rFonts w:ascii="Arial" w:hAnsi="Arial"/>
        </w:rPr>
        <w:t xml:space="preserve"> la Ley 1/2000, de 7 de enero, de Enjuiciamiento Civil ha establecido para los derechos fundamentales que los procesos correspondientes se sustancien por un cauce procedimental, de tramitación preferente, el de los juicios ordinarios, con demanda y contestación por escrito, seguidas de vista y sentencia, más rápido que el establecido por la Ley de Protección Jurisdiccional de los Derechos Fundamentales de 1978.</w:t>
      </w:r>
    </w:p>
    <w:p w:rsidR="00000000" w:rsidRDefault="00000000">
      <w:pPr>
        <w:jc w:val="both"/>
        <w:rPr>
          <w:rFonts w:ascii="Arial" w:hAnsi="Arial"/>
        </w:rPr>
      </w:pPr>
    </w:p>
    <w:p w:rsidR="00000000" w:rsidRDefault="00000000">
      <w:pPr>
        <w:rPr>
          <w:rFonts w:ascii="Arial" w:hAnsi="Arial"/>
        </w:rPr>
      </w:pPr>
    </w:p>
    <w:p w:rsidR="00000000" w:rsidRDefault="00000000">
      <w:pPr>
        <w:pStyle w:val="Heading2"/>
        <w:rPr>
          <w:rFonts w:ascii="Arial" w:hAnsi="Arial"/>
          <w:sz w:val="22"/>
        </w:rPr>
      </w:pPr>
      <w:r>
        <w:rPr>
          <w:rFonts w:ascii="Arial" w:hAnsi="Arial"/>
          <w:sz w:val="22"/>
        </w:rPr>
        <w:t>Artículo 4: Medidas de acción positiva</w:t>
      </w:r>
    </w:p>
    <w:p w:rsidR="00000000" w:rsidRDefault="00000000">
      <w:pPr>
        <w:jc w:val="both"/>
        <w:rPr>
          <w:rFonts w:ascii="Arial" w:hAnsi="Arial"/>
        </w:rPr>
      </w:pPr>
    </w:p>
    <w:p w:rsidR="00000000" w:rsidRDefault="00000000">
      <w:pPr>
        <w:jc w:val="both"/>
        <w:rPr>
          <w:rFonts w:ascii="Arial" w:hAnsi="Arial"/>
          <w:i/>
        </w:rPr>
      </w:pPr>
      <w:r>
        <w:rPr>
          <w:rFonts w:ascii="Arial" w:hAnsi="Arial"/>
        </w:rPr>
        <w:t xml:space="preserve">El artículo 9.2 de las Constitución Española de 1978 se constituye como fundamento jurídico de las acciones positivas, al establecer que </w:t>
      </w:r>
      <w:r>
        <w:rPr>
          <w:rFonts w:ascii="Arial" w:hAnsi="Arial"/>
          <w:i/>
        </w:rPr>
        <w:t>corresponde a los poderes públicos promover las condiciones para que la libertad y la igualdad del individuo y de los grupos en que se integran sean reales y efectivas; remover los obstáculos que impidan o dificulten su plenitud y facilitar la participación de todos los ciudadanos en la vida política, económica, cultural y social.</w:t>
      </w:r>
    </w:p>
    <w:p w:rsidR="00000000" w:rsidRDefault="00000000">
      <w:pPr>
        <w:jc w:val="both"/>
        <w:rPr>
          <w:rFonts w:ascii="Arial" w:hAnsi="Arial"/>
        </w:rPr>
      </w:pPr>
    </w:p>
    <w:p w:rsidR="00000000" w:rsidRDefault="00000000">
      <w:pPr>
        <w:jc w:val="both"/>
        <w:rPr>
          <w:rFonts w:ascii="Arial" w:hAnsi="Arial"/>
        </w:rPr>
      </w:pPr>
      <w:r>
        <w:rPr>
          <w:rFonts w:ascii="Arial" w:hAnsi="Arial"/>
        </w:rPr>
        <w:t>Como ya se indicó en los anteriores informes ha sido, fundamentalmente, el Tribunal Constitucional quien ha interpretado el alcance del precepto. Del período analizado, destaca la Sentencia del Tribunal Supremo, de 4 de febrero de 2002, de la Sala Tercera, en relación con las cuotas de reserva de puestos de trabajo en las empresas para personas minusválidas:</w:t>
      </w:r>
    </w:p>
    <w:p w:rsidR="00000000" w:rsidRDefault="00000000">
      <w:pPr>
        <w:jc w:val="both"/>
        <w:rPr>
          <w:rFonts w:ascii="Arial" w:hAnsi="Arial"/>
        </w:rPr>
      </w:pPr>
    </w:p>
    <w:p w:rsidR="00000000" w:rsidRDefault="00000000">
      <w:pPr>
        <w:jc w:val="both"/>
        <w:rPr>
          <w:rFonts w:ascii="Arial" w:hAnsi="Arial"/>
          <w:i/>
        </w:rPr>
      </w:pPr>
      <w:r>
        <w:rPr>
          <w:rFonts w:ascii="Arial" w:hAnsi="Arial"/>
          <w:i/>
        </w:rPr>
        <w:t xml:space="preserve">Del art. 9.2 de la CE deriva una habilitación a los poderes públicos para «promover las condiciones para que la libertad y la igualdad [...] sean reales y efectivas». Esto supone para el legislador una amplia libertad de configuración de esas condiciones según lo exigido para lograr aquella finalidad. Y al llevarlo a cabo puede partir de las diferencias existentes en la realidad para establecer algún trato diferencial compensatorio de situaciones desfavorables con el fin de lograr aquella efectiva igualación. </w:t>
      </w:r>
    </w:p>
    <w:p w:rsidR="00000000" w:rsidRDefault="00000000">
      <w:pPr>
        <w:jc w:val="both"/>
        <w:rPr>
          <w:rFonts w:ascii="Arial" w:hAnsi="Arial"/>
          <w:i/>
        </w:rPr>
      </w:pPr>
    </w:p>
    <w:p w:rsidR="00000000" w:rsidRDefault="00000000">
      <w:pPr>
        <w:jc w:val="both"/>
        <w:rPr>
          <w:rFonts w:ascii="Arial" w:hAnsi="Arial"/>
          <w:i/>
        </w:rPr>
      </w:pPr>
      <w:r>
        <w:rPr>
          <w:rFonts w:ascii="Arial" w:hAnsi="Arial"/>
          <w:i/>
        </w:rPr>
        <w:t>…la interdicción de la discriminación implica también la adopción de medidas que tratan de asegurar la igualdad efectiva de trato y de oportunidades con los demás trabajadores. Es esta razón la que justifica constitucionalmente preceptos como los cuestionados, destinados a remover obstáculos que impiden aquella real igualdad en el acceso al trabajo, en la medida en que esos obstáculos pueden ser removidos efectivamente a través de ventajas o medidas de apoyo que aseguren esa igualdad real de oportunidades, siempre que no puedan operar de hecho en perjuicio del grupo desfavorecido.</w:t>
      </w:r>
    </w:p>
    <w:p w:rsidR="00000000" w:rsidRDefault="00000000">
      <w:pPr>
        <w:jc w:val="both"/>
        <w:rPr>
          <w:rFonts w:ascii="Arial" w:hAnsi="Arial"/>
          <w:i/>
        </w:rPr>
      </w:pPr>
    </w:p>
    <w:p w:rsidR="00000000" w:rsidRDefault="00000000">
      <w:pPr>
        <w:jc w:val="both"/>
        <w:rPr>
          <w:rFonts w:ascii="Arial" w:hAnsi="Arial"/>
        </w:rPr>
      </w:pPr>
      <w:r>
        <w:rPr>
          <w:rFonts w:ascii="Arial" w:hAnsi="Arial"/>
        </w:rPr>
        <w:t>En cuanto al desarrollo de las acciones positivas, cabe señalar que éstas se enmarcan, fundamentalmente, en los Planes de Igualdad de Oportunidades y otros Planes específicos como los de Empleo, Inclusión Social, Familia, etc. Del período analizado destacan, entre otras, las acciones dirigidas a fomentar el empleo de mujeres, su formación, a conciliar vida familiar y laboral, así como las dirigidas a combatir la violencia contra las mujeres. Todas estas acciones se detallan al analizar la aplicación de los diferentes artículos de la Convención.</w:t>
      </w:r>
    </w:p>
    <w:p w:rsidR="00000000" w:rsidRDefault="00000000">
      <w:pPr>
        <w:jc w:val="both"/>
        <w:rPr>
          <w:rFonts w:ascii="Arial" w:hAnsi="Arial"/>
        </w:rPr>
      </w:pPr>
    </w:p>
    <w:p w:rsidR="00000000" w:rsidRDefault="00000000">
      <w:pPr>
        <w:jc w:val="both"/>
        <w:rPr>
          <w:rFonts w:ascii="Arial" w:hAnsi="Arial"/>
        </w:rPr>
      </w:pPr>
      <w:r>
        <w:rPr>
          <w:rFonts w:ascii="Arial" w:hAnsi="Arial"/>
        </w:rPr>
        <w:t>El Instituto de la Mujer ha participado en distintos grupos de trabajo que analizan la aplicación de las acciones positivas; así, por ejemplo, en el Grupo de Especialistas del Consejo de Europa, que elaboró en el 2000 un informe sobre acciones positivas, valiosa herramienta no sólo para los Estados a la hora de diseñar sus políticas, sino también para todas aquellas instituciones involucradas en la promoción de la igualdad.</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2"/>
        <w:jc w:val="both"/>
        <w:rPr>
          <w:rFonts w:ascii="Arial" w:hAnsi="Arial"/>
          <w:sz w:val="22"/>
        </w:rPr>
      </w:pPr>
      <w:r>
        <w:rPr>
          <w:rFonts w:ascii="Arial" w:hAnsi="Arial"/>
          <w:sz w:val="22"/>
        </w:rPr>
        <w:t>Artículo 5: Roles y estereotipos de los sexos</w:t>
      </w:r>
    </w:p>
    <w:p w:rsidR="00000000" w:rsidRDefault="00000000">
      <w:pPr>
        <w:jc w:val="both"/>
        <w:rPr>
          <w:rFonts w:ascii="Arial" w:hAnsi="Arial"/>
        </w:rPr>
      </w:pPr>
    </w:p>
    <w:p w:rsidR="00000000" w:rsidRDefault="00000000">
      <w:pPr>
        <w:pStyle w:val="Heading2"/>
        <w:jc w:val="both"/>
        <w:rPr>
          <w:rFonts w:ascii="Arial" w:hAnsi="Arial"/>
          <w:sz w:val="22"/>
        </w:rPr>
      </w:pPr>
      <w:r>
        <w:rPr>
          <w:rFonts w:ascii="Arial" w:hAnsi="Arial"/>
          <w:sz w:val="22"/>
        </w:rPr>
        <w:t>Políticas y programas</w:t>
      </w:r>
    </w:p>
    <w:p w:rsidR="00000000" w:rsidRDefault="00000000">
      <w:pPr>
        <w:jc w:val="both"/>
        <w:rPr>
          <w:rFonts w:ascii="Arial" w:hAnsi="Arial"/>
        </w:rPr>
      </w:pPr>
    </w:p>
    <w:p w:rsidR="00000000" w:rsidRDefault="00000000">
      <w:pPr>
        <w:jc w:val="both"/>
        <w:rPr>
          <w:rFonts w:ascii="Arial" w:hAnsi="Arial"/>
        </w:rPr>
      </w:pPr>
      <w:r>
        <w:rPr>
          <w:rFonts w:ascii="Arial" w:hAnsi="Arial"/>
        </w:rPr>
        <w:t>El III Plan de Igualdad de Oportunidades, aprobado por el Gobierno, contenía medidas integradas en diferentes áreas de actuación, encaminadas a fomentar una imagen equilibrada y no estereotipada de las mujeres en los medios de comunicación y modificar los patrones socioculturales de conducta entre hombres y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educación se constituye como elemento básico para la consecución de la igualdad de oportunidades entre mujeres y hombres y es un elemento fundamental para conseguir la autonomía de las mujeres, de forma que puedan tener acceso a los derechos que les corresponden. </w:t>
      </w:r>
    </w:p>
    <w:p w:rsidR="00000000" w:rsidRDefault="00000000">
      <w:pPr>
        <w:jc w:val="both"/>
        <w:rPr>
          <w:rFonts w:ascii="Arial" w:hAnsi="Arial"/>
        </w:rPr>
      </w:pPr>
    </w:p>
    <w:p w:rsidR="00000000" w:rsidRDefault="00000000">
      <w:pPr>
        <w:jc w:val="both"/>
        <w:rPr>
          <w:rFonts w:ascii="Arial" w:hAnsi="Arial"/>
        </w:rPr>
      </w:pPr>
      <w:r>
        <w:rPr>
          <w:rFonts w:ascii="Arial" w:hAnsi="Arial"/>
        </w:rPr>
        <w:t>Además de las medidas concretas en el ámbito de la educación, detalladas en el apartado correspondiente al artículo 10 de este informe, la modificación de los estereotipos ha de llevarse a cabo de forma transversal en todos los niveles de la conducta humana, por parte no sólo de las Administraciones Públicas, sino de toda la sociedad en su conjunto.</w:t>
      </w:r>
    </w:p>
    <w:p w:rsidR="00000000" w:rsidRDefault="00000000">
      <w:pPr>
        <w:jc w:val="both"/>
        <w:rPr>
          <w:rFonts w:ascii="Arial" w:hAnsi="Arial"/>
        </w:rPr>
      </w:pPr>
    </w:p>
    <w:p w:rsidR="00000000" w:rsidRDefault="00000000">
      <w:pPr>
        <w:jc w:val="both"/>
        <w:rPr>
          <w:rFonts w:ascii="Arial" w:hAnsi="Arial"/>
        </w:rPr>
      </w:pPr>
      <w:r>
        <w:rPr>
          <w:rFonts w:ascii="Arial" w:hAnsi="Arial"/>
        </w:rPr>
        <w:t>En este sentido, el lenguaje, las imágenes, las actitudes o los modelos, que en muchas ocasiones propone la publicidad y los medios de comunicación no ocultan la construcción de un mensaje discriminatorio hacia la mujer.</w:t>
      </w:r>
    </w:p>
    <w:p w:rsidR="00000000" w:rsidRDefault="00000000">
      <w:pPr>
        <w:jc w:val="both"/>
        <w:rPr>
          <w:rFonts w:ascii="Arial" w:hAnsi="Arial"/>
        </w:rPr>
      </w:pPr>
    </w:p>
    <w:p w:rsidR="00000000" w:rsidRDefault="00000000">
      <w:pPr>
        <w:jc w:val="both"/>
        <w:rPr>
          <w:rFonts w:ascii="Arial" w:hAnsi="Arial"/>
        </w:rPr>
      </w:pPr>
      <w:r>
        <w:rPr>
          <w:rFonts w:ascii="Arial" w:hAnsi="Arial"/>
        </w:rPr>
        <w:t>El Instituto de la Mujer es el órgano de la Administración del Estado que recoge, examina e investiga la publicidad discriminatoria que aparece en los medios de comunicación, sin perjuicio de las actuaciones que las Comunidades Autónomas realizan en su respectivo ámbito territorial. Los objetivos básicos del Instituto en este ámbito son determinar cómo aparecen representadas las mujeres en la publicidad, cuáles son los roles más significativos que se le atribuyen y en el caso de que éstos sean sexistas, poner los medios suficientes, de acuerdo con la legislación en vigor (ya plasmada en el IV Informe CEDAW), para erradicar este tipo de imágenes.</w:t>
      </w:r>
    </w:p>
    <w:p w:rsidR="00000000" w:rsidRDefault="00000000">
      <w:pPr>
        <w:jc w:val="both"/>
        <w:rPr>
          <w:rFonts w:ascii="Arial" w:hAnsi="Arial"/>
        </w:rPr>
      </w:pPr>
    </w:p>
    <w:p w:rsidR="00000000" w:rsidRDefault="00000000">
      <w:pPr>
        <w:pStyle w:val="Heading2"/>
        <w:jc w:val="both"/>
        <w:rPr>
          <w:rFonts w:ascii="Arial" w:hAnsi="Arial"/>
          <w:sz w:val="22"/>
        </w:rPr>
      </w:pPr>
      <w:r>
        <w:rPr>
          <w:rFonts w:ascii="Arial" w:hAnsi="Arial"/>
          <w:sz w:val="22"/>
        </w:rPr>
        <w:t>1. Observatorio de la Publicidad</w:t>
      </w:r>
    </w:p>
    <w:p w:rsidR="00000000" w:rsidRDefault="00000000">
      <w:pPr>
        <w:pStyle w:val="Heading2"/>
        <w:jc w:val="both"/>
        <w:rPr>
          <w:rFonts w:ascii="Arial" w:hAnsi="Arial"/>
          <w:sz w:val="22"/>
        </w:rPr>
      </w:pPr>
    </w:p>
    <w:p w:rsidR="00000000" w:rsidRDefault="00000000">
      <w:pPr>
        <w:jc w:val="both"/>
        <w:rPr>
          <w:rFonts w:ascii="Arial" w:hAnsi="Arial"/>
        </w:rPr>
      </w:pPr>
      <w:r>
        <w:rPr>
          <w:rFonts w:ascii="Arial" w:hAnsi="Arial"/>
        </w:rPr>
        <w:t>El Observatorio de la Publicidad es un foro de observación, análisis y canalización de las denuncias originadas por anuncios sexistas que aparezcan en cualquier medio de comunicación</w:t>
      </w:r>
    </w:p>
    <w:p w:rsidR="00000000" w:rsidRDefault="00000000">
      <w:pPr>
        <w:jc w:val="both"/>
        <w:rPr>
          <w:rFonts w:ascii="Arial" w:hAnsi="Arial"/>
        </w:rPr>
      </w:pPr>
    </w:p>
    <w:p w:rsidR="00000000" w:rsidRDefault="00000000">
      <w:pPr>
        <w:jc w:val="both"/>
        <w:rPr>
          <w:rFonts w:ascii="Arial" w:hAnsi="Arial"/>
        </w:rPr>
      </w:pPr>
      <w:r>
        <w:rPr>
          <w:rFonts w:ascii="Arial" w:hAnsi="Arial"/>
        </w:rPr>
        <w:t>Responde a la demanda de la sociedad de difundir una imagen no sexista de las mujeres a través de los medios de comunicación y de la publicidad, y a la necesidad de desarrollar en profundidad y junto a todos los agentes implicados (anunciantes, Administración y agencias), planteamientos no sexistas, con el objeto de defender una representación justa de las mujeres</w:t>
      </w:r>
    </w:p>
    <w:p w:rsidR="00000000" w:rsidRDefault="00000000">
      <w:pPr>
        <w:jc w:val="both"/>
        <w:rPr>
          <w:rFonts w:ascii="Arial" w:hAnsi="Arial"/>
        </w:rPr>
      </w:pPr>
    </w:p>
    <w:p w:rsidR="00000000" w:rsidRDefault="00000000">
      <w:pPr>
        <w:jc w:val="both"/>
        <w:rPr>
          <w:rFonts w:ascii="Arial" w:hAnsi="Arial"/>
        </w:rPr>
      </w:pPr>
      <w:r>
        <w:rPr>
          <w:rFonts w:ascii="Arial" w:hAnsi="Arial"/>
        </w:rPr>
        <w:t>En la página web del Instituto de la Mujer existe una sección dedicada a la difusión del Observatorio de la Publicidad, a través de la cual se puede acceder a un formulario de denuncia, y que informa de los medios de contacto para realizar ésta. Teléfono, correo electrónico, fax o correo ordinario dirigido al Instituto de la Mujer.</w:t>
      </w:r>
    </w:p>
    <w:p w:rsidR="00000000" w:rsidRDefault="00000000">
      <w:pPr>
        <w:jc w:val="both"/>
        <w:rPr>
          <w:rFonts w:ascii="Arial" w:hAnsi="Arial"/>
        </w:rPr>
      </w:pPr>
    </w:p>
    <w:p w:rsidR="00000000" w:rsidRDefault="00000000">
      <w:pPr>
        <w:jc w:val="both"/>
        <w:rPr>
          <w:rFonts w:ascii="Arial" w:hAnsi="Arial"/>
        </w:rPr>
      </w:pPr>
      <w:r>
        <w:rPr>
          <w:rFonts w:ascii="Arial" w:hAnsi="Arial"/>
        </w:rPr>
        <w:t>Los canales para dirigirse al Observatorio de la Publicidad son:</w:t>
      </w:r>
    </w:p>
    <w:p w:rsidR="00000000" w:rsidRDefault="00000000">
      <w:pPr>
        <w:numPr>
          <w:ilvl w:val="0"/>
          <w:numId w:val="1494"/>
        </w:numPr>
        <w:tabs>
          <w:tab w:val="clear" w:pos="720"/>
        </w:tabs>
        <w:ind w:left="216" w:hanging="216"/>
        <w:jc w:val="both"/>
        <w:rPr>
          <w:rFonts w:ascii="Arial" w:hAnsi="Arial"/>
        </w:rPr>
      </w:pPr>
      <w:r>
        <w:rPr>
          <w:rFonts w:ascii="Arial" w:hAnsi="Arial"/>
        </w:rPr>
        <w:t>Por correo electrónico</w:t>
      </w:r>
    </w:p>
    <w:p w:rsidR="00000000" w:rsidRDefault="00000000">
      <w:pPr>
        <w:numPr>
          <w:ilvl w:val="0"/>
          <w:numId w:val="1494"/>
        </w:numPr>
        <w:tabs>
          <w:tab w:val="clear" w:pos="720"/>
        </w:tabs>
        <w:ind w:left="216" w:hanging="216"/>
        <w:jc w:val="both"/>
        <w:rPr>
          <w:rFonts w:ascii="Arial" w:hAnsi="Arial"/>
        </w:rPr>
      </w:pPr>
      <w:r>
        <w:rPr>
          <w:rFonts w:ascii="Arial" w:hAnsi="Arial"/>
        </w:rPr>
        <w:t>Mediante el telé</w:t>
      </w:r>
      <w:r>
        <w:rPr>
          <w:rFonts w:ascii="Arial" w:hAnsi="Arial"/>
        </w:rPr>
        <w:tab/>
        <w:t xml:space="preserve">fono de atención gratuita 900 19 10 10 (de alcance nacional y a disposición del público las 24 horas del día, durante toda la semana) o el de atención a mujeres sordas </w:t>
      </w:r>
      <w:r>
        <w:rPr>
          <w:rFonts w:ascii="Arial" w:hAnsi="Arial"/>
        </w:rPr>
        <w:br/>
        <w:t>900 152 152.</w:t>
      </w:r>
    </w:p>
    <w:p w:rsidR="00000000" w:rsidRDefault="00000000">
      <w:pPr>
        <w:numPr>
          <w:ilvl w:val="0"/>
          <w:numId w:val="1494"/>
        </w:numPr>
        <w:tabs>
          <w:tab w:val="clear" w:pos="720"/>
        </w:tabs>
        <w:ind w:left="216" w:hanging="216"/>
        <w:jc w:val="both"/>
        <w:rPr>
          <w:rFonts w:ascii="Arial" w:hAnsi="Arial"/>
        </w:rPr>
      </w:pPr>
      <w:r>
        <w:rPr>
          <w:rFonts w:ascii="Arial" w:hAnsi="Arial"/>
        </w:rPr>
        <w:t>Por correo postal a la dirección del Instituto de la Mujer.</w:t>
      </w:r>
    </w:p>
    <w:p w:rsidR="00000000" w:rsidRDefault="00000000">
      <w:pPr>
        <w:numPr>
          <w:ilvl w:val="0"/>
          <w:numId w:val="1494"/>
        </w:numPr>
        <w:tabs>
          <w:tab w:val="clear" w:pos="720"/>
        </w:tabs>
        <w:ind w:left="216" w:hanging="216"/>
        <w:jc w:val="both"/>
        <w:rPr>
          <w:rFonts w:ascii="Arial" w:hAnsi="Arial"/>
        </w:rPr>
      </w:pPr>
      <w:r>
        <w:rPr>
          <w:rFonts w:ascii="Arial" w:hAnsi="Arial"/>
        </w:rPr>
        <w:t>Por Fax.</w:t>
      </w:r>
    </w:p>
    <w:p w:rsidR="00000000" w:rsidRDefault="00000000">
      <w:pPr>
        <w:jc w:val="both"/>
        <w:rPr>
          <w:rFonts w:ascii="Arial" w:hAnsi="Arial"/>
        </w:rPr>
      </w:pPr>
    </w:p>
    <w:p w:rsidR="00000000" w:rsidRDefault="00000000">
      <w:pPr>
        <w:jc w:val="both"/>
        <w:rPr>
          <w:rFonts w:ascii="Arial" w:hAnsi="Arial"/>
        </w:rPr>
      </w:pPr>
      <w:r>
        <w:rPr>
          <w:rFonts w:ascii="Arial" w:hAnsi="Arial"/>
        </w:rPr>
        <w:t>Básicamente, las funciones del Observatorio, se pueden resumir en las siguientes:</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Seguimiento y análisis de los anuncios y campañas publicitarias que se difunden a través de los medios de comunicación españoles.</w:t>
      </w:r>
    </w:p>
    <w:p w:rsidR="00000000" w:rsidRDefault="00000000">
      <w:pPr>
        <w:numPr>
          <w:ilvl w:val="0"/>
          <w:numId w:val="1494"/>
        </w:numPr>
        <w:tabs>
          <w:tab w:val="clear" w:pos="720"/>
        </w:tabs>
        <w:ind w:left="216" w:hanging="216"/>
        <w:jc w:val="both"/>
        <w:rPr>
          <w:rFonts w:ascii="Arial" w:hAnsi="Arial"/>
        </w:rPr>
      </w:pPr>
      <w:r>
        <w:rPr>
          <w:rFonts w:ascii="Arial" w:hAnsi="Arial"/>
        </w:rPr>
        <w:t>Estudio de las denuncias.</w:t>
      </w:r>
    </w:p>
    <w:p w:rsidR="00000000" w:rsidRDefault="00000000">
      <w:pPr>
        <w:numPr>
          <w:ilvl w:val="0"/>
          <w:numId w:val="1494"/>
        </w:numPr>
        <w:tabs>
          <w:tab w:val="clear" w:pos="720"/>
        </w:tabs>
        <w:ind w:left="216" w:hanging="216"/>
        <w:jc w:val="both"/>
        <w:rPr>
          <w:rFonts w:ascii="Arial" w:hAnsi="Arial"/>
        </w:rPr>
      </w:pPr>
      <w:r>
        <w:rPr>
          <w:rFonts w:ascii="Arial" w:hAnsi="Arial"/>
        </w:rPr>
        <w:t xml:space="preserve">Requerimiento a las empresas para que modifiquen o retiren sus campañas sexistas </w:t>
      </w:r>
    </w:p>
    <w:p w:rsidR="00000000" w:rsidRDefault="00000000">
      <w:pPr>
        <w:numPr>
          <w:ilvl w:val="0"/>
          <w:numId w:val="1494"/>
        </w:numPr>
        <w:tabs>
          <w:tab w:val="clear" w:pos="720"/>
        </w:tabs>
        <w:ind w:left="216" w:hanging="216"/>
        <w:jc w:val="both"/>
        <w:rPr>
          <w:rFonts w:ascii="Arial" w:hAnsi="Arial"/>
        </w:rPr>
      </w:pPr>
      <w:r>
        <w:rPr>
          <w:rFonts w:ascii="Arial" w:hAnsi="Arial"/>
        </w:rPr>
        <w:t>Asesoramiento a entidades o empresas sobre contenidos no sexistas, facilitando el apoyo necesario para eliminar los mensajes discriminatorios.</w:t>
      </w:r>
    </w:p>
    <w:p w:rsidR="00000000" w:rsidRDefault="00000000">
      <w:pPr>
        <w:jc w:val="both"/>
        <w:rPr>
          <w:rFonts w:ascii="Arial" w:hAnsi="Arial"/>
        </w:rPr>
      </w:pPr>
    </w:p>
    <w:p w:rsidR="00000000" w:rsidRDefault="00000000">
      <w:pPr>
        <w:jc w:val="both"/>
        <w:rPr>
          <w:rFonts w:ascii="Arial" w:hAnsi="Arial"/>
        </w:rPr>
      </w:pPr>
      <w:r>
        <w:rPr>
          <w:rFonts w:ascii="Arial" w:hAnsi="Arial"/>
        </w:rPr>
        <w:t>El número de denuncias ha pasado de 339 en el año 2000 a 710 en el año 2001, lo que representa un incremento del 109% y pone de manifiesto que existe una mayor sensibilidad ciudadana frente a la publicidad discriminatoria, y responde también al hecho del mayor conocimiento que se tiene del Observatorio en España, lo que propicia mayor número de denuncias.</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BodyTextIndent3"/>
        <w:tabs>
          <w:tab w:val="clear" w:pos="1276"/>
        </w:tabs>
        <w:spacing w:line="360" w:lineRule="auto"/>
        <w:ind w:left="0"/>
        <w:jc w:val="center"/>
        <w:rPr>
          <w:b/>
          <w:sz w:val="16"/>
        </w:rPr>
      </w:pPr>
      <w:r>
        <w:rPr>
          <w:b/>
          <w:sz w:val="16"/>
        </w:rPr>
        <w:t>Contenidos publicitarios y no publicitarios</w:t>
      </w:r>
    </w:p>
    <w:p w:rsidR="00000000" w:rsidRDefault="00000000">
      <w:pPr>
        <w:pStyle w:val="BodyTextIndent3"/>
        <w:tabs>
          <w:tab w:val="clear" w:pos="1276"/>
        </w:tabs>
        <w:spacing w:line="360" w:lineRule="auto"/>
        <w:ind w:left="0"/>
        <w:rPr>
          <w:b/>
          <w:sz w:val="16"/>
        </w:rPr>
      </w:pPr>
    </w:p>
    <w:tbl>
      <w:tblPr>
        <w:tblW w:w="0" w:type="auto"/>
        <w:jc w:val="center"/>
        <w:tblLayout w:type="fixed"/>
        <w:tblCellMar>
          <w:left w:w="54" w:type="dxa"/>
          <w:right w:w="54" w:type="dxa"/>
        </w:tblCellMar>
        <w:tblLook w:val="0000" w:firstRow="0" w:lastRow="0" w:firstColumn="0" w:lastColumn="0" w:noHBand="0" w:noVBand="0"/>
      </w:tblPr>
      <w:tblGrid>
        <w:gridCol w:w="2835"/>
        <w:gridCol w:w="1701"/>
        <w:gridCol w:w="1134"/>
        <w:gridCol w:w="1276"/>
      </w:tblGrid>
      <w:tr w:rsidR="00000000">
        <w:tblPrEx>
          <w:tblCellMar>
            <w:top w:w="0" w:type="dxa"/>
            <w:bottom w:w="0" w:type="dxa"/>
          </w:tblCellMar>
        </w:tblPrEx>
        <w:trPr>
          <w:trHeight w:val="405"/>
          <w:jc w:val="center"/>
        </w:trPr>
        <w:tc>
          <w:tcPr>
            <w:tcW w:w="2835" w:type="dxa"/>
            <w:tcBorders>
              <w:top w:val="single" w:sz="6" w:space="0" w:color="auto"/>
              <w:left w:val="single" w:sz="6" w:space="0" w:color="auto"/>
              <w:bottom w:val="single" w:sz="6" w:space="0" w:color="auto"/>
            </w:tcBorders>
          </w:tcPr>
          <w:p w:rsidR="00000000" w:rsidRDefault="00000000">
            <w:pPr>
              <w:widowControl w:val="0"/>
              <w:jc w:val="center"/>
              <w:rPr>
                <w:rFonts w:ascii="Arial" w:hAnsi="Arial"/>
                <w:snapToGrid w:val="0"/>
                <w:sz w:val="16"/>
              </w:rPr>
            </w:pPr>
            <w:r>
              <w:rPr>
                <w:rFonts w:ascii="Arial" w:hAnsi="Arial"/>
                <w:snapToGrid w:val="0"/>
                <w:sz w:val="16"/>
              </w:rPr>
              <w:t>Tipo de Contenidos Denunciados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rFonts w:ascii="Arial" w:hAnsi="Arial"/>
                <w:snapToGrid w:val="0"/>
                <w:sz w:val="16"/>
              </w:rPr>
            </w:pPr>
            <w:r>
              <w:rPr>
                <w:rFonts w:ascii="Arial" w:hAnsi="Arial"/>
                <w:snapToGrid w:val="0"/>
                <w:sz w:val="16"/>
              </w:rPr>
              <w:t>Valores Absolutos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rFonts w:ascii="Arial" w:hAnsi="Arial"/>
                <w:snapToGrid w:val="0"/>
                <w:sz w:val="16"/>
              </w:rPr>
            </w:pPr>
            <w:r>
              <w:rPr>
                <w:rFonts w:ascii="Arial" w:hAnsi="Arial"/>
                <w:snapToGrid w:val="0"/>
                <w:sz w:val="16"/>
              </w:rPr>
              <w:t>(%)</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rFonts w:ascii="Arial" w:hAnsi="Arial"/>
                <w:snapToGrid w:val="0"/>
                <w:sz w:val="16"/>
              </w:rPr>
            </w:pPr>
            <w:r>
              <w:rPr>
                <w:rFonts w:ascii="Arial" w:hAnsi="Arial"/>
                <w:snapToGrid w:val="0"/>
                <w:sz w:val="16"/>
              </w:rPr>
              <w:t>(% 2000)</w:t>
            </w:r>
          </w:p>
        </w:tc>
      </w:tr>
      <w:tr w:rsidR="00000000">
        <w:tblPrEx>
          <w:tblCellMar>
            <w:top w:w="0" w:type="dxa"/>
            <w:bottom w:w="0" w:type="dxa"/>
          </w:tblCellMar>
        </w:tblPrEx>
        <w:trPr>
          <w:cantSplit/>
          <w:trHeight w:val="315"/>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60" w:lineRule="auto"/>
              <w:rPr>
                <w:rFonts w:ascii="Arial" w:hAnsi="Arial"/>
                <w:snapToGrid w:val="0"/>
                <w:sz w:val="16"/>
              </w:rPr>
            </w:pPr>
            <w:r>
              <w:rPr>
                <w:rFonts w:ascii="Arial" w:hAnsi="Arial"/>
                <w:snapToGrid w:val="0"/>
                <w:sz w:val="16"/>
              </w:rPr>
              <w:t>Publicidad</w:t>
            </w:r>
          </w:p>
        </w:tc>
        <w:tc>
          <w:tcPr>
            <w:tcW w:w="1701" w:type="dxa"/>
            <w:tcBorders>
              <w:left w:val="single" w:sz="6" w:space="0" w:color="auto"/>
              <w:bottom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658</w:t>
            </w:r>
          </w:p>
        </w:tc>
        <w:tc>
          <w:tcPr>
            <w:tcW w:w="1134" w:type="dxa"/>
            <w:tcBorders>
              <w:top w:val="single" w:sz="6" w:space="0" w:color="auto"/>
              <w:left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92,7</w:t>
            </w:r>
          </w:p>
        </w:tc>
        <w:tc>
          <w:tcPr>
            <w:tcW w:w="1276" w:type="dxa"/>
            <w:tcBorders>
              <w:top w:val="single" w:sz="6" w:space="0" w:color="auto"/>
              <w:left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89,97</w:t>
            </w:r>
          </w:p>
        </w:tc>
      </w:tr>
      <w:tr w:rsidR="00000000">
        <w:tblPrEx>
          <w:tblCellMar>
            <w:top w:w="0" w:type="dxa"/>
            <w:bottom w:w="0" w:type="dxa"/>
          </w:tblCellMar>
        </w:tblPrEx>
        <w:trPr>
          <w:cantSplit/>
          <w:trHeight w:val="315"/>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60" w:lineRule="auto"/>
              <w:rPr>
                <w:rFonts w:ascii="Arial" w:hAnsi="Arial"/>
                <w:snapToGrid w:val="0"/>
                <w:sz w:val="16"/>
              </w:rPr>
            </w:pPr>
            <w:r>
              <w:rPr>
                <w:rFonts w:ascii="Arial" w:hAnsi="Arial"/>
                <w:snapToGrid w:val="0"/>
                <w:sz w:val="16"/>
              </w:rPr>
              <w:t>Mensajes no publicitarios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52</w:t>
            </w:r>
          </w:p>
        </w:tc>
        <w:tc>
          <w:tcPr>
            <w:tcW w:w="1134" w:type="dxa"/>
            <w:tcBorders>
              <w:top w:val="single" w:sz="4" w:space="0" w:color="auto"/>
              <w:left w:val="single" w:sz="6" w:space="0" w:color="auto"/>
              <w:bottom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7,3</w:t>
            </w:r>
          </w:p>
        </w:tc>
        <w:tc>
          <w:tcPr>
            <w:tcW w:w="1276" w:type="dxa"/>
            <w:tcBorders>
              <w:top w:val="single" w:sz="4" w:space="0" w:color="auto"/>
              <w:left w:val="single" w:sz="6" w:space="0" w:color="auto"/>
              <w:bottom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10,03</w:t>
            </w:r>
          </w:p>
        </w:tc>
      </w:tr>
      <w:tr w:rsidR="00000000">
        <w:tblPrEx>
          <w:tblCellMar>
            <w:top w:w="0" w:type="dxa"/>
            <w:bottom w:w="0" w:type="dxa"/>
          </w:tblCellMar>
        </w:tblPrEx>
        <w:trPr>
          <w:gridAfter w:val="2"/>
          <w:wAfter w:w="2410" w:type="dxa"/>
          <w:trHeight w:val="315"/>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60" w:lineRule="auto"/>
              <w:rPr>
                <w:rFonts w:ascii="Arial" w:hAnsi="Arial"/>
                <w:snapToGrid w:val="0"/>
                <w:sz w:val="16"/>
              </w:rPr>
            </w:pPr>
            <w:r>
              <w:rPr>
                <w:rFonts w:ascii="Arial" w:hAnsi="Arial"/>
                <w:snapToGrid w:val="0"/>
                <w:sz w:val="16"/>
              </w:rPr>
              <w:t>Total</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spacing w:line="360" w:lineRule="auto"/>
              <w:jc w:val="center"/>
              <w:rPr>
                <w:rFonts w:ascii="Arial" w:hAnsi="Arial"/>
                <w:snapToGrid w:val="0"/>
                <w:sz w:val="16"/>
              </w:rPr>
            </w:pPr>
            <w:r>
              <w:rPr>
                <w:rFonts w:ascii="Arial" w:hAnsi="Arial"/>
                <w:snapToGrid w:val="0"/>
                <w:sz w:val="16"/>
              </w:rPr>
              <w:t>710</w:t>
            </w:r>
          </w:p>
        </w:tc>
      </w:tr>
    </w:tbl>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Estas denuncias afectan a un total de 211 Campañas, con un incremento de las Campañas denunciadas del 25´6%. Madrid sigue siendo la Comunidad Autónoma que más denuncias ha presentado (36%), seguida de la Comunidad Canaria (16%), y de Galicia(9´7%).</w:t>
      </w:r>
    </w:p>
    <w:p w:rsidR="00000000" w:rsidRDefault="00000000">
      <w:pPr>
        <w:jc w:val="both"/>
        <w:rPr>
          <w:rFonts w:ascii="Arial" w:hAnsi="Arial"/>
        </w:rPr>
      </w:pPr>
    </w:p>
    <w:p w:rsidR="00000000" w:rsidRDefault="00000000">
      <w:pPr>
        <w:jc w:val="both"/>
        <w:rPr>
          <w:rFonts w:ascii="Arial" w:hAnsi="Arial"/>
        </w:rPr>
      </w:pPr>
      <w:r>
        <w:rPr>
          <w:rFonts w:ascii="Arial" w:hAnsi="Arial"/>
        </w:rPr>
        <w:t>El medio más denunciado ha sido la televisión (32´9%), seguido, en contraste con el año 2000, del medio exterior (vallas, mobiliario urbano y autobuses: 30% frente a casi el 9% del año 2000).</w:t>
      </w:r>
    </w:p>
    <w:p w:rsidR="00000000" w:rsidRDefault="00000000">
      <w:pPr>
        <w:jc w:val="both"/>
        <w:rPr>
          <w:rFonts w:ascii="Arial" w:hAnsi="Arial"/>
        </w:rPr>
      </w:pPr>
      <w:r>
        <w:rPr>
          <w:rFonts w:ascii="Arial" w:hAnsi="Arial"/>
        </w:rPr>
        <w:t>En el año 2001, los sectores que han recibido más denuncias han sido la Administración (16,2%) el sector de ropas y accesorios (12%), seguido del de perfumes y cosmética, con un 11,7%. El sector de vehículos es el que más campañas denunciadas acumula. El anuncio de los carnavales de Tenerife y un cómic han acumulado un 16,3% de las denuncias.</w:t>
      </w:r>
    </w:p>
    <w:p w:rsidR="00000000" w:rsidRDefault="00000000">
      <w:pPr>
        <w:jc w:val="both"/>
        <w:rPr>
          <w:rFonts w:ascii="Arial" w:hAnsi="Arial"/>
        </w:rPr>
      </w:pPr>
      <w:r>
        <w:rPr>
          <w:rFonts w:ascii="Arial" w:hAnsi="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39.9pt;margin-top:18.65pt;width:416.25pt;height:187.2pt;z-index:2;mso-position-horizontal:absolute;mso-position-horizontal-relative:text;mso-position-vertical:absolute;mso-position-vertical-relative:text" o:allowincell="f">
            <v:imagedata r:id="rId14" o:title=""/>
            <w10:wrap type="topAndBottom"/>
          </v:shape>
          <o:OLEObject Type="Embed" ProgID="Excel.Sheet.8" ShapeID="_x0000_s2061" DrawAspect="Content" ObjectID="_1395237892" r:id="rId15"/>
        </w:pict>
      </w:r>
    </w:p>
    <w:p w:rsidR="00000000" w:rsidRDefault="00000000">
      <w:pPr>
        <w:jc w:val="both"/>
        <w:rPr>
          <w:rFonts w:ascii="Arial" w:hAnsi="Arial"/>
        </w:rPr>
      </w:pPr>
    </w:p>
    <w:p w:rsidR="00000000" w:rsidRDefault="00000000">
      <w:r>
        <w:rPr>
          <w:rFonts w:ascii="Arial" w:hAnsi="Arial"/>
        </w:rPr>
        <w:t>En cuanto a los/las denunciantes, el 81% han sido mujeres y el 18´5% han sido hombres. Es importante destacar el aumento de denuncias presentadas por hombres.</w:t>
      </w:r>
    </w:p>
    <w:p w:rsidR="00000000" w:rsidRDefault="00000000">
      <w:pPr>
        <w:jc w:val="both"/>
        <w:rPr>
          <w:rFonts w:ascii="Arial" w:hAnsi="Arial"/>
        </w:rPr>
      </w:pPr>
      <w:r>
        <w:rPr>
          <w:rFonts w:ascii="Arial" w:hAnsi="Arial"/>
        </w:rPr>
        <w:br w:type="page"/>
      </w:r>
    </w:p>
    <w:p w:rsidR="00000000" w:rsidRDefault="00000000">
      <w:pPr>
        <w:pBdr>
          <w:top w:val="single" w:sz="4" w:space="0" w:color="000000"/>
          <w:left w:val="single" w:sz="4" w:space="0" w:color="000000"/>
          <w:bottom w:val="single" w:sz="4" w:space="3" w:color="000000"/>
          <w:right w:val="single" w:sz="4" w:space="31" w:color="000000"/>
        </w:pBdr>
      </w:pPr>
      <w:r>
        <w:rPr>
          <w:noProof/>
        </w:rPr>
        <w:pict>
          <v:shape id="_x0000_s2062" type="#_x0000_t75" style="position:absolute;margin-left:54pt;margin-top:3.4pt;width:369pt;height:169.75pt;z-index:3;mso-position-horizontal:absolute;mso-position-horizontal-relative:text;mso-position-vertical:absolute;mso-position-vertical-relative:text" o:allowincell="f">
            <v:imagedata r:id="rId16" o:title="" cropbottom="23116f"/>
          </v:shape>
        </w:pict>
      </w: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pPr>
    </w:p>
    <w:p w:rsidR="00000000" w:rsidRDefault="00000000">
      <w:pPr>
        <w:pBdr>
          <w:top w:val="single" w:sz="4" w:space="0" w:color="000000"/>
          <w:left w:val="single" w:sz="4" w:space="0" w:color="000000"/>
          <w:bottom w:val="single" w:sz="4" w:space="3" w:color="000000"/>
          <w:right w:val="single" w:sz="4" w:space="31" w:color="000000"/>
        </w:pBdr>
        <w:rPr>
          <w:sz w:val="16"/>
        </w:rPr>
      </w:pPr>
    </w:p>
    <w:p w:rsidR="00000000" w:rsidRDefault="00000000">
      <w:pPr>
        <w:pBdr>
          <w:top w:val="single" w:sz="4" w:space="0" w:color="000000"/>
          <w:left w:val="single" w:sz="4" w:space="0" w:color="000000"/>
          <w:bottom w:val="single" w:sz="4" w:space="3" w:color="000000"/>
          <w:right w:val="single" w:sz="4" w:space="31" w:color="000000"/>
        </w:pBdr>
        <w:rPr>
          <w:sz w:val="16"/>
        </w:rPr>
      </w:pPr>
    </w:p>
    <w:p w:rsidR="00000000" w:rsidRDefault="00000000">
      <w:pPr>
        <w:pBdr>
          <w:top w:val="single" w:sz="4" w:space="0" w:color="000000"/>
          <w:left w:val="single" w:sz="4" w:space="0" w:color="000000"/>
          <w:bottom w:val="single" w:sz="4" w:space="3" w:color="000000"/>
          <w:right w:val="single" w:sz="4" w:space="31" w:color="000000"/>
        </w:pBdr>
        <w:rPr>
          <w:b/>
          <w:sz w:val="16"/>
        </w:rPr>
      </w:pPr>
    </w:p>
    <w:p w:rsidR="00000000" w:rsidRDefault="00000000">
      <w:pPr>
        <w:pBdr>
          <w:top w:val="single" w:sz="4" w:space="0" w:color="000000"/>
          <w:left w:val="single" w:sz="4" w:space="0" w:color="000000"/>
          <w:bottom w:val="single" w:sz="4" w:space="3" w:color="000000"/>
          <w:right w:val="single" w:sz="4" w:space="31" w:color="000000"/>
        </w:pBdr>
        <w:rPr>
          <w:b/>
          <w:sz w:val="16"/>
        </w:rPr>
      </w:pPr>
      <w:r>
        <w:rPr>
          <w:b/>
          <w:sz w:val="16"/>
        </w:rPr>
        <w:t xml:space="preserve">                           1      2      3     4       5      6      7      8      9    10    11    12    13    14    15    16    17    18 19 </w:t>
      </w:r>
    </w:p>
    <w:p w:rsidR="00000000" w:rsidRDefault="00000000">
      <w:pPr>
        <w:pBdr>
          <w:top w:val="single" w:sz="4" w:space="0" w:color="000000"/>
          <w:left w:val="single" w:sz="4" w:space="0" w:color="000000"/>
          <w:bottom w:val="single" w:sz="4" w:space="3" w:color="000000"/>
          <w:right w:val="single" w:sz="4" w:space="31" w:color="000000"/>
        </w:pBdr>
        <w:rPr>
          <w:sz w:val="16"/>
        </w:rPr>
      </w:pP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b/>
          <w:sz w:val="16"/>
        </w:rPr>
        <w:t xml:space="preserve">  1</w:t>
      </w:r>
      <w:r>
        <w:rPr>
          <w:sz w:val="16"/>
        </w:rPr>
        <w:t>.- Administración</w:t>
      </w:r>
      <w:r>
        <w:rPr>
          <w:sz w:val="16"/>
        </w:rPr>
        <w:tab/>
      </w:r>
      <w:r>
        <w:rPr>
          <w:b/>
          <w:sz w:val="16"/>
        </w:rPr>
        <w:t xml:space="preserve">  7</w:t>
      </w:r>
      <w:r>
        <w:rPr>
          <w:sz w:val="16"/>
        </w:rPr>
        <w:t>.- Alimentación</w:t>
      </w:r>
      <w:r>
        <w:rPr>
          <w:sz w:val="16"/>
        </w:rPr>
        <w:tab/>
      </w:r>
      <w:r>
        <w:rPr>
          <w:b/>
          <w:sz w:val="16"/>
        </w:rPr>
        <w:t>13</w:t>
      </w:r>
      <w:r>
        <w:rPr>
          <w:sz w:val="16"/>
        </w:rPr>
        <w:t>.- Servicios/Finanzas</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b/>
          <w:sz w:val="16"/>
        </w:rPr>
        <w:t xml:space="preserve">  2</w:t>
      </w:r>
      <w:r>
        <w:rPr>
          <w:sz w:val="16"/>
        </w:rPr>
        <w:t>.- Ropa/Accesorios</w:t>
      </w:r>
      <w:r>
        <w:rPr>
          <w:sz w:val="16"/>
        </w:rPr>
        <w:tab/>
      </w:r>
      <w:r>
        <w:rPr>
          <w:b/>
          <w:sz w:val="16"/>
        </w:rPr>
        <w:t xml:space="preserve">  8</w:t>
      </w:r>
      <w:r>
        <w:rPr>
          <w:sz w:val="16"/>
        </w:rPr>
        <w:t>.- Promoción TV/Prensa/Radio</w:t>
      </w:r>
      <w:r>
        <w:rPr>
          <w:sz w:val="16"/>
        </w:rPr>
        <w:tab/>
      </w:r>
      <w:r>
        <w:rPr>
          <w:b/>
          <w:sz w:val="16"/>
        </w:rPr>
        <w:t>14</w:t>
      </w:r>
      <w:r>
        <w:rPr>
          <w:sz w:val="16"/>
        </w:rPr>
        <w:t>.- Cine, Vídeo, Teatro, Música</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b/>
          <w:sz w:val="16"/>
        </w:rPr>
        <w:t xml:space="preserve">  3</w:t>
      </w:r>
      <w:r>
        <w:rPr>
          <w:sz w:val="16"/>
        </w:rPr>
        <w:t>.- Perfumes/Cosmética</w:t>
      </w:r>
      <w:r>
        <w:rPr>
          <w:sz w:val="16"/>
        </w:rPr>
        <w:tab/>
      </w:r>
      <w:r>
        <w:rPr>
          <w:b/>
          <w:sz w:val="16"/>
        </w:rPr>
        <w:t xml:space="preserve">  9</w:t>
      </w:r>
      <w:r>
        <w:rPr>
          <w:sz w:val="16"/>
        </w:rPr>
        <w:t>.- Transportes/Telecomunicaciones</w:t>
      </w:r>
      <w:r>
        <w:rPr>
          <w:sz w:val="16"/>
        </w:rPr>
        <w:tab/>
      </w:r>
      <w:r>
        <w:rPr>
          <w:b/>
          <w:sz w:val="16"/>
        </w:rPr>
        <w:t>15</w:t>
      </w:r>
      <w:r>
        <w:rPr>
          <w:sz w:val="16"/>
        </w:rPr>
        <w:t>.- Juguetes</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4820"/>
          <w:tab w:val="left" w:pos="6804"/>
          <w:tab w:val="left" w:pos="7371"/>
        </w:tabs>
        <w:rPr>
          <w:sz w:val="16"/>
        </w:rPr>
      </w:pPr>
      <w:r>
        <w:rPr>
          <w:sz w:val="16"/>
        </w:rPr>
        <w:tab/>
      </w:r>
      <w:r>
        <w:rPr>
          <w:b/>
          <w:sz w:val="16"/>
        </w:rPr>
        <w:t xml:space="preserve">  4</w:t>
      </w:r>
      <w:r>
        <w:rPr>
          <w:sz w:val="16"/>
        </w:rPr>
        <w:t>.- Salud/Farmacia</w:t>
      </w:r>
      <w:r>
        <w:rPr>
          <w:sz w:val="16"/>
        </w:rPr>
        <w:tab/>
      </w:r>
      <w:r>
        <w:rPr>
          <w:b/>
          <w:sz w:val="16"/>
        </w:rPr>
        <w:t>10</w:t>
      </w:r>
      <w:r>
        <w:rPr>
          <w:sz w:val="16"/>
        </w:rPr>
        <w:t>.- Electrodomésticos/Menaje</w:t>
      </w:r>
      <w:r>
        <w:rPr>
          <w:sz w:val="16"/>
        </w:rPr>
        <w:tab/>
      </w:r>
      <w:r>
        <w:rPr>
          <w:b/>
          <w:sz w:val="16"/>
        </w:rPr>
        <w:t>16</w:t>
      </w:r>
      <w:r>
        <w:rPr>
          <w:sz w:val="16"/>
        </w:rPr>
        <w:t>.- Vacaciones/Viajes</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b/>
          <w:sz w:val="16"/>
        </w:rPr>
        <w:t xml:space="preserve">  5</w:t>
      </w:r>
      <w:r>
        <w:rPr>
          <w:sz w:val="16"/>
        </w:rPr>
        <w:t>.- Vehículos</w:t>
      </w:r>
      <w:r>
        <w:rPr>
          <w:sz w:val="16"/>
        </w:rPr>
        <w:tab/>
      </w:r>
      <w:r>
        <w:rPr>
          <w:b/>
          <w:sz w:val="16"/>
        </w:rPr>
        <w:t>11</w:t>
      </w:r>
      <w:r>
        <w:rPr>
          <w:sz w:val="16"/>
        </w:rPr>
        <w:t>.- Higiene</w:t>
      </w:r>
      <w:r>
        <w:rPr>
          <w:sz w:val="16"/>
        </w:rPr>
        <w:tab/>
      </w:r>
      <w:r>
        <w:rPr>
          <w:b/>
          <w:sz w:val="16"/>
        </w:rPr>
        <w:t>17</w:t>
      </w:r>
      <w:r>
        <w:rPr>
          <w:sz w:val="16"/>
        </w:rPr>
        <w:t>.- Detergentes/Limpieza</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b/>
          <w:sz w:val="16"/>
        </w:rPr>
        <w:t xml:space="preserve">  6</w:t>
      </w:r>
      <w:r>
        <w:rPr>
          <w:sz w:val="16"/>
        </w:rPr>
        <w:t>.- Bebidas</w:t>
      </w:r>
      <w:r>
        <w:rPr>
          <w:sz w:val="16"/>
        </w:rPr>
        <w:tab/>
      </w:r>
      <w:r>
        <w:rPr>
          <w:b/>
          <w:sz w:val="16"/>
        </w:rPr>
        <w:t>12</w:t>
      </w:r>
      <w:r>
        <w:rPr>
          <w:sz w:val="16"/>
        </w:rPr>
        <w:t>.- Otros</w:t>
      </w:r>
      <w:r>
        <w:rPr>
          <w:sz w:val="16"/>
        </w:rPr>
        <w:tab/>
      </w:r>
      <w:r>
        <w:rPr>
          <w:b/>
          <w:sz w:val="16"/>
        </w:rPr>
        <w:t>18</w:t>
      </w:r>
      <w:r>
        <w:rPr>
          <w:sz w:val="16"/>
        </w:rPr>
        <w:t>.- Tabaco</w:t>
      </w:r>
    </w:p>
    <w:p w:rsidR="00000000" w:rsidRDefault="00000000">
      <w:pPr>
        <w:pBdr>
          <w:top w:val="single" w:sz="4" w:space="0" w:color="000000"/>
          <w:left w:val="single" w:sz="4" w:space="0" w:color="000000"/>
          <w:bottom w:val="single" w:sz="4" w:space="3" w:color="000000"/>
          <w:right w:val="single" w:sz="4" w:space="31" w:color="000000"/>
        </w:pBdr>
        <w:tabs>
          <w:tab w:val="left" w:pos="1560"/>
          <w:tab w:val="left" w:pos="3828"/>
          <w:tab w:val="left" w:pos="6804"/>
        </w:tabs>
        <w:rPr>
          <w:sz w:val="16"/>
        </w:rPr>
      </w:pPr>
      <w:r>
        <w:rPr>
          <w:sz w:val="16"/>
        </w:rPr>
        <w:tab/>
      </w:r>
      <w:r>
        <w:rPr>
          <w:sz w:val="16"/>
        </w:rPr>
        <w:tab/>
      </w:r>
      <w:r>
        <w:rPr>
          <w:sz w:val="16"/>
        </w:rPr>
        <w:tab/>
      </w:r>
      <w:r>
        <w:rPr>
          <w:b/>
          <w:sz w:val="16"/>
        </w:rPr>
        <w:t>19</w:t>
      </w:r>
      <w:r>
        <w:rPr>
          <w:sz w:val="16"/>
        </w:rPr>
        <w:t>.- Publicaciones</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 la edad de los denunciantes, los datos correspondientes a 2001, suponen un ligero cambio, respecto a años anteriores, puesto que han aumentado las denuncias entre los grupos de edad de 21-25 años ( 4´9% en el año 2000, frente a 10´4% en el año 2001) y de 16-20 años (1´1% en el año 2000, frente a 3´7% en el año 2001), dato que consideramos positivo, pues significa que los jóvenes están cada vez más concienciados y denuncian los contenidos sexistas.</w:t>
      </w:r>
    </w:p>
    <w:p w:rsidR="00000000" w:rsidRDefault="00000000">
      <w:pPr>
        <w:jc w:val="both"/>
        <w:rPr>
          <w:rFonts w:ascii="Arial" w:hAnsi="Arial"/>
        </w:rPr>
      </w:pPr>
    </w:p>
    <w:p w:rsidR="00000000" w:rsidRDefault="00000000">
      <w:pPr>
        <w:pStyle w:val="BlockText"/>
        <w:ind w:left="0" w:right="0"/>
      </w:pPr>
      <w:r>
        <w:t>Por lo que se refiere al nivel de estudios de los denunciantes, se ha producido un aumento signific</w:t>
      </w:r>
      <w:r>
        <w:t>a</w:t>
      </w:r>
      <w:r>
        <w:t>tivo de los ciudadanos y ciudadanas cuyos estudios son elementales.</w:t>
      </w:r>
    </w:p>
    <w:p w:rsidR="00000000" w:rsidRDefault="00000000">
      <w:pPr>
        <w:jc w:val="both"/>
        <w:rPr>
          <w:rFonts w:ascii="Arial" w:hAnsi="Arial"/>
        </w:rPr>
      </w:pPr>
    </w:p>
    <w:p w:rsidR="00000000" w:rsidRDefault="00000000">
      <w:pPr>
        <w:jc w:val="both"/>
        <w:rPr>
          <w:rFonts w:ascii="Arial" w:hAnsi="Arial"/>
        </w:rPr>
      </w:pPr>
      <w:r>
        <w:rPr>
          <w:rFonts w:ascii="Arial" w:hAnsi="Arial"/>
        </w:rPr>
        <w:t>Los contenidos denunciados son en resumen los siguientes:</w:t>
      </w:r>
    </w:p>
    <w:p w:rsidR="00000000" w:rsidRDefault="00000000">
      <w:pPr>
        <w:numPr>
          <w:ilvl w:val="0"/>
          <w:numId w:val="1494"/>
        </w:numPr>
        <w:tabs>
          <w:tab w:val="clear" w:pos="720"/>
        </w:tabs>
        <w:ind w:left="216" w:hanging="216"/>
        <w:jc w:val="both"/>
        <w:rPr>
          <w:rFonts w:ascii="Arial" w:hAnsi="Arial"/>
        </w:rPr>
      </w:pPr>
      <w:r>
        <w:rPr>
          <w:rFonts w:ascii="Arial" w:hAnsi="Arial"/>
        </w:rPr>
        <w:t>El uso del cuerpo femenino como objeto erótico y sexual</w:t>
      </w:r>
    </w:p>
    <w:p w:rsidR="00000000" w:rsidRDefault="00000000">
      <w:pPr>
        <w:numPr>
          <w:ilvl w:val="0"/>
          <w:numId w:val="1494"/>
        </w:numPr>
        <w:tabs>
          <w:tab w:val="clear" w:pos="720"/>
        </w:tabs>
        <w:ind w:left="216" w:hanging="216"/>
        <w:jc w:val="both"/>
        <w:rPr>
          <w:rFonts w:ascii="Arial" w:hAnsi="Arial"/>
        </w:rPr>
      </w:pPr>
      <w:r>
        <w:rPr>
          <w:rFonts w:ascii="Arial" w:hAnsi="Arial"/>
        </w:rPr>
        <w:t xml:space="preserve">La mujer como profesional devaluada </w:t>
      </w:r>
    </w:p>
    <w:p w:rsidR="00000000" w:rsidRDefault="00000000">
      <w:pPr>
        <w:numPr>
          <w:ilvl w:val="0"/>
          <w:numId w:val="1494"/>
        </w:numPr>
        <w:tabs>
          <w:tab w:val="clear" w:pos="720"/>
        </w:tabs>
        <w:ind w:left="216" w:hanging="216"/>
        <w:jc w:val="both"/>
        <w:rPr>
          <w:rFonts w:ascii="Arial" w:hAnsi="Arial"/>
        </w:rPr>
      </w:pPr>
      <w:r>
        <w:rPr>
          <w:rFonts w:ascii="Arial" w:hAnsi="Arial"/>
        </w:rPr>
        <w:t>La mujer como foco de violencia y degradación</w:t>
      </w:r>
    </w:p>
    <w:p w:rsidR="00000000" w:rsidRDefault="00000000">
      <w:pPr>
        <w:numPr>
          <w:ilvl w:val="0"/>
          <w:numId w:val="1494"/>
        </w:numPr>
        <w:tabs>
          <w:tab w:val="clear" w:pos="720"/>
        </w:tabs>
        <w:ind w:left="216" w:hanging="216"/>
        <w:jc w:val="both"/>
        <w:rPr>
          <w:rFonts w:ascii="Arial" w:hAnsi="Arial"/>
        </w:rPr>
      </w:pPr>
      <w:r>
        <w:rPr>
          <w:rFonts w:ascii="Arial" w:hAnsi="Arial"/>
        </w:rPr>
        <w:t>Sexismo en los anuncios de juguetes.</w:t>
      </w:r>
    </w:p>
    <w:p w:rsidR="00000000" w:rsidRDefault="00000000">
      <w:pPr>
        <w:jc w:val="both"/>
        <w:rPr>
          <w:rFonts w:ascii="Arial" w:hAnsi="Arial"/>
        </w:rPr>
      </w:pPr>
    </w:p>
    <w:p w:rsidR="00000000" w:rsidRDefault="00000000">
      <w:pPr>
        <w:jc w:val="both"/>
        <w:rPr>
          <w:rFonts w:ascii="Arial" w:hAnsi="Arial"/>
        </w:rPr>
      </w:pPr>
      <w:r>
        <w:rPr>
          <w:rFonts w:ascii="Arial" w:hAnsi="Arial"/>
        </w:rPr>
        <w:t>Durante el año 2001, el Instituto de la Mujer se ha dirigido a 19 empresas por los contenidos discriminatorios de sus mensajes, para promover la retirada de sus campañas. Paralelamente a lo anterior, el Instituto de la Mujer ofrece su colaboración con el fin de mejorar el tratamiento de la imagen de la mujer en la publicidad.</w:t>
      </w:r>
    </w:p>
    <w:p w:rsidR="00000000" w:rsidRDefault="00000000">
      <w:pPr>
        <w:jc w:val="both"/>
        <w:rPr>
          <w:rFonts w:ascii="Arial" w:hAnsi="Arial"/>
        </w:rPr>
      </w:pPr>
    </w:p>
    <w:p w:rsidR="00000000" w:rsidRDefault="00000000">
      <w:pPr>
        <w:jc w:val="both"/>
        <w:rPr>
          <w:rFonts w:ascii="Arial" w:hAnsi="Arial"/>
        </w:rPr>
      </w:pPr>
      <w:r>
        <w:rPr>
          <w:rFonts w:ascii="Arial" w:hAnsi="Arial"/>
        </w:rPr>
        <w:t>Por último, desde 1994, el Instituto de la Mujer elabora anualmente un</w:t>
      </w:r>
      <w:r>
        <w:rPr>
          <w:rFonts w:ascii="Arial" w:hAnsi="Arial"/>
          <w:b/>
        </w:rPr>
        <w:t xml:space="preserve"> informe de </w:t>
      </w:r>
      <w:r>
        <w:rPr>
          <w:rFonts w:ascii="Arial" w:hAnsi="Arial"/>
        </w:rPr>
        <w:t>los</w:t>
      </w:r>
      <w:r>
        <w:rPr>
          <w:rFonts w:ascii="Arial" w:hAnsi="Arial"/>
          <w:b/>
        </w:rPr>
        <w:t xml:space="preserve"> resultados</w:t>
      </w:r>
      <w:r>
        <w:rPr>
          <w:rFonts w:ascii="Arial" w:hAnsi="Arial"/>
        </w:rPr>
        <w:t xml:space="preserve"> obtenidos en el Observatorio, que se difunde en los medios de comunicación y distribuye a las asociaciones de profesionales de la publicidad, anunciantes y al organismo de autocontrol de la Publicidad, con el fin de sensibilizar a los responsables de la creación y emisión de las campañas sobre la necesidad de adaptar la imagen de la mujer a los cambios que los ciudadanos y ciudadanas demandan. Este se remite, asimismo, a los organismos de igualdad de las Comunidades Autónomas, para potenciar la colaboración y coordinación en el control de la publicidad discriminatoria, y a instituciones y asociaciones que tienen entre sus objetivos velar por el control de la publicidad ilícita.</w:t>
      </w:r>
    </w:p>
    <w:p w:rsidR="00000000" w:rsidRDefault="00000000">
      <w:pPr>
        <w:jc w:val="both"/>
        <w:rPr>
          <w:rFonts w:ascii="Arial" w:hAnsi="Arial"/>
        </w:rPr>
      </w:pPr>
    </w:p>
    <w:p w:rsidR="00000000" w:rsidRDefault="00000000">
      <w:pPr>
        <w:pStyle w:val="Heading2"/>
        <w:rPr>
          <w:rFonts w:ascii="Arial" w:hAnsi="Arial"/>
          <w:sz w:val="22"/>
        </w:rPr>
      </w:pPr>
      <w:r>
        <w:rPr>
          <w:rFonts w:ascii="Arial" w:hAnsi="Arial"/>
          <w:sz w:val="22"/>
        </w:rPr>
        <w:t xml:space="preserve">2. </w:t>
      </w:r>
      <w:r>
        <w:rPr>
          <w:rFonts w:ascii="Arial" w:hAnsi="Arial"/>
          <w:sz w:val="22"/>
        </w:rPr>
        <w:tab/>
        <w:t>Campañas Publicitarias.</w:t>
      </w:r>
    </w:p>
    <w:p w:rsidR="00000000" w:rsidRDefault="00000000">
      <w:pPr>
        <w:jc w:val="both"/>
        <w:rPr>
          <w:rFonts w:ascii="Arial" w:hAnsi="Arial"/>
        </w:rPr>
      </w:pPr>
    </w:p>
    <w:p w:rsidR="00000000" w:rsidRDefault="00000000">
      <w:pPr>
        <w:jc w:val="both"/>
        <w:rPr>
          <w:rFonts w:ascii="Arial" w:hAnsi="Arial"/>
        </w:rPr>
      </w:pPr>
      <w:r>
        <w:rPr>
          <w:rFonts w:ascii="Arial" w:hAnsi="Arial"/>
        </w:rPr>
        <w:t>Estas Campañas se constituyen, asimismo, como un medio idóneo para la modificación de los patrones socioculturales. Las principales Campañas realizadas desde 1999, han sido las siguientes:</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b/>
        </w:rPr>
        <w:t>Participación Social de las Mujeres</w:t>
      </w:r>
      <w:r>
        <w:rPr>
          <w:rFonts w:ascii="Arial" w:hAnsi="Arial"/>
        </w:rPr>
        <w:t>" llevada a cabo en la radio, prensa escrita y revistas, del 14 al 29 de Enero de 1999, para fomentar y consolidar la participación social de las mujeres en todas las esferas de la vida política, sindical y económica, en las organizaciones y asociaciones, consejos escolares etc.</w:t>
      </w:r>
    </w:p>
    <w:p w:rsidR="00000000" w:rsidRDefault="00000000">
      <w:pPr>
        <w:jc w:val="both"/>
        <w:rPr>
          <w:rFonts w:ascii="Arial" w:hAnsi="Arial"/>
        </w:rPr>
      </w:pPr>
    </w:p>
    <w:p w:rsidR="00000000" w:rsidRDefault="00000000">
      <w:pPr>
        <w:pStyle w:val="BlockText"/>
        <w:ind w:left="0" w:right="0"/>
      </w:pPr>
      <w:r>
        <w:t>"</w:t>
      </w:r>
      <w:r>
        <w:rPr>
          <w:b/>
        </w:rPr>
        <w:t>8 de Marzo, Día Internacional de las Mujeres</w:t>
      </w:r>
      <w:r>
        <w:t>" Realizada en los años 1999, 2000, 2001 y 200, con el fin de conmemorar ese día.</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b/>
        </w:rPr>
        <w:t>Si ocultas la verdad, nadie sabrá que necesitas ayuda</w:t>
      </w:r>
      <w:r>
        <w:rPr>
          <w:rFonts w:ascii="Arial" w:hAnsi="Arial"/>
        </w:rPr>
        <w:t>". Del 27 de Septiembre al 17 de Octubre de 1999. Dirigida a sensibilizar a las víctimas de la violencia doméstica con el fin de que se informen sobre las ayudas con las que pueden contar, poniendo de relieve los recursos asistenciales existentes. Se desarrolló en Televisión, Radio, Prensa, Revistas femeninas, Revistas de Medicina, Revistas jurídicas, Cabinas telefónicas, Revistas para las Fuerzas y Cuerpos de Seguridad del Estado, Revistas de la Policía y Guardia Civil, Revista Municipal y Revistas del Ministerio de Trabajo y Asuntos Sociales.</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b/>
        </w:rPr>
        <w:t>Los recursos humanos desde la perspectiva de la igualdad de oportunidades</w:t>
      </w:r>
      <w:r>
        <w:rPr>
          <w:rFonts w:ascii="Arial" w:hAnsi="Arial"/>
        </w:rPr>
        <w:t>". Inserciones publicitarias en diarios económicos, destinadas a dar a conocer el seminario con igual título, que tuvo lugar en Madrid, los días 27 y 28 de Septiembre de 1999.</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b/>
        </w:rPr>
        <w:t>La violencia contra las mujeres nos duele a todos, nos duele a todas</w:t>
      </w:r>
      <w:r>
        <w:rPr>
          <w:rFonts w:ascii="Arial" w:hAnsi="Arial"/>
        </w:rPr>
        <w:t>". Se desarrolló entre el 8 y el 28 de Noviembre de 2000 para poner de manifiesto el problema de la violencia doméstica, su magnitud en cuanto a la extensión del problema y en cuanto a los daños y efectos que provoca en el ámbito familiar. Realizada en Televisión, Radio, Prensa, RENFE, Diarios, Revistas y Mobiliario urbano de RENFE.</w:t>
      </w:r>
    </w:p>
    <w:p w:rsidR="00000000" w:rsidRDefault="00000000">
      <w:pPr>
        <w:jc w:val="both"/>
        <w:rPr>
          <w:rFonts w:ascii="Arial" w:hAnsi="Arial"/>
        </w:rPr>
      </w:pPr>
    </w:p>
    <w:p w:rsidR="00000000" w:rsidRDefault="00000000">
      <w:pPr>
        <w:jc w:val="both"/>
        <w:rPr>
          <w:rFonts w:ascii="Arial" w:hAnsi="Arial"/>
        </w:rPr>
      </w:pPr>
      <w:r>
        <w:rPr>
          <w:rFonts w:ascii="Arial" w:hAnsi="Arial"/>
        </w:rPr>
        <w:t>Campaña "</w:t>
      </w:r>
      <w:r>
        <w:rPr>
          <w:rFonts w:ascii="Arial" w:hAnsi="Arial"/>
          <w:b/>
        </w:rPr>
        <w:t>Programa Optima</w:t>
      </w:r>
      <w:r>
        <w:rPr>
          <w:rFonts w:ascii="Arial" w:hAnsi="Arial"/>
        </w:rPr>
        <w:t>", del 15 de Octubre al 15 de Noviembre de 1997, con el objetivo de dar a conocer el Programa Optima y a las empresas participantes hasta el momento. Desarrollada en prensa a través de diarios y revistas de información general y económica.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Inserciones Publicitarias con motivo de la Jornada " </w:t>
      </w:r>
      <w:r>
        <w:rPr>
          <w:rFonts w:ascii="Arial" w:hAnsi="Arial"/>
          <w:b/>
        </w:rPr>
        <w:t>Retos y Oportunidades de las empresas</w:t>
      </w:r>
      <w:r>
        <w:rPr>
          <w:rFonts w:ascii="Arial" w:hAnsi="Arial"/>
        </w:rPr>
        <w:t xml:space="preserve">". </w:t>
      </w:r>
    </w:p>
    <w:p w:rsidR="00000000" w:rsidRDefault="00000000">
      <w:pPr>
        <w:rPr>
          <w:b/>
        </w:rPr>
      </w:pPr>
    </w:p>
    <w:p w:rsidR="00000000" w:rsidRDefault="00000000">
      <w:pPr>
        <w:jc w:val="both"/>
        <w:rPr>
          <w:rFonts w:ascii="Arial" w:hAnsi="Arial"/>
        </w:rPr>
      </w:pPr>
      <w:r>
        <w:rPr>
          <w:rFonts w:ascii="Arial" w:hAnsi="Arial"/>
          <w:b/>
        </w:rPr>
        <w:t>"Trabajo y Familia, cada vez más compatibles</w:t>
      </w:r>
      <w:r>
        <w:rPr>
          <w:rFonts w:ascii="Arial" w:hAnsi="Arial"/>
        </w:rPr>
        <w:t>". Tuvo lugar en el segundo trimestre de 2001, durante un periodo de 30 días, realizándose a través de la radio, prensa, edición de folletos informativos, con una tirada de 60.000 ejemplares; Revistas Sindicales y empresariales.</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b/>
        </w:rPr>
        <w:t>Recupera tu vida. Habla</w:t>
      </w:r>
      <w:r>
        <w:rPr>
          <w:rFonts w:ascii="Arial" w:hAnsi="Arial"/>
        </w:rPr>
        <w:t xml:space="preserve">" El objetivo iba dirigido a incrementar la confianza de las mujeres víctimas de los malos tratos, animándolas a romper el silencio y aislamiento en que se encuentran, facilitándolas asimismo información sobre la asistencia especializada. Tuvo lugar entre el 23 de Noviembre de 2001 al 12 de Diciembre, a través de la Prensa, Radio y Televisión.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Campaña publicitaria anual del Ministerio de Defensa para la divulgación del nuevo modelo de </w:t>
      </w:r>
      <w:r>
        <w:rPr>
          <w:rFonts w:ascii="Arial" w:hAnsi="Arial"/>
          <w:b/>
        </w:rPr>
        <w:t>Fuerzas Armadas</w:t>
      </w:r>
      <w:r>
        <w:rPr>
          <w:rFonts w:ascii="Arial" w:hAnsi="Arial"/>
        </w:rPr>
        <w:t>, destinada a jóvenes de ambos sexos y a potenciar la presencia de la mujer.</w:t>
      </w:r>
    </w:p>
    <w:p w:rsidR="00000000" w:rsidRDefault="00000000">
      <w:pPr>
        <w:pStyle w:val="Heading2"/>
        <w:rPr>
          <w:rFonts w:ascii="Arial" w:hAnsi="Arial"/>
          <w:sz w:val="22"/>
        </w:rPr>
      </w:pPr>
    </w:p>
    <w:p w:rsidR="00000000" w:rsidRDefault="00000000">
      <w:pPr>
        <w:pStyle w:val="Heading2"/>
        <w:rPr>
          <w:rFonts w:ascii="Arial" w:hAnsi="Arial"/>
          <w:sz w:val="22"/>
        </w:rPr>
      </w:pPr>
      <w:r>
        <w:rPr>
          <w:rFonts w:ascii="Arial" w:hAnsi="Arial"/>
          <w:sz w:val="22"/>
        </w:rPr>
        <w:t>3. Publicaciones y Estudios</w:t>
      </w:r>
    </w:p>
    <w:p w:rsidR="00000000" w:rsidRDefault="00000000">
      <w:pPr>
        <w:pStyle w:val="Heading2"/>
        <w:rPr>
          <w:rFonts w:ascii="Arial" w:hAnsi="Arial"/>
          <w:sz w:val="22"/>
        </w:rPr>
      </w:pPr>
      <w:r>
        <w:rPr>
          <w:rFonts w:ascii="Arial" w:hAnsi="Arial"/>
          <w:sz w:val="22"/>
        </w:rPr>
        <w:t xml:space="preserve"> </w:t>
      </w:r>
      <w:r>
        <w:rPr>
          <w:rFonts w:ascii="Arial" w:hAnsi="Arial"/>
          <w:sz w:val="22"/>
        </w:rPr>
        <w:tab/>
      </w:r>
    </w:p>
    <w:p w:rsidR="00000000" w:rsidRDefault="00000000">
      <w:pPr>
        <w:pStyle w:val="Heading2"/>
        <w:rPr>
          <w:rFonts w:ascii="Arial" w:hAnsi="Arial"/>
          <w:sz w:val="22"/>
        </w:rPr>
      </w:pPr>
      <w:r>
        <w:rPr>
          <w:rFonts w:ascii="Arial" w:hAnsi="Arial"/>
          <w:sz w:val="22"/>
        </w:rPr>
        <w:t>Plan Editorial y Ayudas a la Edición del Instituto de la Mujer.</w:t>
      </w:r>
    </w:p>
    <w:p w:rsidR="00000000" w:rsidRDefault="00000000">
      <w:pPr>
        <w:rPr>
          <w:b/>
        </w:rPr>
      </w:pPr>
    </w:p>
    <w:p w:rsidR="00000000" w:rsidRDefault="00000000">
      <w:pPr>
        <w:jc w:val="both"/>
        <w:rPr>
          <w:rFonts w:ascii="Arial" w:hAnsi="Arial"/>
        </w:rPr>
      </w:pPr>
      <w:r>
        <w:rPr>
          <w:rFonts w:ascii="Arial" w:hAnsi="Arial"/>
        </w:rPr>
        <w:t xml:space="preserve">El Instituto de la Mujer lleva a cabo todos los años un amplio Plan Editorial, dada la importancia que para el Instituto tiene la modificación de estereotipos y pautas culturales. </w:t>
      </w:r>
    </w:p>
    <w:p w:rsidR="00000000" w:rsidRDefault="00000000">
      <w:pPr>
        <w:jc w:val="both"/>
        <w:rPr>
          <w:rFonts w:ascii="Arial" w:hAnsi="Arial"/>
        </w:rPr>
      </w:pPr>
    </w:p>
    <w:p w:rsidR="00000000" w:rsidRDefault="00000000">
      <w:pPr>
        <w:jc w:val="both"/>
        <w:rPr>
          <w:rFonts w:ascii="Arial" w:hAnsi="Arial"/>
        </w:rPr>
      </w:pPr>
      <w:r>
        <w:rPr>
          <w:rFonts w:ascii="Arial" w:hAnsi="Arial"/>
        </w:rPr>
        <w:t>Los objetivos del Plan son: difundir las investigaciones que se realizan en torno a temas que afectan a las mujeres; editar instrumentos y materiales técnicos que pueden facilitar la actuación de diferentes tipos de profesionales de organismos públicos, entidades privadas o de la iniciativa social; sensibilizar a la opinión pública sobre la necesaria modificación de patrones y roles culturales y ofrecer a la opinión pública información sobre las aportaciones que realizan las mujeres al desarrollo de la sociedad.</w:t>
      </w:r>
    </w:p>
    <w:p w:rsidR="00000000" w:rsidRDefault="00000000">
      <w:pPr>
        <w:jc w:val="both"/>
        <w:rPr>
          <w:rFonts w:ascii="Arial" w:hAnsi="Arial"/>
        </w:rPr>
      </w:pPr>
    </w:p>
    <w:p w:rsidR="00000000" w:rsidRDefault="00000000">
      <w:pPr>
        <w:jc w:val="both"/>
        <w:rPr>
          <w:rFonts w:ascii="Arial" w:hAnsi="Arial"/>
        </w:rPr>
      </w:pPr>
      <w:r>
        <w:rPr>
          <w:rFonts w:ascii="Arial" w:hAnsi="Arial"/>
        </w:rPr>
        <w:t>Este Plan Editorial está compuesto por documentos técnicos, carteles, folletos, guías, videos y CD-Rom; publicaciones que pertenecen a los grupos temáticos de educación, salud, participación política y social, empleo y relaciones laborales, legislación, internacional, y violencia; contando para su financiación, parcialmente, con la ayuda del Fondo Social Europeo.</w:t>
      </w:r>
    </w:p>
    <w:p w:rsidR="00000000" w:rsidRDefault="00000000">
      <w:pPr>
        <w:jc w:val="both"/>
        <w:rPr>
          <w:rFonts w:ascii="Arial" w:hAnsi="Arial"/>
        </w:rPr>
      </w:pP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
        <w:gridCol w:w="1701"/>
        <w:gridCol w:w="1701"/>
        <w:gridCol w:w="1843"/>
        <w:gridCol w:w="1328"/>
      </w:tblGrid>
      <w:tr w:rsidR="00000000">
        <w:tblPrEx>
          <w:tblCellMar>
            <w:top w:w="0" w:type="dxa"/>
            <w:bottom w:w="0" w:type="dxa"/>
          </w:tblCellMar>
        </w:tblPrEx>
        <w:trPr>
          <w:jc w:val="center"/>
        </w:trPr>
        <w:tc>
          <w:tcPr>
            <w:tcW w:w="850" w:type="dxa"/>
            <w:vAlign w:val="center"/>
          </w:tcPr>
          <w:p w:rsidR="00000000" w:rsidRDefault="00000000">
            <w:pPr>
              <w:jc w:val="center"/>
              <w:rPr>
                <w:rFonts w:ascii="Arial" w:hAnsi="Arial"/>
                <w:sz w:val="16"/>
              </w:rPr>
            </w:pPr>
            <w:r>
              <w:rPr>
                <w:rFonts w:ascii="Arial" w:hAnsi="Arial"/>
                <w:sz w:val="16"/>
              </w:rPr>
              <w:t>Año</w:t>
            </w:r>
          </w:p>
        </w:tc>
        <w:tc>
          <w:tcPr>
            <w:tcW w:w="1701" w:type="dxa"/>
            <w:vAlign w:val="center"/>
          </w:tcPr>
          <w:p w:rsidR="00000000" w:rsidRDefault="00000000">
            <w:pPr>
              <w:jc w:val="center"/>
              <w:rPr>
                <w:rFonts w:ascii="Arial" w:hAnsi="Arial"/>
                <w:sz w:val="16"/>
              </w:rPr>
            </w:pPr>
            <w:r>
              <w:rPr>
                <w:rFonts w:ascii="Arial" w:hAnsi="Arial"/>
                <w:sz w:val="16"/>
              </w:rPr>
              <w:t>Número de Títulos</w:t>
            </w:r>
          </w:p>
        </w:tc>
        <w:tc>
          <w:tcPr>
            <w:tcW w:w="1701" w:type="dxa"/>
            <w:vAlign w:val="center"/>
          </w:tcPr>
          <w:p w:rsidR="00000000" w:rsidRDefault="00000000">
            <w:pPr>
              <w:jc w:val="center"/>
              <w:rPr>
                <w:rFonts w:ascii="Arial" w:hAnsi="Arial"/>
                <w:sz w:val="16"/>
              </w:rPr>
            </w:pPr>
            <w:r>
              <w:rPr>
                <w:rFonts w:ascii="Arial" w:hAnsi="Arial"/>
                <w:sz w:val="16"/>
              </w:rPr>
              <w:t>Gasto de Edición</w:t>
            </w:r>
          </w:p>
        </w:tc>
        <w:tc>
          <w:tcPr>
            <w:tcW w:w="1843" w:type="dxa"/>
            <w:vAlign w:val="center"/>
          </w:tcPr>
          <w:p w:rsidR="00000000" w:rsidRDefault="00000000">
            <w:pPr>
              <w:jc w:val="center"/>
              <w:rPr>
                <w:rFonts w:ascii="Arial" w:hAnsi="Arial"/>
                <w:sz w:val="16"/>
              </w:rPr>
            </w:pPr>
            <w:r>
              <w:rPr>
                <w:rFonts w:ascii="Arial" w:hAnsi="Arial"/>
                <w:sz w:val="16"/>
              </w:rPr>
              <w:t>Gasto de Distribución</w:t>
            </w:r>
          </w:p>
        </w:tc>
        <w:tc>
          <w:tcPr>
            <w:tcW w:w="1328" w:type="dxa"/>
            <w:vAlign w:val="center"/>
          </w:tcPr>
          <w:p w:rsidR="00000000" w:rsidRDefault="00000000">
            <w:pPr>
              <w:jc w:val="center"/>
              <w:rPr>
                <w:rFonts w:ascii="Arial" w:hAnsi="Arial"/>
                <w:sz w:val="16"/>
              </w:rPr>
            </w:pPr>
            <w:r>
              <w:rPr>
                <w:rFonts w:ascii="Arial" w:hAnsi="Arial"/>
                <w:sz w:val="16"/>
              </w:rPr>
              <w:t>Gasto Total</w:t>
            </w:r>
          </w:p>
        </w:tc>
      </w:tr>
      <w:tr w:rsidR="00000000">
        <w:tblPrEx>
          <w:tblCellMar>
            <w:top w:w="0" w:type="dxa"/>
            <w:bottom w:w="0" w:type="dxa"/>
          </w:tblCellMar>
        </w:tblPrEx>
        <w:trPr>
          <w:jc w:val="center"/>
        </w:trPr>
        <w:tc>
          <w:tcPr>
            <w:tcW w:w="850" w:type="dxa"/>
          </w:tcPr>
          <w:p w:rsidR="00000000" w:rsidRDefault="00000000">
            <w:pPr>
              <w:jc w:val="center"/>
              <w:rPr>
                <w:rFonts w:ascii="Arial" w:hAnsi="Arial"/>
                <w:sz w:val="16"/>
              </w:rPr>
            </w:pPr>
            <w:r>
              <w:rPr>
                <w:rFonts w:ascii="Arial" w:hAnsi="Arial"/>
                <w:sz w:val="16"/>
              </w:rPr>
              <w:t>1999</w:t>
            </w:r>
          </w:p>
        </w:tc>
        <w:tc>
          <w:tcPr>
            <w:tcW w:w="1701" w:type="dxa"/>
          </w:tcPr>
          <w:p w:rsidR="00000000" w:rsidRDefault="00000000">
            <w:pPr>
              <w:jc w:val="center"/>
              <w:rPr>
                <w:rFonts w:ascii="Arial" w:hAnsi="Arial"/>
                <w:sz w:val="16"/>
              </w:rPr>
            </w:pPr>
            <w:r>
              <w:rPr>
                <w:rFonts w:ascii="Arial" w:hAnsi="Arial"/>
                <w:sz w:val="16"/>
              </w:rPr>
              <w:t>105</w:t>
            </w:r>
          </w:p>
        </w:tc>
        <w:tc>
          <w:tcPr>
            <w:tcW w:w="1701" w:type="dxa"/>
          </w:tcPr>
          <w:p w:rsidR="00000000" w:rsidRDefault="00000000">
            <w:pPr>
              <w:jc w:val="center"/>
              <w:rPr>
                <w:rFonts w:ascii="Arial" w:hAnsi="Arial"/>
                <w:sz w:val="16"/>
              </w:rPr>
            </w:pPr>
            <w:r>
              <w:rPr>
                <w:rFonts w:ascii="Arial" w:hAnsi="Arial"/>
                <w:sz w:val="16"/>
              </w:rPr>
              <w:t>514.908</w:t>
            </w:r>
          </w:p>
        </w:tc>
        <w:tc>
          <w:tcPr>
            <w:tcW w:w="1843" w:type="dxa"/>
          </w:tcPr>
          <w:p w:rsidR="00000000" w:rsidRDefault="00000000">
            <w:pPr>
              <w:jc w:val="center"/>
              <w:rPr>
                <w:rFonts w:ascii="Arial" w:hAnsi="Arial"/>
                <w:sz w:val="16"/>
              </w:rPr>
            </w:pPr>
            <w:r>
              <w:rPr>
                <w:rFonts w:ascii="Arial" w:hAnsi="Arial"/>
                <w:sz w:val="16"/>
              </w:rPr>
              <w:t>56.521,11</w:t>
            </w:r>
          </w:p>
        </w:tc>
        <w:tc>
          <w:tcPr>
            <w:tcW w:w="1328" w:type="dxa"/>
          </w:tcPr>
          <w:p w:rsidR="00000000" w:rsidRDefault="00000000">
            <w:pPr>
              <w:jc w:val="center"/>
              <w:rPr>
                <w:rFonts w:ascii="Arial" w:hAnsi="Arial"/>
                <w:sz w:val="16"/>
              </w:rPr>
            </w:pPr>
            <w:r>
              <w:rPr>
                <w:rFonts w:ascii="Arial" w:hAnsi="Arial"/>
                <w:sz w:val="16"/>
              </w:rPr>
              <w:t>571.429,10</w:t>
            </w:r>
          </w:p>
        </w:tc>
      </w:tr>
      <w:tr w:rsidR="00000000">
        <w:tblPrEx>
          <w:tblCellMar>
            <w:top w:w="0" w:type="dxa"/>
            <w:bottom w:w="0" w:type="dxa"/>
          </w:tblCellMar>
        </w:tblPrEx>
        <w:trPr>
          <w:jc w:val="center"/>
        </w:trPr>
        <w:tc>
          <w:tcPr>
            <w:tcW w:w="850" w:type="dxa"/>
          </w:tcPr>
          <w:p w:rsidR="00000000" w:rsidRDefault="00000000">
            <w:pPr>
              <w:jc w:val="center"/>
              <w:rPr>
                <w:rFonts w:ascii="Arial" w:hAnsi="Arial"/>
                <w:sz w:val="16"/>
              </w:rPr>
            </w:pPr>
            <w:r>
              <w:rPr>
                <w:rFonts w:ascii="Arial" w:hAnsi="Arial"/>
                <w:sz w:val="16"/>
              </w:rPr>
              <w:t>2000</w:t>
            </w:r>
          </w:p>
        </w:tc>
        <w:tc>
          <w:tcPr>
            <w:tcW w:w="1701" w:type="dxa"/>
          </w:tcPr>
          <w:p w:rsidR="00000000" w:rsidRDefault="00000000">
            <w:pPr>
              <w:jc w:val="center"/>
              <w:rPr>
                <w:rFonts w:ascii="Arial" w:hAnsi="Arial"/>
                <w:sz w:val="16"/>
              </w:rPr>
            </w:pPr>
            <w:r>
              <w:rPr>
                <w:rFonts w:ascii="Arial" w:hAnsi="Arial"/>
                <w:sz w:val="16"/>
              </w:rPr>
              <w:t xml:space="preserve"> 96</w:t>
            </w:r>
          </w:p>
        </w:tc>
        <w:tc>
          <w:tcPr>
            <w:tcW w:w="1701" w:type="dxa"/>
          </w:tcPr>
          <w:p w:rsidR="00000000" w:rsidRDefault="00000000">
            <w:pPr>
              <w:jc w:val="center"/>
              <w:rPr>
                <w:rFonts w:ascii="Arial" w:hAnsi="Arial"/>
                <w:sz w:val="16"/>
              </w:rPr>
            </w:pPr>
            <w:r>
              <w:rPr>
                <w:rFonts w:ascii="Arial" w:hAnsi="Arial"/>
                <w:sz w:val="16"/>
              </w:rPr>
              <w:t>494.471,75</w:t>
            </w:r>
          </w:p>
        </w:tc>
        <w:tc>
          <w:tcPr>
            <w:tcW w:w="1843" w:type="dxa"/>
          </w:tcPr>
          <w:p w:rsidR="00000000" w:rsidRDefault="00000000">
            <w:pPr>
              <w:jc w:val="center"/>
              <w:rPr>
                <w:rFonts w:ascii="Arial" w:hAnsi="Arial"/>
                <w:sz w:val="16"/>
              </w:rPr>
            </w:pPr>
            <w:r>
              <w:rPr>
                <w:rFonts w:ascii="Arial" w:hAnsi="Arial"/>
                <w:sz w:val="16"/>
              </w:rPr>
              <w:t>74.193,18</w:t>
            </w:r>
          </w:p>
        </w:tc>
        <w:tc>
          <w:tcPr>
            <w:tcW w:w="1328" w:type="dxa"/>
          </w:tcPr>
          <w:p w:rsidR="00000000" w:rsidRDefault="00000000">
            <w:pPr>
              <w:jc w:val="center"/>
              <w:rPr>
                <w:rFonts w:ascii="Arial" w:hAnsi="Arial"/>
                <w:sz w:val="16"/>
              </w:rPr>
            </w:pPr>
            <w:r>
              <w:rPr>
                <w:rFonts w:ascii="Arial" w:hAnsi="Arial"/>
                <w:sz w:val="16"/>
              </w:rPr>
              <w:t>568.664,92</w:t>
            </w:r>
          </w:p>
        </w:tc>
      </w:tr>
      <w:tr w:rsidR="00000000">
        <w:tblPrEx>
          <w:tblCellMar>
            <w:top w:w="0" w:type="dxa"/>
            <w:bottom w:w="0" w:type="dxa"/>
          </w:tblCellMar>
        </w:tblPrEx>
        <w:trPr>
          <w:jc w:val="center"/>
        </w:trPr>
        <w:tc>
          <w:tcPr>
            <w:tcW w:w="850" w:type="dxa"/>
          </w:tcPr>
          <w:p w:rsidR="00000000" w:rsidRDefault="00000000">
            <w:pPr>
              <w:jc w:val="center"/>
              <w:rPr>
                <w:rFonts w:ascii="Arial" w:hAnsi="Arial"/>
                <w:sz w:val="16"/>
              </w:rPr>
            </w:pPr>
            <w:r>
              <w:rPr>
                <w:rFonts w:ascii="Arial" w:hAnsi="Arial"/>
                <w:sz w:val="16"/>
              </w:rPr>
              <w:t>2001</w:t>
            </w:r>
          </w:p>
        </w:tc>
        <w:tc>
          <w:tcPr>
            <w:tcW w:w="1701" w:type="dxa"/>
          </w:tcPr>
          <w:p w:rsidR="00000000" w:rsidRDefault="00000000">
            <w:pPr>
              <w:jc w:val="center"/>
              <w:rPr>
                <w:rFonts w:ascii="Arial" w:hAnsi="Arial"/>
                <w:sz w:val="16"/>
              </w:rPr>
            </w:pPr>
            <w:r>
              <w:rPr>
                <w:rFonts w:ascii="Arial" w:hAnsi="Arial"/>
                <w:sz w:val="16"/>
              </w:rPr>
              <w:t xml:space="preserve"> 99</w:t>
            </w:r>
          </w:p>
        </w:tc>
        <w:tc>
          <w:tcPr>
            <w:tcW w:w="1701" w:type="dxa"/>
          </w:tcPr>
          <w:p w:rsidR="00000000" w:rsidRDefault="00000000">
            <w:pPr>
              <w:jc w:val="center"/>
              <w:rPr>
                <w:rFonts w:ascii="Arial" w:hAnsi="Arial"/>
                <w:sz w:val="16"/>
              </w:rPr>
            </w:pPr>
            <w:r>
              <w:rPr>
                <w:rFonts w:ascii="Arial" w:hAnsi="Arial"/>
                <w:sz w:val="16"/>
              </w:rPr>
              <w:t>546.100,74</w:t>
            </w:r>
          </w:p>
        </w:tc>
        <w:tc>
          <w:tcPr>
            <w:tcW w:w="1843" w:type="dxa"/>
          </w:tcPr>
          <w:p w:rsidR="00000000" w:rsidRDefault="00000000">
            <w:pPr>
              <w:jc w:val="center"/>
              <w:rPr>
                <w:rFonts w:ascii="Arial" w:hAnsi="Arial"/>
                <w:sz w:val="16"/>
              </w:rPr>
            </w:pPr>
            <w:r>
              <w:rPr>
                <w:rFonts w:ascii="Arial" w:hAnsi="Arial"/>
                <w:sz w:val="16"/>
              </w:rPr>
              <w:t>73.570,87</w:t>
            </w:r>
          </w:p>
        </w:tc>
        <w:tc>
          <w:tcPr>
            <w:tcW w:w="1328" w:type="dxa"/>
          </w:tcPr>
          <w:p w:rsidR="00000000" w:rsidRDefault="00000000">
            <w:pPr>
              <w:jc w:val="center"/>
              <w:rPr>
                <w:rFonts w:ascii="Arial" w:hAnsi="Arial"/>
                <w:sz w:val="16"/>
              </w:rPr>
            </w:pPr>
            <w:r>
              <w:rPr>
                <w:rFonts w:ascii="Arial" w:hAnsi="Arial"/>
                <w:sz w:val="16"/>
              </w:rPr>
              <w:t>619.671,63</w:t>
            </w:r>
          </w:p>
        </w:tc>
      </w:tr>
    </w:tbl>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Instituto de la Mujer, mediante Orden Ministerial, convoca las </w:t>
      </w:r>
      <w:r>
        <w:rPr>
          <w:rFonts w:ascii="Arial" w:hAnsi="Arial"/>
          <w:b/>
        </w:rPr>
        <w:t>Ayudas a la Edición</w:t>
      </w:r>
      <w:r>
        <w:rPr>
          <w:rFonts w:ascii="Arial" w:hAnsi="Arial"/>
        </w:rPr>
        <w:t>, cuyo objetivo es promover entre las empresas editoras la publicación de títulos relacionados con la mujer.</w:t>
      </w:r>
    </w:p>
    <w:p w:rsidR="00000000" w:rsidRDefault="00000000">
      <w:pPr>
        <w:jc w:val="both"/>
        <w:rPr>
          <w:rFonts w:ascii="Arial" w:hAnsi="Arial"/>
        </w:rPr>
      </w:pPr>
    </w:p>
    <w:p w:rsidR="00000000" w:rsidRDefault="00000000">
      <w:pPr>
        <w:pStyle w:val="BlockText"/>
        <w:ind w:left="0" w:right="0"/>
      </w:pPr>
      <w:r>
        <w:t>A estas Ayudas pueden concurrir las editoriales y la fórmula de subvención, consiste en la compra de ejemplares no siendo superior a un tercio de la tirada, con un máximo de 1.000 unidades de las obras seleccionadas, para su envío a bibliotecas, archivos, Institutos Universitarios de la Mujer, etc.</w:t>
      </w:r>
    </w:p>
    <w:p w:rsidR="00000000" w:rsidRDefault="00000000"/>
    <w:p w:rsidR="00000000" w:rsidRDefault="00000000"/>
    <w:p w:rsidR="00000000" w:rsidRDefault="00000000">
      <w:pPr>
        <w:pStyle w:val="Heading5"/>
        <w:ind w:left="0" w:right="0"/>
        <w:jc w:val="center"/>
      </w:pPr>
      <w:r>
        <w:t>Ayudas a la Edición</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1560"/>
        <w:gridCol w:w="1842"/>
        <w:gridCol w:w="1276"/>
      </w:tblGrid>
      <w:tr w:rsidR="00000000">
        <w:tblPrEx>
          <w:tblCellMar>
            <w:top w:w="0" w:type="dxa"/>
            <w:bottom w:w="0" w:type="dxa"/>
          </w:tblCellMar>
        </w:tblPrEx>
        <w:trPr>
          <w:cantSplit/>
          <w:tblHeader/>
          <w:jc w:val="center"/>
        </w:trPr>
        <w:tc>
          <w:tcPr>
            <w:tcW w:w="708" w:type="dxa"/>
          </w:tcPr>
          <w:p w:rsidR="00000000" w:rsidRDefault="00000000">
            <w:pPr>
              <w:jc w:val="center"/>
              <w:rPr>
                <w:rFonts w:ascii="Arial" w:hAnsi="Arial"/>
                <w:sz w:val="16"/>
              </w:rPr>
            </w:pPr>
            <w:r>
              <w:rPr>
                <w:rFonts w:ascii="Arial" w:hAnsi="Arial"/>
                <w:sz w:val="16"/>
              </w:rPr>
              <w:t>Año</w:t>
            </w:r>
          </w:p>
        </w:tc>
        <w:tc>
          <w:tcPr>
            <w:tcW w:w="1560" w:type="dxa"/>
          </w:tcPr>
          <w:p w:rsidR="00000000" w:rsidRDefault="00000000">
            <w:pPr>
              <w:jc w:val="center"/>
              <w:rPr>
                <w:rFonts w:ascii="Arial" w:hAnsi="Arial"/>
                <w:sz w:val="16"/>
              </w:rPr>
            </w:pPr>
            <w:r>
              <w:rPr>
                <w:rFonts w:ascii="Arial" w:hAnsi="Arial"/>
                <w:sz w:val="16"/>
              </w:rPr>
              <w:t>Títulos</w:t>
            </w:r>
          </w:p>
        </w:tc>
        <w:tc>
          <w:tcPr>
            <w:tcW w:w="1842" w:type="dxa"/>
          </w:tcPr>
          <w:p w:rsidR="00000000" w:rsidRDefault="00000000">
            <w:pPr>
              <w:jc w:val="center"/>
              <w:rPr>
                <w:rFonts w:ascii="Arial" w:hAnsi="Arial"/>
                <w:sz w:val="16"/>
              </w:rPr>
            </w:pPr>
            <w:r>
              <w:rPr>
                <w:rFonts w:ascii="Arial" w:hAnsi="Arial"/>
                <w:sz w:val="16"/>
              </w:rPr>
              <w:t>Nº de ejemplares</w:t>
            </w:r>
          </w:p>
        </w:tc>
        <w:tc>
          <w:tcPr>
            <w:tcW w:w="1276" w:type="dxa"/>
          </w:tcPr>
          <w:p w:rsidR="00000000" w:rsidRDefault="00000000">
            <w:pPr>
              <w:jc w:val="center"/>
              <w:rPr>
                <w:rFonts w:ascii="Arial" w:hAnsi="Arial"/>
                <w:sz w:val="16"/>
              </w:rPr>
            </w:pPr>
            <w:r>
              <w:rPr>
                <w:rFonts w:ascii="Arial" w:hAnsi="Arial"/>
                <w:sz w:val="16"/>
              </w:rPr>
              <w:t>Euros</w:t>
            </w:r>
          </w:p>
        </w:tc>
      </w:tr>
      <w:tr w:rsidR="00000000">
        <w:tblPrEx>
          <w:tblCellMar>
            <w:top w:w="0" w:type="dxa"/>
            <w:bottom w:w="0" w:type="dxa"/>
          </w:tblCellMar>
        </w:tblPrEx>
        <w:trPr>
          <w:cantSplit/>
          <w:jc w:val="center"/>
        </w:trPr>
        <w:tc>
          <w:tcPr>
            <w:tcW w:w="708" w:type="dxa"/>
          </w:tcPr>
          <w:p w:rsidR="00000000" w:rsidRDefault="00000000">
            <w:pPr>
              <w:jc w:val="center"/>
              <w:rPr>
                <w:rFonts w:ascii="Arial" w:hAnsi="Arial"/>
                <w:sz w:val="16"/>
              </w:rPr>
            </w:pPr>
            <w:r>
              <w:rPr>
                <w:rFonts w:ascii="Arial" w:hAnsi="Arial"/>
                <w:sz w:val="16"/>
              </w:rPr>
              <w:t>1999</w:t>
            </w:r>
          </w:p>
        </w:tc>
        <w:tc>
          <w:tcPr>
            <w:tcW w:w="1560" w:type="dxa"/>
          </w:tcPr>
          <w:p w:rsidR="00000000" w:rsidRDefault="00000000">
            <w:pPr>
              <w:jc w:val="center"/>
              <w:rPr>
                <w:rFonts w:ascii="Arial" w:hAnsi="Arial"/>
                <w:sz w:val="16"/>
              </w:rPr>
            </w:pPr>
            <w:r>
              <w:rPr>
                <w:rFonts w:ascii="Arial" w:hAnsi="Arial"/>
                <w:sz w:val="16"/>
              </w:rPr>
              <w:t>21</w:t>
            </w:r>
          </w:p>
        </w:tc>
        <w:tc>
          <w:tcPr>
            <w:tcW w:w="1842" w:type="dxa"/>
          </w:tcPr>
          <w:p w:rsidR="00000000" w:rsidRDefault="00000000">
            <w:pPr>
              <w:jc w:val="center"/>
              <w:rPr>
                <w:rFonts w:ascii="Arial" w:hAnsi="Arial"/>
                <w:sz w:val="16"/>
              </w:rPr>
            </w:pPr>
            <w:r>
              <w:rPr>
                <w:rFonts w:ascii="Arial" w:hAnsi="Arial"/>
                <w:sz w:val="16"/>
              </w:rPr>
              <w:t>13.550</w:t>
            </w:r>
          </w:p>
        </w:tc>
        <w:tc>
          <w:tcPr>
            <w:tcW w:w="1276" w:type="dxa"/>
          </w:tcPr>
          <w:p w:rsidR="00000000" w:rsidRDefault="00000000">
            <w:pPr>
              <w:jc w:val="center"/>
              <w:rPr>
                <w:rFonts w:ascii="Arial" w:hAnsi="Arial"/>
                <w:sz w:val="16"/>
              </w:rPr>
            </w:pPr>
            <w:r>
              <w:rPr>
                <w:rFonts w:ascii="Arial" w:hAnsi="Arial"/>
                <w:sz w:val="16"/>
              </w:rPr>
              <w:t>116.216</w:t>
            </w:r>
          </w:p>
        </w:tc>
      </w:tr>
      <w:tr w:rsidR="00000000">
        <w:tblPrEx>
          <w:tblCellMar>
            <w:top w:w="0" w:type="dxa"/>
            <w:bottom w:w="0" w:type="dxa"/>
          </w:tblCellMar>
        </w:tblPrEx>
        <w:trPr>
          <w:cantSplit/>
          <w:jc w:val="center"/>
        </w:trPr>
        <w:tc>
          <w:tcPr>
            <w:tcW w:w="708" w:type="dxa"/>
          </w:tcPr>
          <w:p w:rsidR="00000000" w:rsidRDefault="00000000">
            <w:pPr>
              <w:jc w:val="center"/>
              <w:rPr>
                <w:rFonts w:ascii="Arial" w:hAnsi="Arial"/>
                <w:sz w:val="16"/>
              </w:rPr>
            </w:pPr>
            <w:r>
              <w:rPr>
                <w:rFonts w:ascii="Arial" w:hAnsi="Arial"/>
                <w:sz w:val="16"/>
              </w:rPr>
              <w:t>2000</w:t>
            </w:r>
          </w:p>
        </w:tc>
        <w:tc>
          <w:tcPr>
            <w:tcW w:w="1560" w:type="dxa"/>
          </w:tcPr>
          <w:p w:rsidR="00000000" w:rsidRDefault="00000000">
            <w:pPr>
              <w:jc w:val="center"/>
              <w:rPr>
                <w:rFonts w:ascii="Arial" w:hAnsi="Arial"/>
                <w:sz w:val="16"/>
              </w:rPr>
            </w:pPr>
            <w:r>
              <w:rPr>
                <w:rFonts w:ascii="Arial" w:hAnsi="Arial"/>
                <w:sz w:val="16"/>
              </w:rPr>
              <w:t>23</w:t>
            </w:r>
          </w:p>
        </w:tc>
        <w:tc>
          <w:tcPr>
            <w:tcW w:w="1842" w:type="dxa"/>
          </w:tcPr>
          <w:p w:rsidR="00000000" w:rsidRDefault="00000000">
            <w:pPr>
              <w:jc w:val="center"/>
              <w:rPr>
                <w:rFonts w:ascii="Arial" w:hAnsi="Arial"/>
                <w:sz w:val="16"/>
              </w:rPr>
            </w:pPr>
            <w:r>
              <w:rPr>
                <w:rFonts w:ascii="Arial" w:hAnsi="Arial"/>
                <w:sz w:val="16"/>
              </w:rPr>
              <w:t>15.410</w:t>
            </w:r>
          </w:p>
        </w:tc>
        <w:tc>
          <w:tcPr>
            <w:tcW w:w="1276" w:type="dxa"/>
          </w:tcPr>
          <w:p w:rsidR="00000000" w:rsidRDefault="00000000">
            <w:pPr>
              <w:jc w:val="center"/>
              <w:rPr>
                <w:rFonts w:ascii="Arial" w:hAnsi="Arial"/>
                <w:sz w:val="16"/>
              </w:rPr>
            </w:pPr>
            <w:r>
              <w:rPr>
                <w:rFonts w:ascii="Arial" w:hAnsi="Arial"/>
                <w:sz w:val="16"/>
              </w:rPr>
              <w:t>120.026</w:t>
            </w:r>
          </w:p>
        </w:tc>
      </w:tr>
      <w:tr w:rsidR="00000000">
        <w:tblPrEx>
          <w:tblCellMar>
            <w:top w:w="0" w:type="dxa"/>
            <w:bottom w:w="0" w:type="dxa"/>
          </w:tblCellMar>
        </w:tblPrEx>
        <w:trPr>
          <w:cantSplit/>
          <w:jc w:val="center"/>
        </w:trPr>
        <w:tc>
          <w:tcPr>
            <w:tcW w:w="708" w:type="dxa"/>
          </w:tcPr>
          <w:p w:rsidR="00000000" w:rsidRDefault="00000000">
            <w:pPr>
              <w:jc w:val="center"/>
              <w:rPr>
                <w:rFonts w:ascii="Arial" w:hAnsi="Arial"/>
                <w:sz w:val="16"/>
              </w:rPr>
            </w:pPr>
            <w:r>
              <w:rPr>
                <w:rFonts w:ascii="Arial" w:hAnsi="Arial"/>
                <w:sz w:val="16"/>
              </w:rPr>
              <w:t>2001</w:t>
            </w:r>
          </w:p>
        </w:tc>
        <w:tc>
          <w:tcPr>
            <w:tcW w:w="1560" w:type="dxa"/>
          </w:tcPr>
          <w:p w:rsidR="00000000" w:rsidRDefault="00000000">
            <w:pPr>
              <w:jc w:val="center"/>
              <w:rPr>
                <w:rFonts w:ascii="Arial" w:hAnsi="Arial"/>
                <w:sz w:val="16"/>
              </w:rPr>
            </w:pPr>
            <w:r>
              <w:rPr>
                <w:rFonts w:ascii="Arial" w:hAnsi="Arial"/>
                <w:sz w:val="16"/>
              </w:rPr>
              <w:t>20</w:t>
            </w:r>
          </w:p>
        </w:tc>
        <w:tc>
          <w:tcPr>
            <w:tcW w:w="1842" w:type="dxa"/>
          </w:tcPr>
          <w:p w:rsidR="00000000" w:rsidRDefault="00000000">
            <w:pPr>
              <w:jc w:val="center"/>
              <w:rPr>
                <w:rFonts w:ascii="Arial" w:hAnsi="Arial"/>
                <w:sz w:val="16"/>
              </w:rPr>
            </w:pPr>
            <w:r>
              <w:rPr>
                <w:rFonts w:ascii="Arial" w:hAnsi="Arial"/>
                <w:sz w:val="16"/>
              </w:rPr>
              <w:t xml:space="preserve">  9.650</w:t>
            </w:r>
          </w:p>
        </w:tc>
        <w:tc>
          <w:tcPr>
            <w:tcW w:w="1276" w:type="dxa"/>
          </w:tcPr>
          <w:p w:rsidR="00000000" w:rsidRDefault="00000000">
            <w:pPr>
              <w:jc w:val="center"/>
              <w:rPr>
                <w:rFonts w:ascii="Arial" w:hAnsi="Arial"/>
                <w:sz w:val="16"/>
              </w:rPr>
            </w:pPr>
            <w:r>
              <w:rPr>
                <w:rFonts w:ascii="Arial" w:hAnsi="Arial"/>
                <w:sz w:val="16"/>
              </w:rPr>
              <w:t>119.478</w:t>
            </w:r>
          </w:p>
        </w:tc>
      </w:tr>
    </w:tbl>
    <w:p w:rsidR="00000000" w:rsidRDefault="00000000">
      <w:pPr>
        <w:rPr>
          <w:rFonts w:ascii="Arial" w:hAnsi="Arial"/>
        </w:rPr>
      </w:pPr>
    </w:p>
    <w:p w:rsidR="00000000" w:rsidRDefault="00000000"/>
    <w:p w:rsidR="00000000" w:rsidRDefault="00000000">
      <w:pPr>
        <w:pStyle w:val="Heading2"/>
        <w:keepLines/>
        <w:rPr>
          <w:rFonts w:ascii="Arial" w:hAnsi="Arial"/>
          <w:sz w:val="22"/>
        </w:rPr>
      </w:pPr>
      <w:r>
        <w:rPr>
          <w:rFonts w:ascii="Arial" w:hAnsi="Arial"/>
          <w:sz w:val="22"/>
        </w:rPr>
        <w:t>Convocatorias de Subvenciones y Convenios de Colaboración</w:t>
      </w:r>
    </w:p>
    <w:p w:rsidR="00000000" w:rsidRDefault="00000000">
      <w:pPr>
        <w:keepNext/>
        <w:keepLines/>
      </w:pPr>
    </w:p>
    <w:p w:rsidR="00000000" w:rsidRDefault="00000000">
      <w:pPr>
        <w:keepNext/>
        <w:keepLines/>
      </w:pPr>
    </w:p>
    <w:p w:rsidR="00000000" w:rsidRDefault="00000000">
      <w:pPr>
        <w:keepNext/>
        <w:keepLines/>
        <w:jc w:val="both"/>
        <w:rPr>
          <w:rFonts w:ascii="Arial" w:hAnsi="Arial"/>
        </w:rPr>
      </w:pPr>
      <w:r>
        <w:rPr>
          <w:rFonts w:ascii="Arial" w:hAnsi="Arial"/>
        </w:rPr>
        <w:t>El Instituto de la Mujer tiene firmados Convenios de Colaboración para subvencionar actividades y estudios sobre la mujer y la igualdad de oportunidades con la Asociación de Directores de Escena, la Sociedad General de Autores y Escritores, las Universidades Complutense y Politécnica de Madrid, la Fundación General de la Universidad Complutense de Madrid, el Instituto Nacional de Estadística, la Comisión Interministerial de Ciencia y Tecnología, el Centro de Investigaciones Sociológicas y la Universidad Internacional Menéndez Pelayo.</w:t>
      </w:r>
    </w:p>
    <w:p w:rsidR="00000000" w:rsidRDefault="00000000">
      <w:pPr>
        <w:jc w:val="both"/>
        <w:rPr>
          <w:rFonts w:ascii="Arial" w:hAnsi="Arial"/>
        </w:rPr>
      </w:pPr>
    </w:p>
    <w:p w:rsidR="00000000" w:rsidRDefault="00000000">
      <w:pPr>
        <w:jc w:val="both"/>
        <w:rPr>
          <w:rFonts w:ascii="Arial" w:hAnsi="Arial"/>
        </w:rPr>
      </w:pPr>
      <w:r>
        <w:rPr>
          <w:rFonts w:ascii="Arial" w:hAnsi="Arial"/>
        </w:rPr>
        <w:t>Asimismo, mantiene con la Universidad de Valencia un Convenio de colaboración para la edición de la Colección "Feminismos" con una edición anual aproximada de seis números.</w:t>
      </w:r>
    </w:p>
    <w:p w:rsidR="00000000" w:rsidRDefault="00000000">
      <w:pPr>
        <w:jc w:val="both"/>
        <w:rPr>
          <w:rFonts w:ascii="Arial" w:hAnsi="Arial"/>
        </w:rPr>
      </w:pPr>
    </w:p>
    <w:p w:rsidR="00000000" w:rsidRDefault="00000000">
      <w:pPr>
        <w:jc w:val="both"/>
        <w:rPr>
          <w:rFonts w:ascii="Arial" w:hAnsi="Arial"/>
        </w:rPr>
      </w:pPr>
      <w:r>
        <w:rPr>
          <w:rFonts w:ascii="Arial" w:hAnsi="Arial"/>
        </w:rPr>
        <w:t>Actualmente gestiona dos Convocatoria de subvenciones públicas:</w:t>
      </w:r>
    </w:p>
    <w:p w:rsidR="00000000" w:rsidRDefault="00000000">
      <w:pPr>
        <w:jc w:val="both"/>
        <w:rPr>
          <w:rFonts w:ascii="Arial" w:hAnsi="Arial"/>
        </w:rPr>
      </w:pPr>
    </w:p>
    <w:p w:rsidR="00000000" w:rsidRDefault="00000000">
      <w:pPr>
        <w:jc w:val="both"/>
        <w:rPr>
          <w:rFonts w:ascii="Arial" w:hAnsi="Arial"/>
          <w:b/>
        </w:rPr>
      </w:pPr>
      <w:r>
        <w:rPr>
          <w:rFonts w:ascii="Arial" w:hAnsi="Arial"/>
          <w:b/>
        </w:rPr>
        <w:t>A. Convocatoria de ayudas destinadas a la realización de investigaciones y estudios sobre las mujeres, en el marco del Plan Nacional de Investigación Científica, Desarrollo e Innovación Tecnológica. (I+D+I)</w:t>
      </w:r>
    </w:p>
    <w:p w:rsidR="00000000" w:rsidRDefault="00000000">
      <w:pPr>
        <w:jc w:val="both"/>
        <w:rPr>
          <w:rFonts w:ascii="Arial" w:hAnsi="Arial"/>
        </w:rPr>
      </w:pPr>
    </w:p>
    <w:p w:rsidR="00000000" w:rsidRDefault="00000000">
      <w:pPr>
        <w:jc w:val="both"/>
        <w:rPr>
          <w:rFonts w:ascii="Arial" w:hAnsi="Arial"/>
        </w:rPr>
      </w:pPr>
      <w:r>
        <w:rPr>
          <w:rFonts w:ascii="Arial" w:hAnsi="Arial"/>
        </w:rPr>
        <w:t>El Plan Nacional de Investigación Científica, Desarrollo e Innovación Tecnológica 2000-2003, fue aprobado en 1999 para promover la investigación sobre la situación de las mujeres en España en todos los ámbitos de la vida social, política, económica y cultural.</w:t>
      </w:r>
    </w:p>
    <w:p w:rsidR="00000000" w:rsidRDefault="00000000">
      <w:pPr>
        <w:jc w:val="both"/>
        <w:rPr>
          <w:rFonts w:ascii="Arial" w:hAnsi="Arial"/>
        </w:rPr>
      </w:pPr>
    </w:p>
    <w:p w:rsidR="00000000" w:rsidRDefault="00000000">
      <w:pPr>
        <w:jc w:val="both"/>
        <w:rPr>
          <w:rFonts w:ascii="Arial" w:hAnsi="Arial"/>
        </w:rPr>
      </w:pPr>
      <w:r>
        <w:rPr>
          <w:rFonts w:ascii="Arial" w:hAnsi="Arial"/>
        </w:rPr>
        <w:t>La convocatoria se financia por el Instituto de la Mujer y, parcialmente, por el Fondo Social Europeo con cargo al Programa operativo “Lucha contra la discriminación”</w:t>
      </w:r>
    </w:p>
    <w:p w:rsidR="00000000" w:rsidRDefault="00000000">
      <w:pPr>
        <w:jc w:val="both"/>
        <w:rPr>
          <w:rFonts w:ascii="Arial" w:hAnsi="Arial"/>
        </w:rPr>
      </w:pPr>
    </w:p>
    <w:p w:rsidR="00000000" w:rsidRDefault="00000000">
      <w:pPr>
        <w:jc w:val="both"/>
        <w:rPr>
          <w:rFonts w:ascii="Arial" w:hAnsi="Arial"/>
        </w:rPr>
      </w:pPr>
      <w:r>
        <w:rPr>
          <w:rFonts w:ascii="Arial" w:hAnsi="Arial"/>
        </w:rPr>
        <w:t>Las áreas de investigación prioritarias son: educación, salud, economía y empleo, poder y toma de decisiones, imagen y medios de comunicación, medio ambiente, violencia contra las mujeres, mujeres en situación de exclusión social, mujeres rurales, y cooperación.</w:t>
      </w:r>
    </w:p>
    <w:p w:rsidR="00000000" w:rsidRDefault="00000000"/>
    <w:p w:rsidR="00000000" w:rsidRDefault="00000000">
      <w:pPr>
        <w:jc w:val="both"/>
        <w:rPr>
          <w:rFonts w:ascii="Arial" w:hAnsi="Arial"/>
        </w:rPr>
      </w:pPr>
      <w:r>
        <w:rPr>
          <w:rFonts w:ascii="Arial" w:hAnsi="Arial"/>
        </w:rPr>
        <w:t xml:space="preserve">Desde el año 2000, el Programa Sectorial de Estudios de las Mujeres y del Género  se constituye en la </w:t>
      </w:r>
      <w:r>
        <w:rPr>
          <w:rFonts w:ascii="Arial" w:hAnsi="Arial"/>
          <w:b/>
        </w:rPr>
        <w:t>Acción estratégica para el fomento de la igualdad de oportunidades entre mujeres y hombres</w:t>
      </w:r>
      <w:r>
        <w:rPr>
          <w:rFonts w:ascii="Arial" w:hAnsi="Arial"/>
        </w:rPr>
        <w:t>.</w:t>
      </w:r>
    </w:p>
    <w:p w:rsidR="00000000" w:rsidRDefault="00000000">
      <w:pPr>
        <w:jc w:val="both"/>
        <w:rPr>
          <w:rFonts w:ascii="Arial" w:hAnsi="Arial"/>
        </w:rPr>
      </w:pPr>
    </w:p>
    <w:p w:rsidR="00000000" w:rsidRDefault="00000000">
      <w:pPr>
        <w:jc w:val="both"/>
        <w:rPr>
          <w:rFonts w:ascii="Arial" w:hAnsi="Arial"/>
        </w:rPr>
      </w:pPr>
      <w:r>
        <w:rPr>
          <w:rFonts w:ascii="Arial" w:hAnsi="Arial"/>
        </w:rPr>
        <w:t>En el cuadro adjunto se ofrecen los datos correspondientes a los años 1999, 2000 y 2001.</w:t>
      </w:r>
    </w:p>
    <w:p w:rsidR="00000000" w:rsidRDefault="00000000">
      <w:pPr>
        <w:pStyle w:val="BodyText3"/>
        <w:ind w:right="0"/>
      </w:pPr>
    </w:p>
    <w:p w:rsidR="00000000" w:rsidRDefault="00000000">
      <w:pPr>
        <w:pStyle w:val="Heading4"/>
        <w:ind w:left="0"/>
        <w:jc w:val="center"/>
      </w:pPr>
      <w:r>
        <w:t>I+D+I. Proyectos subvencionados</w:t>
      </w:r>
    </w:p>
    <w:tbl>
      <w:tblPr>
        <w:tblW w:w="0" w:type="auto"/>
        <w:tblInd w:w="2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275"/>
        <w:gridCol w:w="1560"/>
      </w:tblGrid>
      <w:tr w:rsidR="00000000">
        <w:tblPrEx>
          <w:tblCellMar>
            <w:top w:w="0" w:type="dxa"/>
            <w:bottom w:w="0" w:type="dxa"/>
          </w:tblCellMar>
        </w:tblPrEx>
        <w:tc>
          <w:tcPr>
            <w:tcW w:w="1134" w:type="dxa"/>
            <w:vAlign w:val="center"/>
          </w:tcPr>
          <w:p w:rsidR="00000000" w:rsidRDefault="00000000">
            <w:pPr>
              <w:jc w:val="center"/>
              <w:rPr>
                <w:rFonts w:ascii="Arial" w:hAnsi="Arial"/>
                <w:sz w:val="16"/>
              </w:rPr>
            </w:pPr>
            <w:r>
              <w:rPr>
                <w:rFonts w:ascii="Arial" w:hAnsi="Arial"/>
                <w:sz w:val="16"/>
              </w:rPr>
              <w:t>Año</w:t>
            </w:r>
          </w:p>
        </w:tc>
        <w:tc>
          <w:tcPr>
            <w:tcW w:w="1275" w:type="dxa"/>
            <w:vAlign w:val="center"/>
          </w:tcPr>
          <w:p w:rsidR="00000000" w:rsidRDefault="00000000">
            <w:pPr>
              <w:jc w:val="center"/>
              <w:rPr>
                <w:rFonts w:ascii="Arial" w:hAnsi="Arial"/>
                <w:sz w:val="16"/>
              </w:rPr>
            </w:pPr>
            <w:r>
              <w:rPr>
                <w:rFonts w:ascii="Arial" w:hAnsi="Arial"/>
                <w:sz w:val="16"/>
              </w:rPr>
              <w:t>Proyectos</w:t>
            </w:r>
          </w:p>
        </w:tc>
        <w:tc>
          <w:tcPr>
            <w:tcW w:w="1560" w:type="dxa"/>
            <w:vAlign w:val="center"/>
          </w:tcPr>
          <w:p w:rsidR="00000000" w:rsidRDefault="00000000">
            <w:pPr>
              <w:jc w:val="center"/>
              <w:rPr>
                <w:rFonts w:ascii="Arial" w:hAnsi="Arial"/>
                <w:sz w:val="16"/>
              </w:rPr>
            </w:pPr>
            <w:r>
              <w:rPr>
                <w:rFonts w:ascii="Arial" w:hAnsi="Arial"/>
                <w:sz w:val="16"/>
              </w:rPr>
              <w:t>Importe</w:t>
            </w:r>
          </w:p>
        </w:tc>
      </w:tr>
      <w:tr w:rsidR="00000000">
        <w:tblPrEx>
          <w:tblCellMar>
            <w:top w:w="0" w:type="dxa"/>
            <w:bottom w:w="0" w:type="dxa"/>
          </w:tblCellMar>
        </w:tblPrEx>
        <w:tc>
          <w:tcPr>
            <w:tcW w:w="1134" w:type="dxa"/>
          </w:tcPr>
          <w:p w:rsidR="00000000" w:rsidRDefault="00000000">
            <w:pPr>
              <w:jc w:val="center"/>
              <w:rPr>
                <w:rFonts w:ascii="Arial" w:hAnsi="Arial"/>
                <w:sz w:val="16"/>
              </w:rPr>
            </w:pPr>
            <w:r>
              <w:rPr>
                <w:rFonts w:ascii="Arial" w:hAnsi="Arial"/>
                <w:sz w:val="16"/>
              </w:rPr>
              <w:t>1999</w:t>
            </w:r>
          </w:p>
        </w:tc>
        <w:tc>
          <w:tcPr>
            <w:tcW w:w="1275" w:type="dxa"/>
          </w:tcPr>
          <w:p w:rsidR="00000000" w:rsidRDefault="00000000">
            <w:pPr>
              <w:jc w:val="center"/>
              <w:rPr>
                <w:rFonts w:ascii="Arial" w:hAnsi="Arial"/>
                <w:sz w:val="16"/>
              </w:rPr>
            </w:pPr>
            <w:r>
              <w:rPr>
                <w:rFonts w:ascii="Arial" w:hAnsi="Arial"/>
                <w:sz w:val="16"/>
              </w:rPr>
              <w:t>35</w:t>
            </w:r>
          </w:p>
        </w:tc>
        <w:tc>
          <w:tcPr>
            <w:tcW w:w="1560" w:type="dxa"/>
          </w:tcPr>
          <w:p w:rsidR="00000000" w:rsidRDefault="00000000">
            <w:pPr>
              <w:jc w:val="center"/>
              <w:rPr>
                <w:rFonts w:ascii="Arial" w:hAnsi="Arial"/>
                <w:sz w:val="16"/>
              </w:rPr>
            </w:pPr>
            <w:r>
              <w:rPr>
                <w:rFonts w:ascii="Arial" w:hAnsi="Arial"/>
                <w:sz w:val="16"/>
              </w:rPr>
              <w:t>784.921,81</w:t>
            </w:r>
          </w:p>
        </w:tc>
      </w:tr>
      <w:tr w:rsidR="00000000">
        <w:tblPrEx>
          <w:tblCellMar>
            <w:top w:w="0" w:type="dxa"/>
            <w:bottom w:w="0" w:type="dxa"/>
          </w:tblCellMar>
        </w:tblPrEx>
        <w:tc>
          <w:tcPr>
            <w:tcW w:w="1134" w:type="dxa"/>
          </w:tcPr>
          <w:p w:rsidR="00000000" w:rsidRDefault="00000000">
            <w:pPr>
              <w:jc w:val="center"/>
              <w:rPr>
                <w:rFonts w:ascii="Arial" w:hAnsi="Arial"/>
                <w:sz w:val="16"/>
              </w:rPr>
            </w:pPr>
            <w:r>
              <w:rPr>
                <w:rFonts w:ascii="Arial" w:hAnsi="Arial"/>
                <w:sz w:val="16"/>
              </w:rPr>
              <w:t>2000</w:t>
            </w:r>
          </w:p>
        </w:tc>
        <w:tc>
          <w:tcPr>
            <w:tcW w:w="1275" w:type="dxa"/>
          </w:tcPr>
          <w:p w:rsidR="00000000" w:rsidRDefault="00000000">
            <w:pPr>
              <w:jc w:val="center"/>
              <w:rPr>
                <w:rFonts w:ascii="Arial" w:hAnsi="Arial"/>
                <w:sz w:val="16"/>
              </w:rPr>
            </w:pPr>
            <w:r>
              <w:rPr>
                <w:rFonts w:ascii="Arial" w:hAnsi="Arial"/>
                <w:sz w:val="16"/>
              </w:rPr>
              <w:t>36</w:t>
            </w:r>
          </w:p>
        </w:tc>
        <w:tc>
          <w:tcPr>
            <w:tcW w:w="1560" w:type="dxa"/>
          </w:tcPr>
          <w:p w:rsidR="00000000" w:rsidRDefault="00000000">
            <w:pPr>
              <w:jc w:val="center"/>
              <w:rPr>
                <w:rFonts w:ascii="Arial" w:hAnsi="Arial"/>
                <w:sz w:val="16"/>
              </w:rPr>
            </w:pPr>
            <w:r>
              <w:rPr>
                <w:rFonts w:ascii="Arial" w:hAnsi="Arial"/>
                <w:sz w:val="16"/>
              </w:rPr>
              <w:t>1.010.902,36</w:t>
            </w:r>
          </w:p>
        </w:tc>
      </w:tr>
      <w:tr w:rsidR="00000000">
        <w:tblPrEx>
          <w:tblCellMar>
            <w:top w:w="0" w:type="dxa"/>
            <w:bottom w:w="0" w:type="dxa"/>
          </w:tblCellMar>
        </w:tblPrEx>
        <w:tc>
          <w:tcPr>
            <w:tcW w:w="1134" w:type="dxa"/>
          </w:tcPr>
          <w:p w:rsidR="00000000" w:rsidRDefault="00000000">
            <w:pPr>
              <w:jc w:val="center"/>
              <w:rPr>
                <w:rFonts w:ascii="Arial" w:hAnsi="Arial"/>
                <w:sz w:val="16"/>
              </w:rPr>
            </w:pPr>
            <w:r>
              <w:rPr>
                <w:rFonts w:ascii="Arial" w:hAnsi="Arial"/>
                <w:sz w:val="16"/>
              </w:rPr>
              <w:t>2001</w:t>
            </w:r>
          </w:p>
        </w:tc>
        <w:tc>
          <w:tcPr>
            <w:tcW w:w="1275" w:type="dxa"/>
          </w:tcPr>
          <w:p w:rsidR="00000000" w:rsidRDefault="00000000">
            <w:pPr>
              <w:jc w:val="center"/>
              <w:rPr>
                <w:rFonts w:ascii="Arial" w:hAnsi="Arial"/>
                <w:sz w:val="16"/>
              </w:rPr>
            </w:pPr>
            <w:r>
              <w:rPr>
                <w:rFonts w:ascii="Arial" w:hAnsi="Arial"/>
                <w:sz w:val="16"/>
              </w:rPr>
              <w:t>41</w:t>
            </w:r>
          </w:p>
        </w:tc>
        <w:tc>
          <w:tcPr>
            <w:tcW w:w="1560" w:type="dxa"/>
          </w:tcPr>
          <w:p w:rsidR="00000000" w:rsidRDefault="00000000">
            <w:pPr>
              <w:jc w:val="center"/>
              <w:rPr>
                <w:rFonts w:ascii="Arial" w:hAnsi="Arial"/>
                <w:sz w:val="16"/>
              </w:rPr>
            </w:pPr>
            <w:r>
              <w:rPr>
                <w:rFonts w:ascii="Arial" w:hAnsi="Arial"/>
                <w:sz w:val="16"/>
              </w:rPr>
              <w:t>932.970,29</w:t>
            </w:r>
          </w:p>
        </w:tc>
      </w:tr>
    </w:tbl>
    <w:p w:rsidR="00000000" w:rsidRDefault="00000000">
      <w:pPr>
        <w:pStyle w:val="BodyText"/>
      </w:pPr>
    </w:p>
    <w:p w:rsidR="00000000" w:rsidRDefault="00000000">
      <w:pPr>
        <w:pStyle w:val="BodyText"/>
        <w:rPr>
          <w:lang w:val="es-ES_tradnl"/>
        </w:rPr>
      </w:pPr>
    </w:p>
    <w:p w:rsidR="00000000" w:rsidRDefault="00000000">
      <w:pPr>
        <w:pStyle w:val="BodyText3"/>
        <w:ind w:right="0"/>
        <w:rPr>
          <w:lang w:val="es-ES_tradnl"/>
        </w:rPr>
      </w:pPr>
      <w:r>
        <w:rPr>
          <w:lang w:val="es-ES_tradnl"/>
        </w:rPr>
        <w:t>De 1999 a 2001 y a través del Plan de I+D+I y el Plan de Estudios, el Instituto de la Mujer subve</w:t>
      </w:r>
      <w:r>
        <w:rPr>
          <w:lang w:val="es-ES_tradnl"/>
        </w:rPr>
        <w:t>n</w:t>
      </w:r>
      <w:r>
        <w:rPr>
          <w:lang w:val="es-ES_tradnl"/>
        </w:rPr>
        <w:t>cionó estudios, entre otras, en las materias de: educación; salud; economía y empleo; poder y toma de decisiones; imagen y medios de comunicación; medio ambiente y mujer rural; violencia; mujeres inmigrantes; marginación , pobreza y desarrollo.</w:t>
      </w:r>
    </w:p>
    <w:p w:rsidR="00000000" w:rsidRDefault="00000000">
      <w:pPr>
        <w:rPr>
          <w:rFonts w:ascii="Arial" w:hAnsi="Arial"/>
          <w:b/>
          <w:i/>
        </w:rPr>
      </w:pPr>
    </w:p>
    <w:p w:rsidR="00000000" w:rsidRDefault="00000000">
      <w:pPr>
        <w:rPr>
          <w:rFonts w:ascii="Arial" w:hAnsi="Arial"/>
          <w:b/>
          <w:i/>
        </w:rPr>
      </w:pPr>
    </w:p>
    <w:p w:rsidR="00000000" w:rsidRDefault="00000000">
      <w:pPr>
        <w:keepNext/>
        <w:keepLines/>
        <w:rPr>
          <w:rFonts w:ascii="Arial" w:hAnsi="Arial"/>
          <w:b/>
        </w:rPr>
      </w:pPr>
      <w:r>
        <w:rPr>
          <w:rFonts w:ascii="Arial" w:hAnsi="Arial"/>
          <w:b/>
        </w:rPr>
        <w:t>B. Convocatoria anual de ayudas destinadas a la realización de actividades y seminarios, en el ámbito de la Universidad</w:t>
      </w:r>
    </w:p>
    <w:p w:rsidR="00000000" w:rsidRDefault="00000000">
      <w:pPr>
        <w:keepNext/>
        <w:keepLines/>
        <w:rPr>
          <w:rFonts w:ascii="Arial" w:hAnsi="Arial"/>
        </w:rPr>
      </w:pPr>
    </w:p>
    <w:p w:rsidR="00000000" w:rsidRDefault="00000000">
      <w:pPr>
        <w:pStyle w:val="BodyTextIndent"/>
        <w:keepNext/>
        <w:keepLines/>
        <w:ind w:left="0"/>
        <w:rPr>
          <w:sz w:val="20"/>
        </w:rPr>
      </w:pPr>
      <w:r>
        <w:rPr>
          <w:sz w:val="20"/>
        </w:rPr>
        <w:t>Se trata de subvenciones públicas destinadas a fomentar la realización de actividades y seminarios, en el á</w:t>
      </w:r>
      <w:r>
        <w:rPr>
          <w:sz w:val="20"/>
        </w:rPr>
        <w:t>m</w:t>
      </w:r>
      <w:r>
        <w:rPr>
          <w:sz w:val="20"/>
        </w:rPr>
        <w:t>bito de la Universidad, que fomenten el principio de igualdad de oportunidades de las mujeres. Están dirigidas a universidades públicas y privadas, asociaciones, entidades y fundaciones de ámbito universitario, lega</w:t>
      </w:r>
      <w:r>
        <w:rPr>
          <w:sz w:val="20"/>
        </w:rPr>
        <w:t>l</w:t>
      </w:r>
      <w:r>
        <w:rPr>
          <w:sz w:val="20"/>
        </w:rPr>
        <w:t>mente constituidas.</w:t>
      </w:r>
    </w:p>
    <w:p w:rsidR="00000000" w:rsidRDefault="00000000">
      <w:pPr>
        <w:jc w:val="both"/>
        <w:rPr>
          <w:rFonts w:ascii="Arial" w:hAnsi="Arial"/>
        </w:rPr>
      </w:pPr>
    </w:p>
    <w:p w:rsidR="00000000" w:rsidRDefault="00000000">
      <w:pPr>
        <w:jc w:val="both"/>
        <w:rPr>
          <w:rFonts w:ascii="Arial" w:hAnsi="Arial"/>
        </w:rPr>
      </w:pPr>
      <w:r>
        <w:rPr>
          <w:rFonts w:ascii="Arial" w:hAnsi="Arial"/>
        </w:rPr>
        <w:t>Se subvencionan actividades tales como seminarios, debates, cursos de expertos, cursos de postgrado y masters, foros, coloquios, congresos, edición de revistas, jornadas, talleres, etc.</w:t>
      </w:r>
    </w:p>
    <w:p w:rsidR="00000000" w:rsidRDefault="00000000"/>
    <w:p w:rsidR="00000000" w:rsidRDefault="00000000">
      <w:pPr>
        <w:pStyle w:val="BodyTextIndent"/>
        <w:ind w:left="0"/>
      </w:pPr>
    </w:p>
    <w:p w:rsidR="00000000" w:rsidRDefault="00000000">
      <w:pPr>
        <w:jc w:val="center"/>
        <w:rPr>
          <w:rFonts w:ascii="Arial" w:hAnsi="Arial"/>
          <w:b/>
          <w:sz w:val="16"/>
        </w:rPr>
      </w:pPr>
      <w:r>
        <w:rPr>
          <w:rFonts w:ascii="Arial" w:hAnsi="Arial"/>
          <w:b/>
          <w:sz w:val="16"/>
        </w:rPr>
        <w:t>Actividades y Seminarios en el ámbito de la Universidad</w:t>
      </w:r>
    </w:p>
    <w:p w:rsidR="00000000" w:rsidRDefault="00000000">
      <w:pPr>
        <w:jc w:val="center"/>
        <w:rPr>
          <w:rFonts w:ascii="Arial" w:hAnsi="Arial"/>
          <w:b/>
          <w:sz w:val="16"/>
        </w:rPr>
      </w:pPr>
      <w:r>
        <w:rPr>
          <w:rFonts w:ascii="Arial" w:hAnsi="Arial"/>
          <w:b/>
          <w:sz w:val="16"/>
        </w:rPr>
        <w:t>Importe en Euros</w:t>
      </w:r>
    </w:p>
    <w:tbl>
      <w:tblPr>
        <w:tblW w:w="0" w:type="auto"/>
        <w:tblInd w:w="2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1417"/>
        <w:gridCol w:w="1418"/>
        <w:gridCol w:w="1701"/>
      </w:tblGrid>
      <w:tr w:rsidR="00000000">
        <w:tblPrEx>
          <w:tblCellMar>
            <w:top w:w="0" w:type="dxa"/>
            <w:bottom w:w="0" w:type="dxa"/>
          </w:tblCellMar>
        </w:tblPrEx>
        <w:trPr>
          <w:trHeight w:val="330"/>
        </w:trPr>
        <w:tc>
          <w:tcPr>
            <w:tcW w:w="851" w:type="dxa"/>
            <w:vAlign w:val="center"/>
          </w:tcPr>
          <w:p w:rsidR="00000000" w:rsidRDefault="00000000">
            <w:pPr>
              <w:jc w:val="center"/>
              <w:rPr>
                <w:rFonts w:ascii="Arial" w:hAnsi="Arial"/>
                <w:sz w:val="16"/>
              </w:rPr>
            </w:pPr>
            <w:r>
              <w:rPr>
                <w:rFonts w:ascii="Arial" w:hAnsi="Arial"/>
                <w:sz w:val="16"/>
              </w:rPr>
              <w:t xml:space="preserve">Año </w:t>
            </w:r>
          </w:p>
        </w:tc>
        <w:tc>
          <w:tcPr>
            <w:tcW w:w="1417" w:type="dxa"/>
            <w:vAlign w:val="center"/>
          </w:tcPr>
          <w:p w:rsidR="00000000" w:rsidRDefault="00000000">
            <w:pPr>
              <w:jc w:val="center"/>
              <w:rPr>
                <w:rFonts w:ascii="Arial" w:hAnsi="Arial"/>
                <w:sz w:val="16"/>
              </w:rPr>
            </w:pPr>
            <w:r>
              <w:rPr>
                <w:rFonts w:ascii="Arial" w:hAnsi="Arial"/>
                <w:sz w:val="16"/>
              </w:rPr>
              <w:t>Entidades</w:t>
            </w:r>
          </w:p>
        </w:tc>
        <w:tc>
          <w:tcPr>
            <w:tcW w:w="1418" w:type="dxa"/>
            <w:vAlign w:val="center"/>
          </w:tcPr>
          <w:p w:rsidR="00000000" w:rsidRDefault="00000000">
            <w:pPr>
              <w:jc w:val="center"/>
              <w:rPr>
                <w:rFonts w:ascii="Arial" w:hAnsi="Arial"/>
                <w:sz w:val="16"/>
              </w:rPr>
            </w:pPr>
            <w:r>
              <w:rPr>
                <w:rFonts w:ascii="Arial" w:hAnsi="Arial"/>
                <w:sz w:val="16"/>
              </w:rPr>
              <w:t>Programas</w:t>
            </w:r>
          </w:p>
        </w:tc>
        <w:tc>
          <w:tcPr>
            <w:tcW w:w="1701" w:type="dxa"/>
            <w:vAlign w:val="center"/>
          </w:tcPr>
          <w:p w:rsidR="00000000" w:rsidRDefault="00000000">
            <w:pPr>
              <w:jc w:val="center"/>
              <w:rPr>
                <w:rFonts w:ascii="Arial" w:hAnsi="Arial"/>
                <w:sz w:val="16"/>
              </w:rPr>
            </w:pPr>
            <w:r>
              <w:rPr>
                <w:rFonts w:ascii="Arial" w:hAnsi="Arial"/>
                <w:sz w:val="16"/>
              </w:rPr>
              <w:t>Importe</w:t>
            </w:r>
          </w:p>
        </w:tc>
      </w:tr>
      <w:tr w:rsidR="00000000">
        <w:tblPrEx>
          <w:tblCellMar>
            <w:top w:w="0" w:type="dxa"/>
            <w:bottom w:w="0" w:type="dxa"/>
          </w:tblCellMar>
        </w:tblPrEx>
        <w:trPr>
          <w:trHeight w:val="255"/>
        </w:trPr>
        <w:tc>
          <w:tcPr>
            <w:tcW w:w="851" w:type="dxa"/>
            <w:vAlign w:val="center"/>
          </w:tcPr>
          <w:p w:rsidR="00000000" w:rsidRDefault="00000000">
            <w:pPr>
              <w:jc w:val="center"/>
              <w:rPr>
                <w:rFonts w:ascii="Arial" w:hAnsi="Arial"/>
                <w:sz w:val="16"/>
              </w:rPr>
            </w:pPr>
            <w:r>
              <w:rPr>
                <w:rFonts w:ascii="Arial" w:hAnsi="Arial"/>
                <w:sz w:val="16"/>
              </w:rPr>
              <w:t>1999</w:t>
            </w:r>
          </w:p>
        </w:tc>
        <w:tc>
          <w:tcPr>
            <w:tcW w:w="1417" w:type="dxa"/>
            <w:vAlign w:val="center"/>
          </w:tcPr>
          <w:p w:rsidR="00000000" w:rsidRDefault="00000000">
            <w:pPr>
              <w:jc w:val="center"/>
              <w:rPr>
                <w:rFonts w:ascii="Arial" w:hAnsi="Arial"/>
                <w:sz w:val="16"/>
              </w:rPr>
            </w:pPr>
            <w:r>
              <w:rPr>
                <w:rFonts w:ascii="Arial" w:hAnsi="Arial"/>
                <w:sz w:val="16"/>
              </w:rPr>
              <w:t>44</w:t>
            </w:r>
          </w:p>
        </w:tc>
        <w:tc>
          <w:tcPr>
            <w:tcW w:w="1418" w:type="dxa"/>
            <w:vAlign w:val="center"/>
          </w:tcPr>
          <w:p w:rsidR="00000000" w:rsidRDefault="00000000">
            <w:pPr>
              <w:jc w:val="center"/>
              <w:rPr>
                <w:rFonts w:ascii="Arial" w:hAnsi="Arial"/>
                <w:sz w:val="16"/>
              </w:rPr>
            </w:pPr>
            <w:r>
              <w:rPr>
                <w:rFonts w:ascii="Arial" w:hAnsi="Arial"/>
                <w:sz w:val="16"/>
              </w:rPr>
              <w:t>90</w:t>
            </w:r>
          </w:p>
        </w:tc>
        <w:tc>
          <w:tcPr>
            <w:tcW w:w="1701" w:type="dxa"/>
            <w:vAlign w:val="center"/>
          </w:tcPr>
          <w:p w:rsidR="00000000" w:rsidRDefault="00000000">
            <w:pPr>
              <w:jc w:val="center"/>
              <w:rPr>
                <w:rFonts w:ascii="Arial" w:hAnsi="Arial"/>
                <w:sz w:val="16"/>
              </w:rPr>
            </w:pPr>
            <w:r>
              <w:rPr>
                <w:rFonts w:ascii="Arial" w:hAnsi="Arial"/>
                <w:sz w:val="16"/>
              </w:rPr>
              <w:t>205.417,52</w:t>
            </w:r>
          </w:p>
        </w:tc>
      </w:tr>
      <w:tr w:rsidR="00000000">
        <w:tblPrEx>
          <w:tblCellMar>
            <w:top w:w="0" w:type="dxa"/>
            <w:bottom w:w="0" w:type="dxa"/>
          </w:tblCellMar>
        </w:tblPrEx>
        <w:trPr>
          <w:trHeight w:val="255"/>
        </w:trPr>
        <w:tc>
          <w:tcPr>
            <w:tcW w:w="851" w:type="dxa"/>
            <w:vAlign w:val="center"/>
          </w:tcPr>
          <w:p w:rsidR="00000000" w:rsidRDefault="00000000">
            <w:pPr>
              <w:jc w:val="center"/>
              <w:rPr>
                <w:rFonts w:ascii="Arial" w:hAnsi="Arial"/>
                <w:sz w:val="16"/>
              </w:rPr>
            </w:pPr>
            <w:r>
              <w:rPr>
                <w:rFonts w:ascii="Arial" w:hAnsi="Arial"/>
                <w:sz w:val="16"/>
              </w:rPr>
              <w:t>2000</w:t>
            </w:r>
          </w:p>
        </w:tc>
        <w:tc>
          <w:tcPr>
            <w:tcW w:w="1417" w:type="dxa"/>
            <w:vAlign w:val="center"/>
          </w:tcPr>
          <w:p w:rsidR="00000000" w:rsidRDefault="00000000">
            <w:pPr>
              <w:jc w:val="center"/>
              <w:rPr>
                <w:rFonts w:ascii="Arial" w:hAnsi="Arial"/>
                <w:sz w:val="16"/>
              </w:rPr>
            </w:pPr>
            <w:r>
              <w:rPr>
                <w:rFonts w:ascii="Arial" w:hAnsi="Arial"/>
                <w:sz w:val="16"/>
              </w:rPr>
              <w:t>67</w:t>
            </w:r>
          </w:p>
        </w:tc>
        <w:tc>
          <w:tcPr>
            <w:tcW w:w="1418" w:type="dxa"/>
            <w:vAlign w:val="center"/>
          </w:tcPr>
          <w:p w:rsidR="00000000" w:rsidRDefault="00000000">
            <w:pPr>
              <w:jc w:val="center"/>
              <w:rPr>
                <w:rFonts w:ascii="Arial" w:hAnsi="Arial"/>
                <w:sz w:val="16"/>
              </w:rPr>
            </w:pPr>
            <w:r>
              <w:rPr>
                <w:rFonts w:ascii="Arial" w:hAnsi="Arial"/>
                <w:sz w:val="16"/>
              </w:rPr>
              <w:t>121</w:t>
            </w:r>
          </w:p>
        </w:tc>
        <w:tc>
          <w:tcPr>
            <w:tcW w:w="1701" w:type="dxa"/>
            <w:vAlign w:val="center"/>
          </w:tcPr>
          <w:p w:rsidR="00000000" w:rsidRDefault="00000000">
            <w:pPr>
              <w:jc w:val="center"/>
              <w:rPr>
                <w:rFonts w:ascii="Arial" w:hAnsi="Arial"/>
                <w:sz w:val="16"/>
              </w:rPr>
            </w:pPr>
            <w:r>
              <w:rPr>
                <w:rFonts w:ascii="Arial" w:hAnsi="Arial"/>
                <w:sz w:val="16"/>
              </w:rPr>
              <w:t>261.764,41</w:t>
            </w:r>
          </w:p>
        </w:tc>
      </w:tr>
      <w:tr w:rsidR="00000000">
        <w:tblPrEx>
          <w:tblCellMar>
            <w:top w:w="0" w:type="dxa"/>
            <w:bottom w:w="0" w:type="dxa"/>
          </w:tblCellMar>
        </w:tblPrEx>
        <w:trPr>
          <w:trHeight w:val="256"/>
        </w:trPr>
        <w:tc>
          <w:tcPr>
            <w:tcW w:w="851" w:type="dxa"/>
            <w:vAlign w:val="center"/>
          </w:tcPr>
          <w:p w:rsidR="00000000" w:rsidRDefault="00000000">
            <w:pPr>
              <w:jc w:val="center"/>
              <w:rPr>
                <w:rFonts w:ascii="Arial" w:hAnsi="Arial"/>
                <w:sz w:val="16"/>
              </w:rPr>
            </w:pPr>
            <w:r>
              <w:rPr>
                <w:rFonts w:ascii="Arial" w:hAnsi="Arial"/>
                <w:sz w:val="16"/>
              </w:rPr>
              <w:t>2001</w:t>
            </w:r>
          </w:p>
        </w:tc>
        <w:tc>
          <w:tcPr>
            <w:tcW w:w="1417" w:type="dxa"/>
            <w:vAlign w:val="center"/>
          </w:tcPr>
          <w:p w:rsidR="00000000" w:rsidRDefault="00000000">
            <w:pPr>
              <w:jc w:val="center"/>
              <w:rPr>
                <w:rFonts w:ascii="Arial" w:hAnsi="Arial"/>
                <w:sz w:val="16"/>
              </w:rPr>
            </w:pPr>
            <w:r>
              <w:rPr>
                <w:rFonts w:ascii="Arial" w:hAnsi="Arial"/>
                <w:sz w:val="16"/>
              </w:rPr>
              <w:t>49</w:t>
            </w:r>
          </w:p>
        </w:tc>
        <w:tc>
          <w:tcPr>
            <w:tcW w:w="1418" w:type="dxa"/>
            <w:vAlign w:val="center"/>
          </w:tcPr>
          <w:p w:rsidR="00000000" w:rsidRDefault="00000000">
            <w:pPr>
              <w:jc w:val="center"/>
              <w:rPr>
                <w:rFonts w:ascii="Arial" w:hAnsi="Arial"/>
                <w:sz w:val="16"/>
              </w:rPr>
            </w:pPr>
            <w:r>
              <w:rPr>
                <w:rFonts w:ascii="Arial" w:hAnsi="Arial"/>
                <w:sz w:val="16"/>
              </w:rPr>
              <w:t>112</w:t>
            </w:r>
          </w:p>
        </w:tc>
        <w:tc>
          <w:tcPr>
            <w:tcW w:w="1701" w:type="dxa"/>
            <w:vAlign w:val="center"/>
          </w:tcPr>
          <w:p w:rsidR="00000000" w:rsidRDefault="00000000">
            <w:pPr>
              <w:jc w:val="center"/>
              <w:rPr>
                <w:rFonts w:ascii="Arial" w:hAnsi="Arial"/>
                <w:sz w:val="16"/>
              </w:rPr>
            </w:pPr>
            <w:r>
              <w:rPr>
                <w:rFonts w:ascii="Arial" w:hAnsi="Arial"/>
                <w:sz w:val="16"/>
              </w:rPr>
              <w:t>250.321,52</w:t>
            </w:r>
          </w:p>
        </w:tc>
      </w:tr>
    </w:tbl>
    <w:p w:rsidR="00000000" w:rsidRDefault="00000000"/>
    <w:p w:rsidR="00000000" w:rsidRDefault="00000000"/>
    <w:p w:rsidR="00000000" w:rsidRDefault="00000000">
      <w:pPr>
        <w:pStyle w:val="Heading3"/>
        <w:ind w:left="0"/>
        <w:jc w:val="left"/>
        <w:rPr>
          <w:b/>
        </w:rPr>
      </w:pPr>
      <w:r>
        <w:rPr>
          <w:b/>
        </w:rPr>
        <w:t>4.</w:t>
      </w:r>
      <w:r>
        <w:rPr>
          <w:b/>
        </w:rPr>
        <w:tab/>
        <w:t>Observatorio de la Igualdad</w:t>
      </w:r>
    </w:p>
    <w:p w:rsidR="00000000" w:rsidRDefault="00000000"/>
    <w:p w:rsidR="00000000" w:rsidRDefault="00000000">
      <w:pPr>
        <w:pStyle w:val="BodyTextIndent"/>
        <w:ind w:left="0"/>
        <w:rPr>
          <w:sz w:val="20"/>
        </w:rPr>
      </w:pPr>
      <w:r>
        <w:rPr>
          <w:sz w:val="20"/>
        </w:rPr>
        <w:t>El Observatorio de la Igualdad de Oportunidades entre hombres y mujeres se creó mediante el Real Decreto 1686/2000, de 6 de Octubre, en cumplimiento de una de las actuaciones del III Plan de Igualdad de Oportun</w:t>
      </w:r>
      <w:r>
        <w:rPr>
          <w:sz w:val="20"/>
        </w:rPr>
        <w:t>i</w:t>
      </w:r>
      <w:r>
        <w:rPr>
          <w:sz w:val="20"/>
        </w:rPr>
        <w:t xml:space="preserve">dades entre mujeres y hombres 1997-2000. </w:t>
      </w:r>
    </w:p>
    <w:p w:rsidR="00000000" w:rsidRDefault="00000000">
      <w:pPr>
        <w:pStyle w:val="BodyTextIndent"/>
        <w:ind w:left="0"/>
        <w:rPr>
          <w:sz w:val="20"/>
        </w:rPr>
      </w:pPr>
    </w:p>
    <w:p w:rsidR="00000000" w:rsidRDefault="00000000">
      <w:pPr>
        <w:pStyle w:val="BodyTextIndent"/>
        <w:ind w:left="0"/>
        <w:rPr>
          <w:sz w:val="20"/>
        </w:rPr>
      </w:pPr>
      <w:r>
        <w:rPr>
          <w:sz w:val="20"/>
        </w:rPr>
        <w:t>Tiene como finalidad poder hacer un diagnostico fiable y válido sobre los avances en igualdad de oportunid</w:t>
      </w:r>
      <w:r>
        <w:rPr>
          <w:sz w:val="20"/>
        </w:rPr>
        <w:t>a</w:t>
      </w:r>
      <w:r>
        <w:rPr>
          <w:sz w:val="20"/>
        </w:rPr>
        <w:t xml:space="preserve">des y consecuentemente evaluar las políticas planeadas con ese fin. Se trata de trabajar con un sistema de indicadores que permita valorar si las actuaciones propuestas en los Planes de Igualdad producen los efectos deseados, así como diseñar futuras políticas. </w:t>
      </w:r>
    </w:p>
    <w:p w:rsidR="00000000" w:rsidRDefault="00000000">
      <w:pPr>
        <w:pStyle w:val="BodyTextIndent"/>
        <w:ind w:left="0"/>
        <w:rPr>
          <w:sz w:val="20"/>
        </w:rPr>
      </w:pPr>
    </w:p>
    <w:p w:rsidR="00000000" w:rsidRDefault="00000000">
      <w:pPr>
        <w:pStyle w:val="BodyTextIndent"/>
        <w:ind w:left="0"/>
        <w:rPr>
          <w:sz w:val="20"/>
        </w:rPr>
      </w:pPr>
      <w:r>
        <w:rPr>
          <w:sz w:val="20"/>
        </w:rPr>
        <w:t>Está constituido por representantes del Ministerio de Trabajo y Asuntos Sociales, otros departamentos minist</w:t>
      </w:r>
      <w:r>
        <w:rPr>
          <w:sz w:val="20"/>
        </w:rPr>
        <w:t>e</w:t>
      </w:r>
      <w:r>
        <w:rPr>
          <w:sz w:val="20"/>
        </w:rPr>
        <w:t>riales, organizaciones de mujeres de ámbito nacional y representación de las Comunidades Autónomas y de la Federación Española de Municipios y Provincias.</w:t>
      </w:r>
    </w:p>
    <w:p w:rsidR="00000000" w:rsidRDefault="00000000">
      <w:pPr>
        <w:pStyle w:val="BodyTextIndent"/>
        <w:ind w:left="0"/>
        <w:rPr>
          <w:sz w:val="20"/>
        </w:rPr>
      </w:pPr>
    </w:p>
    <w:p w:rsidR="00000000" w:rsidRDefault="00000000">
      <w:pPr>
        <w:pStyle w:val="BodyTextIndent"/>
        <w:ind w:left="0"/>
        <w:rPr>
          <w:sz w:val="20"/>
        </w:rPr>
      </w:pPr>
      <w:r>
        <w:rPr>
          <w:sz w:val="20"/>
        </w:rPr>
        <w:t>Para poder llevar a cabo este objetivo se ha creado un banco de datos estadístico estructurado en 9 áreas t</w:t>
      </w:r>
      <w:r>
        <w:rPr>
          <w:sz w:val="20"/>
        </w:rPr>
        <w:t>e</w:t>
      </w:r>
      <w:r>
        <w:rPr>
          <w:sz w:val="20"/>
        </w:rPr>
        <w:t>máticas: Demografía, Vida Familiar, Educación, Empleo, Salud, Participación Política, Violencia, Exclusión S</w:t>
      </w:r>
      <w:r>
        <w:rPr>
          <w:sz w:val="20"/>
        </w:rPr>
        <w:t>o</w:t>
      </w:r>
      <w:r>
        <w:rPr>
          <w:sz w:val="20"/>
        </w:rPr>
        <w:t xml:space="preserve">cial y Servicios Sociales. Estas áreas se encuentran representadas por un total de 178 indicadores, 46 de los cuales han sido introducidos durante el primer trimestre del año 2002. </w:t>
      </w:r>
    </w:p>
    <w:p w:rsidR="00000000" w:rsidRDefault="00000000">
      <w:pPr>
        <w:pStyle w:val="BodyTextIndent"/>
        <w:ind w:left="0"/>
        <w:rPr>
          <w:sz w:val="20"/>
        </w:rPr>
      </w:pPr>
    </w:p>
    <w:p w:rsidR="00000000" w:rsidRDefault="00000000">
      <w:pPr>
        <w:pStyle w:val="BodyTextIndent"/>
        <w:ind w:left="0"/>
        <w:rPr>
          <w:sz w:val="20"/>
        </w:rPr>
      </w:pPr>
      <w:r>
        <w:rPr>
          <w:sz w:val="20"/>
        </w:rPr>
        <w:t>En la primera reunión, mantenida el 21 de Noviembre de 2001, se procedió a la constitución formal del Obse</w:t>
      </w:r>
      <w:r>
        <w:rPr>
          <w:sz w:val="20"/>
        </w:rPr>
        <w:t>r</w:t>
      </w:r>
      <w:r>
        <w:rPr>
          <w:sz w:val="20"/>
        </w:rPr>
        <w:t xml:space="preserve">vatorio y a la aprobación del Reglamento interno de funcionamiento. </w:t>
      </w:r>
    </w:p>
    <w:p w:rsidR="00000000" w:rsidRDefault="00000000">
      <w:pPr>
        <w:pStyle w:val="BodyTextIndent"/>
        <w:ind w:left="0"/>
        <w:rPr>
          <w:sz w:val="20"/>
        </w:rPr>
      </w:pPr>
    </w:p>
    <w:p w:rsidR="00000000" w:rsidRDefault="00000000">
      <w:pPr>
        <w:pStyle w:val="BodyTextIndent"/>
        <w:ind w:left="0"/>
        <w:rPr>
          <w:sz w:val="20"/>
        </w:rPr>
      </w:pPr>
      <w:r>
        <w:rPr>
          <w:sz w:val="20"/>
        </w:rPr>
        <w:t>Se ha aprobado, asimismo, el funcionamiento de las comisiones de trabajo, que van a constituir el verdadero motor del Observatorio y se ha decidido iniciar el estudio de la situación en tres áreas: Empleo, Educación y Exclusión Social.</w:t>
      </w:r>
    </w:p>
    <w:p w:rsidR="00000000" w:rsidRDefault="00000000">
      <w:pPr>
        <w:pStyle w:val="BodyTextIndent"/>
        <w:ind w:left="0"/>
        <w:rPr>
          <w:sz w:val="20"/>
        </w:rPr>
      </w:pPr>
    </w:p>
    <w:p w:rsidR="00000000" w:rsidRDefault="00000000">
      <w:pPr>
        <w:pStyle w:val="BodyTextIndent"/>
        <w:ind w:left="0"/>
        <w:rPr>
          <w:sz w:val="20"/>
        </w:rPr>
      </w:pPr>
    </w:p>
    <w:p w:rsidR="00000000" w:rsidRDefault="00000000">
      <w:pPr>
        <w:pStyle w:val="Heading3"/>
        <w:ind w:left="0"/>
        <w:jc w:val="left"/>
        <w:rPr>
          <w:b/>
        </w:rPr>
      </w:pPr>
      <w:r>
        <w:rPr>
          <w:b/>
        </w:rPr>
        <w:br w:type="page"/>
        <w:t>5. Otras Medidas</w:t>
      </w:r>
    </w:p>
    <w:p w:rsidR="00000000" w:rsidRDefault="00000000">
      <w:pPr>
        <w:tabs>
          <w:tab w:val="left" w:pos="8364"/>
        </w:tabs>
      </w:pPr>
    </w:p>
    <w:p w:rsidR="00000000" w:rsidRDefault="00000000">
      <w:pPr>
        <w:pStyle w:val="BodyTextIndent"/>
        <w:ind w:left="0"/>
        <w:rPr>
          <w:sz w:val="20"/>
        </w:rPr>
      </w:pPr>
      <w:r>
        <w:rPr>
          <w:b/>
          <w:sz w:val="20"/>
        </w:rPr>
        <w:t>Apoyo a Acciones audiovisuales y publicaciones</w:t>
      </w:r>
      <w:r>
        <w:rPr>
          <w:sz w:val="20"/>
        </w:rPr>
        <w:t xml:space="preserve"> que promuevan una imagen positiva del papel de las mujeres en la sociedad.</w:t>
      </w:r>
    </w:p>
    <w:p w:rsidR="00000000" w:rsidRDefault="00000000">
      <w:pPr>
        <w:pStyle w:val="BodyTextIndent"/>
        <w:ind w:left="0"/>
        <w:rPr>
          <w:sz w:val="20"/>
        </w:rPr>
      </w:pPr>
    </w:p>
    <w:p w:rsidR="00000000" w:rsidRDefault="00000000">
      <w:pPr>
        <w:pStyle w:val="BodyTextIndent"/>
        <w:ind w:left="0"/>
        <w:rPr>
          <w:sz w:val="20"/>
        </w:rPr>
      </w:pPr>
      <w:r>
        <w:rPr>
          <w:sz w:val="20"/>
        </w:rPr>
        <w:t>El Instituto convoca anualmente los “</w:t>
      </w:r>
      <w:r>
        <w:rPr>
          <w:b/>
          <w:sz w:val="20"/>
        </w:rPr>
        <w:t>Premios a la No Violencia contra las Mujeres para medios de com</w:t>
      </w:r>
      <w:r>
        <w:rPr>
          <w:b/>
          <w:sz w:val="20"/>
        </w:rPr>
        <w:t>u</w:t>
      </w:r>
      <w:r>
        <w:rPr>
          <w:b/>
          <w:sz w:val="20"/>
        </w:rPr>
        <w:t>nicación y agencias de publicidad</w:t>
      </w:r>
      <w:r>
        <w:rPr>
          <w:sz w:val="20"/>
        </w:rPr>
        <w:t>”. Premios de 6.010,12 Euros otorgados a trabajos realizados por la radio, televisión, prensa y agencias de publicidad, divulgados en el año anterior y cuyo contenido estuviese relaci</w:t>
      </w:r>
      <w:r>
        <w:rPr>
          <w:sz w:val="20"/>
        </w:rPr>
        <w:t>o</w:t>
      </w:r>
      <w:r>
        <w:rPr>
          <w:sz w:val="20"/>
        </w:rPr>
        <w:t>nado con la condena a la violencia contra las mujeres.</w:t>
      </w:r>
    </w:p>
    <w:p w:rsidR="00000000" w:rsidRDefault="00000000">
      <w:pPr>
        <w:pStyle w:val="BodyTextIndent"/>
        <w:ind w:left="0"/>
        <w:rPr>
          <w:sz w:val="20"/>
        </w:rPr>
      </w:pPr>
    </w:p>
    <w:p w:rsidR="00000000" w:rsidRDefault="00000000">
      <w:pPr>
        <w:pStyle w:val="BodyTextIndent"/>
        <w:ind w:left="0"/>
        <w:rPr>
          <w:sz w:val="20"/>
        </w:rPr>
      </w:pPr>
      <w:r>
        <w:rPr>
          <w:sz w:val="20"/>
        </w:rPr>
        <w:t xml:space="preserve">Dentro de este objetivo se han subvencionado a través de la convocatoria de </w:t>
      </w:r>
      <w:r>
        <w:rPr>
          <w:b/>
          <w:sz w:val="20"/>
        </w:rPr>
        <w:t>subvenciones</w:t>
      </w:r>
      <w:r>
        <w:rPr>
          <w:sz w:val="20"/>
        </w:rPr>
        <w:t xml:space="preserve"> del Régimen G</w:t>
      </w:r>
      <w:r>
        <w:rPr>
          <w:sz w:val="20"/>
        </w:rPr>
        <w:t>e</w:t>
      </w:r>
      <w:r>
        <w:rPr>
          <w:sz w:val="20"/>
        </w:rPr>
        <w:t xml:space="preserve">neral a asociaciones de mujeres, </w:t>
      </w:r>
      <w:r>
        <w:rPr>
          <w:b/>
          <w:sz w:val="20"/>
        </w:rPr>
        <w:t>profesionales de medios de comunicación y libreras</w:t>
      </w:r>
      <w:r>
        <w:rPr>
          <w:sz w:val="20"/>
        </w:rPr>
        <w:t>, para la edición de publicaciones sobre mujeres y sobre género y comunicación, creación de talleres, gabinetes de prensa y agencia de noticias sobre mujeres.</w:t>
      </w:r>
    </w:p>
    <w:p w:rsidR="00000000" w:rsidRDefault="00000000">
      <w:pPr>
        <w:pStyle w:val="BodyTextIndent"/>
        <w:ind w:left="0"/>
        <w:rPr>
          <w:sz w:val="20"/>
        </w:rPr>
      </w:pPr>
    </w:p>
    <w:p w:rsidR="00000000" w:rsidRDefault="00000000">
      <w:pPr>
        <w:pStyle w:val="BodyTextIndent"/>
        <w:ind w:left="0"/>
        <w:rPr>
          <w:sz w:val="20"/>
        </w:rPr>
      </w:pPr>
      <w:r>
        <w:rPr>
          <w:sz w:val="20"/>
        </w:rPr>
        <w:t xml:space="preserve">Colaboración con los profesionales de la comunicación en la </w:t>
      </w:r>
      <w:r>
        <w:rPr>
          <w:b/>
          <w:sz w:val="20"/>
        </w:rPr>
        <w:t>elaboración de códigos deontológicos</w:t>
      </w:r>
      <w:r>
        <w:rPr>
          <w:sz w:val="20"/>
        </w:rPr>
        <w:t xml:space="preserve"> que establezcan mecanismos de autocontrol sobre la transmisión de imágenes discriminatorias de las mujeres.</w:t>
      </w:r>
    </w:p>
    <w:p w:rsidR="00000000" w:rsidRDefault="00000000">
      <w:pPr>
        <w:pStyle w:val="BodyTextIndent"/>
        <w:ind w:left="0"/>
        <w:rPr>
          <w:sz w:val="20"/>
        </w:rPr>
      </w:pPr>
    </w:p>
    <w:p w:rsidR="00000000" w:rsidRDefault="00000000">
      <w:pPr>
        <w:pStyle w:val="BodyTextIndent"/>
        <w:ind w:left="0"/>
        <w:rPr>
          <w:sz w:val="20"/>
        </w:rPr>
      </w:pPr>
      <w:r>
        <w:rPr>
          <w:sz w:val="20"/>
        </w:rPr>
        <w:t>Con este objeto, se celebraron en 1999 Jornadas con representantes de agencias de publicidad y anuncia</w:t>
      </w:r>
      <w:r>
        <w:rPr>
          <w:sz w:val="20"/>
        </w:rPr>
        <w:t>n</w:t>
      </w:r>
      <w:r>
        <w:rPr>
          <w:sz w:val="20"/>
        </w:rPr>
        <w:t>tes, para estudiar la influencia que el uso de determinados estereotipos en los anuncios ejerce en las actitudes hacia la igualdad entre hombres y mujeres.</w:t>
      </w:r>
    </w:p>
    <w:p w:rsidR="00000000" w:rsidRDefault="00000000">
      <w:pPr>
        <w:pStyle w:val="BodyTextIndent"/>
        <w:ind w:left="0"/>
        <w:rPr>
          <w:sz w:val="20"/>
        </w:rPr>
      </w:pPr>
    </w:p>
    <w:p w:rsidR="00000000" w:rsidRDefault="00000000">
      <w:pPr>
        <w:pStyle w:val="BodyTextIndent"/>
        <w:ind w:left="0"/>
        <w:rPr>
          <w:sz w:val="20"/>
        </w:rPr>
      </w:pPr>
      <w:r>
        <w:rPr>
          <w:sz w:val="20"/>
        </w:rPr>
        <w:t>Finalmente, el Instituto de la Mujer mantiene y amplía regularmente la base de datos “</w:t>
      </w:r>
      <w:r>
        <w:rPr>
          <w:b/>
          <w:sz w:val="20"/>
        </w:rPr>
        <w:t>Currícula de Mujeres</w:t>
      </w:r>
      <w:r>
        <w:rPr>
          <w:sz w:val="20"/>
        </w:rPr>
        <w:t>”, con información curricular sobre mujeres especialistas relevantes en los diferentes campos de la vida política, social, económica y científica de España, con objeto de hacer visible las aportaciones de las mujeres y a</w:t>
      </w:r>
      <w:r>
        <w:rPr>
          <w:sz w:val="20"/>
        </w:rPr>
        <w:t>u</w:t>
      </w:r>
      <w:r>
        <w:rPr>
          <w:sz w:val="20"/>
        </w:rPr>
        <w:t>mentar su presencia en todos los ámbitos de la vida social y facilitando a su vez a los medios de comunic</w:t>
      </w:r>
      <w:r>
        <w:rPr>
          <w:sz w:val="20"/>
        </w:rPr>
        <w:t>a</w:t>
      </w:r>
      <w:r>
        <w:rPr>
          <w:sz w:val="20"/>
        </w:rPr>
        <w:t>ción, cuando lo solicitan, listados de mujeres especialistas en los diferentes campos.</w:t>
      </w:r>
    </w:p>
    <w:p w:rsidR="00000000" w:rsidRDefault="00000000">
      <w:pPr>
        <w:pStyle w:val="BodyTextIndent"/>
        <w:ind w:left="0"/>
        <w:rPr>
          <w:sz w:val="20"/>
        </w:rPr>
      </w:pPr>
    </w:p>
    <w:p w:rsidR="00000000" w:rsidRDefault="00000000">
      <w:pPr>
        <w:pStyle w:val="BodyTextIndent"/>
        <w:ind w:left="0"/>
        <w:rPr>
          <w:sz w:val="20"/>
        </w:rPr>
      </w:pPr>
      <w:r>
        <w:rPr>
          <w:sz w:val="20"/>
        </w:rPr>
        <w:t xml:space="preserve">A través de la convocatoria de subvenciones de Régimen general, financió en 1999 el programa </w:t>
      </w:r>
      <w:r>
        <w:rPr>
          <w:b/>
          <w:sz w:val="20"/>
        </w:rPr>
        <w:t>Estereotipos Femeninos y Masculinos en los Medios de Comunicación</w:t>
      </w:r>
      <w:r>
        <w:rPr>
          <w:sz w:val="20"/>
        </w:rPr>
        <w:t xml:space="preserve">, de la Federación de Organizaciones Feministas del Estado Español, para la organización de charlas, debates comunicaciones y para recopilar materiales de estudio para analizar los estereotipos en los medios de comunicación y difundir una imagen más equilibrada entre hombres y mujeres. </w:t>
      </w:r>
    </w:p>
    <w:p w:rsidR="00000000" w:rsidRDefault="00000000">
      <w:pPr>
        <w:pStyle w:val="BodyTextIndent"/>
        <w:ind w:left="0"/>
        <w:rPr>
          <w:sz w:val="20"/>
        </w:rPr>
      </w:pPr>
    </w:p>
    <w:p w:rsidR="00000000" w:rsidRDefault="00000000">
      <w:pPr>
        <w:pStyle w:val="BodyTextIndent"/>
        <w:ind w:left="0"/>
        <w:rPr>
          <w:sz w:val="20"/>
        </w:rPr>
      </w:pPr>
      <w:r>
        <w:rPr>
          <w:sz w:val="20"/>
        </w:rPr>
        <w:t xml:space="preserve">Finalmente, cabe mencionar los </w:t>
      </w:r>
      <w:r>
        <w:rPr>
          <w:b/>
          <w:sz w:val="20"/>
        </w:rPr>
        <w:t>Centros de Información de los Derechos de la Mujer y el Servicio de Atención Telefónica,</w:t>
      </w:r>
      <w:r>
        <w:rPr>
          <w:sz w:val="20"/>
        </w:rPr>
        <w:t xml:space="preserve"> dependientes del Instituto de la Mujer. En la actualidad todas las Comunidades Aut</w:t>
      </w:r>
      <w:r>
        <w:rPr>
          <w:sz w:val="20"/>
        </w:rPr>
        <w:t>ó</w:t>
      </w:r>
      <w:r>
        <w:rPr>
          <w:sz w:val="20"/>
        </w:rPr>
        <w:t>nomas, así como numerosos ayuntamientos ofrecen servicios de información. Desde 1997 el número de ce</w:t>
      </w:r>
      <w:r>
        <w:rPr>
          <w:sz w:val="20"/>
        </w:rPr>
        <w:t>n</w:t>
      </w:r>
      <w:r>
        <w:rPr>
          <w:sz w:val="20"/>
        </w:rPr>
        <w:t>tros ha aumentado un 18,15%, hasta alcanzar la cifra de 918.</w:t>
      </w:r>
    </w:p>
    <w:p w:rsidR="00000000" w:rsidRDefault="00000000">
      <w:pPr>
        <w:pStyle w:val="BodyTextIndent"/>
        <w:ind w:left="0"/>
        <w:rPr>
          <w:sz w:val="20"/>
        </w:rPr>
      </w:pPr>
    </w:p>
    <w:p w:rsidR="00000000" w:rsidRDefault="00000000">
      <w:pPr>
        <w:pStyle w:val="BodyTextIndent"/>
        <w:ind w:left="0"/>
        <w:rPr>
          <w:sz w:val="20"/>
        </w:rPr>
      </w:pPr>
    </w:p>
    <w:p w:rsidR="00000000" w:rsidRDefault="00000000">
      <w:pPr>
        <w:pStyle w:val="Heading9"/>
      </w:pPr>
      <w:r>
        <w:t>Artículo 6.- Tráfico y Prostitución.</w:t>
      </w:r>
    </w:p>
    <w:p w:rsidR="00000000" w:rsidRDefault="00000000">
      <w:pPr>
        <w:jc w:val="both"/>
        <w:rPr>
          <w:rFonts w:ascii="Arial" w:hAnsi="Arial"/>
          <w:b/>
        </w:rPr>
      </w:pPr>
    </w:p>
    <w:p w:rsidR="00000000" w:rsidRDefault="00000000">
      <w:pPr>
        <w:pStyle w:val="Heading9"/>
      </w:pPr>
      <w:r>
        <w:t xml:space="preserve">I. </w:t>
      </w:r>
      <w:r>
        <w:tab/>
        <w:t>Situación actual</w:t>
      </w:r>
    </w:p>
    <w:p w:rsidR="00000000" w:rsidRDefault="00000000">
      <w:pPr>
        <w:jc w:val="both"/>
        <w:rPr>
          <w:rFonts w:ascii="Arial" w:hAnsi="Arial"/>
          <w:b/>
        </w:rPr>
      </w:pPr>
    </w:p>
    <w:p w:rsidR="00000000" w:rsidRDefault="00000000">
      <w:pPr>
        <w:jc w:val="both"/>
        <w:rPr>
          <w:rFonts w:ascii="Arial" w:hAnsi="Arial"/>
        </w:rPr>
      </w:pPr>
      <w:r>
        <w:rPr>
          <w:rFonts w:ascii="Arial" w:hAnsi="Arial"/>
        </w:rPr>
        <w:t>España participa junto con el resto de los países de nuestro entorno, en el debate que se está generando ante la extensión del fenómeno de la prostitución como negocio de explotación sexual de mujeres, niñas y niños en todo el mundo. La preocupación política y social por las dimensiones que está adquiriendo este fenómeno se observa en la proliferación de grupos de trabajo que dentro y fuera de nuestro país, se están ocupando de analizar esta problemática, desde la óptica de la defensa de los derechos humanos, así como una intensificación de las actuaciones y medidas por parte de los poderes públicos para hacer frente a este grave problema.</w:t>
      </w:r>
    </w:p>
    <w:p w:rsidR="00000000" w:rsidRDefault="00000000">
      <w:pPr>
        <w:jc w:val="both"/>
        <w:rPr>
          <w:rFonts w:ascii="Arial" w:hAnsi="Arial"/>
        </w:rPr>
      </w:pPr>
    </w:p>
    <w:p w:rsidR="00000000" w:rsidRDefault="00000000">
      <w:pPr>
        <w:jc w:val="both"/>
        <w:rPr>
          <w:rFonts w:ascii="Arial" w:hAnsi="Arial"/>
        </w:rPr>
      </w:pPr>
      <w:r>
        <w:rPr>
          <w:rFonts w:ascii="Arial" w:hAnsi="Arial"/>
        </w:rPr>
        <w:t>De acuerdo con los datos disponibles, procedentes del Ministerio del Interior (Secretaría de Estado para la Inmigración), en el año 2001, se han desarticulado 362 redes de tráfico de seres humanos, mientras que los responsables detenidos fueron 1223 personas.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comparación con los años 1999 en el que se desarticularon 244 redes y se detuvieron a 696 personas, y los datos referentes al año 2000, en el que se desarticularon 317 redes y se detuvieron a 1010 personas, se aprecia un permanente y significativo incremento de la eficacia de las medidas puestas en marcha para abordar este fenómeno. </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 las actuaciones de órganos concretos, podemos señalar que la Dirección General de la Guardia Civil, tiene atribuidas entre sus competencias la desarticulación de redes de tráfico de mujeres. Desde 1998, los equipos de mujeres y menores (EMUNES), del Cuerpo de la Guardia Civil, llevan a cabo investigaciones de estos delitos y prestan asistencia, asesoramiento e información a sus víctimas.</w:t>
      </w:r>
    </w:p>
    <w:p w:rsidR="00000000" w:rsidRDefault="00000000">
      <w:pPr>
        <w:jc w:val="both"/>
        <w:rPr>
          <w:rFonts w:ascii="Arial" w:hAnsi="Arial"/>
        </w:rPr>
      </w:pPr>
    </w:p>
    <w:p w:rsidR="00000000" w:rsidRDefault="00000000">
      <w:pPr>
        <w:jc w:val="both"/>
        <w:rPr>
          <w:rFonts w:ascii="Arial" w:hAnsi="Arial"/>
        </w:rPr>
      </w:pPr>
      <w:r>
        <w:rPr>
          <w:rFonts w:ascii="Arial" w:hAnsi="Arial"/>
        </w:rPr>
        <w:t>Destaca la directiva del Servicio de la Dirección General de la Guardia Civil 3/2000, dictada el 23 de marzo, sobre Plan contra la delincuencia relacionada con la trata de mujeres y la prostitución de menores". Con el fin de ejecutar sus competencias, se han venido realizando por parte de la Guardia Civil, inspecciones frecuentes y sistemáticas sin esperar a que hubiese denuncia ni sospecha de infracciones o delitos.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ámbito del </w:t>
      </w:r>
      <w:r>
        <w:rPr>
          <w:rFonts w:ascii="Arial" w:hAnsi="Arial"/>
          <w:b/>
        </w:rPr>
        <w:t>Plan especial contra la delincuencia relacionada con la trata de mujeres y la prostitución de menores</w:t>
      </w:r>
      <w:r>
        <w:rPr>
          <w:rFonts w:ascii="Arial" w:hAnsi="Arial"/>
        </w:rPr>
        <w:t xml:space="preserve"> se han desarticulado 37 organizaciones delictivas, se procedió a la detención de 204 personas y se han recogido 173 denuncias por supuestos delitos, estimándose que unas 14.118 personas podrían haber ejercido la prostitución en los casi 900 clubes inspeccionados.</w:t>
      </w:r>
    </w:p>
    <w:p w:rsidR="00000000" w:rsidRDefault="00000000">
      <w:pPr>
        <w:jc w:val="both"/>
        <w:rPr>
          <w:rFonts w:ascii="Arial" w:hAnsi="Arial"/>
        </w:rPr>
      </w:pPr>
    </w:p>
    <w:p w:rsidR="00000000" w:rsidRDefault="00000000">
      <w:pPr>
        <w:jc w:val="both"/>
        <w:rPr>
          <w:rFonts w:ascii="Arial" w:hAnsi="Arial"/>
        </w:rPr>
      </w:pPr>
      <w:r>
        <w:rPr>
          <w:rFonts w:ascii="Arial" w:hAnsi="Arial"/>
        </w:rPr>
        <w:t>Como dato derivado de estas actuaciones realizadas por la Guardia Civil, resulta que el 70% de las víctimas provienen de países de América Central y del Sur, destacando el caso de Colombia, de donde han llegado el 35% del total de las víctimas extranjeras. Las víctimas procedentes de Europa constituyen el 17% sobresaliendo las de nacionalidad rusa. Y aproximadamente un 13% de las víctimas proceden de países africanos.</w:t>
      </w:r>
    </w:p>
    <w:p w:rsidR="00000000" w:rsidRDefault="00000000">
      <w:pPr>
        <w:jc w:val="both"/>
        <w:rPr>
          <w:rFonts w:ascii="Arial" w:hAnsi="Arial"/>
        </w:rPr>
      </w:pPr>
    </w:p>
    <w:p w:rsidR="00000000" w:rsidRDefault="00000000">
      <w:pPr>
        <w:jc w:val="both"/>
        <w:rPr>
          <w:rFonts w:ascii="Arial" w:hAnsi="Arial"/>
        </w:rPr>
      </w:pPr>
      <w:r>
        <w:rPr>
          <w:rFonts w:ascii="Arial" w:hAnsi="Arial"/>
        </w:rPr>
        <w:t>El Ministerio del Interior viene impartiendo desde 1998, directrices a los Cuerpos y Fuerzas de Seguridad del Estado, para el desarrollo de las competencias que tienen en esta materia, dirigidos a mejorar la atención a las víctimas del tráfico de personas y de la explotación de la prostitución. Tales normas son difundidas mediante órdenes internas y actividades formativas en los Centros de Formación, Perfeccionamiento, Promoción y Especialización.</w:t>
      </w:r>
    </w:p>
    <w:p w:rsidR="00000000" w:rsidRDefault="00000000">
      <w:pPr>
        <w:jc w:val="both"/>
        <w:rPr>
          <w:rFonts w:ascii="Arial" w:hAnsi="Arial"/>
        </w:rPr>
      </w:pPr>
    </w:p>
    <w:p w:rsidR="00000000" w:rsidRDefault="00000000">
      <w:pPr>
        <w:jc w:val="both"/>
        <w:rPr>
          <w:rFonts w:ascii="Arial" w:hAnsi="Arial"/>
        </w:rPr>
      </w:pPr>
      <w:r>
        <w:rPr>
          <w:rFonts w:ascii="Arial" w:hAnsi="Arial"/>
        </w:rPr>
        <w:t>Debe hacerse también una referencia a los instrumentos articulados en el seno de la Policía para animar a las víctimas a denunciar abusos y malos tratos y la operatividad de servicios policiales específicos como el de Atención a la Mujer (S.A.M.) y el de Atención al Ciudadano Extranjero (S.A.C.E.). Estos servicios se prestan por funcionarios especializados en las investigaciones de delitos en los que resultan afectadas las mujeres en general y las ciudadanas extranjeras respectivamente. En la medida de lo posible, de acuerdo con la disponibilidad de recursos humanos en cada plantilla policial, se procura que una mujer sea la funcionaria responsable de estas unidades y que cuenten con la colaboración de intérpretes en idiomas para facilitar la comunicación con la víctima.</w:t>
      </w:r>
    </w:p>
    <w:p w:rsidR="00000000" w:rsidRDefault="00000000">
      <w:pPr>
        <w:jc w:val="both"/>
        <w:rPr>
          <w:rFonts w:ascii="Arial" w:hAnsi="Arial"/>
        </w:rPr>
      </w:pPr>
    </w:p>
    <w:p w:rsidR="00000000" w:rsidRDefault="00000000">
      <w:pPr>
        <w:jc w:val="both"/>
        <w:rPr>
          <w:rFonts w:ascii="Arial" w:hAnsi="Arial"/>
        </w:rPr>
      </w:pPr>
      <w:r>
        <w:rPr>
          <w:rFonts w:ascii="Arial" w:hAnsi="Arial"/>
        </w:rPr>
        <w:t>En todos los casos, es importante resaltar que la presentación de una denuncia por parte de una mujer inmigrante tiene un tratamiento idéntico al que se da a la de cualquier otra ciudadana, es decir, genera, automáticamente, la correspondiente investigación con el fin de localizar a los presuntos autores del delito, practicar la recogida de pruebas y su posterior puesta a disposición de la autoridad judicial. Paralelamente, se movilizan los recursos necesarios para garantizar a la víctima la oportuna asistencia facultativa y su seguridad personal.</w:t>
      </w:r>
    </w:p>
    <w:p w:rsidR="00000000" w:rsidRDefault="00000000">
      <w:pPr>
        <w:jc w:val="both"/>
        <w:rPr>
          <w:rFonts w:ascii="Arial" w:hAnsi="Arial"/>
        </w:rPr>
      </w:pPr>
    </w:p>
    <w:p w:rsidR="00000000" w:rsidRDefault="00000000">
      <w:pPr>
        <w:jc w:val="both"/>
        <w:rPr>
          <w:rFonts w:ascii="Arial" w:hAnsi="Arial"/>
        </w:rPr>
      </w:pPr>
      <w:r>
        <w:rPr>
          <w:rFonts w:ascii="Arial" w:hAnsi="Arial"/>
        </w:rPr>
        <w:t>Destaca, asimismo, la colaboración creciente entre los órganos competentes del Ministerio del Interior con el Ministerio de Trabajo y Asuntos Sociales, tanto en las investigaciones de los fraudes en la contratación laboral con ocasión de solicitudes nominativas de los Contingentes como en la colaboración prestada  por los controladores laborales en las inspecciones y registros de clubes y establecimientos de toda índole que ocupan mano de obra femenina extranjera en situación irregular en nuestro país. Estas se llevan a cabo en el marco de la Instrucción de 15 de Febrero de 1994, sobre colaboración de las Fuerzas y Cuerpos de Seguridad del Estado con la inspección de Trabajo y Seguridad Social.</w:t>
      </w:r>
    </w:p>
    <w:p w:rsidR="00000000" w:rsidRDefault="00000000">
      <w:pPr>
        <w:jc w:val="both"/>
        <w:rPr>
          <w:rFonts w:ascii="Arial" w:hAnsi="Arial"/>
        </w:rPr>
      </w:pPr>
    </w:p>
    <w:p w:rsidR="00000000" w:rsidRDefault="00000000">
      <w:pPr>
        <w:jc w:val="both"/>
        <w:rPr>
          <w:rFonts w:ascii="Arial" w:hAnsi="Arial"/>
        </w:rPr>
      </w:pPr>
    </w:p>
    <w:p w:rsidR="00000000" w:rsidRDefault="00000000">
      <w:pPr>
        <w:tabs>
          <w:tab w:val="left" w:pos="709"/>
        </w:tabs>
        <w:jc w:val="both"/>
        <w:rPr>
          <w:rFonts w:ascii="Arial" w:hAnsi="Arial"/>
          <w:b/>
        </w:rPr>
      </w:pPr>
      <w:r>
        <w:rPr>
          <w:rFonts w:ascii="Arial" w:hAnsi="Arial"/>
          <w:b/>
        </w:rPr>
        <w:t xml:space="preserve">II. </w:t>
      </w:r>
      <w:r>
        <w:rPr>
          <w:rFonts w:ascii="Arial" w:hAnsi="Arial"/>
          <w:b/>
        </w:rPr>
        <w:tab/>
        <w:t>Modificaciones del ordenamiento jurídico.</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El actual ordenamiento jurídico español no impone sanción administrativa o penal para quienes ejercen la prostitución, aunque si tipifica como delito la conducta de quienes se benefician de la explotación sexual ajena. </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Código Penal de 1995 no se ocupó del problema emergente del </w:t>
      </w:r>
      <w:r>
        <w:rPr>
          <w:rFonts w:ascii="Arial" w:hAnsi="Arial"/>
          <w:b/>
        </w:rPr>
        <w:t>comercio sexual internacional</w:t>
      </w:r>
      <w:r>
        <w:rPr>
          <w:rFonts w:ascii="Arial" w:hAnsi="Arial"/>
        </w:rPr>
        <w:t xml:space="preserve">, cuestión que ha sido incorporada mediante la aprobación de la </w:t>
      </w:r>
      <w:r>
        <w:rPr>
          <w:rFonts w:ascii="Arial" w:hAnsi="Arial"/>
          <w:b/>
        </w:rPr>
        <w:t>Ley Orgánica 11/99</w:t>
      </w:r>
      <w:r>
        <w:rPr>
          <w:rFonts w:ascii="Arial" w:hAnsi="Arial"/>
        </w:rPr>
        <w:t xml:space="preserve">, de 30 de Abril, por la que se modifican algunos artículos del titulo VIII, del Libro II del Código Penal (De los delitos contra la libertad e indemnidad sexuales) que se refieren a la prostitución. </w:t>
      </w:r>
    </w:p>
    <w:p w:rsidR="00000000" w:rsidRDefault="00000000">
      <w:pPr>
        <w:jc w:val="both"/>
        <w:rPr>
          <w:rFonts w:ascii="Arial" w:hAnsi="Arial"/>
          <w:b/>
        </w:rPr>
      </w:pPr>
    </w:p>
    <w:p w:rsidR="00000000" w:rsidRDefault="00000000">
      <w:pPr>
        <w:pStyle w:val="BlockText"/>
        <w:ind w:left="0" w:right="0"/>
      </w:pPr>
      <w:r>
        <w:t>Respecto a los menores de edad o incapaces, el Código Penal tipifica como delito, la inducción, promoción, favorecimiento o facilitación de la prostitución de menor o incapaz, (artículo 187), y la ut</w:t>
      </w:r>
      <w:r>
        <w:t>i</w:t>
      </w:r>
      <w:r>
        <w:t>lización de menor o incapaz con fines o en espectáculos exhibicionistas o pornográficos, el comercio con pornografía de menores o incapaces y la omisión de impedir la continuación en la prostitución de un menor o incapaz, (artículo 189).</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lo que se refiere a la prostitución de adultos, el artículo 188, contempla la </w:t>
      </w:r>
      <w:r>
        <w:rPr>
          <w:rFonts w:ascii="Arial" w:hAnsi="Arial"/>
          <w:b/>
        </w:rPr>
        <w:t>regulación de los delitos relacionados con la prostitución y el favorecimiento del tráfico internacional de personas con fines de explotación sexual</w:t>
      </w:r>
      <w:r>
        <w:rPr>
          <w:rFonts w:ascii="Arial" w:hAnsi="Arial"/>
        </w:rPr>
        <w:t>.</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Establece, expresamente, en el primer párrafo, que </w:t>
      </w:r>
      <w:r>
        <w:rPr>
          <w:rFonts w:ascii="Arial" w:hAnsi="Arial"/>
          <w:i/>
        </w:rPr>
        <w:t>el que determine, empleando violencia, intimidación o engaño, o abusando de una situación de superioridad o de necesidad o vulnerabilidad de la víctima, a persona mayor de edad a ejercer la prostitución o a mantenerse en ella, será castigado con las penas de prisión de dos a cuatro años y multa de doce a veinticuatro meses</w:t>
      </w:r>
      <w:r>
        <w:rPr>
          <w:rFonts w:ascii="Arial" w:hAnsi="Arial"/>
        </w:rPr>
        <w:t>.</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De acuerdo con el párrafo segundo, será castigado con las mismas penas </w:t>
      </w:r>
      <w:r>
        <w:rPr>
          <w:rFonts w:ascii="Arial" w:hAnsi="Arial"/>
          <w:i/>
        </w:rPr>
        <w:t>el que directa o indirectamente favorezca la entrada, estancia o salida del territorio nacional de personas con el propósito de su explotación sexual empleando violencia, intimidación o engaño, o abusando de una situación de superioridad, de necesidad o vulnerabilidad de la víctima</w:t>
      </w:r>
      <w:r>
        <w:rPr>
          <w:rFonts w:ascii="Arial" w:hAnsi="Arial"/>
        </w:rPr>
        <w:t>.</w:t>
      </w:r>
    </w:p>
    <w:p w:rsidR="00000000" w:rsidRDefault="00000000">
      <w:pPr>
        <w:jc w:val="both"/>
        <w:rPr>
          <w:rFonts w:ascii="Arial" w:hAnsi="Arial"/>
        </w:rPr>
      </w:pPr>
    </w:p>
    <w:p w:rsidR="00000000" w:rsidRDefault="00000000">
      <w:pPr>
        <w:jc w:val="both"/>
        <w:rPr>
          <w:rFonts w:ascii="Arial" w:hAnsi="Arial"/>
        </w:rPr>
      </w:pPr>
      <w:r>
        <w:rPr>
          <w:rFonts w:ascii="Arial" w:hAnsi="Arial"/>
        </w:rPr>
        <w:t>Además, el Código Penal recoge que el autor de este delito será castigado, tanto si es un particular como una organización. En el caso de que el autor sea un funcionario público se agrava la pena y como accesoria se establece la inhabilitación absoluta.</w:t>
      </w:r>
    </w:p>
    <w:p w:rsidR="00000000" w:rsidRDefault="00000000">
      <w:pPr>
        <w:jc w:val="both"/>
        <w:rPr>
          <w:rFonts w:ascii="Arial" w:hAnsi="Arial"/>
        </w:rPr>
      </w:pPr>
    </w:p>
    <w:p w:rsidR="00000000" w:rsidRDefault="00000000">
      <w:pPr>
        <w:pStyle w:val="BlockText"/>
        <w:ind w:left="0" w:right="0"/>
      </w:pPr>
      <w:r>
        <w:t>Por otra parte, la reforma se preocupa de introducir una previsión específica, en el supuesto de que existan agresiones o abusos sexuales, además de la conducta de explotación de la prostitución o de tráfico con fines de explotación sexual, sancionándose ambos delitos por separado.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su parte, la </w:t>
      </w:r>
      <w:r>
        <w:rPr>
          <w:rFonts w:ascii="Arial" w:hAnsi="Arial"/>
          <w:b/>
        </w:rPr>
        <w:t xml:space="preserve">Ley Orgánica 4/2000, de 11 de enero, modificada por la Ley Orgánica 8/2000, de 22 de diciembre, sobre derechos y libertades de los extranjeros en España y su integración social </w:t>
      </w:r>
      <w:r>
        <w:rPr>
          <w:rFonts w:ascii="Arial" w:hAnsi="Arial"/>
        </w:rPr>
        <w:t xml:space="preserve">(Ley de Extranjería), en su artículo 59 prevé la posibilidad de que aquellas personas que se encuentren en situación irregular en España, y que como víctima, testigo o perjudicado de un acto de tráfico ilícito de seres humanos o de explotación de la prostitución cooperen o colaboren con la justicia, no serán expulsados de España y quedarán exentas de responsabilidad criminal. </w:t>
      </w:r>
    </w:p>
    <w:p w:rsidR="00000000" w:rsidRDefault="00000000">
      <w:pPr>
        <w:jc w:val="both"/>
        <w:rPr>
          <w:rFonts w:ascii="Arial" w:hAnsi="Arial"/>
        </w:rPr>
      </w:pPr>
    </w:p>
    <w:p w:rsidR="00000000" w:rsidRDefault="00000000">
      <w:pPr>
        <w:jc w:val="both"/>
        <w:rPr>
          <w:rFonts w:ascii="Arial" w:hAnsi="Arial"/>
        </w:rPr>
      </w:pPr>
      <w:r>
        <w:rPr>
          <w:rFonts w:ascii="Arial" w:hAnsi="Arial"/>
        </w:rPr>
        <w:t>Una vez concluido el proceso, se les faculta para elegir retornar a su país o permanecer en España, facilitándoles al efecto, la estancia, residencia e incluso un permiso de trabajo con facilidades para su integración social, en los términos que establece la propia Ley de Extranjería y en la normativa de desarrollo, (Real Decreto 864/20001, de 20 de julio, por el que se aprueba el reglamento de ejecución de dicha Ley).</w:t>
      </w:r>
    </w:p>
    <w:p w:rsidR="00000000" w:rsidRDefault="00000000">
      <w:pPr>
        <w:jc w:val="both"/>
        <w:rPr>
          <w:rFonts w:ascii="Arial" w:hAnsi="Arial"/>
        </w:rPr>
      </w:pPr>
    </w:p>
    <w:p w:rsidR="00000000" w:rsidRDefault="00000000">
      <w:pPr>
        <w:jc w:val="both"/>
        <w:rPr>
          <w:rFonts w:ascii="Arial" w:hAnsi="Arial"/>
        </w:rPr>
      </w:pPr>
      <w:r>
        <w:rPr>
          <w:rFonts w:ascii="Arial" w:hAnsi="Arial"/>
        </w:rPr>
        <w:t>El número de mujeres extranjeras que han obtenido permiso de residencia por ser testigos de procedimientos contra autores de delitos de tráfico de seres humanos con fines de explotación sexual, desde el día 1 de Agosto de 2001, es de 48.</w:t>
      </w:r>
    </w:p>
    <w:p w:rsidR="00000000" w:rsidRDefault="00000000">
      <w:pPr>
        <w:jc w:val="both"/>
        <w:rPr>
          <w:rFonts w:ascii="Arial" w:hAnsi="Arial"/>
        </w:rPr>
      </w:pPr>
    </w:p>
    <w:p w:rsidR="00000000" w:rsidRDefault="00000000">
      <w:pPr>
        <w:jc w:val="both"/>
        <w:rPr>
          <w:rFonts w:ascii="Arial" w:hAnsi="Arial"/>
        </w:rPr>
      </w:pPr>
      <w:r>
        <w:rPr>
          <w:rFonts w:ascii="Arial" w:hAnsi="Arial"/>
        </w:rPr>
        <w:t>De las 48 mujeres extranjeras, 18 son colombianas, 15 rusas, 11 rumanas, 1 brasileña, 1 búlgara, 1 nigeriana y 1 ucraniana.</w:t>
      </w:r>
    </w:p>
    <w:p w:rsidR="00000000" w:rsidRDefault="00000000">
      <w:pPr>
        <w:jc w:val="both"/>
        <w:rPr>
          <w:rFonts w:ascii="Arial" w:hAnsi="Arial"/>
        </w:rPr>
      </w:pPr>
    </w:p>
    <w:p w:rsidR="00000000" w:rsidRDefault="00000000">
      <w:pPr>
        <w:jc w:val="both"/>
        <w:rPr>
          <w:rFonts w:ascii="Arial" w:hAnsi="Arial"/>
        </w:rPr>
      </w:pPr>
      <w:r>
        <w:rPr>
          <w:rFonts w:ascii="Arial" w:hAnsi="Arial"/>
        </w:rPr>
        <w:t>Actualmente, se está tramitando por los mismos motivos, el permiso de residencia de otras 7 mujeres extranjeras.</w:t>
      </w:r>
    </w:p>
    <w:p w:rsidR="00000000" w:rsidRDefault="00000000">
      <w:pPr>
        <w:jc w:val="both"/>
        <w:rPr>
          <w:rFonts w:ascii="Arial" w:hAnsi="Arial"/>
        </w:rPr>
      </w:pPr>
    </w:p>
    <w:p w:rsidR="00000000" w:rsidRDefault="00000000">
      <w:pPr>
        <w:jc w:val="both"/>
        <w:rPr>
          <w:rFonts w:ascii="Arial" w:hAnsi="Arial"/>
        </w:rPr>
      </w:pPr>
      <w:r>
        <w:rPr>
          <w:rFonts w:ascii="Arial" w:hAnsi="Arial"/>
        </w:rPr>
        <w:t>En cualquier caso, además se les podrá aplicar las medidas comprendidas en la Ley Orgánica 19/1994, de 23 de Diciembre, de protección de testigos y peritos en causas criminales, puesto que dicha Ley no distingue entre nacionales y extranjeros.</w:t>
      </w:r>
    </w:p>
    <w:p w:rsidR="00000000" w:rsidRDefault="00000000">
      <w:pPr>
        <w:jc w:val="both"/>
        <w:rPr>
          <w:rFonts w:ascii="Arial" w:hAnsi="Arial"/>
        </w:rPr>
      </w:pPr>
    </w:p>
    <w:p w:rsidR="00000000" w:rsidRDefault="00000000">
      <w:pPr>
        <w:pStyle w:val="BlockText"/>
        <w:ind w:left="0" w:right="0"/>
        <w:rPr>
          <w:i/>
          <w:sz w:val="20"/>
        </w:rPr>
      </w:pPr>
      <w:r>
        <w:rPr>
          <w:sz w:val="20"/>
        </w:rPr>
        <w:t>La provisión a las víctimas del tráfico de seres humanos y de la explotación de la prostitución, de asistencia j</w:t>
      </w:r>
      <w:r>
        <w:rPr>
          <w:sz w:val="20"/>
        </w:rPr>
        <w:t>u</w:t>
      </w:r>
      <w:r>
        <w:rPr>
          <w:sz w:val="20"/>
        </w:rPr>
        <w:t xml:space="preserve">rídica gratuita, en caso de ser necesaria en los procedimientos judiciales deriva del artículo 22 que establece que </w:t>
      </w:r>
      <w:r>
        <w:rPr>
          <w:i/>
          <w:sz w:val="20"/>
        </w:rPr>
        <w:t>todo extranjero tendrá derecho a asistencia jurídica gratuita en los procedimientos administrativos o jud</w:t>
      </w:r>
      <w:r>
        <w:rPr>
          <w:i/>
          <w:sz w:val="20"/>
        </w:rPr>
        <w:t>i</w:t>
      </w:r>
      <w:r>
        <w:rPr>
          <w:i/>
          <w:sz w:val="20"/>
        </w:rPr>
        <w:t>ciales que pueda conllevar salida o expulsión del territorio español, así como en los de asilo, e igualmente te</w:t>
      </w:r>
      <w:r>
        <w:rPr>
          <w:i/>
          <w:sz w:val="20"/>
        </w:rPr>
        <w:t>n</w:t>
      </w:r>
      <w:r>
        <w:rPr>
          <w:i/>
          <w:sz w:val="20"/>
        </w:rPr>
        <w:t>drá derecho a interprete en estos procesos.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marco normativo penal se completa con la aprobación de la </w:t>
      </w:r>
      <w:r>
        <w:rPr>
          <w:rFonts w:ascii="Arial" w:hAnsi="Arial"/>
          <w:b/>
        </w:rPr>
        <w:t>Ley Orgánica 6/2000, de 4 de Octubre, por la que se autoriza la ratificación por España del Estatuto de la Corte Penal Internacional</w:t>
      </w:r>
      <w:r>
        <w:rPr>
          <w:rFonts w:ascii="Arial" w:hAnsi="Arial"/>
        </w:rPr>
        <w:t>. De acuerdo con este instrumento, las actuaciones de la Corte Penal gozarán de carácter complementario de las jurisdicciones penales nacionales de los países firmantes.</w:t>
      </w:r>
    </w:p>
    <w:p w:rsidR="00000000" w:rsidRDefault="00000000">
      <w:pPr>
        <w:jc w:val="both"/>
        <w:rPr>
          <w:rFonts w:ascii="Arial" w:hAnsi="Arial"/>
        </w:rPr>
      </w:pPr>
    </w:p>
    <w:p w:rsidR="00000000" w:rsidRDefault="00000000">
      <w:pPr>
        <w:jc w:val="both"/>
        <w:rPr>
          <w:rFonts w:ascii="Arial" w:hAnsi="Arial"/>
        </w:rPr>
      </w:pPr>
    </w:p>
    <w:p w:rsidR="00000000" w:rsidRDefault="00000000">
      <w:pPr>
        <w:tabs>
          <w:tab w:val="left" w:pos="709"/>
        </w:tabs>
        <w:jc w:val="both"/>
        <w:rPr>
          <w:rFonts w:ascii="Arial" w:hAnsi="Arial"/>
          <w:b/>
        </w:rPr>
      </w:pPr>
      <w:r>
        <w:rPr>
          <w:rFonts w:ascii="Arial" w:hAnsi="Arial"/>
          <w:b/>
        </w:rPr>
        <w:t>III.</w:t>
      </w:r>
      <w:r>
        <w:rPr>
          <w:rFonts w:ascii="Arial" w:hAnsi="Arial"/>
          <w:b/>
        </w:rPr>
        <w:tab/>
        <w:t>Políticas y programas</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Por lo que respecta a las actuaciones promovidas por el Instituto de la Mujer, este organismo ha impulsado en el marco de los Planes de Igualdad de Oportunidades y concretamente en el III Plan, medidas tendentes a luchar contra el tráfico de mujeres y niñas y la explotación sexual. </w:t>
      </w:r>
    </w:p>
    <w:p w:rsidR="00000000" w:rsidRDefault="00000000">
      <w:pPr>
        <w:jc w:val="both"/>
        <w:rPr>
          <w:rFonts w:ascii="Arial" w:hAnsi="Arial"/>
        </w:rPr>
      </w:pPr>
    </w:p>
    <w:p w:rsidR="00000000" w:rsidRDefault="00000000">
      <w:pPr>
        <w:jc w:val="both"/>
        <w:rPr>
          <w:rFonts w:ascii="Arial" w:hAnsi="Arial"/>
        </w:rPr>
      </w:pPr>
      <w:r>
        <w:rPr>
          <w:rFonts w:ascii="Arial" w:hAnsi="Arial"/>
        </w:rPr>
        <w:br w:type="page"/>
        <w:t xml:space="preserve">Entre las actuaciones cabe destacar: </w:t>
      </w:r>
    </w:p>
    <w:p w:rsidR="00000000" w:rsidRDefault="00000000">
      <w:pPr>
        <w:jc w:val="both"/>
        <w:rPr>
          <w:rFonts w:ascii="Arial" w:hAnsi="Arial"/>
        </w:rPr>
      </w:pPr>
    </w:p>
    <w:p w:rsidR="00000000" w:rsidRDefault="00000000">
      <w:pPr>
        <w:jc w:val="both"/>
        <w:rPr>
          <w:rFonts w:ascii="Arial" w:hAnsi="Arial"/>
        </w:rPr>
      </w:pPr>
      <w:r>
        <w:rPr>
          <w:rFonts w:ascii="Arial" w:hAnsi="Arial"/>
        </w:rPr>
        <w:t>El Impulso de las reformas legislativas ya indicadas.</w:t>
      </w:r>
    </w:p>
    <w:p w:rsidR="00000000" w:rsidRDefault="00000000">
      <w:pPr>
        <w:jc w:val="both"/>
        <w:rPr>
          <w:rFonts w:ascii="Arial" w:hAnsi="Arial"/>
        </w:rPr>
      </w:pPr>
    </w:p>
    <w:p w:rsidR="00000000" w:rsidRDefault="00000000">
      <w:pPr>
        <w:jc w:val="both"/>
        <w:rPr>
          <w:rFonts w:ascii="Arial" w:hAnsi="Arial"/>
        </w:rPr>
      </w:pPr>
      <w:r>
        <w:rPr>
          <w:rFonts w:ascii="Arial" w:hAnsi="Arial"/>
        </w:rPr>
        <w:t>La concesión anual de subvenciones a ONG que trabajan en la reinserción y apoyo a las prostitutas y a las víctimas del tráfico.</w:t>
      </w:r>
    </w:p>
    <w:p w:rsidR="00000000" w:rsidRDefault="00000000">
      <w:pPr>
        <w:jc w:val="both"/>
        <w:rPr>
          <w:rFonts w:ascii="Arial" w:hAnsi="Arial"/>
        </w:rPr>
      </w:pPr>
    </w:p>
    <w:p w:rsidR="00000000" w:rsidRDefault="00000000">
      <w:pPr>
        <w:jc w:val="both"/>
        <w:rPr>
          <w:rFonts w:ascii="Arial" w:hAnsi="Arial"/>
        </w:rPr>
      </w:pPr>
      <w:r>
        <w:rPr>
          <w:rFonts w:ascii="Arial" w:hAnsi="Arial"/>
        </w:rPr>
        <w:t>De 1999 a 2001 se han subvencionado desde el Instituto de la Mujer, con cargo a la asignación del IRPF, diversos programas específicos de asociaciones dedicadas a la atención, prevención y reinserción de mujeres víctimas del tráfico y la prostitución.</w:t>
      </w:r>
    </w:p>
    <w:p w:rsidR="00000000" w:rsidRDefault="00000000">
      <w:pPr>
        <w:jc w:val="both"/>
        <w:rPr>
          <w:rFonts w:ascii="Arial" w:hAnsi="Arial"/>
        </w:rPr>
      </w:pPr>
    </w:p>
    <w:p w:rsidR="00000000" w:rsidRDefault="00000000">
      <w:pPr>
        <w:jc w:val="both"/>
        <w:rPr>
          <w:rFonts w:ascii="Arial" w:hAnsi="Arial"/>
        </w:rPr>
      </w:pPr>
      <w:r>
        <w:rPr>
          <w:rFonts w:ascii="Arial" w:hAnsi="Arial"/>
        </w:rPr>
        <w:t>Los dos Planes contra la Violencia Doméstica aprobados por el gobierno español, desde 1998, (ver informe a la Recomendación nº 19), constituyen asimismo, indirectamente, herramientas en el ámbito de la lucha contra el tráfico de mujeres y niñas y la explotación de la prostitución.</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otro lado, cabe destacar la aprobación de un </w:t>
      </w:r>
      <w:r>
        <w:rPr>
          <w:rFonts w:ascii="Arial" w:hAnsi="Arial"/>
          <w:b/>
        </w:rPr>
        <w:t>Plan de acción contra la explotación sexual de menores 2002 - 2003</w:t>
      </w:r>
      <w:r>
        <w:rPr>
          <w:rFonts w:ascii="Arial" w:hAnsi="Arial"/>
        </w:rPr>
        <w:t>, coordinado por la Dirección General de Acción Social, el Menor y la Familia, del Ministerio de Trabajo y Asuntos Sociales y en el que han participado las Comunidades Autónomas, la Federación Española de Municipios y Provincias y ONG así como otras instituciones.</w:t>
      </w:r>
    </w:p>
    <w:p w:rsidR="00000000" w:rsidRDefault="00000000">
      <w:pPr>
        <w:jc w:val="both"/>
        <w:rPr>
          <w:rFonts w:ascii="Arial" w:hAnsi="Arial"/>
        </w:rPr>
      </w:pPr>
    </w:p>
    <w:p w:rsidR="00000000" w:rsidRDefault="00000000">
      <w:pPr>
        <w:jc w:val="both"/>
        <w:rPr>
          <w:rFonts w:ascii="Arial" w:hAnsi="Arial"/>
        </w:rPr>
      </w:pPr>
      <w:r>
        <w:rPr>
          <w:rFonts w:ascii="Arial" w:hAnsi="Arial"/>
        </w:rPr>
        <w:t>Entre las actuaciones del mencionado Plan, merece especial mención el trabajo desarrollado por los Cuerpos Especializados de las Fuerzas de Seguridad del Estado: Grupo de delitos de alta tecnología de la Guardia Civil y Grupo de delitos informáticos de la Policía para hacer frente a la expansión de nuevas formas delictivas apoyadas en las nuevas tecnologías.</w:t>
      </w:r>
    </w:p>
    <w:p w:rsidR="00000000" w:rsidRDefault="00000000">
      <w:pPr>
        <w:jc w:val="both"/>
        <w:rPr>
          <w:rFonts w:ascii="Arial" w:hAnsi="Arial"/>
        </w:rPr>
      </w:pPr>
    </w:p>
    <w:p w:rsidR="00000000" w:rsidRDefault="00000000">
      <w:pPr>
        <w:jc w:val="both"/>
        <w:rPr>
          <w:rFonts w:ascii="Arial" w:hAnsi="Arial"/>
        </w:rPr>
      </w:pPr>
      <w:r>
        <w:rPr>
          <w:rFonts w:ascii="Arial" w:hAnsi="Arial"/>
        </w:rPr>
        <w:t>Junto con las actividades de los Organismos mencionados y las actuaciones que desarrollan las Comunidades Autónomas en el ámbito de sus competencias, otras Instituciones y Organizaciones trabajan en este tema.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Así, las Cortes Generales, a través de la </w:t>
      </w:r>
      <w:r>
        <w:rPr>
          <w:rFonts w:ascii="Arial" w:hAnsi="Arial"/>
          <w:b/>
        </w:rPr>
        <w:t>Comisión Mixta de los Derechos de la Mujer</w:t>
      </w:r>
      <w:r>
        <w:rPr>
          <w:rFonts w:ascii="Arial" w:hAnsi="Arial"/>
        </w:rPr>
        <w:t xml:space="preserve"> estudian también la problemática del tráfico internacional de mujeres, niñas y niños, con el objetivo de promover actuaciones concretas y soluciones conducentes a prevenir, reprimir y sancionar las formas nuevas que está adoptando el mercado global del sexo.</w:t>
      </w:r>
    </w:p>
    <w:p w:rsidR="00000000" w:rsidRDefault="00000000">
      <w:pPr>
        <w:jc w:val="both"/>
        <w:rPr>
          <w:rFonts w:ascii="Arial" w:hAnsi="Arial"/>
        </w:rPr>
      </w:pPr>
    </w:p>
    <w:p w:rsidR="00000000" w:rsidRDefault="00000000">
      <w:pPr>
        <w:jc w:val="both"/>
        <w:rPr>
          <w:rFonts w:ascii="Arial" w:hAnsi="Arial"/>
        </w:rPr>
      </w:pPr>
      <w:r>
        <w:rPr>
          <w:rFonts w:ascii="Arial" w:hAnsi="Arial"/>
        </w:rPr>
        <w:t>En el ámbito internacional cabe destacar que nuestro país apoya los esfuerzos que en distintos foros se han emprendido en los últimos años, para intensificar la lucha contra el tráfico de seres humanos y en concreto de mujeres y niños.</w:t>
      </w:r>
    </w:p>
    <w:p w:rsidR="00000000" w:rsidRDefault="00000000">
      <w:pPr>
        <w:jc w:val="both"/>
        <w:rPr>
          <w:rFonts w:ascii="Arial" w:hAnsi="Arial"/>
        </w:rPr>
      </w:pPr>
    </w:p>
    <w:p w:rsidR="00000000" w:rsidRDefault="00000000">
      <w:pPr>
        <w:jc w:val="both"/>
        <w:rPr>
          <w:rFonts w:ascii="Arial" w:hAnsi="Arial"/>
          <w:b/>
        </w:rPr>
      </w:pPr>
      <w:r>
        <w:rPr>
          <w:rFonts w:ascii="Arial" w:hAnsi="Arial"/>
        </w:rPr>
        <w:t xml:space="preserve">En el marco de Naciones Unidas, cabe destacar la firma, el 15 de Diciembre de 2000, por nuestro país de la </w:t>
      </w:r>
      <w:r>
        <w:rPr>
          <w:rFonts w:ascii="Arial" w:hAnsi="Arial"/>
          <w:b/>
        </w:rPr>
        <w:t>Convención contra la Delincuencia Organizada Transnacional y sus Protocolos anejos: Protocolo para prevenir, reprimir y sancionar la trata de personas, especialmente de mujeres y niñas y el protocolo contra el tráfico de inmigrantes por tierra, mar y aire.</w:t>
      </w:r>
    </w:p>
    <w:p w:rsidR="00000000" w:rsidRDefault="00000000">
      <w:pPr>
        <w:jc w:val="both"/>
        <w:rPr>
          <w:rFonts w:ascii="Arial" w:hAnsi="Arial"/>
        </w:rPr>
      </w:pPr>
    </w:p>
    <w:p w:rsidR="00000000" w:rsidRDefault="00000000">
      <w:pPr>
        <w:jc w:val="both"/>
        <w:rPr>
          <w:rFonts w:ascii="Arial" w:hAnsi="Arial"/>
        </w:rPr>
      </w:pPr>
      <w:r>
        <w:rPr>
          <w:rFonts w:ascii="Arial" w:hAnsi="Arial"/>
        </w:rPr>
        <w:t>España participa plenamente, también, en las iniciativas y actividades de la Unión Europea en el desarrollo de políticas y programas relacionados con la violencia contra las mujeres en general y con la trata de mujeres y niños en particular. Entre las iniciativas más recientes cabe mencionar:</w:t>
      </w:r>
    </w:p>
    <w:p w:rsidR="00000000" w:rsidRDefault="00000000">
      <w:pPr>
        <w:jc w:val="both"/>
        <w:rPr>
          <w:rFonts w:ascii="Arial" w:hAnsi="Arial"/>
        </w:rPr>
      </w:pPr>
    </w:p>
    <w:p w:rsidR="00000000" w:rsidRDefault="00000000">
      <w:pPr>
        <w:jc w:val="both"/>
        <w:rPr>
          <w:rFonts w:ascii="Arial" w:hAnsi="Arial"/>
        </w:rPr>
      </w:pPr>
      <w:r>
        <w:rPr>
          <w:rFonts w:ascii="Arial" w:hAnsi="Arial"/>
          <w:b/>
        </w:rPr>
        <w:t>Programa Daphne</w:t>
      </w:r>
      <w:r>
        <w:rPr>
          <w:rFonts w:ascii="Arial" w:hAnsi="Arial"/>
        </w:rPr>
        <w:t xml:space="preserve"> sobre medidas preventivas destinadas a combatir la violencia ejercida contra los niños, las adolescentes y mujeres (2000-2003). El Programa dotado con 20 millones de euros, pretende contribuir a la protección de los niños, adolescentes y mujeres contra la violencia, incluida la explotación y el abuso sexual, a través de la prevención de la violencia y de ayudar a las víctimas. Asimismo pretende apoyar a las ONG y Organizaciones que trabajan en este campo. Entre otras se financian:</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Acciones transnacionales, destinadas a establecer redes multidisciplinares y a garantizar el intercambio de información, buenas prácticas y cooperación a nivel comunitario.</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Acciones transnacionales dirigidas a sensibilizar a la opinión pública.</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Acciones complementarias.</w:t>
      </w:r>
    </w:p>
    <w:p w:rsidR="00000000" w:rsidRDefault="00000000">
      <w:pPr>
        <w:tabs>
          <w:tab w:val="num" w:pos="502"/>
        </w:tabs>
        <w:jc w:val="both"/>
        <w:rPr>
          <w:rFonts w:ascii="Arial" w:hAnsi="Arial"/>
        </w:rPr>
      </w:pPr>
    </w:p>
    <w:p w:rsidR="00000000" w:rsidRDefault="00000000">
      <w:pPr>
        <w:jc w:val="both"/>
        <w:rPr>
          <w:rFonts w:ascii="Arial" w:hAnsi="Arial"/>
        </w:rPr>
      </w:pPr>
      <w:r>
        <w:rPr>
          <w:rFonts w:ascii="Arial" w:hAnsi="Arial"/>
        </w:rPr>
        <w:t>De los 415 proyectos presentados a la Comisión en el año 2000, esta seleccionó un total de 47, de los cuales, 6 de Asociaciones españolas.</w:t>
      </w:r>
    </w:p>
    <w:p w:rsidR="00000000" w:rsidRDefault="00000000">
      <w:pPr>
        <w:jc w:val="both"/>
        <w:rPr>
          <w:rFonts w:ascii="Arial" w:hAnsi="Arial"/>
        </w:rPr>
      </w:pPr>
    </w:p>
    <w:p w:rsidR="00000000" w:rsidRDefault="00000000">
      <w:pPr>
        <w:jc w:val="both"/>
        <w:rPr>
          <w:rFonts w:ascii="Arial" w:hAnsi="Arial"/>
        </w:rPr>
      </w:pPr>
      <w:r>
        <w:rPr>
          <w:rFonts w:ascii="Arial" w:hAnsi="Arial"/>
          <w:b/>
        </w:rPr>
        <w:t>Programa STOP.</w:t>
      </w:r>
      <w:r>
        <w:rPr>
          <w:rFonts w:ascii="Arial" w:hAnsi="Arial"/>
        </w:rPr>
        <w:t xml:space="preserve"> Programa de fomento, intercambios, formación y cooperación dirigido a responsables de la ayuda a las víctimas y de la prevención y lucha contra la trata de seres humanos y explotación sexual de los niños, como jueces, fiscales, autoridades policiales y aduaneras, responsables de servicios públicos de atención a inmigración y controles fronterizos, responsables de los servicios sociales, investigadores y representantes de ONG y voluntariado.</w:t>
      </w:r>
    </w:p>
    <w:p w:rsidR="00000000" w:rsidRDefault="00000000">
      <w:pPr>
        <w:jc w:val="both"/>
        <w:rPr>
          <w:rFonts w:ascii="Arial" w:hAnsi="Arial"/>
        </w:rPr>
      </w:pPr>
    </w:p>
    <w:p w:rsidR="00000000" w:rsidRDefault="00000000">
      <w:pPr>
        <w:jc w:val="both"/>
        <w:rPr>
          <w:rFonts w:ascii="Arial" w:hAnsi="Arial"/>
        </w:rPr>
      </w:pPr>
      <w:r>
        <w:rPr>
          <w:rFonts w:ascii="Arial" w:hAnsi="Arial"/>
        </w:rPr>
        <w:t>La primera fase STOP I (1996-2000) contó con un presupuesto de 6,5 Millones de Euros y, actualmente, con la segunda fase STOP II (2001-2002) un presupuesto de 4 Millones de Euros, dividido a partes iguales entre los dos años de su duración.</w:t>
      </w:r>
    </w:p>
    <w:p w:rsidR="00000000" w:rsidRDefault="00000000">
      <w:pPr>
        <w:jc w:val="both"/>
        <w:rPr>
          <w:rFonts w:ascii="Arial" w:hAnsi="Arial"/>
        </w:rPr>
      </w:pPr>
    </w:p>
    <w:p w:rsidR="00000000" w:rsidRDefault="00000000">
      <w:pPr>
        <w:jc w:val="both"/>
        <w:rPr>
          <w:rFonts w:ascii="Arial" w:hAnsi="Arial"/>
        </w:rPr>
      </w:pPr>
      <w:r>
        <w:rPr>
          <w:rFonts w:ascii="Arial" w:hAnsi="Arial"/>
        </w:rPr>
        <w:t>El programa comprende los siguientes tipos de acciones cofinanciables:</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formación;</w:t>
      </w:r>
    </w:p>
    <w:p w:rsidR="00000000" w:rsidRDefault="00000000">
      <w:pPr>
        <w:numPr>
          <w:ilvl w:val="0"/>
          <w:numId w:val="1494"/>
        </w:numPr>
        <w:tabs>
          <w:tab w:val="clear" w:pos="720"/>
        </w:tabs>
        <w:ind w:left="216" w:hanging="216"/>
        <w:jc w:val="both"/>
        <w:rPr>
          <w:rFonts w:ascii="Arial" w:hAnsi="Arial"/>
        </w:rPr>
      </w:pPr>
      <w:r>
        <w:rPr>
          <w:rFonts w:ascii="Arial" w:hAnsi="Arial"/>
        </w:rPr>
        <w:t>intercambios y períodos de prácticas;</w:t>
      </w:r>
    </w:p>
    <w:p w:rsidR="00000000" w:rsidRDefault="00000000">
      <w:pPr>
        <w:numPr>
          <w:ilvl w:val="0"/>
          <w:numId w:val="1494"/>
        </w:numPr>
        <w:tabs>
          <w:tab w:val="clear" w:pos="720"/>
        </w:tabs>
        <w:ind w:left="216" w:hanging="216"/>
        <w:jc w:val="both"/>
        <w:rPr>
          <w:rFonts w:ascii="Arial" w:hAnsi="Arial"/>
        </w:rPr>
      </w:pPr>
      <w:r>
        <w:rPr>
          <w:rFonts w:ascii="Arial" w:hAnsi="Arial"/>
        </w:rPr>
        <w:t>estudios e investigaciones;</w:t>
      </w:r>
    </w:p>
    <w:p w:rsidR="00000000" w:rsidRDefault="00000000">
      <w:pPr>
        <w:numPr>
          <w:ilvl w:val="0"/>
          <w:numId w:val="1494"/>
        </w:numPr>
        <w:tabs>
          <w:tab w:val="clear" w:pos="720"/>
        </w:tabs>
        <w:ind w:left="216" w:hanging="216"/>
        <w:jc w:val="both"/>
        <w:rPr>
          <w:rFonts w:ascii="Arial" w:hAnsi="Arial"/>
        </w:rPr>
      </w:pPr>
      <w:r>
        <w:rPr>
          <w:rFonts w:ascii="Arial" w:hAnsi="Arial"/>
        </w:rPr>
        <w:t>encuentros y seminarios;</w:t>
      </w:r>
    </w:p>
    <w:p w:rsidR="00000000" w:rsidRDefault="00000000">
      <w:pPr>
        <w:numPr>
          <w:ilvl w:val="0"/>
          <w:numId w:val="1494"/>
        </w:numPr>
        <w:tabs>
          <w:tab w:val="clear" w:pos="720"/>
        </w:tabs>
        <w:ind w:left="216" w:hanging="216"/>
        <w:jc w:val="both"/>
        <w:rPr>
          <w:rFonts w:ascii="Arial" w:hAnsi="Arial"/>
        </w:rPr>
      </w:pPr>
      <w:r>
        <w:rPr>
          <w:rFonts w:ascii="Arial" w:hAnsi="Arial"/>
        </w:rPr>
        <w:t>difusión de los resultados obtenidos en el marco del programa.</w:t>
      </w:r>
    </w:p>
    <w:p w:rsidR="00000000" w:rsidRDefault="00000000">
      <w:pPr>
        <w:jc w:val="both"/>
        <w:rPr>
          <w:rFonts w:ascii="Arial" w:hAnsi="Arial"/>
        </w:rPr>
      </w:pPr>
    </w:p>
    <w:p w:rsidR="00000000" w:rsidRDefault="00000000">
      <w:pPr>
        <w:jc w:val="both"/>
        <w:rPr>
          <w:rFonts w:ascii="Arial" w:hAnsi="Arial"/>
        </w:rPr>
      </w:pPr>
      <w:r>
        <w:rPr>
          <w:rFonts w:ascii="Arial" w:hAnsi="Arial"/>
        </w:rPr>
        <w:t>De los 55 proyectos presentados a la Comisión en el año 2000, esta ha seleccionado un total de 18, de los cuales, uno de una entidad española.</w:t>
      </w:r>
    </w:p>
    <w:p w:rsidR="00000000" w:rsidRDefault="00000000">
      <w:pPr>
        <w:jc w:val="both"/>
        <w:rPr>
          <w:rFonts w:ascii="Arial" w:hAnsi="Arial"/>
        </w:rPr>
      </w:pPr>
    </w:p>
    <w:p w:rsidR="00000000" w:rsidRDefault="00000000">
      <w:pPr>
        <w:jc w:val="both"/>
        <w:rPr>
          <w:rFonts w:ascii="Arial" w:hAnsi="Arial"/>
        </w:rPr>
      </w:pPr>
      <w:r>
        <w:rPr>
          <w:rFonts w:ascii="Arial" w:hAnsi="Arial"/>
        </w:rPr>
        <w:t>El seminario sobre “</w:t>
      </w:r>
      <w:r>
        <w:rPr>
          <w:rFonts w:ascii="Arial" w:hAnsi="Arial"/>
          <w:b/>
        </w:rPr>
        <w:t>Tráfico de seres humanos y explotación sexual de mujeres y menores de edad</w:t>
      </w:r>
      <w:r>
        <w:rPr>
          <w:rFonts w:ascii="Arial" w:hAnsi="Arial"/>
        </w:rPr>
        <w:t>”, celebrado en Madrid los días 29 y 30 de Noviembre de 2000, organizado por la Comisaría General de Extranjería y Documentación de la Dirección General de la Policía en España.  Seminario que involucró a los Estados miembros de la UE, los Países del Centro y Este de Europa y países de América Latina, para debatir la situación del tráfico de mujeres y niños. El proyecto se centró en los problemas del tráfico hacia España desde América Latina, el Este de Europa y el Africa Subsahariana. Los asistentes al seminario compartieron experiencias y conocimientos de la situación actual.</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rPr>
      </w:pPr>
      <w:r>
        <w:rPr>
          <w:rFonts w:ascii="Arial" w:hAnsi="Arial"/>
        </w:rPr>
        <w:t xml:space="preserve">Nuestro país ha venido apoyando también los trabajos de otras Organizaciones Internacionales, como el </w:t>
      </w:r>
      <w:r>
        <w:rPr>
          <w:rFonts w:ascii="Arial" w:hAnsi="Arial"/>
          <w:b/>
        </w:rPr>
        <w:t>Consejo de Europa</w:t>
      </w:r>
      <w:r>
        <w:rPr>
          <w:rFonts w:ascii="Arial" w:hAnsi="Arial"/>
        </w:rPr>
        <w:t xml:space="preserve">, a través del Comité Director para la igualdad entre mujeres y hombres, en el que se encuentra representado el Instituto de la Mujer, que en los últimos años ha abordado intensamente el fenómeno del tráfico de seres humanos, elaborando la </w:t>
      </w:r>
      <w:r>
        <w:rPr>
          <w:rFonts w:ascii="Arial" w:hAnsi="Arial"/>
          <w:b/>
        </w:rPr>
        <w:t>Recomendación (2000) 11</w:t>
      </w:r>
      <w:r>
        <w:rPr>
          <w:rFonts w:ascii="Arial" w:hAnsi="Arial"/>
        </w:rPr>
        <w:t xml:space="preserve">, adoptada por el Comité de Ministros con fecha 19 de mayo de 2000, </w:t>
      </w:r>
      <w:r>
        <w:rPr>
          <w:rFonts w:ascii="Arial" w:hAnsi="Arial"/>
          <w:b/>
        </w:rPr>
        <w:t>relativa a la lucha contra el tráfico de seres humanos con fines de explotación sexual</w:t>
      </w:r>
      <w:r>
        <w:rPr>
          <w:rFonts w:ascii="Arial" w:hAnsi="Arial"/>
        </w:rPr>
        <w:t xml:space="preserve">, instrumento de gran utilidad para el diseño y desarrollo de las políticas nacionales en la materia. </w:t>
      </w:r>
    </w:p>
    <w:p w:rsidR="00000000" w:rsidRDefault="00000000">
      <w:pPr>
        <w:pStyle w:val="Heading9"/>
      </w:pPr>
      <w:r>
        <w:t>Artículo 7: Vida política y pública</w:t>
      </w:r>
    </w:p>
    <w:p w:rsidR="00000000" w:rsidRDefault="00000000">
      <w:pPr>
        <w:jc w:val="both"/>
        <w:rPr>
          <w:rFonts w:ascii="Arial" w:hAnsi="Arial"/>
        </w:rPr>
      </w:pPr>
    </w:p>
    <w:p w:rsidR="00000000" w:rsidRDefault="00000000">
      <w:pPr>
        <w:pStyle w:val="Heading9"/>
      </w:pPr>
      <w:r>
        <w:t>I.  Situación actual</w:t>
      </w:r>
    </w:p>
    <w:p w:rsidR="00000000" w:rsidRDefault="00000000">
      <w:pPr>
        <w:jc w:val="both"/>
        <w:rPr>
          <w:rFonts w:ascii="Arial" w:hAnsi="Arial"/>
        </w:rPr>
      </w:pPr>
    </w:p>
    <w:p w:rsidR="00000000" w:rsidRDefault="00000000">
      <w:pPr>
        <w:pStyle w:val="BlockText"/>
        <w:ind w:left="0" w:right="0"/>
        <w:rPr>
          <w:sz w:val="20"/>
        </w:rPr>
      </w:pPr>
      <w:r>
        <w:rPr>
          <w:sz w:val="20"/>
        </w:rPr>
        <w:t>El artículo 23 de la Constitución establece el derecho de todos los ciudadanos y ciudadanas a participar en los asuntos públicos, directamente o por medio de representantes y a acceder, en condiciones de igualdad, a las funciones y cargos públicos con los requisitos que marquen las leyes.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Comenzando por la </w:t>
      </w:r>
      <w:r>
        <w:rPr>
          <w:rFonts w:ascii="Arial" w:hAnsi="Arial"/>
          <w:b/>
        </w:rPr>
        <w:t>representación política</w:t>
      </w:r>
      <w:r>
        <w:rPr>
          <w:rFonts w:ascii="Arial" w:hAnsi="Arial"/>
        </w:rPr>
        <w:t xml:space="preserve"> de las mujeres españolas podemos decir que ha aumentado a todos los niveles; europeo, nacional, regional y local y en todos los ámbitos de decisión: ejecutivo, legislativo y judicial.</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Sí observamos los datos de las últimas elecciones al </w:t>
      </w:r>
      <w:r>
        <w:rPr>
          <w:rFonts w:ascii="Arial" w:hAnsi="Arial"/>
          <w:b/>
        </w:rPr>
        <w:t>Parlamento Europeo</w:t>
      </w:r>
      <w:r>
        <w:rPr>
          <w:rFonts w:ascii="Arial" w:hAnsi="Arial"/>
        </w:rPr>
        <w:t>, celebradas en 1999, las mujeres ocupan el 34.38 % de los 64 escaños que le corresponden al Estado español, un 1.57% más que durante la anterior legislatura y un porcentaje superior a la media de toda la Unión Europea (29.71%).</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Respecto al </w:t>
      </w:r>
      <w:r>
        <w:rPr>
          <w:rFonts w:ascii="Arial" w:hAnsi="Arial"/>
          <w:b/>
        </w:rPr>
        <w:t>Congreso de los Diputados</w:t>
      </w:r>
      <w:r>
        <w:rPr>
          <w:rFonts w:ascii="Arial" w:hAnsi="Arial"/>
        </w:rPr>
        <w:t>, en la tabla adjunta se aprecia que la representación femenina en la última legislatura es bastante más elevada que en la anterior. Así, en la legislatura 1996-2000, de los 350 escaños del Congreso 77 estaban ocupados por mujeres, lo que supone el 22% del total de escaños. En la actual legislatura 2000-2004 este porcentaje ha ascendido al 28,29%, es decir, 99 de los 350 están ocupados por una mujer. Sobre el punto de partida, ha habido, por tanto, un incremento del 28,57% de la presencia femenina.</w:t>
      </w:r>
    </w:p>
    <w:p w:rsidR="00000000" w:rsidRDefault="00000000">
      <w:pPr>
        <w:jc w:val="both"/>
        <w:rPr>
          <w:rFonts w:ascii="Arial" w:hAnsi="Arial"/>
        </w:rPr>
      </w:pPr>
    </w:p>
    <w:p w:rsidR="00000000" w:rsidRDefault="00000000">
      <w:pPr>
        <w:jc w:val="both"/>
        <w:rPr>
          <w:rFonts w:ascii="Arial" w:hAnsi="Arial"/>
        </w:rPr>
      </w:pPr>
    </w:p>
    <w:tbl>
      <w:tblPr>
        <w:tblW w:w="0" w:type="auto"/>
        <w:tblInd w:w="2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7"/>
        <w:gridCol w:w="1276"/>
        <w:gridCol w:w="1276"/>
        <w:gridCol w:w="1134"/>
      </w:tblGrid>
      <w:tr w:rsidR="00000000">
        <w:tblPrEx>
          <w:tblCellMar>
            <w:top w:w="0" w:type="dxa"/>
            <w:bottom w:w="0" w:type="dxa"/>
          </w:tblCellMar>
        </w:tblPrEx>
        <w:trPr>
          <w:trHeight w:val="290"/>
        </w:trPr>
        <w:tc>
          <w:tcPr>
            <w:tcW w:w="1417" w:type="dxa"/>
          </w:tcPr>
          <w:p w:rsidR="00000000" w:rsidRDefault="00000000">
            <w:pPr>
              <w:pStyle w:val="Heading2"/>
              <w:rPr>
                <w:rFonts w:ascii="Arial" w:hAnsi="Arial"/>
                <w:sz w:val="16"/>
              </w:rPr>
            </w:pPr>
            <w:r>
              <w:rPr>
                <w:rFonts w:ascii="Arial" w:hAnsi="Arial"/>
                <w:sz w:val="16"/>
              </w:rPr>
              <w:t>Legislatura</w:t>
            </w:r>
          </w:p>
        </w:tc>
        <w:tc>
          <w:tcPr>
            <w:tcW w:w="1276" w:type="dxa"/>
          </w:tcPr>
          <w:p w:rsidR="00000000" w:rsidRDefault="00000000">
            <w:pPr>
              <w:tabs>
                <w:tab w:val="left" w:pos="1641"/>
              </w:tabs>
              <w:jc w:val="center"/>
              <w:rPr>
                <w:rFonts w:ascii="Arial" w:hAnsi="Arial"/>
                <w:b/>
                <w:snapToGrid w:val="0"/>
                <w:color w:val="000000"/>
                <w:sz w:val="16"/>
                <w:lang w:eastAsia="es-ES"/>
              </w:rPr>
            </w:pPr>
            <w:r>
              <w:rPr>
                <w:rFonts w:ascii="Arial" w:hAnsi="Arial"/>
                <w:b/>
                <w:snapToGrid w:val="0"/>
                <w:color w:val="000000"/>
                <w:sz w:val="16"/>
                <w:lang w:eastAsia="es-ES"/>
              </w:rPr>
              <w:t>Nº escaños</w:t>
            </w:r>
          </w:p>
        </w:tc>
        <w:tc>
          <w:tcPr>
            <w:tcW w:w="1276" w:type="dxa"/>
          </w:tcPr>
          <w:p w:rsidR="00000000" w:rsidRDefault="00000000">
            <w:pPr>
              <w:tabs>
                <w:tab w:val="left" w:pos="1641"/>
              </w:tabs>
              <w:jc w:val="center"/>
              <w:rPr>
                <w:rFonts w:ascii="Arial" w:hAnsi="Arial"/>
                <w:b/>
                <w:snapToGrid w:val="0"/>
                <w:color w:val="000000"/>
                <w:sz w:val="16"/>
                <w:lang w:eastAsia="es-ES"/>
              </w:rPr>
            </w:pPr>
            <w:r>
              <w:rPr>
                <w:rFonts w:ascii="Arial" w:hAnsi="Arial"/>
                <w:b/>
                <w:snapToGrid w:val="0"/>
                <w:color w:val="000000"/>
                <w:sz w:val="16"/>
                <w:lang w:eastAsia="es-ES"/>
              </w:rPr>
              <w:t>Mujeres elegidas</w:t>
            </w:r>
          </w:p>
        </w:tc>
        <w:tc>
          <w:tcPr>
            <w:tcW w:w="1134" w:type="dxa"/>
          </w:tcPr>
          <w:p w:rsidR="00000000" w:rsidRDefault="00000000">
            <w:pPr>
              <w:tabs>
                <w:tab w:val="left" w:pos="1641"/>
              </w:tabs>
              <w:jc w:val="center"/>
              <w:rPr>
                <w:rFonts w:ascii="Arial" w:hAnsi="Arial"/>
                <w:b/>
                <w:snapToGrid w:val="0"/>
                <w:color w:val="000000"/>
                <w:sz w:val="16"/>
                <w:lang w:eastAsia="es-ES"/>
              </w:rPr>
            </w:pPr>
            <w:r>
              <w:rPr>
                <w:rFonts w:ascii="Arial" w:hAnsi="Arial"/>
                <w:b/>
                <w:snapToGrid w:val="0"/>
                <w:color w:val="000000"/>
                <w:sz w:val="16"/>
                <w:lang w:eastAsia="es-ES"/>
              </w:rPr>
              <w:t>% Mujeres elegidas</w:t>
            </w:r>
          </w:p>
        </w:tc>
      </w:tr>
      <w:tr w:rsidR="00000000">
        <w:tblPrEx>
          <w:tblCellMar>
            <w:top w:w="0" w:type="dxa"/>
            <w:bottom w:w="0" w:type="dxa"/>
          </w:tblCellMar>
        </w:tblPrEx>
        <w:trPr>
          <w:trHeight w:val="290"/>
        </w:trPr>
        <w:tc>
          <w:tcPr>
            <w:tcW w:w="1417" w:type="dxa"/>
          </w:tcPr>
          <w:p w:rsidR="00000000" w:rsidRDefault="00000000">
            <w:pPr>
              <w:tabs>
                <w:tab w:val="left" w:pos="1641"/>
              </w:tabs>
              <w:rPr>
                <w:rFonts w:ascii="Arial" w:hAnsi="Arial"/>
                <w:snapToGrid w:val="0"/>
                <w:color w:val="000000"/>
                <w:sz w:val="16"/>
                <w:lang w:eastAsia="es-ES"/>
              </w:rPr>
            </w:pPr>
            <w:r>
              <w:rPr>
                <w:rFonts w:ascii="Arial" w:hAnsi="Arial"/>
                <w:snapToGrid w:val="0"/>
                <w:color w:val="000000"/>
                <w:sz w:val="16"/>
                <w:lang w:eastAsia="es-ES"/>
              </w:rPr>
              <w:t>1996-2000</w:t>
            </w:r>
          </w:p>
        </w:tc>
        <w:tc>
          <w:tcPr>
            <w:tcW w:w="1276"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350</w:t>
            </w:r>
          </w:p>
        </w:tc>
        <w:tc>
          <w:tcPr>
            <w:tcW w:w="1276"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77</w:t>
            </w:r>
          </w:p>
        </w:tc>
        <w:tc>
          <w:tcPr>
            <w:tcW w:w="1134"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22,00</w:t>
            </w:r>
          </w:p>
        </w:tc>
      </w:tr>
      <w:tr w:rsidR="00000000">
        <w:tblPrEx>
          <w:tblCellMar>
            <w:top w:w="0" w:type="dxa"/>
            <w:bottom w:w="0" w:type="dxa"/>
          </w:tblCellMar>
        </w:tblPrEx>
        <w:trPr>
          <w:trHeight w:val="290"/>
        </w:trPr>
        <w:tc>
          <w:tcPr>
            <w:tcW w:w="1417" w:type="dxa"/>
          </w:tcPr>
          <w:p w:rsidR="00000000" w:rsidRDefault="00000000">
            <w:pPr>
              <w:tabs>
                <w:tab w:val="left" w:pos="1641"/>
              </w:tabs>
              <w:rPr>
                <w:rFonts w:ascii="Arial" w:hAnsi="Arial"/>
                <w:snapToGrid w:val="0"/>
                <w:color w:val="000000"/>
                <w:sz w:val="16"/>
                <w:lang w:eastAsia="es-ES"/>
              </w:rPr>
            </w:pPr>
            <w:r>
              <w:rPr>
                <w:rFonts w:ascii="Arial" w:hAnsi="Arial"/>
                <w:snapToGrid w:val="0"/>
                <w:color w:val="000000"/>
                <w:sz w:val="16"/>
                <w:lang w:eastAsia="es-ES"/>
              </w:rPr>
              <w:t>2000-2004</w:t>
            </w:r>
          </w:p>
        </w:tc>
        <w:tc>
          <w:tcPr>
            <w:tcW w:w="1276"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350</w:t>
            </w:r>
          </w:p>
        </w:tc>
        <w:tc>
          <w:tcPr>
            <w:tcW w:w="1276"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99</w:t>
            </w:r>
          </w:p>
        </w:tc>
        <w:tc>
          <w:tcPr>
            <w:tcW w:w="1134" w:type="dxa"/>
          </w:tcPr>
          <w:p w:rsidR="00000000" w:rsidRDefault="00000000">
            <w:pPr>
              <w:tabs>
                <w:tab w:val="left" w:pos="1641"/>
              </w:tabs>
              <w:jc w:val="center"/>
              <w:rPr>
                <w:rFonts w:ascii="Arial" w:hAnsi="Arial"/>
                <w:snapToGrid w:val="0"/>
                <w:color w:val="000000"/>
                <w:sz w:val="16"/>
                <w:lang w:eastAsia="es-ES"/>
              </w:rPr>
            </w:pPr>
            <w:r>
              <w:rPr>
                <w:rFonts w:ascii="Arial" w:hAnsi="Arial"/>
                <w:snapToGrid w:val="0"/>
                <w:color w:val="000000"/>
                <w:sz w:val="16"/>
                <w:lang w:eastAsia="es-ES"/>
              </w:rPr>
              <w:t>28,29</w:t>
            </w:r>
          </w:p>
        </w:tc>
      </w:tr>
    </w:tbl>
    <w:p w:rsidR="00000000" w:rsidRDefault="00000000">
      <w:pPr>
        <w:jc w:val="both"/>
        <w:rPr>
          <w:rFonts w:ascii="Arial" w:hAnsi="Arial"/>
          <w:sz w:val="16"/>
        </w:rPr>
      </w:pPr>
    </w:p>
    <w:p w:rsidR="00000000" w:rsidRDefault="00000000">
      <w:pPr>
        <w:jc w:val="both"/>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t xml:space="preserve">Fuente: Elaboración propia a partir de los datos aportados por el </w:t>
      </w:r>
    </w:p>
    <w:p w:rsidR="00000000" w:rsidRDefault="00000000">
      <w:pPr>
        <w:jc w:val="both"/>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t>Congreso de los Diputados</w:t>
      </w:r>
    </w:p>
    <w:p w:rsidR="00000000" w:rsidRDefault="00000000">
      <w:pPr>
        <w:pStyle w:val="BodyTextIndent"/>
        <w:ind w:left="0"/>
      </w:pPr>
    </w:p>
    <w:p w:rsidR="00000000" w:rsidRDefault="00000000">
      <w:pPr>
        <w:pStyle w:val="BodyTextIndent"/>
        <w:ind w:left="0"/>
      </w:pPr>
      <w:r>
        <w:t xml:space="preserve">El incremento de la presencia femenina en el </w:t>
      </w:r>
      <w:r>
        <w:rPr>
          <w:b/>
        </w:rPr>
        <w:t>Senado</w:t>
      </w:r>
      <w:r>
        <w:t>, en la actual legislatura, respecto a la anterior, ha sido mayor que en el Congreso. Se ha pasado de 38 mujeres a 63, lo cual supone un aumento del 65,79%, respecto a las 38 de la anterior legislatura.</w:t>
      </w:r>
    </w:p>
    <w:p w:rsidR="00000000" w:rsidRDefault="00000000">
      <w:pPr>
        <w:jc w:val="both"/>
        <w:rPr>
          <w:rFonts w:ascii="Arial" w:hAnsi="Arial"/>
        </w:rPr>
      </w:pPr>
    </w:p>
    <w:tbl>
      <w:tblPr>
        <w:tblW w:w="0" w:type="auto"/>
        <w:tblInd w:w="2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7"/>
        <w:gridCol w:w="1276"/>
        <w:gridCol w:w="1276"/>
        <w:gridCol w:w="1134"/>
      </w:tblGrid>
      <w:tr w:rsidR="00000000">
        <w:tblPrEx>
          <w:tblCellMar>
            <w:top w:w="0" w:type="dxa"/>
            <w:bottom w:w="0" w:type="dxa"/>
          </w:tblCellMar>
        </w:tblPrEx>
        <w:trPr>
          <w:trHeight w:val="305"/>
        </w:trPr>
        <w:tc>
          <w:tcPr>
            <w:tcW w:w="1417"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Legislatura</w:t>
            </w:r>
          </w:p>
        </w:tc>
        <w:tc>
          <w:tcPr>
            <w:tcW w:w="1276"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escaños</w:t>
            </w:r>
          </w:p>
        </w:tc>
        <w:tc>
          <w:tcPr>
            <w:tcW w:w="1276"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 elegidas</w:t>
            </w:r>
          </w:p>
        </w:tc>
        <w:tc>
          <w:tcPr>
            <w:tcW w:w="1134"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 elegidas</w:t>
            </w:r>
          </w:p>
        </w:tc>
      </w:tr>
      <w:tr w:rsidR="00000000">
        <w:tblPrEx>
          <w:tblCellMar>
            <w:top w:w="0" w:type="dxa"/>
            <w:bottom w:w="0" w:type="dxa"/>
          </w:tblCellMar>
        </w:tblPrEx>
        <w:trPr>
          <w:trHeight w:val="319"/>
        </w:trPr>
        <w:tc>
          <w:tcPr>
            <w:tcW w:w="1417"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1996-2000</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256</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14,84</w:t>
            </w:r>
          </w:p>
        </w:tc>
      </w:tr>
      <w:tr w:rsidR="00000000">
        <w:tblPrEx>
          <w:tblCellMar>
            <w:top w:w="0" w:type="dxa"/>
            <w:bottom w:w="0" w:type="dxa"/>
          </w:tblCellMar>
        </w:tblPrEx>
        <w:trPr>
          <w:trHeight w:val="305"/>
        </w:trPr>
        <w:tc>
          <w:tcPr>
            <w:tcW w:w="1417"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2000-2004</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259</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24,32</w:t>
            </w:r>
          </w:p>
        </w:tc>
      </w:tr>
    </w:tbl>
    <w:p w:rsidR="00000000" w:rsidRDefault="00000000">
      <w:pPr>
        <w:jc w:val="both"/>
        <w:rPr>
          <w:rFonts w:ascii="Arial" w:hAnsi="Arial"/>
          <w:sz w:val="16"/>
        </w:rPr>
      </w:pPr>
    </w:p>
    <w:p w:rsidR="00000000" w:rsidRDefault="00000000">
      <w:pPr>
        <w:jc w:val="both"/>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t>Fuente: Elaboración propia a partir de los datos aportados por el Senado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presencia femenina también se ha incrementado en los puestos de </w:t>
      </w:r>
      <w:r>
        <w:rPr>
          <w:rFonts w:ascii="Arial" w:hAnsi="Arial"/>
          <w:b/>
        </w:rPr>
        <w:t>altos cargos</w:t>
      </w:r>
      <w:r>
        <w:rPr>
          <w:rFonts w:ascii="Arial" w:hAnsi="Arial"/>
        </w:rPr>
        <w:t xml:space="preserve"> de la Administración del Estado. Como se aprecia en la siguiente tabla en el año 2002, las mujeres son titulares del 16.05% de los altos cargos de la Administración del Estado, mientras que en 1996, lo eran del 10.57%. El mayor incremento corresponde a los puestos de Secretarias de Estado, Subsecretarías y Direcciones Generales.</w:t>
      </w:r>
    </w:p>
    <w:tbl>
      <w:tblPr>
        <w:tblW w:w="0" w:type="auto"/>
        <w:jc w:val="center"/>
        <w:tblBorders>
          <w:bottom w:val="double" w:sz="4" w:space="0" w:color="auto"/>
        </w:tblBorders>
        <w:tblLayout w:type="fixed"/>
        <w:tblCellMar>
          <w:left w:w="70" w:type="dxa"/>
          <w:right w:w="70" w:type="dxa"/>
        </w:tblCellMar>
        <w:tblLook w:val="0000" w:firstRow="0" w:lastRow="0" w:firstColumn="0" w:lastColumn="0" w:noHBand="0" w:noVBand="0"/>
      </w:tblPr>
      <w:tblGrid>
        <w:gridCol w:w="2195"/>
        <w:gridCol w:w="747"/>
        <w:gridCol w:w="972"/>
        <w:gridCol w:w="981"/>
        <w:gridCol w:w="873"/>
        <w:gridCol w:w="999"/>
        <w:gridCol w:w="1029"/>
      </w:tblGrid>
      <w:tr w:rsidR="00000000">
        <w:tblPrEx>
          <w:tblCellMar>
            <w:top w:w="0" w:type="dxa"/>
            <w:bottom w:w="0" w:type="dxa"/>
          </w:tblCellMar>
        </w:tblPrEx>
        <w:trPr>
          <w:cantSplit/>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b/>
                <w:sz w:val="16"/>
              </w:rPr>
            </w:pP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1996</w:t>
            </w:r>
          </w:p>
        </w:tc>
        <w:tc>
          <w:tcPr>
            <w:tcW w:w="290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2002*</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Mujeres</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Hombres</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%Mujeres</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Mujeres</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Hombres</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%Mujeres</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b/>
                <w:sz w:val="16"/>
              </w:rPr>
            </w:pPr>
            <w:r>
              <w:rPr>
                <w:rFonts w:ascii="Arial" w:hAnsi="Arial"/>
                <w:b/>
                <w:sz w:val="16"/>
              </w:rPr>
              <w:t>Total</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35</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297</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10.54</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56</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293</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z w:val="16"/>
              </w:rPr>
            </w:pPr>
            <w:r>
              <w:rPr>
                <w:rFonts w:ascii="Arial" w:hAnsi="Arial"/>
                <w:b/>
                <w:sz w:val="16"/>
              </w:rPr>
              <w:t>16.05</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Presidencia</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0.00</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0.00</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Vicepresidencias(***)</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0.00</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0.00</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Ministerios</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4</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10</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28.57</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3</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13</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18.75</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Secretarías de Estado</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25</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0.00</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26</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3.70</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Subsecretarías</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4</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53</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7.02</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15</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54</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21.74</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Direcciones Generales</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27</w:t>
            </w: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208</w:t>
            </w: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11.49</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33</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176</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15.79</w:t>
            </w:r>
          </w:p>
        </w:tc>
      </w:tr>
      <w:tr w:rsidR="00000000">
        <w:tblPrEx>
          <w:tblCellMar>
            <w:top w:w="0" w:type="dxa"/>
            <w:bottom w:w="0" w:type="dxa"/>
          </w:tblCellMar>
        </w:tblPrEx>
        <w:trPr>
          <w:jc w:val="center"/>
        </w:trPr>
        <w:tc>
          <w:tcPr>
            <w:tcW w:w="2195"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z w:val="16"/>
              </w:rPr>
            </w:pPr>
            <w:r>
              <w:rPr>
                <w:rFonts w:ascii="Arial" w:hAnsi="Arial"/>
                <w:sz w:val="16"/>
              </w:rPr>
              <w:t>ACSR*</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97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98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4</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23</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z w:val="16"/>
              </w:rPr>
            </w:pPr>
            <w:r>
              <w:rPr>
                <w:rFonts w:ascii="Arial" w:hAnsi="Arial"/>
                <w:sz w:val="16"/>
              </w:rPr>
              <w:t>14.81</w:t>
            </w:r>
          </w:p>
        </w:tc>
      </w:tr>
    </w:tbl>
    <w:p w:rsidR="00000000" w:rsidRDefault="00000000">
      <w:pPr>
        <w:spacing w:line="120" w:lineRule="exact"/>
        <w:jc w:val="both"/>
        <w:rPr>
          <w:rFonts w:ascii="Arial" w:hAnsi="Arial"/>
          <w:sz w:val="16"/>
        </w:rPr>
      </w:pPr>
    </w:p>
    <w:p w:rsidR="00000000" w:rsidRDefault="00000000">
      <w:pPr>
        <w:ind w:left="1017" w:right="1021" w:hanging="1425"/>
        <w:jc w:val="both"/>
        <w:rPr>
          <w:rFonts w:ascii="Arial" w:hAnsi="Arial"/>
          <w:sz w:val="16"/>
        </w:rPr>
      </w:pPr>
      <w:r>
        <w:rPr>
          <w:rFonts w:ascii="Arial" w:hAnsi="Arial"/>
          <w:sz w:val="16"/>
        </w:rPr>
        <w:tab/>
        <w:t>(*):Este grupo está formado por Altos Cargos de Entes Públicos que son nombrados por el Gobierno, aunque no tengan rango administrativo concreto.</w:t>
      </w:r>
    </w:p>
    <w:p w:rsidR="00000000" w:rsidRDefault="00000000">
      <w:pPr>
        <w:ind w:left="1017" w:right="1021" w:hanging="1425"/>
        <w:jc w:val="both"/>
        <w:rPr>
          <w:rFonts w:ascii="Arial" w:hAnsi="Arial"/>
          <w:sz w:val="16"/>
        </w:rPr>
      </w:pPr>
      <w:r>
        <w:rPr>
          <w:rFonts w:ascii="Arial" w:hAnsi="Arial"/>
          <w:sz w:val="16"/>
        </w:rPr>
        <w:tab/>
        <w:t>(**): Datos de marzo de 2002</w:t>
      </w:r>
    </w:p>
    <w:p w:rsidR="00000000" w:rsidRDefault="00000000">
      <w:pPr>
        <w:ind w:left="1017" w:right="1021" w:hanging="1"/>
        <w:jc w:val="both"/>
        <w:rPr>
          <w:rFonts w:ascii="Arial" w:hAnsi="Arial"/>
          <w:sz w:val="16"/>
        </w:rPr>
      </w:pPr>
      <w:r>
        <w:rPr>
          <w:rFonts w:ascii="Arial" w:hAnsi="Arial"/>
          <w:sz w:val="16"/>
        </w:rPr>
        <w:tab/>
        <w:t>(***): Las dos Vicepresidencias recaen en sendos Ministros.</w:t>
      </w:r>
    </w:p>
    <w:p w:rsidR="00000000" w:rsidRDefault="00000000">
      <w:pPr>
        <w:ind w:left="1017" w:right="1021" w:hanging="950"/>
        <w:jc w:val="both"/>
        <w:rPr>
          <w:rFonts w:ascii="Arial" w:hAnsi="Arial"/>
          <w:sz w:val="16"/>
        </w:rPr>
      </w:pPr>
      <w:r>
        <w:rPr>
          <w:rFonts w:ascii="Arial" w:hAnsi="Arial"/>
          <w:sz w:val="16"/>
        </w:rPr>
        <w:tab/>
        <w:t>Fuente: Elaboración propia a partir de los datos facilitados por el Ministerio de Administraciones Públicas</w:t>
      </w:r>
    </w:p>
    <w:p w:rsidR="00000000" w:rsidRDefault="00000000">
      <w:pPr>
        <w:ind w:hanging="1"/>
        <w:jc w:val="both"/>
        <w:rPr>
          <w:rFonts w:ascii="Arial" w:hAnsi="Arial"/>
        </w:rPr>
      </w:pPr>
    </w:p>
    <w:p w:rsidR="00000000" w:rsidRDefault="00000000">
      <w:pPr>
        <w:ind w:hanging="1"/>
        <w:jc w:val="both"/>
        <w:rPr>
          <w:rFonts w:ascii="Arial" w:hAnsi="Arial"/>
        </w:rPr>
      </w:pPr>
      <w:r>
        <w:rPr>
          <w:rFonts w:ascii="Arial" w:hAnsi="Arial"/>
        </w:rPr>
        <w:t xml:space="preserve">Por lo que respecta a las elecciones celebradas en las </w:t>
      </w:r>
      <w:r>
        <w:rPr>
          <w:rFonts w:ascii="Arial" w:hAnsi="Arial"/>
          <w:b/>
        </w:rPr>
        <w:t>Comunidades Autónomas</w:t>
      </w:r>
      <w:r>
        <w:rPr>
          <w:rFonts w:ascii="Arial" w:hAnsi="Arial"/>
        </w:rPr>
        <w:t xml:space="preserve">, los datos aportados muestran que el 31,55% de las personas que tienen escaño en los </w:t>
      </w:r>
      <w:r>
        <w:rPr>
          <w:rFonts w:ascii="Arial" w:hAnsi="Arial"/>
          <w:b/>
        </w:rPr>
        <w:t>parlamentos</w:t>
      </w:r>
      <w:r>
        <w:rPr>
          <w:rFonts w:ascii="Arial" w:hAnsi="Arial"/>
        </w:rPr>
        <w:t xml:space="preserve"> </w:t>
      </w:r>
      <w:r>
        <w:rPr>
          <w:rFonts w:ascii="Arial" w:hAnsi="Arial"/>
          <w:b/>
        </w:rPr>
        <w:t>autonómicos</w:t>
      </w:r>
      <w:r>
        <w:rPr>
          <w:rFonts w:ascii="Arial" w:hAnsi="Arial"/>
        </w:rPr>
        <w:t xml:space="preserve"> en 2001, son mujeres. En 1997, el porcentaje era  de 19,78%, por lo que puede hablarse de un aumento relevante</w:t>
      </w:r>
    </w:p>
    <w:p w:rsidR="00000000" w:rsidRDefault="00000000">
      <w:pPr>
        <w:ind w:hanging="1"/>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34"/>
        <w:gridCol w:w="1559"/>
        <w:gridCol w:w="1418"/>
        <w:gridCol w:w="1417"/>
      </w:tblGrid>
      <w:tr w:rsidR="00000000">
        <w:tblPrEx>
          <w:tblCellMar>
            <w:top w:w="0" w:type="dxa"/>
            <w:bottom w:w="0" w:type="dxa"/>
          </w:tblCellMar>
        </w:tblPrEx>
        <w:trPr>
          <w:trHeight w:val="247"/>
          <w:jc w:val="center"/>
        </w:trPr>
        <w:tc>
          <w:tcPr>
            <w:tcW w:w="1134" w:type="dxa"/>
          </w:tcPr>
          <w:p w:rsidR="00000000" w:rsidRDefault="00000000">
            <w:pPr>
              <w:jc w:val="both"/>
              <w:rPr>
                <w:rFonts w:ascii="Arial" w:hAnsi="Arial"/>
                <w:snapToGrid w:val="0"/>
                <w:color w:val="000000"/>
                <w:sz w:val="16"/>
                <w:lang w:eastAsia="es-ES"/>
              </w:rPr>
            </w:pPr>
          </w:p>
        </w:tc>
        <w:tc>
          <w:tcPr>
            <w:tcW w:w="1559"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1418"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c>
          <w:tcPr>
            <w:tcW w:w="1417"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trHeight w:val="247"/>
          <w:jc w:val="center"/>
        </w:trPr>
        <w:tc>
          <w:tcPr>
            <w:tcW w:w="1134"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1997</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234</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949</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19,78</w:t>
            </w:r>
          </w:p>
        </w:tc>
      </w:tr>
      <w:tr w:rsidR="00000000">
        <w:tblPrEx>
          <w:tblCellMar>
            <w:top w:w="0" w:type="dxa"/>
            <w:bottom w:w="0" w:type="dxa"/>
          </w:tblCellMar>
        </w:tblPrEx>
        <w:trPr>
          <w:trHeight w:val="247"/>
          <w:jc w:val="center"/>
        </w:trPr>
        <w:tc>
          <w:tcPr>
            <w:tcW w:w="1134"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2001</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372</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807</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31.55</w:t>
            </w:r>
          </w:p>
        </w:tc>
      </w:tr>
    </w:tbl>
    <w:p w:rsidR="00000000" w:rsidRDefault="00000000">
      <w:pPr>
        <w:spacing w:line="120" w:lineRule="exact"/>
        <w:jc w:val="both"/>
        <w:rPr>
          <w:rFonts w:ascii="Arial" w:hAnsi="Arial"/>
          <w:sz w:val="16"/>
        </w:rPr>
      </w:pPr>
    </w:p>
    <w:p w:rsidR="00000000" w:rsidRDefault="00000000">
      <w:pPr>
        <w:ind w:left="2151" w:right="2137" w:hanging="1900"/>
        <w:jc w:val="both"/>
        <w:rPr>
          <w:rFonts w:ascii="Arial" w:hAnsi="Arial"/>
          <w:sz w:val="16"/>
        </w:rPr>
      </w:pPr>
      <w:r>
        <w:rPr>
          <w:rFonts w:ascii="Arial" w:hAnsi="Arial"/>
          <w:sz w:val="16"/>
        </w:rPr>
        <w:tab/>
        <w:t>Fuente: Elaboración propia a partir de datos facilitados por los parlamentos Autonómicos e informe: ”Participación de la mujer en las elecciones del 13 de junio de 1999”, IMOP</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aumento de la presencia femenina también se ha producido en los </w:t>
      </w:r>
      <w:r>
        <w:rPr>
          <w:rFonts w:ascii="Arial" w:hAnsi="Arial"/>
          <w:b/>
        </w:rPr>
        <w:t>gobiernos autonómicos</w:t>
      </w:r>
      <w:r>
        <w:rPr>
          <w:rFonts w:ascii="Arial" w:hAnsi="Arial"/>
        </w:rPr>
        <w:t>.. En la actualidad, el 20.3 % de las consejerías están ocupadas por mujeres, mientras que en 1996 el porcentaje era de 11.33%.Se ha pasado por tanto de 17 mujeres a 40, lo cual supone un incremento, en las últimas elecciones, respecto de las anteriores del 135.2%.</w:t>
      </w:r>
    </w:p>
    <w:p w:rsidR="00000000" w:rsidRDefault="00000000">
      <w:pPr>
        <w:ind w:firstLine="4"/>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76"/>
        <w:gridCol w:w="1275"/>
        <w:gridCol w:w="1134"/>
        <w:gridCol w:w="1276"/>
      </w:tblGrid>
      <w:tr w:rsidR="00000000">
        <w:tblPrEx>
          <w:tblCellMar>
            <w:top w:w="0" w:type="dxa"/>
            <w:bottom w:w="0" w:type="dxa"/>
          </w:tblCellMar>
        </w:tblPrEx>
        <w:trPr>
          <w:trHeight w:val="247"/>
          <w:jc w:val="center"/>
        </w:trPr>
        <w:tc>
          <w:tcPr>
            <w:tcW w:w="1276"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Legislatura</w:t>
            </w:r>
          </w:p>
        </w:tc>
        <w:tc>
          <w:tcPr>
            <w:tcW w:w="1275"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1134"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c>
          <w:tcPr>
            <w:tcW w:w="1276"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trHeight w:val="247"/>
          <w:jc w:val="center"/>
        </w:trPr>
        <w:tc>
          <w:tcPr>
            <w:tcW w:w="1276"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1997</w:t>
            </w:r>
          </w:p>
        </w:tc>
        <w:tc>
          <w:tcPr>
            <w:tcW w:w="127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11.33</w:t>
            </w:r>
          </w:p>
        </w:tc>
      </w:tr>
      <w:tr w:rsidR="00000000">
        <w:tblPrEx>
          <w:tblCellMar>
            <w:top w:w="0" w:type="dxa"/>
            <w:bottom w:w="0" w:type="dxa"/>
          </w:tblCellMar>
        </w:tblPrEx>
        <w:trPr>
          <w:trHeight w:val="247"/>
          <w:jc w:val="center"/>
        </w:trPr>
        <w:tc>
          <w:tcPr>
            <w:tcW w:w="1276"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2001</w:t>
            </w:r>
          </w:p>
        </w:tc>
        <w:tc>
          <w:tcPr>
            <w:tcW w:w="127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157</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20.30</w:t>
            </w:r>
          </w:p>
        </w:tc>
      </w:tr>
    </w:tbl>
    <w:p w:rsidR="00000000" w:rsidRDefault="00000000">
      <w:pPr>
        <w:ind w:hanging="1"/>
        <w:jc w:val="both"/>
        <w:rPr>
          <w:rFonts w:ascii="Arial" w:hAnsi="Arial"/>
        </w:rPr>
      </w:pPr>
    </w:p>
    <w:p w:rsidR="00000000" w:rsidRDefault="00000000">
      <w:pPr>
        <w:ind w:hanging="1"/>
        <w:jc w:val="both"/>
        <w:rPr>
          <w:rFonts w:ascii="Arial" w:hAnsi="Arial"/>
        </w:rPr>
      </w:pPr>
      <w:r>
        <w:rPr>
          <w:rFonts w:ascii="Arial" w:hAnsi="Arial"/>
        </w:rPr>
        <w:t xml:space="preserve">Por lo que respecta al </w:t>
      </w:r>
      <w:r>
        <w:rPr>
          <w:rFonts w:ascii="Arial" w:hAnsi="Arial"/>
          <w:b/>
        </w:rPr>
        <w:t>ámbito local</w:t>
      </w:r>
      <w:r>
        <w:rPr>
          <w:rFonts w:ascii="Arial" w:hAnsi="Arial"/>
        </w:rPr>
        <w:t>, después de las elecciones municipales de 1999, fueron elegidas 250 alcaldesas más que en las elecciones anteriores, lo que supone un incremento del 47.26%.</w:t>
      </w:r>
    </w:p>
    <w:p w:rsidR="00000000" w:rsidRDefault="00000000">
      <w:pPr>
        <w:ind w:hanging="1"/>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76"/>
        <w:gridCol w:w="1275"/>
        <w:gridCol w:w="1843"/>
        <w:gridCol w:w="1134"/>
      </w:tblGrid>
      <w:tr w:rsidR="00000000">
        <w:tblPrEx>
          <w:tblCellMar>
            <w:top w:w="0" w:type="dxa"/>
            <w:bottom w:w="0" w:type="dxa"/>
          </w:tblCellMar>
        </w:tblPrEx>
        <w:trPr>
          <w:trHeight w:val="247"/>
          <w:jc w:val="center"/>
        </w:trPr>
        <w:tc>
          <w:tcPr>
            <w:tcW w:w="1276" w:type="dxa"/>
          </w:tcPr>
          <w:p w:rsidR="00000000" w:rsidRDefault="00000000">
            <w:pPr>
              <w:jc w:val="center"/>
              <w:rPr>
                <w:rFonts w:ascii="Arial" w:hAnsi="Arial"/>
                <w:snapToGrid w:val="0"/>
                <w:color w:val="000000"/>
                <w:sz w:val="16"/>
                <w:lang w:eastAsia="es-ES"/>
              </w:rPr>
            </w:pPr>
          </w:p>
        </w:tc>
        <w:tc>
          <w:tcPr>
            <w:tcW w:w="1275"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1843" w:type="dxa"/>
          </w:tcPr>
          <w:p w:rsidR="00000000" w:rsidRDefault="00000000">
            <w:pPr>
              <w:pStyle w:val="Heading5"/>
              <w:ind w:left="0" w:right="0"/>
              <w:jc w:val="center"/>
            </w:pPr>
            <w:r>
              <w:t>Nº de Corporaciones</w:t>
            </w:r>
          </w:p>
        </w:tc>
        <w:tc>
          <w:tcPr>
            <w:tcW w:w="1134"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trHeight w:val="247"/>
          <w:jc w:val="center"/>
        </w:trPr>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1995</w:t>
            </w:r>
          </w:p>
        </w:tc>
        <w:tc>
          <w:tcPr>
            <w:tcW w:w="127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529</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8.096</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6.53</w:t>
            </w:r>
          </w:p>
        </w:tc>
      </w:tr>
      <w:tr w:rsidR="00000000">
        <w:tblPrEx>
          <w:tblCellMar>
            <w:top w:w="0" w:type="dxa"/>
            <w:bottom w:w="0" w:type="dxa"/>
          </w:tblCellMar>
        </w:tblPrEx>
        <w:trPr>
          <w:trHeight w:val="247"/>
          <w:jc w:val="center"/>
        </w:trPr>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127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779</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8.105</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9.61</w:t>
            </w:r>
          </w:p>
        </w:tc>
      </w:tr>
    </w:tbl>
    <w:p w:rsidR="00000000" w:rsidRDefault="00000000">
      <w:pPr>
        <w:ind w:hanging="1"/>
        <w:jc w:val="both"/>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t xml:space="preserve">Fuente: Elaboración propia a partir de los datos facilitados por el Ministerio de </w:t>
      </w:r>
    </w:p>
    <w:p w:rsidR="00000000" w:rsidRDefault="00000000">
      <w:pPr>
        <w:ind w:hanging="1"/>
        <w:jc w:val="both"/>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t>Justicia e Interior 1995, y Ministerio de las Administraciones Públicas, 1999</w:t>
      </w:r>
    </w:p>
    <w:p w:rsidR="00000000" w:rsidRDefault="00000000">
      <w:pPr>
        <w:ind w:hanging="1"/>
        <w:jc w:val="both"/>
        <w:rPr>
          <w:rFonts w:ascii="Arial" w:hAnsi="Arial"/>
        </w:rPr>
      </w:pPr>
      <w:r>
        <w:rPr>
          <w:rFonts w:ascii="Arial" w:hAnsi="Arial"/>
        </w:rPr>
        <w:t xml:space="preserve">En cuanto al </w:t>
      </w:r>
      <w:r>
        <w:rPr>
          <w:rFonts w:ascii="Arial" w:hAnsi="Arial"/>
          <w:b/>
        </w:rPr>
        <w:t>Poder Judicial</w:t>
      </w:r>
      <w:r>
        <w:rPr>
          <w:rFonts w:ascii="Arial" w:hAnsi="Arial"/>
        </w:rPr>
        <w:t>, entre 1999 y el 2002, ha tenido un incremento considerable la presencia femenina, los porcentajes de mujeres se han elevado en todos los cargos incluido el Tribunal Supremo donde ha sido elegida, por primera vez en su historia, una magistrada. Los mayores aumentos en estos cuatro años corresponden a la categoría de juezas, 16 puntos de incremento y  magistradas, 10.6 puntos.</w:t>
      </w:r>
    </w:p>
    <w:p w:rsidR="00000000" w:rsidRDefault="00000000">
      <w:pPr>
        <w:tabs>
          <w:tab w:val="left" w:pos="3686"/>
        </w:tabs>
        <w:ind w:hanging="1"/>
        <w:jc w:val="both"/>
        <w:rPr>
          <w:rFonts w:ascii="Arial" w:hAnsi="Arial"/>
        </w:rPr>
      </w:pPr>
    </w:p>
    <w:p w:rsidR="00000000" w:rsidRDefault="00000000">
      <w:pPr>
        <w:ind w:hanging="1"/>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2551"/>
        <w:gridCol w:w="851"/>
        <w:gridCol w:w="992"/>
        <w:gridCol w:w="851"/>
        <w:gridCol w:w="850"/>
        <w:gridCol w:w="992"/>
        <w:gridCol w:w="993"/>
      </w:tblGrid>
      <w:tr w:rsidR="00000000">
        <w:tblPrEx>
          <w:tblCellMar>
            <w:top w:w="0" w:type="dxa"/>
            <w:bottom w:w="0" w:type="dxa"/>
          </w:tblCellMar>
        </w:tblPrEx>
        <w:trPr>
          <w:cantSplit/>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napToGrid w:val="0"/>
                <w:color w:val="000000"/>
                <w:sz w:val="16"/>
                <w:lang w:eastAsia="es-ES"/>
              </w:rPr>
            </w:pPr>
          </w:p>
        </w:tc>
        <w:tc>
          <w:tcPr>
            <w:tcW w:w="2694"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1999</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b/>
                <w:snapToGrid w:val="0"/>
                <w:color w:val="000000"/>
                <w:sz w:val="16"/>
                <w:lang w:eastAsia="es-ES"/>
              </w:rPr>
              <w:t>2002</w:t>
            </w:r>
          </w:p>
        </w:tc>
      </w:tr>
      <w:tr w:rsidR="00000000">
        <w:tblPrEx>
          <w:tblCellMar>
            <w:top w:w="0" w:type="dxa"/>
            <w:bottom w:w="0" w:type="dxa"/>
          </w:tblCellMar>
        </w:tblPrEx>
        <w:trPr>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b/>
                <w:snapToGrid w:val="0"/>
                <w:color w:val="000000"/>
                <w:sz w:val="16"/>
                <w:lang w:eastAsia="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Heading5"/>
              <w:ind w:left="0" w:right="0"/>
              <w:jc w:val="center"/>
            </w:pPr>
            <w:r>
              <w:t>Hombres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Presidenta/e Tribunal Supremo</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0,00</w:t>
            </w:r>
          </w:p>
        </w:tc>
      </w:tr>
      <w:tr w:rsidR="00000000">
        <w:tblPrEx>
          <w:tblCellMar>
            <w:top w:w="0" w:type="dxa"/>
            <w:bottom w:w="0" w:type="dxa"/>
          </w:tblCellMar>
        </w:tblPrEx>
        <w:trPr>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Magistradas/os Tribunal Supremo</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94</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w:t>
            </w:r>
          </w:p>
        </w:tc>
      </w:tr>
      <w:tr w:rsidR="00000000">
        <w:tblPrEx>
          <w:tblCellMar>
            <w:top w:w="0" w:type="dxa"/>
            <w:bottom w:w="0" w:type="dxa"/>
          </w:tblCellMar>
        </w:tblPrEx>
        <w:trPr>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 xml:space="preserve">Magistradas/os    </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1091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1.143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2.056</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35,73</w:t>
            </w:r>
          </w:p>
        </w:tc>
      </w:tr>
      <w:tr w:rsidR="00000000">
        <w:tblPrEx>
          <w:tblCellMar>
            <w:top w:w="0" w:type="dxa"/>
            <w:bottom w:w="0" w:type="dxa"/>
          </w:tblCellMar>
        </w:tblPrEx>
        <w:trPr>
          <w:trHeight w:val="290"/>
          <w:jc w:val="center"/>
        </w:trPr>
        <w:tc>
          <w:tcPr>
            <w:tcW w:w="2551" w:type="dxa"/>
            <w:tcBorders>
              <w:top w:val="single" w:sz="4" w:space="0" w:color="auto"/>
              <w:left w:val="single" w:sz="4" w:space="0" w:color="auto"/>
              <w:bottom w:val="single" w:sz="4" w:space="0" w:color="auto"/>
              <w:right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Juezas/ces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154</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64,02</w:t>
            </w:r>
          </w:p>
        </w:tc>
      </w:tr>
    </w:tbl>
    <w:p w:rsidR="00000000" w:rsidRDefault="00000000">
      <w:pPr>
        <w:tabs>
          <w:tab w:val="left" w:pos="5245"/>
          <w:tab w:val="left" w:pos="5529"/>
        </w:tabs>
        <w:ind w:firstLine="425"/>
        <w:jc w:val="both"/>
        <w:rPr>
          <w:rFonts w:ascii="Arial" w:hAnsi="Arial"/>
          <w:snapToGrid w:val="0"/>
          <w:color w:val="000000"/>
          <w:sz w:val="16"/>
          <w:lang w:eastAsia="es-ES"/>
        </w:rPr>
      </w:pPr>
    </w:p>
    <w:p w:rsidR="00000000" w:rsidRDefault="00000000">
      <w:pPr>
        <w:tabs>
          <w:tab w:val="left" w:pos="873"/>
          <w:tab w:val="left" w:pos="5245"/>
          <w:tab w:val="left" w:pos="5529"/>
        </w:tabs>
        <w:ind w:firstLine="425"/>
        <w:jc w:val="both"/>
        <w:rPr>
          <w:rFonts w:ascii="Arial" w:hAnsi="Arial"/>
          <w:snapToGrid w:val="0"/>
          <w:color w:val="000000"/>
          <w:sz w:val="16"/>
          <w:lang w:eastAsia="es-ES"/>
        </w:rPr>
      </w:pPr>
      <w:r>
        <w:rPr>
          <w:rFonts w:ascii="Arial" w:hAnsi="Arial"/>
          <w:snapToGrid w:val="0"/>
          <w:color w:val="000000"/>
          <w:sz w:val="16"/>
          <w:lang w:eastAsia="es-ES"/>
        </w:rPr>
        <w:tab/>
        <w:t>Fuente: Elaboración propia a partir de los datos del Consejo General del Poder Judicial.</w:t>
      </w:r>
    </w:p>
    <w:p w:rsidR="00000000" w:rsidRDefault="00000000">
      <w:pPr>
        <w:tabs>
          <w:tab w:val="left" w:pos="5245"/>
          <w:tab w:val="left" w:pos="5529"/>
        </w:tabs>
        <w:jc w:val="both"/>
        <w:rPr>
          <w:rFonts w:ascii="Arial" w:hAnsi="Arial"/>
        </w:rPr>
      </w:pPr>
    </w:p>
    <w:p w:rsidR="00000000" w:rsidRDefault="00000000">
      <w:pPr>
        <w:tabs>
          <w:tab w:val="left" w:pos="5245"/>
          <w:tab w:val="left" w:pos="5529"/>
        </w:tabs>
        <w:jc w:val="both"/>
        <w:rPr>
          <w:rFonts w:ascii="Arial" w:hAnsi="Arial"/>
        </w:rPr>
      </w:pPr>
    </w:p>
    <w:p w:rsidR="00000000" w:rsidRDefault="00000000">
      <w:pPr>
        <w:tabs>
          <w:tab w:val="left" w:pos="5103"/>
          <w:tab w:val="left" w:pos="5245"/>
          <w:tab w:val="left" w:pos="5529"/>
        </w:tabs>
        <w:ind w:hanging="1"/>
        <w:jc w:val="both"/>
        <w:rPr>
          <w:rFonts w:ascii="Arial" w:hAnsi="Arial"/>
        </w:rPr>
      </w:pPr>
      <w:r>
        <w:rPr>
          <w:rFonts w:ascii="Arial" w:hAnsi="Arial"/>
        </w:rPr>
        <w:t xml:space="preserve">En estos años también cabe señalar el incremento del número de mujeres </w:t>
      </w:r>
      <w:r>
        <w:rPr>
          <w:rFonts w:ascii="Arial" w:hAnsi="Arial"/>
          <w:b/>
        </w:rPr>
        <w:t>afiliadas a partidos</w:t>
      </w:r>
      <w:r>
        <w:rPr>
          <w:rFonts w:ascii="Arial" w:hAnsi="Arial"/>
        </w:rPr>
        <w:t xml:space="preserve"> </w:t>
      </w:r>
      <w:r>
        <w:rPr>
          <w:rFonts w:ascii="Arial" w:hAnsi="Arial"/>
          <w:b/>
        </w:rPr>
        <w:t>políticos</w:t>
      </w:r>
      <w:r>
        <w:rPr>
          <w:rFonts w:ascii="Arial" w:hAnsi="Arial"/>
        </w:rPr>
        <w:t>. Así, los datos aportados por los partidos con mayor representación parlamentaria muestran que, salvo el Partido Nacionalista Vasco (PNV) que ha disminuido el 4,36% de afiliados en estos años, todos los partidos han aumentado el número de personas afiliadas. Tanto en el caso del Partido Popular (PP) como el Partido Socialista Obrero Español (PSOE), el aumento de mujeres ha sido mayor que el de los hombres. De manera que los datos  en el año 2000 reflejan que el porcentaje de afiliadas respecto al año 1996, se ha incrementado en  2,72% puntos en el caso del PP, y  3,70 puntos, en el PSOE.</w:t>
      </w:r>
    </w:p>
    <w:p w:rsidR="00000000" w:rsidRDefault="00000000">
      <w:pPr>
        <w:tabs>
          <w:tab w:val="left" w:pos="5245"/>
          <w:tab w:val="left" w:pos="5529"/>
        </w:tabs>
        <w:ind w:hanging="1"/>
        <w:jc w:val="both"/>
        <w:rPr>
          <w:rFonts w:ascii="Arial" w:hAnsi="Arial"/>
        </w:rPr>
      </w:pPr>
    </w:p>
    <w:p w:rsidR="00000000" w:rsidRDefault="00000000">
      <w:pPr>
        <w:tabs>
          <w:tab w:val="left" w:pos="5245"/>
          <w:tab w:val="left" w:pos="5529"/>
        </w:tabs>
        <w:ind w:hanging="1"/>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851"/>
        <w:gridCol w:w="993"/>
        <w:gridCol w:w="993"/>
        <w:gridCol w:w="992"/>
        <w:gridCol w:w="1134"/>
        <w:gridCol w:w="850"/>
        <w:gridCol w:w="994"/>
      </w:tblGrid>
      <w:tr w:rsidR="00000000">
        <w:tblPrEx>
          <w:tblCellMar>
            <w:top w:w="0" w:type="dxa"/>
            <w:bottom w:w="0" w:type="dxa"/>
          </w:tblCellMar>
        </w:tblPrEx>
        <w:trPr>
          <w:trHeight w:val="247"/>
          <w:jc w:val="center"/>
        </w:trPr>
        <w:tc>
          <w:tcPr>
            <w:tcW w:w="851" w:type="dxa"/>
          </w:tcPr>
          <w:p w:rsidR="00000000" w:rsidRDefault="00000000">
            <w:pPr>
              <w:jc w:val="both"/>
              <w:rPr>
                <w:rFonts w:ascii="Arial" w:hAnsi="Arial"/>
                <w:snapToGrid w:val="0"/>
                <w:color w:val="000000"/>
                <w:sz w:val="16"/>
                <w:lang w:eastAsia="es-ES"/>
              </w:rPr>
            </w:pPr>
          </w:p>
        </w:tc>
        <w:tc>
          <w:tcPr>
            <w:tcW w:w="993"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Ambos</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Sexos</w:t>
            </w:r>
          </w:p>
        </w:tc>
        <w:tc>
          <w:tcPr>
            <w:tcW w:w="993"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992"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c>
          <w:tcPr>
            <w:tcW w:w="1134"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Ambos sexos</w:t>
            </w:r>
          </w:p>
        </w:tc>
        <w:tc>
          <w:tcPr>
            <w:tcW w:w="85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994"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cantSplit/>
          <w:trHeight w:val="247"/>
          <w:jc w:val="center"/>
        </w:trPr>
        <w:tc>
          <w:tcPr>
            <w:tcW w:w="851" w:type="dxa"/>
          </w:tcPr>
          <w:p w:rsidR="00000000" w:rsidRDefault="00000000">
            <w:pPr>
              <w:jc w:val="both"/>
              <w:rPr>
                <w:rFonts w:ascii="Arial" w:hAnsi="Arial"/>
                <w:snapToGrid w:val="0"/>
                <w:color w:val="000000"/>
                <w:sz w:val="16"/>
                <w:lang w:eastAsia="es-ES"/>
              </w:rPr>
            </w:pPr>
          </w:p>
        </w:tc>
        <w:tc>
          <w:tcPr>
            <w:tcW w:w="2978" w:type="dxa"/>
            <w:gridSpan w:val="3"/>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1996</w:t>
            </w:r>
          </w:p>
        </w:tc>
        <w:tc>
          <w:tcPr>
            <w:tcW w:w="2978" w:type="dxa"/>
            <w:gridSpan w:val="3"/>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r>
      <w:tr w:rsidR="00000000">
        <w:tblPrEx>
          <w:tblCellMar>
            <w:top w:w="0" w:type="dxa"/>
            <w:bottom w:w="0" w:type="dxa"/>
          </w:tblCellMar>
        </w:tblPrEx>
        <w:trPr>
          <w:trHeight w:val="247"/>
          <w:jc w:val="center"/>
        </w:trPr>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PP</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504.372</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149.789</w:t>
            </w:r>
          </w:p>
        </w:tc>
        <w:tc>
          <w:tcPr>
            <w:tcW w:w="9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29,70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619.190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200.749</w:t>
            </w:r>
          </w:p>
        </w:tc>
        <w:tc>
          <w:tcPr>
            <w:tcW w:w="99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32,42</w:t>
            </w:r>
          </w:p>
        </w:tc>
      </w:tr>
      <w:tr w:rsidR="00000000">
        <w:tblPrEx>
          <w:tblCellMar>
            <w:top w:w="0" w:type="dxa"/>
            <w:bottom w:w="0" w:type="dxa"/>
          </w:tblCellMar>
        </w:tblPrEx>
        <w:trPr>
          <w:trHeight w:val="247"/>
          <w:jc w:val="center"/>
        </w:trPr>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PSOE</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365.445</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90.227</w:t>
            </w:r>
          </w:p>
        </w:tc>
        <w:tc>
          <w:tcPr>
            <w:tcW w:w="9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24,69</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419.155</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119.003</w:t>
            </w:r>
          </w:p>
        </w:tc>
        <w:tc>
          <w:tcPr>
            <w:tcW w:w="99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28,39</w:t>
            </w:r>
          </w:p>
        </w:tc>
      </w:tr>
      <w:tr w:rsidR="00000000">
        <w:tblPrEx>
          <w:tblCellMar>
            <w:top w:w="0" w:type="dxa"/>
            <w:bottom w:w="0" w:type="dxa"/>
          </w:tblCellMar>
        </w:tblPrEx>
        <w:trPr>
          <w:trHeight w:val="247"/>
          <w:jc w:val="center"/>
        </w:trPr>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IU*</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57.000</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9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67.802</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19.662</w:t>
            </w:r>
          </w:p>
        </w:tc>
        <w:tc>
          <w:tcPr>
            <w:tcW w:w="99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29,00</w:t>
            </w:r>
          </w:p>
        </w:tc>
      </w:tr>
      <w:tr w:rsidR="00000000">
        <w:tblPrEx>
          <w:tblCellMar>
            <w:top w:w="0" w:type="dxa"/>
            <w:bottom w:w="0" w:type="dxa"/>
          </w:tblCellMar>
        </w:tblPrEx>
        <w:trPr>
          <w:trHeight w:val="247"/>
          <w:jc w:val="center"/>
        </w:trPr>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PNV</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31.830</w:t>
            </w:r>
          </w:p>
        </w:tc>
        <w:tc>
          <w:tcPr>
            <w:tcW w:w="99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12.191</w:t>
            </w:r>
          </w:p>
        </w:tc>
        <w:tc>
          <w:tcPr>
            <w:tcW w:w="9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38,30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30.442</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10.505</w:t>
            </w:r>
          </w:p>
        </w:tc>
        <w:tc>
          <w:tcPr>
            <w:tcW w:w="99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34,51</w:t>
            </w:r>
          </w:p>
        </w:tc>
      </w:tr>
    </w:tbl>
    <w:p w:rsidR="00000000" w:rsidRDefault="00000000">
      <w:pPr>
        <w:ind w:hanging="1"/>
        <w:jc w:val="both"/>
        <w:rPr>
          <w:rFonts w:ascii="Arial" w:hAnsi="Arial"/>
          <w:sz w:val="16"/>
        </w:rPr>
      </w:pPr>
      <w:r>
        <w:rPr>
          <w:rFonts w:ascii="Arial" w:hAnsi="Arial"/>
          <w:sz w:val="16"/>
        </w:rPr>
        <w:tab/>
      </w:r>
    </w:p>
    <w:p w:rsidR="00000000" w:rsidRDefault="00000000">
      <w:pPr>
        <w:tabs>
          <w:tab w:val="left" w:pos="1512"/>
        </w:tabs>
        <w:ind w:left="1512" w:right="1498" w:hanging="1512"/>
        <w:jc w:val="both"/>
        <w:rPr>
          <w:rFonts w:ascii="Arial" w:hAnsi="Arial"/>
          <w:sz w:val="16"/>
        </w:rPr>
      </w:pPr>
      <w:r>
        <w:rPr>
          <w:rFonts w:ascii="Arial" w:hAnsi="Arial"/>
          <w:sz w:val="16"/>
        </w:rPr>
        <w:tab/>
        <w:t>(*): los datos hacen referencia a 1994, y no se dispone de datos desagregados por sexo en ese año.</w:t>
      </w:r>
    </w:p>
    <w:p w:rsidR="00000000" w:rsidRDefault="00000000">
      <w:pPr>
        <w:tabs>
          <w:tab w:val="left" w:pos="1512"/>
        </w:tabs>
        <w:ind w:right="1498" w:hanging="1"/>
        <w:jc w:val="both"/>
        <w:rPr>
          <w:rFonts w:ascii="Arial" w:hAnsi="Arial"/>
          <w:sz w:val="16"/>
        </w:rPr>
      </w:pPr>
      <w:r>
        <w:rPr>
          <w:rFonts w:ascii="Arial" w:hAnsi="Arial"/>
          <w:sz w:val="16"/>
        </w:rPr>
        <w:tab/>
      </w:r>
      <w:r>
        <w:rPr>
          <w:rFonts w:ascii="Arial" w:hAnsi="Arial"/>
          <w:sz w:val="16"/>
        </w:rPr>
        <w:tab/>
        <w:t>Fuente: Elaboración propia a partir de los datos facilitados por los partidos políticos.</w:t>
      </w:r>
    </w:p>
    <w:p w:rsidR="00000000" w:rsidRDefault="00000000">
      <w:pPr>
        <w:jc w:val="both"/>
      </w:pPr>
    </w:p>
    <w:p w:rsidR="00000000" w:rsidRDefault="00000000">
      <w:pPr>
        <w:jc w:val="both"/>
      </w:pPr>
    </w:p>
    <w:p w:rsidR="00000000" w:rsidRDefault="00000000">
      <w:pPr>
        <w:jc w:val="both"/>
        <w:rPr>
          <w:rFonts w:ascii="Arial" w:hAnsi="Arial"/>
        </w:rPr>
      </w:pPr>
      <w:r>
        <w:rPr>
          <w:rFonts w:ascii="Arial" w:hAnsi="Arial"/>
        </w:rPr>
        <w:t xml:space="preserve">En cuanto a la </w:t>
      </w:r>
      <w:r>
        <w:rPr>
          <w:rFonts w:ascii="Arial" w:hAnsi="Arial"/>
          <w:b/>
        </w:rPr>
        <w:t>afiliación a los</w:t>
      </w:r>
      <w:r>
        <w:rPr>
          <w:rFonts w:ascii="Arial" w:hAnsi="Arial"/>
        </w:rPr>
        <w:t xml:space="preserve"> </w:t>
      </w:r>
      <w:r>
        <w:rPr>
          <w:rFonts w:ascii="Arial" w:hAnsi="Arial"/>
          <w:b/>
        </w:rPr>
        <w:t xml:space="preserve">sindicatos </w:t>
      </w:r>
      <w:r>
        <w:rPr>
          <w:rFonts w:ascii="Arial" w:hAnsi="Arial"/>
        </w:rPr>
        <w:t>en el año 2002, según las cifras de afiliados en los dos principales sindicatos mayoritarios de ámbito estatal, UGT y CCOO, de un total de 1.571.567 afiliados, 505.970 son mujeres, lo que supone el 32,2% del total de afiliados.</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6"/>
        <w:keepLines/>
        <w:tabs>
          <w:tab w:val="left" w:pos="709"/>
        </w:tabs>
        <w:ind w:left="0" w:right="0"/>
        <w:jc w:val="left"/>
        <w:rPr>
          <w:sz w:val="22"/>
        </w:rPr>
      </w:pPr>
      <w:r>
        <w:rPr>
          <w:sz w:val="22"/>
        </w:rPr>
        <w:t xml:space="preserve">II. </w:t>
      </w:r>
      <w:r>
        <w:rPr>
          <w:sz w:val="22"/>
        </w:rPr>
        <w:tab/>
        <w:t>Modificaciones del ordenamiento jurídico</w:t>
      </w:r>
    </w:p>
    <w:p w:rsidR="00000000" w:rsidRDefault="00000000">
      <w:pPr>
        <w:keepNext/>
        <w:keepLines/>
        <w:tabs>
          <w:tab w:val="left" w:pos="5245"/>
          <w:tab w:val="left" w:pos="5529"/>
        </w:tabs>
        <w:ind w:hanging="1"/>
        <w:jc w:val="both"/>
        <w:rPr>
          <w:rFonts w:ascii="Arial" w:hAnsi="Arial"/>
        </w:rPr>
      </w:pPr>
    </w:p>
    <w:p w:rsidR="00000000" w:rsidRDefault="00000000">
      <w:pPr>
        <w:keepNext/>
        <w:keepLines/>
        <w:tabs>
          <w:tab w:val="left" w:pos="5245"/>
          <w:tab w:val="left" w:pos="5529"/>
        </w:tabs>
        <w:ind w:hanging="1"/>
        <w:jc w:val="both"/>
        <w:rPr>
          <w:rFonts w:ascii="Arial" w:hAnsi="Arial"/>
        </w:rPr>
      </w:pPr>
      <w:r>
        <w:rPr>
          <w:rFonts w:ascii="Arial" w:hAnsi="Arial"/>
        </w:rPr>
        <w:t>La Ley General Electoral no contiene precepto alguno que garantice la igualdad de sexos en las listas electorales. Sí que, algún Partido Político en circunstancias determinadas ha implantado un sistema de cuotas.</w:t>
      </w:r>
    </w:p>
    <w:p w:rsidR="00000000" w:rsidRDefault="00000000">
      <w:pPr>
        <w:tabs>
          <w:tab w:val="left" w:pos="5245"/>
          <w:tab w:val="left" w:pos="5529"/>
        </w:tabs>
        <w:ind w:hanging="1"/>
        <w:jc w:val="both"/>
        <w:rPr>
          <w:rFonts w:ascii="Arial" w:hAnsi="Arial"/>
        </w:rPr>
      </w:pPr>
    </w:p>
    <w:p w:rsidR="00000000" w:rsidRDefault="00000000">
      <w:pPr>
        <w:tabs>
          <w:tab w:val="left" w:pos="5245"/>
          <w:tab w:val="left" w:pos="5529"/>
        </w:tabs>
        <w:ind w:hanging="1"/>
        <w:jc w:val="both"/>
        <w:rPr>
          <w:rFonts w:ascii="Arial" w:hAnsi="Arial"/>
          <w:i/>
        </w:rPr>
      </w:pPr>
      <w:r>
        <w:rPr>
          <w:rFonts w:ascii="Arial" w:hAnsi="Arial"/>
        </w:rPr>
        <w:t xml:space="preserve">Sin embargo, dos Comunidades Autónomas, Castilla la Mancha y Baleares, han aprobado sendas Leyes con el objetivo de conseguir un equilibrio de sexos en sus respectivos Parlamentos. De este modo, Castilla la Mancha ha aprobado la </w:t>
      </w:r>
      <w:r>
        <w:rPr>
          <w:rFonts w:ascii="Arial" w:hAnsi="Arial"/>
          <w:b/>
        </w:rPr>
        <w:t>Ley 11/2002, de 27 de junio, de</w:t>
      </w:r>
      <w:r>
        <w:rPr>
          <w:rFonts w:ascii="Arial" w:hAnsi="Arial"/>
        </w:rPr>
        <w:t xml:space="preserve"> </w:t>
      </w:r>
      <w:r>
        <w:rPr>
          <w:rFonts w:ascii="Arial" w:hAnsi="Arial"/>
          <w:b/>
        </w:rPr>
        <w:t>modificación de la Ley 5/1986, de 23 de diciembre, Electoral de Castilla la Mancha</w:t>
      </w:r>
      <w:r>
        <w:rPr>
          <w:rFonts w:ascii="Arial" w:hAnsi="Arial"/>
        </w:rPr>
        <w:t xml:space="preserve"> cuyo precepto establece que </w:t>
      </w:r>
      <w:r>
        <w:rPr>
          <w:rFonts w:ascii="Arial" w:hAnsi="Arial"/>
          <w:i/>
        </w:rPr>
        <w:t>para garantizar el principio de igualdad en la representación política, las candidaturas que presenten los partidos políticos, federaciones, coaliciones o agrupaciones de electores, alternarán hombres y mujeres, ocupando los de un sexo los puestos pares y los del otro los impares. La Junta Electoral solo aceptará aquellas candidaturas que cumplan este precepto tanto para los candidatos como para los suplentes.</w:t>
      </w:r>
    </w:p>
    <w:p w:rsidR="00000000" w:rsidRDefault="00000000">
      <w:pPr>
        <w:tabs>
          <w:tab w:val="left" w:pos="5245"/>
          <w:tab w:val="left" w:pos="5529"/>
        </w:tabs>
        <w:ind w:hanging="1"/>
        <w:jc w:val="both"/>
        <w:rPr>
          <w:rFonts w:ascii="Arial" w:hAnsi="Arial"/>
        </w:rPr>
      </w:pPr>
    </w:p>
    <w:p w:rsidR="00000000" w:rsidRDefault="00000000">
      <w:pPr>
        <w:tabs>
          <w:tab w:val="left" w:pos="5245"/>
          <w:tab w:val="left" w:pos="5529"/>
        </w:tabs>
        <w:ind w:hanging="1"/>
        <w:jc w:val="both"/>
        <w:rPr>
          <w:rFonts w:ascii="Arial" w:hAnsi="Arial"/>
          <w:i/>
        </w:rPr>
      </w:pPr>
      <w:r>
        <w:rPr>
          <w:rFonts w:ascii="Arial" w:hAnsi="Arial"/>
        </w:rPr>
        <w:t xml:space="preserve">Por su parte, la </w:t>
      </w:r>
      <w:r>
        <w:rPr>
          <w:rFonts w:ascii="Arial" w:hAnsi="Arial"/>
          <w:b/>
        </w:rPr>
        <w:t>Ley 6/2002, de 21 de junio, de modificación de la Ley 8/1986, de 26 de</w:t>
      </w:r>
      <w:r>
        <w:rPr>
          <w:rFonts w:ascii="Arial" w:hAnsi="Arial"/>
        </w:rPr>
        <w:t xml:space="preserve"> </w:t>
      </w:r>
      <w:r>
        <w:rPr>
          <w:rFonts w:ascii="Arial" w:hAnsi="Arial"/>
          <w:b/>
        </w:rPr>
        <w:t>noviembre, Electoral de la Comunidad Autónoma de IIIes Balears</w:t>
      </w:r>
      <w:r>
        <w:rPr>
          <w:rFonts w:ascii="Arial" w:hAnsi="Arial"/>
        </w:rPr>
        <w:t xml:space="preserve">, con idéntico objetivo, establece que </w:t>
      </w:r>
      <w:r>
        <w:rPr>
          <w:rFonts w:ascii="Arial" w:hAnsi="Arial"/>
          <w:i/>
        </w:rPr>
        <w:t xml:space="preserve">con la finalidad de hacer efectivo el principio de igualdad en la participación política, las candidaturas electorales deberán contener una presencia equilibrada de hombres y mujeres. Las listas se integrarán por candidato de uno y otro sexo ordenados de forma alternativa. </w:t>
      </w:r>
    </w:p>
    <w:p w:rsidR="00000000" w:rsidRDefault="00000000">
      <w:pPr>
        <w:tabs>
          <w:tab w:val="left" w:pos="5245"/>
          <w:tab w:val="left" w:pos="5529"/>
        </w:tabs>
        <w:ind w:hanging="1"/>
        <w:jc w:val="both"/>
        <w:rPr>
          <w:rFonts w:ascii="Arial" w:hAnsi="Arial"/>
        </w:rPr>
      </w:pPr>
    </w:p>
    <w:p w:rsidR="00000000" w:rsidRDefault="00000000">
      <w:pPr>
        <w:tabs>
          <w:tab w:val="left" w:pos="5245"/>
          <w:tab w:val="left" w:pos="5529"/>
        </w:tabs>
        <w:ind w:hanging="1"/>
        <w:jc w:val="both"/>
        <w:rPr>
          <w:rFonts w:ascii="Arial" w:hAnsi="Arial"/>
        </w:rPr>
      </w:pPr>
      <w:r>
        <w:rPr>
          <w:rFonts w:ascii="Arial" w:hAnsi="Arial"/>
        </w:rPr>
        <w:t xml:space="preserve">Ambas Leyes han sido recurridas por el Gobierno ante el Tribunal Constitucional. </w:t>
      </w:r>
    </w:p>
    <w:p w:rsidR="00000000" w:rsidRDefault="00000000">
      <w:pPr>
        <w:tabs>
          <w:tab w:val="left" w:pos="5245"/>
          <w:tab w:val="left" w:pos="5529"/>
        </w:tabs>
        <w:ind w:hanging="1"/>
        <w:jc w:val="both"/>
        <w:rPr>
          <w:rFonts w:ascii="Arial" w:hAnsi="Arial"/>
        </w:rPr>
      </w:pPr>
    </w:p>
    <w:p w:rsidR="00000000" w:rsidRDefault="00000000">
      <w:pPr>
        <w:tabs>
          <w:tab w:val="left" w:pos="5245"/>
          <w:tab w:val="left" w:pos="5529"/>
        </w:tabs>
        <w:ind w:hanging="1"/>
        <w:jc w:val="both"/>
        <w:rPr>
          <w:rFonts w:ascii="Arial" w:hAnsi="Arial"/>
        </w:rPr>
      </w:pPr>
    </w:p>
    <w:p w:rsidR="00000000" w:rsidRDefault="00000000">
      <w:pPr>
        <w:pStyle w:val="Heading9"/>
        <w:rPr>
          <w:sz w:val="20"/>
        </w:rPr>
      </w:pPr>
      <w:r>
        <w:rPr>
          <w:sz w:val="20"/>
        </w:rPr>
        <w:t>III.   Políticas y programas</w:t>
      </w:r>
    </w:p>
    <w:p w:rsidR="00000000" w:rsidRDefault="00000000">
      <w:pPr>
        <w:pStyle w:val="Heading9"/>
        <w:rPr>
          <w:rFonts w:ascii="Arial" w:hAnsi="Arial"/>
          <w:sz w:val="20"/>
        </w:rPr>
      </w:pPr>
    </w:p>
    <w:p w:rsidR="00000000" w:rsidRDefault="00000000">
      <w:pPr>
        <w:pStyle w:val="Heading9"/>
        <w:rPr>
          <w:sz w:val="20"/>
        </w:rPr>
      </w:pPr>
      <w:r>
        <w:rPr>
          <w:sz w:val="20"/>
        </w:rPr>
        <w:t>1. Publicaciones</w:t>
      </w:r>
    </w:p>
    <w:p w:rsidR="00000000" w:rsidRDefault="00000000">
      <w:pPr>
        <w:tabs>
          <w:tab w:val="left" w:pos="5245"/>
          <w:tab w:val="left" w:pos="5529"/>
        </w:tabs>
        <w:jc w:val="both"/>
        <w:rPr>
          <w:rFonts w:ascii="Arial" w:hAnsi="Arial"/>
        </w:rPr>
      </w:pPr>
    </w:p>
    <w:p w:rsidR="00000000" w:rsidRDefault="00000000">
      <w:pPr>
        <w:pStyle w:val="BodyText"/>
        <w:rPr>
          <w:sz w:val="20"/>
        </w:rPr>
      </w:pPr>
      <w:r>
        <w:rPr>
          <w:sz w:val="20"/>
        </w:rPr>
        <w:t>Si bien, como ya se ha indicado, en el ámbito estatal no hay normativa que contemple el establecimiento de cuotas para la participación política, el III Plan de Igualdad contemplaba un área específica dirigida a promover el acceso de las mujeres a los puestos de toma de decisiones. Entre las actuaciones llevadas a cabo, se e</w:t>
      </w:r>
      <w:r>
        <w:rPr>
          <w:sz w:val="20"/>
        </w:rPr>
        <w:t>n</w:t>
      </w:r>
      <w:r>
        <w:rPr>
          <w:sz w:val="20"/>
        </w:rPr>
        <w:t>cuentran las siguientes:</w:t>
      </w:r>
    </w:p>
    <w:p w:rsidR="00000000" w:rsidRDefault="00000000">
      <w:pPr>
        <w:pStyle w:val="BodyText"/>
        <w:rPr>
          <w:sz w:val="20"/>
        </w:rPr>
      </w:pPr>
    </w:p>
    <w:p w:rsidR="00000000" w:rsidRDefault="00000000">
      <w:pPr>
        <w:numPr>
          <w:ilvl w:val="0"/>
          <w:numId w:val="1494"/>
        </w:numPr>
        <w:tabs>
          <w:tab w:val="clear" w:pos="720"/>
        </w:tabs>
        <w:ind w:left="216" w:hanging="216"/>
        <w:jc w:val="both"/>
        <w:rPr>
          <w:rFonts w:ascii="Arial" w:hAnsi="Arial"/>
        </w:rPr>
      </w:pPr>
      <w:r>
        <w:rPr>
          <w:rFonts w:ascii="Arial" w:hAnsi="Arial"/>
        </w:rPr>
        <w:t>Elaboración de estrategias a partir del análisis de las barreras que obstaculizan la participación de las mujeres en todos los ámbitos de decisión.</w:t>
      </w:r>
    </w:p>
    <w:p w:rsidR="00000000" w:rsidRDefault="00000000">
      <w:pPr>
        <w:numPr>
          <w:ilvl w:val="0"/>
          <w:numId w:val="1494"/>
        </w:numPr>
        <w:tabs>
          <w:tab w:val="clear" w:pos="720"/>
        </w:tabs>
        <w:ind w:left="216" w:hanging="216"/>
        <w:jc w:val="both"/>
        <w:rPr>
          <w:rFonts w:ascii="Arial" w:hAnsi="Arial"/>
        </w:rPr>
      </w:pPr>
      <w:r>
        <w:rPr>
          <w:rFonts w:ascii="Arial" w:hAnsi="Arial"/>
        </w:rPr>
        <w:t>Formación a mujeres dirigida a capacitar a las mujeres en la toma de decisiones.</w:t>
      </w:r>
    </w:p>
    <w:p w:rsidR="00000000" w:rsidRDefault="00000000">
      <w:pPr>
        <w:numPr>
          <w:ilvl w:val="0"/>
          <w:numId w:val="1494"/>
        </w:numPr>
        <w:tabs>
          <w:tab w:val="clear" w:pos="720"/>
        </w:tabs>
        <w:ind w:left="216" w:hanging="216"/>
        <w:jc w:val="both"/>
        <w:rPr>
          <w:rFonts w:ascii="Arial" w:hAnsi="Arial"/>
        </w:rPr>
      </w:pPr>
      <w:r>
        <w:rPr>
          <w:rFonts w:ascii="Arial" w:hAnsi="Arial"/>
        </w:rPr>
        <w:t>Apoyo a asociaciones y organizaciones en su esfuerzo dirigido a fomentar el acceso de las mujeres a los procesos de toma de decisiones.</w:t>
      </w:r>
    </w:p>
    <w:p w:rsidR="00000000" w:rsidRDefault="00000000">
      <w:pPr>
        <w:pStyle w:val="BodyText"/>
        <w:rPr>
          <w:sz w:val="20"/>
        </w:rPr>
      </w:pPr>
    </w:p>
    <w:p w:rsidR="00000000" w:rsidRDefault="00000000">
      <w:pPr>
        <w:pStyle w:val="BodyText"/>
        <w:rPr>
          <w:sz w:val="20"/>
        </w:rPr>
      </w:pPr>
      <w:r>
        <w:rPr>
          <w:sz w:val="20"/>
        </w:rPr>
        <w:t>Estas actuaciones, junto a las que llevan a cabo las Comunidades Autónomas, la aprobación de    Ley de Conciliación, al establecer medidas dirigidas a conseguir un reparto más equilibrado de las responsabilidades familiares, o el desarrollo de programas, como puede ser el Programa Optima, dirigidos a favorecer la prom</w:t>
      </w:r>
      <w:r>
        <w:rPr>
          <w:sz w:val="20"/>
        </w:rPr>
        <w:t>o</w:t>
      </w:r>
      <w:r>
        <w:rPr>
          <w:sz w:val="20"/>
        </w:rPr>
        <w:t>ción de las mujeres en las empresas, van a favorecer, sin duda, el acceso de las mujeres a puestos que co</w:t>
      </w:r>
      <w:r>
        <w:rPr>
          <w:sz w:val="20"/>
        </w:rPr>
        <w:t>n</w:t>
      </w:r>
      <w:r>
        <w:rPr>
          <w:sz w:val="20"/>
        </w:rPr>
        <w:t>llevan poder decisorio.</w:t>
      </w:r>
    </w:p>
    <w:p w:rsidR="00000000" w:rsidRDefault="00000000">
      <w:pPr>
        <w:pStyle w:val="BodyText"/>
        <w:rPr>
          <w:sz w:val="20"/>
        </w:rPr>
      </w:pPr>
    </w:p>
    <w:p w:rsidR="00000000" w:rsidRDefault="00000000">
      <w:pPr>
        <w:pStyle w:val="BodyText"/>
        <w:rPr>
          <w:sz w:val="20"/>
        </w:rPr>
      </w:pPr>
      <w:r>
        <w:rPr>
          <w:sz w:val="20"/>
        </w:rPr>
        <w:t xml:space="preserve">Dentro del período que contempla este informe, el Instituto de la Mujer ha organizado una </w:t>
      </w:r>
      <w:r>
        <w:rPr>
          <w:b/>
          <w:sz w:val="20"/>
        </w:rPr>
        <w:t>campaña publicit</w:t>
      </w:r>
      <w:r>
        <w:rPr>
          <w:b/>
          <w:sz w:val="20"/>
        </w:rPr>
        <w:t>a</w:t>
      </w:r>
      <w:r>
        <w:rPr>
          <w:b/>
          <w:sz w:val="20"/>
        </w:rPr>
        <w:t>ria</w:t>
      </w:r>
      <w:r>
        <w:rPr>
          <w:sz w:val="20"/>
        </w:rPr>
        <w:t xml:space="preserve"> difundida a través de diferentes medios de comunicación con el objetivo final de conseguir una mayor pa</w:t>
      </w:r>
      <w:r>
        <w:rPr>
          <w:sz w:val="20"/>
        </w:rPr>
        <w:t>r</w:t>
      </w:r>
      <w:r>
        <w:rPr>
          <w:sz w:val="20"/>
        </w:rPr>
        <w:t xml:space="preserve">ticipación de las mujeres: </w:t>
      </w:r>
      <w:r>
        <w:rPr>
          <w:b/>
          <w:sz w:val="20"/>
        </w:rPr>
        <w:t>La participación social de las mujeres</w:t>
      </w:r>
      <w:r>
        <w:rPr>
          <w:sz w:val="20"/>
        </w:rPr>
        <w:t xml:space="preserve"> con el lema </w:t>
      </w:r>
      <w:r>
        <w:rPr>
          <w:i/>
          <w:sz w:val="20"/>
        </w:rPr>
        <w:t>No te quedes detrás</w:t>
      </w:r>
      <w:r>
        <w:rPr>
          <w:sz w:val="20"/>
        </w:rPr>
        <w:t xml:space="preserve"> se apoyó con la edición de 500 carteles distribuidos por los Centros de Información de los Derechos de la Mujer, Com</w:t>
      </w:r>
      <w:r>
        <w:rPr>
          <w:sz w:val="20"/>
        </w:rPr>
        <w:t>u</w:t>
      </w:r>
      <w:r>
        <w:rPr>
          <w:sz w:val="20"/>
        </w:rPr>
        <w:t>nidades Autónomas, Centros Asesores y de Información de los Ayuntamientos y se realizó del 14 al 29 de Enero de 1999. Su contenido fue incluido posteriormente, como ejemplo de buena práctica española, en una publicación del Comité Director para la Igualdad entre Mujeres y Hombres, del Consejo de Europa, “Guía de buenas prácticas de estrategias de concienciación para una representación equitativa de mujeres y hombres en la toma de d</w:t>
      </w:r>
      <w:r>
        <w:rPr>
          <w:sz w:val="20"/>
        </w:rPr>
        <w:t>e</w:t>
      </w:r>
      <w:r>
        <w:rPr>
          <w:sz w:val="20"/>
        </w:rPr>
        <w:t xml:space="preserve">cisiones”. </w:t>
      </w:r>
    </w:p>
    <w:p w:rsidR="00000000" w:rsidRDefault="00000000">
      <w:pPr>
        <w:pStyle w:val="BodyText"/>
        <w:rPr>
          <w:sz w:val="20"/>
        </w:rPr>
      </w:pPr>
    </w:p>
    <w:p w:rsidR="00000000" w:rsidRDefault="00000000">
      <w:pPr>
        <w:pStyle w:val="BodyText"/>
        <w:rPr>
          <w:sz w:val="20"/>
        </w:rPr>
      </w:pPr>
      <w:r>
        <w:rPr>
          <w:sz w:val="20"/>
        </w:rPr>
        <w:t>Entre los años 1999 y 2001 se han publicado en el ámbito de la participación social y política, con un total de 9.300 ejemplares los siguientes títulos:</w:t>
      </w:r>
    </w:p>
    <w:p w:rsidR="00000000" w:rsidRDefault="00000000">
      <w:pPr>
        <w:pStyle w:val="BodyText"/>
        <w:rPr>
          <w:sz w:val="20"/>
        </w:rPr>
      </w:pPr>
    </w:p>
    <w:p w:rsidR="00000000" w:rsidRDefault="00000000">
      <w:pPr>
        <w:pStyle w:val="BodyText"/>
        <w:rPr>
          <w:sz w:val="20"/>
        </w:rPr>
      </w:pPr>
    </w:p>
    <w:tbl>
      <w:tblPr>
        <w:tblW w:w="0" w:type="auto"/>
        <w:tblInd w:w="1278" w:type="dxa"/>
        <w:tblLayout w:type="fixed"/>
        <w:tblCellMar>
          <w:left w:w="70" w:type="dxa"/>
          <w:right w:w="70" w:type="dxa"/>
        </w:tblCellMar>
        <w:tblLook w:val="0000" w:firstRow="0" w:lastRow="0" w:firstColumn="0" w:lastColumn="0" w:noHBand="0" w:noVBand="0"/>
      </w:tblPr>
      <w:tblGrid>
        <w:gridCol w:w="5812"/>
        <w:gridCol w:w="1843"/>
      </w:tblGrid>
      <w:tr w:rsidR="00000000">
        <w:tblPrEx>
          <w:tblCellMar>
            <w:top w:w="0" w:type="dxa"/>
            <w:bottom w:w="0" w:type="dxa"/>
          </w:tblCellMar>
        </w:tblPrEx>
        <w:tc>
          <w:tcPr>
            <w:tcW w:w="5812" w:type="dxa"/>
          </w:tcPr>
          <w:p w:rsidR="00000000" w:rsidRDefault="00000000">
            <w:pPr>
              <w:pStyle w:val="BodyText"/>
              <w:rPr>
                <w:sz w:val="16"/>
              </w:rPr>
            </w:pPr>
          </w:p>
        </w:tc>
        <w:tc>
          <w:tcPr>
            <w:tcW w:w="1843" w:type="dxa"/>
            <w:tcBorders>
              <w:bottom w:val="double" w:sz="4" w:space="0" w:color="auto"/>
            </w:tcBorders>
          </w:tcPr>
          <w:p w:rsidR="00000000" w:rsidRDefault="00000000">
            <w:pPr>
              <w:pStyle w:val="BodyText"/>
              <w:jc w:val="center"/>
              <w:rPr>
                <w:sz w:val="16"/>
              </w:rPr>
            </w:pPr>
            <w:r>
              <w:rPr>
                <w:sz w:val="16"/>
              </w:rPr>
              <w:t>Ejemplares</w:t>
            </w:r>
          </w:p>
        </w:tc>
      </w:tr>
      <w:tr w:rsidR="00000000">
        <w:tblPrEx>
          <w:tblCellMar>
            <w:top w:w="0" w:type="dxa"/>
            <w:bottom w:w="0" w:type="dxa"/>
          </w:tblCellMar>
        </w:tblPrEx>
        <w:tc>
          <w:tcPr>
            <w:tcW w:w="5812" w:type="dxa"/>
          </w:tcPr>
          <w:p w:rsidR="00000000" w:rsidRDefault="00000000">
            <w:pPr>
              <w:pStyle w:val="BodyText"/>
              <w:rPr>
                <w:sz w:val="16"/>
              </w:rPr>
            </w:pPr>
            <w:r>
              <w:rPr>
                <w:sz w:val="16"/>
              </w:rPr>
              <w:t>Situación de la mujer en la toma de decisiones</w:t>
            </w:r>
          </w:p>
        </w:tc>
        <w:tc>
          <w:tcPr>
            <w:tcW w:w="1843" w:type="dxa"/>
          </w:tcPr>
          <w:p w:rsidR="00000000" w:rsidRDefault="00000000">
            <w:pPr>
              <w:pStyle w:val="BodyText"/>
              <w:jc w:val="center"/>
              <w:rPr>
                <w:sz w:val="16"/>
              </w:rPr>
            </w:pPr>
            <w:r>
              <w:rPr>
                <w:sz w:val="16"/>
              </w:rPr>
              <w:t>1.000</w:t>
            </w:r>
          </w:p>
        </w:tc>
      </w:tr>
      <w:tr w:rsidR="00000000">
        <w:tblPrEx>
          <w:tblCellMar>
            <w:top w:w="0" w:type="dxa"/>
            <w:bottom w:w="0" w:type="dxa"/>
          </w:tblCellMar>
        </w:tblPrEx>
        <w:tc>
          <w:tcPr>
            <w:tcW w:w="5812" w:type="dxa"/>
          </w:tcPr>
          <w:p w:rsidR="00000000" w:rsidRDefault="00000000">
            <w:pPr>
              <w:pStyle w:val="BodyText"/>
              <w:rPr>
                <w:sz w:val="16"/>
              </w:rPr>
            </w:pPr>
            <w:r>
              <w:rPr>
                <w:sz w:val="16"/>
              </w:rPr>
              <w:t>La mujer y la Constitución española de 1978</w:t>
            </w:r>
          </w:p>
        </w:tc>
        <w:tc>
          <w:tcPr>
            <w:tcW w:w="1843" w:type="dxa"/>
          </w:tcPr>
          <w:p w:rsidR="00000000" w:rsidRDefault="00000000">
            <w:pPr>
              <w:pStyle w:val="BodyText"/>
              <w:jc w:val="center"/>
              <w:rPr>
                <w:sz w:val="16"/>
              </w:rPr>
            </w:pPr>
            <w:r>
              <w:rPr>
                <w:sz w:val="16"/>
              </w:rPr>
              <w:t>1.000</w:t>
            </w:r>
          </w:p>
        </w:tc>
      </w:tr>
      <w:tr w:rsidR="00000000">
        <w:tblPrEx>
          <w:tblCellMar>
            <w:top w:w="0" w:type="dxa"/>
            <w:bottom w:w="0" w:type="dxa"/>
          </w:tblCellMar>
        </w:tblPrEx>
        <w:tc>
          <w:tcPr>
            <w:tcW w:w="5812" w:type="dxa"/>
          </w:tcPr>
          <w:p w:rsidR="00000000" w:rsidRDefault="00000000">
            <w:pPr>
              <w:pStyle w:val="BodyText"/>
              <w:rPr>
                <w:sz w:val="16"/>
              </w:rPr>
            </w:pPr>
            <w:r>
              <w:rPr>
                <w:sz w:val="16"/>
              </w:rPr>
              <w:t>La igualdad entre mujeres y hombres en el Derecho Europeo</w:t>
            </w:r>
          </w:p>
        </w:tc>
        <w:tc>
          <w:tcPr>
            <w:tcW w:w="1843" w:type="dxa"/>
          </w:tcPr>
          <w:p w:rsidR="00000000" w:rsidRDefault="00000000">
            <w:pPr>
              <w:pStyle w:val="BodyText"/>
              <w:jc w:val="center"/>
              <w:rPr>
                <w:sz w:val="16"/>
              </w:rPr>
            </w:pPr>
            <w:r>
              <w:rPr>
                <w:sz w:val="16"/>
              </w:rPr>
              <w:t>2.300</w:t>
            </w:r>
          </w:p>
        </w:tc>
      </w:tr>
      <w:tr w:rsidR="00000000">
        <w:tblPrEx>
          <w:tblCellMar>
            <w:top w:w="0" w:type="dxa"/>
            <w:bottom w:w="0" w:type="dxa"/>
          </w:tblCellMar>
        </w:tblPrEx>
        <w:tc>
          <w:tcPr>
            <w:tcW w:w="5812" w:type="dxa"/>
          </w:tcPr>
          <w:p w:rsidR="00000000" w:rsidRDefault="00000000">
            <w:pPr>
              <w:pStyle w:val="BodyText"/>
              <w:rPr>
                <w:sz w:val="16"/>
              </w:rPr>
            </w:pPr>
            <w:r>
              <w:rPr>
                <w:sz w:val="16"/>
              </w:rPr>
              <w:t>La evaluación de las políticas de igualdad</w:t>
            </w:r>
          </w:p>
        </w:tc>
        <w:tc>
          <w:tcPr>
            <w:tcW w:w="1843" w:type="dxa"/>
          </w:tcPr>
          <w:p w:rsidR="00000000" w:rsidRDefault="00000000">
            <w:pPr>
              <w:pStyle w:val="BodyText"/>
              <w:jc w:val="center"/>
              <w:rPr>
                <w:sz w:val="16"/>
              </w:rPr>
            </w:pPr>
            <w:r>
              <w:rPr>
                <w:sz w:val="16"/>
              </w:rPr>
              <w:t>1.000</w:t>
            </w:r>
          </w:p>
        </w:tc>
      </w:tr>
      <w:tr w:rsidR="00000000">
        <w:tblPrEx>
          <w:tblCellMar>
            <w:top w:w="0" w:type="dxa"/>
            <w:bottom w:w="0" w:type="dxa"/>
          </w:tblCellMar>
        </w:tblPrEx>
        <w:tc>
          <w:tcPr>
            <w:tcW w:w="5812" w:type="dxa"/>
          </w:tcPr>
          <w:p w:rsidR="00000000" w:rsidRDefault="00000000">
            <w:pPr>
              <w:pStyle w:val="BodyText"/>
              <w:rPr>
                <w:sz w:val="16"/>
              </w:rPr>
            </w:pPr>
            <w:r>
              <w:rPr>
                <w:sz w:val="16"/>
              </w:rPr>
              <w:t>Mujeres científicas en España (1950-1970)</w:t>
            </w:r>
          </w:p>
        </w:tc>
        <w:tc>
          <w:tcPr>
            <w:tcW w:w="1843" w:type="dxa"/>
          </w:tcPr>
          <w:p w:rsidR="00000000" w:rsidRDefault="00000000">
            <w:pPr>
              <w:pStyle w:val="BodyText"/>
              <w:jc w:val="center"/>
              <w:rPr>
                <w:sz w:val="16"/>
              </w:rPr>
            </w:pPr>
            <w:r>
              <w:rPr>
                <w:sz w:val="16"/>
              </w:rPr>
              <w:t>1.000</w:t>
            </w:r>
          </w:p>
        </w:tc>
      </w:tr>
      <w:tr w:rsidR="00000000">
        <w:tblPrEx>
          <w:tblCellMar>
            <w:top w:w="0" w:type="dxa"/>
            <w:bottom w:w="0" w:type="dxa"/>
          </w:tblCellMar>
        </w:tblPrEx>
        <w:tc>
          <w:tcPr>
            <w:tcW w:w="5812" w:type="dxa"/>
          </w:tcPr>
          <w:p w:rsidR="00000000" w:rsidRDefault="00000000">
            <w:pPr>
              <w:pStyle w:val="BodyText"/>
              <w:rPr>
                <w:sz w:val="16"/>
              </w:rPr>
            </w:pPr>
            <w:r>
              <w:rPr>
                <w:sz w:val="16"/>
              </w:rPr>
              <w:t>Mujer y Política. La participación de la mujer en las elecciones generales cel</w:t>
            </w:r>
            <w:r>
              <w:rPr>
                <w:sz w:val="16"/>
              </w:rPr>
              <w:t>e</w:t>
            </w:r>
            <w:r>
              <w:rPr>
                <w:sz w:val="16"/>
              </w:rPr>
              <w:t>bradas en Madrid (1931-1936)</w:t>
            </w:r>
          </w:p>
        </w:tc>
        <w:tc>
          <w:tcPr>
            <w:tcW w:w="1843" w:type="dxa"/>
          </w:tcPr>
          <w:p w:rsidR="00000000" w:rsidRDefault="00000000">
            <w:pPr>
              <w:pStyle w:val="BodyText"/>
              <w:jc w:val="center"/>
              <w:rPr>
                <w:sz w:val="16"/>
              </w:rPr>
            </w:pPr>
            <w:r>
              <w:rPr>
                <w:sz w:val="16"/>
              </w:rPr>
              <w:t>1.000</w:t>
            </w:r>
          </w:p>
        </w:tc>
      </w:tr>
      <w:tr w:rsidR="00000000">
        <w:tblPrEx>
          <w:tblCellMar>
            <w:top w:w="0" w:type="dxa"/>
            <w:bottom w:w="0" w:type="dxa"/>
          </w:tblCellMar>
        </w:tblPrEx>
        <w:tc>
          <w:tcPr>
            <w:tcW w:w="5812" w:type="dxa"/>
            <w:tcBorders>
              <w:bottom w:val="single" w:sz="4" w:space="0" w:color="auto"/>
            </w:tcBorders>
          </w:tcPr>
          <w:p w:rsidR="00000000" w:rsidRDefault="00000000">
            <w:pPr>
              <w:pStyle w:val="BodyText"/>
              <w:rPr>
                <w:sz w:val="16"/>
              </w:rPr>
            </w:pPr>
            <w:r>
              <w:rPr>
                <w:sz w:val="16"/>
              </w:rPr>
              <w:t>Las mujeres en cifras 2001</w:t>
            </w:r>
          </w:p>
        </w:tc>
        <w:tc>
          <w:tcPr>
            <w:tcW w:w="1843" w:type="dxa"/>
            <w:tcBorders>
              <w:bottom w:val="single" w:sz="4" w:space="0" w:color="auto"/>
            </w:tcBorders>
          </w:tcPr>
          <w:p w:rsidR="00000000" w:rsidRDefault="00000000">
            <w:pPr>
              <w:pStyle w:val="BodyText"/>
              <w:jc w:val="center"/>
              <w:rPr>
                <w:sz w:val="16"/>
              </w:rPr>
            </w:pPr>
            <w:r>
              <w:rPr>
                <w:sz w:val="16"/>
              </w:rPr>
              <w:t>2.000</w:t>
            </w:r>
          </w:p>
        </w:tc>
      </w:tr>
    </w:tbl>
    <w:p w:rsidR="00000000" w:rsidRDefault="00000000">
      <w:pPr>
        <w:pStyle w:val="BodyText"/>
        <w:tabs>
          <w:tab w:val="left" w:pos="1656"/>
          <w:tab w:val="left" w:pos="7655"/>
        </w:tabs>
        <w:rPr>
          <w:b/>
          <w:sz w:val="16"/>
        </w:rPr>
      </w:pPr>
      <w:r>
        <w:rPr>
          <w:b/>
          <w:sz w:val="16"/>
        </w:rPr>
        <w:tab/>
        <w:t>Total</w:t>
      </w:r>
      <w:r>
        <w:rPr>
          <w:b/>
          <w:sz w:val="16"/>
        </w:rPr>
        <w:tab/>
        <w:t xml:space="preserve">   9.300</w:t>
      </w:r>
    </w:p>
    <w:p w:rsidR="00000000" w:rsidRDefault="00000000">
      <w:pPr>
        <w:pStyle w:val="BodyText"/>
      </w:pPr>
    </w:p>
    <w:p w:rsidR="00000000" w:rsidRDefault="00000000">
      <w:pPr>
        <w:pStyle w:val="BodyText"/>
      </w:pPr>
    </w:p>
    <w:p w:rsidR="00000000" w:rsidRDefault="00000000">
      <w:pPr>
        <w:pStyle w:val="BodyText"/>
        <w:rPr>
          <w:b/>
          <w:sz w:val="20"/>
        </w:rPr>
      </w:pPr>
      <w:r>
        <w:rPr>
          <w:b/>
          <w:sz w:val="20"/>
        </w:rPr>
        <w:t xml:space="preserve">En cuanto a los </w:t>
      </w:r>
      <w:r>
        <w:rPr>
          <w:sz w:val="20"/>
        </w:rPr>
        <w:t>estudios</w:t>
      </w:r>
      <w:r>
        <w:rPr>
          <w:b/>
          <w:sz w:val="20"/>
        </w:rPr>
        <w:t xml:space="preserve"> subvencionados por el Instituto de la Mujer en el marco del Plan Nacional de Investigación Científica, Desarrollo e Innovación Tecnológica pueden citarse los s</w:t>
      </w:r>
      <w:r>
        <w:rPr>
          <w:b/>
          <w:sz w:val="20"/>
        </w:rPr>
        <w:t>i</w:t>
      </w:r>
      <w:r>
        <w:rPr>
          <w:b/>
          <w:sz w:val="20"/>
        </w:rPr>
        <w:t>guientes:</w:t>
      </w:r>
    </w:p>
    <w:p w:rsidR="00000000" w:rsidRDefault="00000000">
      <w:pPr>
        <w:jc w:val="both"/>
        <w:rPr>
          <w:rFonts w:ascii="Arial" w:hAnsi="Arial"/>
        </w:rPr>
      </w:pPr>
    </w:p>
    <w:p w:rsidR="00000000" w:rsidRDefault="00000000">
      <w:pPr>
        <w:numPr>
          <w:ilvl w:val="0"/>
          <w:numId w:val="1494"/>
        </w:numPr>
        <w:tabs>
          <w:tab w:val="clear" w:pos="720"/>
        </w:tabs>
        <w:ind w:left="216" w:hanging="216"/>
        <w:jc w:val="both"/>
        <w:rPr>
          <w:rFonts w:ascii="Arial" w:hAnsi="Arial"/>
        </w:rPr>
      </w:pPr>
      <w:r>
        <w:rPr>
          <w:rFonts w:ascii="Arial" w:hAnsi="Arial"/>
        </w:rPr>
        <w:t xml:space="preserve">La participación de la mujer en las elecciones del 13 de Junio de 1.999.. </w:t>
      </w:r>
    </w:p>
    <w:p w:rsidR="00000000" w:rsidRDefault="00000000">
      <w:pPr>
        <w:numPr>
          <w:ilvl w:val="0"/>
          <w:numId w:val="1494"/>
        </w:numPr>
        <w:tabs>
          <w:tab w:val="clear" w:pos="720"/>
        </w:tabs>
        <w:ind w:left="216" w:hanging="216"/>
        <w:jc w:val="both"/>
        <w:rPr>
          <w:rFonts w:ascii="Arial" w:hAnsi="Arial"/>
        </w:rPr>
      </w:pPr>
      <w:r>
        <w:rPr>
          <w:rFonts w:ascii="Arial" w:hAnsi="Arial"/>
        </w:rPr>
        <w:t>Rompiendo el techo de cristal: beneficios de la diversidad de género en los equipos directivos.</w:t>
      </w:r>
    </w:p>
    <w:p w:rsidR="00000000" w:rsidRDefault="00000000">
      <w:pPr>
        <w:numPr>
          <w:ilvl w:val="0"/>
          <w:numId w:val="1494"/>
        </w:numPr>
        <w:tabs>
          <w:tab w:val="clear" w:pos="720"/>
        </w:tabs>
        <w:ind w:left="216" w:hanging="216"/>
        <w:jc w:val="both"/>
        <w:rPr>
          <w:rFonts w:ascii="Arial" w:hAnsi="Arial"/>
        </w:rPr>
      </w:pPr>
      <w:r>
        <w:rPr>
          <w:rFonts w:ascii="Arial" w:hAnsi="Arial"/>
        </w:rPr>
        <w:t xml:space="preserve">Análisis de las candidaturas y resultados de las elecciones generales del año 2.000. </w:t>
      </w:r>
    </w:p>
    <w:p w:rsidR="00000000" w:rsidRDefault="00000000">
      <w:pPr>
        <w:numPr>
          <w:ilvl w:val="0"/>
          <w:numId w:val="1494"/>
        </w:numPr>
        <w:tabs>
          <w:tab w:val="clear" w:pos="720"/>
        </w:tabs>
        <w:ind w:left="216" w:hanging="216"/>
        <w:jc w:val="both"/>
        <w:rPr>
          <w:rFonts w:ascii="Arial" w:hAnsi="Arial"/>
        </w:rPr>
      </w:pPr>
      <w:r>
        <w:rPr>
          <w:rFonts w:ascii="Arial" w:hAnsi="Arial"/>
        </w:rPr>
        <w:t>Paridad: las mujeres en los espacios del saber y la autoridad.</w:t>
      </w:r>
    </w:p>
    <w:p w:rsidR="00000000" w:rsidRDefault="00000000">
      <w:pPr>
        <w:numPr>
          <w:ilvl w:val="0"/>
          <w:numId w:val="1494"/>
        </w:numPr>
        <w:tabs>
          <w:tab w:val="clear" w:pos="720"/>
        </w:tabs>
        <w:ind w:left="216" w:hanging="216"/>
        <w:jc w:val="both"/>
        <w:rPr>
          <w:rFonts w:ascii="Arial" w:hAnsi="Arial"/>
        </w:rPr>
      </w:pPr>
      <w:r>
        <w:rPr>
          <w:rFonts w:ascii="Arial" w:hAnsi="Arial"/>
        </w:rPr>
        <w:t>El estilo de la clase política femenina en España: agenda y liderazgo.</w:t>
      </w:r>
    </w:p>
    <w:p w:rsidR="00000000" w:rsidRDefault="00000000">
      <w:pPr>
        <w:numPr>
          <w:ilvl w:val="0"/>
          <w:numId w:val="1494"/>
        </w:numPr>
        <w:tabs>
          <w:tab w:val="clear" w:pos="720"/>
        </w:tabs>
        <w:ind w:left="216" w:hanging="216"/>
        <w:jc w:val="both"/>
        <w:rPr>
          <w:rFonts w:ascii="Arial" w:hAnsi="Arial"/>
        </w:rPr>
      </w:pPr>
      <w:r>
        <w:rPr>
          <w:rFonts w:ascii="Arial" w:hAnsi="Arial"/>
        </w:rPr>
        <w:t>Estudio de las barreras internas y externas que obstaculizan el acceso de las mujeres a los puestos de alta responsabilidad en el sector automoción, financiero y de seguros y en las administraciones públicas.</w:t>
      </w:r>
    </w:p>
    <w:p w:rsidR="00000000" w:rsidRDefault="00000000">
      <w:pPr>
        <w:pStyle w:val="BodyTextIndent"/>
        <w:ind w:left="0"/>
        <w:rPr>
          <w:sz w:val="20"/>
        </w:rPr>
      </w:pPr>
    </w:p>
    <w:p w:rsidR="00000000" w:rsidRDefault="00000000">
      <w:pPr>
        <w:pStyle w:val="BodyTextIndent"/>
        <w:ind w:left="0"/>
        <w:rPr>
          <w:sz w:val="20"/>
        </w:rPr>
      </w:pPr>
    </w:p>
    <w:p w:rsidR="00000000" w:rsidRDefault="00000000">
      <w:pPr>
        <w:pStyle w:val="Heading3"/>
        <w:ind w:left="0"/>
        <w:jc w:val="left"/>
        <w:rPr>
          <w:b/>
          <w:sz w:val="22"/>
        </w:rPr>
      </w:pPr>
      <w:r>
        <w:rPr>
          <w:b/>
          <w:sz w:val="22"/>
        </w:rPr>
        <w:t>Artículo 8: Representación y participación internacional.</w:t>
      </w:r>
    </w:p>
    <w:p w:rsidR="00000000" w:rsidRDefault="00000000"/>
    <w:p w:rsidR="00000000" w:rsidRDefault="00000000">
      <w:pPr>
        <w:pStyle w:val="Heading3"/>
        <w:ind w:left="0"/>
        <w:jc w:val="left"/>
        <w:rPr>
          <w:b/>
          <w:sz w:val="22"/>
        </w:rPr>
      </w:pPr>
      <w:r>
        <w:rPr>
          <w:b/>
          <w:sz w:val="22"/>
        </w:rPr>
        <w:t>I. Situación actual</w:t>
      </w:r>
    </w:p>
    <w:p w:rsidR="00000000" w:rsidRDefault="00000000">
      <w:pPr>
        <w:jc w:val="both"/>
        <w:rPr>
          <w:rFonts w:ascii="Arial" w:hAnsi="Arial"/>
          <w:b/>
        </w:rPr>
      </w:pPr>
    </w:p>
    <w:p w:rsidR="00000000" w:rsidRDefault="00000000">
      <w:pPr>
        <w:jc w:val="both"/>
        <w:rPr>
          <w:rFonts w:ascii="Arial" w:hAnsi="Arial"/>
        </w:rPr>
      </w:pPr>
      <w:r>
        <w:rPr>
          <w:rFonts w:ascii="Arial" w:hAnsi="Arial"/>
        </w:rPr>
        <w:t>Aunque la participación de las mujeres en la vida política ha aumentado progresivamente, todavía presenta un evidente desequilibrio cualitativo y cuantitativo, que se pone de evidencia más aún en el plano de las relaciones internacionales y especialmente por lo que se refiere a los puestos de responsabilidad.</w:t>
      </w:r>
    </w:p>
    <w:p w:rsidR="00000000" w:rsidRDefault="00000000">
      <w:pPr>
        <w:jc w:val="both"/>
        <w:rPr>
          <w:rFonts w:ascii="Arial" w:hAnsi="Arial"/>
        </w:rPr>
      </w:pPr>
    </w:p>
    <w:p w:rsidR="00000000" w:rsidRDefault="00000000">
      <w:pPr>
        <w:jc w:val="both"/>
        <w:rPr>
          <w:rFonts w:ascii="Arial" w:hAnsi="Arial"/>
        </w:rPr>
      </w:pPr>
      <w:r>
        <w:rPr>
          <w:rFonts w:ascii="Arial" w:hAnsi="Arial"/>
        </w:rPr>
        <w:t>El III Plan de Igualdad de Oportunidades, vigente hasta finales del año 2000, contemplaba, debido a las dificultades en este terreno, medidas para promover un incremento de la participación de las mujeres españolas en los organismos internacionales.</w:t>
      </w:r>
    </w:p>
    <w:p w:rsidR="00000000" w:rsidRDefault="00000000">
      <w:pPr>
        <w:jc w:val="both"/>
        <w:rPr>
          <w:rFonts w:ascii="Arial" w:hAnsi="Arial"/>
        </w:rPr>
      </w:pPr>
    </w:p>
    <w:p w:rsidR="00000000" w:rsidRDefault="00000000">
      <w:pPr>
        <w:jc w:val="both"/>
        <w:rPr>
          <w:rFonts w:ascii="Arial" w:hAnsi="Arial"/>
        </w:rPr>
      </w:pPr>
      <w:r>
        <w:rPr>
          <w:rFonts w:ascii="Arial" w:hAnsi="Arial"/>
        </w:rPr>
        <w:t>Como consecuencia de las medidas puestas en marcha en los últimos años, como se ha visto en el capítulo anterior, España tiene un porcentaje de representación femenina (34´38%), en el Parlamento europeo.</w:t>
      </w:r>
    </w:p>
    <w:p w:rsidR="00000000" w:rsidRDefault="00000000">
      <w:pPr>
        <w:jc w:val="both"/>
        <w:rPr>
          <w:rFonts w:ascii="Arial" w:hAnsi="Arial"/>
        </w:rPr>
      </w:pPr>
    </w:p>
    <w:p w:rsidR="00000000" w:rsidRDefault="00000000">
      <w:pPr>
        <w:jc w:val="both"/>
        <w:rPr>
          <w:rFonts w:ascii="Arial" w:hAnsi="Arial"/>
        </w:rPr>
      </w:pPr>
      <w:r>
        <w:rPr>
          <w:rFonts w:ascii="Arial" w:hAnsi="Arial"/>
        </w:rPr>
        <w:t>El incremento de la presencia de mujeres en los altos cargos de la Administración del Estado ha supuesto, correlativamente, un incremento de su presencia en los organismos internacionales. Como ejemplo de ello, en la última remodelación ministerial de julio de 2002 ha sido nombrada una mujer como responsable del Ministerio de Asuntos Exteriores.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 acuerdo con los datos disponibles, la presencia femenina en el Servicio Exterior del </w:t>
      </w:r>
      <w:r>
        <w:rPr>
          <w:rFonts w:ascii="Arial" w:hAnsi="Arial"/>
          <w:b/>
        </w:rPr>
        <w:t>Ministerio de Asuntos Exteriores</w:t>
      </w:r>
      <w:r>
        <w:rPr>
          <w:rFonts w:ascii="Arial" w:hAnsi="Arial"/>
        </w:rPr>
        <w:t xml:space="preserve"> es la siguiente:</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total el número de </w:t>
      </w:r>
      <w:r>
        <w:rPr>
          <w:rFonts w:ascii="Arial" w:hAnsi="Arial"/>
          <w:b/>
        </w:rPr>
        <w:t>diplomáticas españolas</w:t>
      </w:r>
      <w:r>
        <w:rPr>
          <w:rFonts w:ascii="Arial" w:hAnsi="Arial"/>
        </w:rPr>
        <w:t xml:space="preserve"> asciende a 101 ( 12´83%) del total de diplomáticos españoles; el número total de </w:t>
      </w:r>
      <w:r>
        <w:rPr>
          <w:rFonts w:ascii="Arial" w:hAnsi="Arial"/>
          <w:b/>
        </w:rPr>
        <w:t>Embajadoras</w:t>
      </w:r>
      <w:r>
        <w:rPr>
          <w:rFonts w:ascii="Arial" w:hAnsi="Arial"/>
        </w:rPr>
        <w:t xml:space="preserve"> es de 3</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lo que se refiere a la participación de las mujeres en las </w:t>
      </w:r>
      <w:r>
        <w:rPr>
          <w:rFonts w:ascii="Arial" w:hAnsi="Arial"/>
          <w:b/>
        </w:rPr>
        <w:t>Operaciones de Mantenimiento de la Paz</w:t>
      </w:r>
      <w:r>
        <w:rPr>
          <w:rFonts w:ascii="Arial" w:hAnsi="Arial"/>
        </w:rPr>
        <w:t>, dependiendo de la Misión que se trate y de la Unidad concreta, representan entre el 5% y el 10% de la fuerza total desplegada. Aunque la presencia de las mujeres todavía es insuficiente para las necesidades requeridas por las poblaciones de los países en los que se está interviniendo, su presencia creciente demuestra la decidida voluntad del gobierno español de potenciar la dimensión de género en relación con las misiones de paz.</w:t>
      </w:r>
    </w:p>
    <w:p w:rsidR="00000000" w:rsidRDefault="00000000">
      <w:pPr>
        <w:jc w:val="both"/>
        <w:rPr>
          <w:rFonts w:ascii="Arial" w:hAnsi="Arial"/>
        </w:rPr>
      </w:pPr>
    </w:p>
    <w:p w:rsidR="00000000" w:rsidRDefault="00000000">
      <w:pPr>
        <w:pStyle w:val="BlockText"/>
        <w:suppressAutoHyphens/>
        <w:ind w:left="0" w:right="0"/>
        <w:rPr>
          <w:sz w:val="20"/>
        </w:rPr>
      </w:pPr>
      <w:r>
        <w:rPr>
          <w:sz w:val="20"/>
        </w:rPr>
        <w:t>En relación con el papel de la mujer en la prevención, resolución de conflictos y consolidación de la paz en el ámbito internacional, hay que destacar que en los últimos años, se ha incrementado considerablemente la participación de mujeres altamente cualificadas (licenciadas, asistentes sanitarias, profesoras de universidad, etc.) como observadoras internacionales en los procesos electorales de Centroamérica, de Bosnia - Herzegovina y de Kosovo y como cooperantes en los programas de reconstrucción posteriores a los conflictos arm</w:t>
      </w:r>
      <w:r>
        <w:rPr>
          <w:sz w:val="20"/>
        </w:rPr>
        <w:t>a</w:t>
      </w:r>
      <w:r>
        <w:rPr>
          <w:sz w:val="20"/>
        </w:rPr>
        <w:t>dos.</w:t>
      </w:r>
    </w:p>
    <w:p w:rsidR="00000000" w:rsidRDefault="00000000">
      <w:pPr>
        <w:jc w:val="both"/>
        <w:rPr>
          <w:rFonts w:ascii="Arial" w:hAnsi="Arial"/>
        </w:rPr>
      </w:pPr>
    </w:p>
    <w:p w:rsidR="00000000" w:rsidRDefault="00000000"/>
    <w:p w:rsidR="00000000" w:rsidRDefault="00000000">
      <w:pPr>
        <w:pStyle w:val="Heading4"/>
        <w:ind w:left="0"/>
        <w:jc w:val="center"/>
      </w:pPr>
      <w:r>
        <w:t>Misiones de Observación Electoral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1276"/>
        <w:gridCol w:w="1559"/>
        <w:gridCol w:w="1134"/>
        <w:gridCol w:w="1560"/>
        <w:gridCol w:w="1417"/>
      </w:tblGrid>
      <w:tr w:rsidR="00000000">
        <w:tblPrEx>
          <w:tblCellMar>
            <w:top w:w="0" w:type="dxa"/>
            <w:bottom w:w="0" w:type="dxa"/>
          </w:tblCellMar>
        </w:tblPrEx>
        <w:trPr>
          <w:jc w:val="center"/>
        </w:trPr>
        <w:tc>
          <w:tcPr>
            <w:tcW w:w="708" w:type="dxa"/>
          </w:tcPr>
          <w:p w:rsidR="00000000" w:rsidRDefault="00000000">
            <w:pPr>
              <w:jc w:val="center"/>
              <w:rPr>
                <w:rFonts w:ascii="Arial" w:hAnsi="Arial"/>
                <w:sz w:val="16"/>
              </w:rPr>
            </w:pPr>
            <w:r>
              <w:rPr>
                <w:rFonts w:ascii="Arial" w:hAnsi="Arial"/>
                <w:sz w:val="16"/>
              </w:rPr>
              <w:t>AÑO</w:t>
            </w:r>
          </w:p>
        </w:tc>
        <w:tc>
          <w:tcPr>
            <w:tcW w:w="1276" w:type="dxa"/>
          </w:tcPr>
          <w:p w:rsidR="00000000" w:rsidRDefault="00000000">
            <w:pPr>
              <w:jc w:val="center"/>
              <w:rPr>
                <w:rFonts w:ascii="Arial" w:hAnsi="Arial"/>
                <w:sz w:val="16"/>
              </w:rPr>
            </w:pPr>
            <w:r>
              <w:rPr>
                <w:rFonts w:ascii="Arial" w:hAnsi="Arial"/>
                <w:sz w:val="16"/>
              </w:rPr>
              <w:t>Nº de Elecciones</w:t>
            </w:r>
          </w:p>
        </w:tc>
        <w:tc>
          <w:tcPr>
            <w:tcW w:w="1559" w:type="dxa"/>
          </w:tcPr>
          <w:p w:rsidR="00000000" w:rsidRDefault="00000000">
            <w:pPr>
              <w:jc w:val="center"/>
              <w:rPr>
                <w:rFonts w:ascii="Arial" w:hAnsi="Arial"/>
                <w:sz w:val="16"/>
              </w:rPr>
            </w:pPr>
            <w:r>
              <w:rPr>
                <w:rFonts w:ascii="Arial" w:hAnsi="Arial"/>
                <w:sz w:val="16"/>
              </w:rPr>
              <w:t>Nº  observadores</w:t>
            </w:r>
          </w:p>
        </w:tc>
        <w:tc>
          <w:tcPr>
            <w:tcW w:w="1134" w:type="dxa"/>
          </w:tcPr>
          <w:p w:rsidR="00000000" w:rsidRDefault="00000000">
            <w:pPr>
              <w:jc w:val="center"/>
              <w:rPr>
                <w:rFonts w:ascii="Arial" w:hAnsi="Arial"/>
                <w:sz w:val="16"/>
              </w:rPr>
            </w:pPr>
            <w:r>
              <w:rPr>
                <w:rFonts w:ascii="Arial" w:hAnsi="Arial"/>
                <w:sz w:val="16"/>
              </w:rPr>
              <w:t>% mujeres</w:t>
            </w:r>
          </w:p>
        </w:tc>
        <w:tc>
          <w:tcPr>
            <w:tcW w:w="1560" w:type="dxa"/>
          </w:tcPr>
          <w:p w:rsidR="00000000" w:rsidRDefault="00000000">
            <w:pPr>
              <w:jc w:val="center"/>
              <w:rPr>
                <w:rFonts w:ascii="Arial" w:hAnsi="Arial"/>
                <w:sz w:val="16"/>
              </w:rPr>
            </w:pPr>
            <w:r>
              <w:rPr>
                <w:rFonts w:ascii="Arial" w:hAnsi="Arial"/>
                <w:sz w:val="16"/>
              </w:rPr>
              <w:t>Nº supervisores</w:t>
            </w:r>
          </w:p>
        </w:tc>
        <w:tc>
          <w:tcPr>
            <w:tcW w:w="1417" w:type="dxa"/>
          </w:tcPr>
          <w:p w:rsidR="00000000" w:rsidRDefault="00000000">
            <w:pPr>
              <w:jc w:val="center"/>
              <w:rPr>
                <w:rFonts w:ascii="Arial" w:hAnsi="Arial"/>
                <w:sz w:val="16"/>
              </w:rPr>
            </w:pPr>
            <w:r>
              <w:rPr>
                <w:rFonts w:ascii="Arial" w:hAnsi="Arial"/>
                <w:sz w:val="16"/>
              </w:rPr>
              <w:t>% mujeres</w:t>
            </w:r>
          </w:p>
        </w:tc>
      </w:tr>
      <w:tr w:rsidR="00000000">
        <w:tblPrEx>
          <w:tblCellMar>
            <w:top w:w="0" w:type="dxa"/>
            <w:bottom w:w="0" w:type="dxa"/>
          </w:tblCellMar>
        </w:tblPrEx>
        <w:trPr>
          <w:jc w:val="center"/>
        </w:trPr>
        <w:tc>
          <w:tcPr>
            <w:tcW w:w="708" w:type="dxa"/>
          </w:tcPr>
          <w:p w:rsidR="00000000" w:rsidRDefault="00000000">
            <w:pPr>
              <w:jc w:val="center"/>
              <w:rPr>
                <w:rFonts w:ascii="Arial" w:hAnsi="Arial"/>
                <w:sz w:val="16"/>
              </w:rPr>
            </w:pPr>
            <w:r>
              <w:rPr>
                <w:rFonts w:ascii="Arial" w:hAnsi="Arial"/>
                <w:sz w:val="16"/>
              </w:rPr>
              <w:t>1999</w:t>
            </w:r>
          </w:p>
        </w:tc>
        <w:tc>
          <w:tcPr>
            <w:tcW w:w="1276" w:type="dxa"/>
          </w:tcPr>
          <w:p w:rsidR="00000000" w:rsidRDefault="00000000">
            <w:pPr>
              <w:jc w:val="center"/>
              <w:rPr>
                <w:rFonts w:ascii="Arial" w:hAnsi="Arial"/>
                <w:sz w:val="16"/>
              </w:rPr>
            </w:pPr>
            <w:r>
              <w:rPr>
                <w:rFonts w:ascii="Arial" w:hAnsi="Arial"/>
                <w:sz w:val="16"/>
              </w:rPr>
              <w:t>10</w:t>
            </w:r>
          </w:p>
        </w:tc>
        <w:tc>
          <w:tcPr>
            <w:tcW w:w="1559" w:type="dxa"/>
          </w:tcPr>
          <w:p w:rsidR="00000000" w:rsidRDefault="00000000">
            <w:pPr>
              <w:jc w:val="center"/>
              <w:rPr>
                <w:rFonts w:ascii="Arial" w:hAnsi="Arial"/>
                <w:sz w:val="16"/>
              </w:rPr>
            </w:pPr>
            <w:r>
              <w:rPr>
                <w:rFonts w:ascii="Arial" w:hAnsi="Arial"/>
                <w:sz w:val="16"/>
              </w:rPr>
              <w:t>56</w:t>
            </w:r>
          </w:p>
        </w:tc>
        <w:tc>
          <w:tcPr>
            <w:tcW w:w="1134" w:type="dxa"/>
          </w:tcPr>
          <w:p w:rsidR="00000000" w:rsidRDefault="00000000">
            <w:pPr>
              <w:jc w:val="center"/>
              <w:rPr>
                <w:rFonts w:ascii="Arial" w:hAnsi="Arial"/>
                <w:sz w:val="16"/>
              </w:rPr>
            </w:pPr>
            <w:r>
              <w:rPr>
                <w:rFonts w:ascii="Arial" w:hAnsi="Arial"/>
                <w:sz w:val="16"/>
              </w:rPr>
              <w:t>41.07</w:t>
            </w:r>
          </w:p>
        </w:tc>
        <w:tc>
          <w:tcPr>
            <w:tcW w:w="1560" w:type="dxa"/>
          </w:tcPr>
          <w:p w:rsidR="00000000" w:rsidRDefault="00000000">
            <w:pPr>
              <w:jc w:val="center"/>
              <w:rPr>
                <w:rFonts w:ascii="Arial" w:hAnsi="Arial"/>
                <w:sz w:val="16"/>
              </w:rPr>
            </w:pPr>
            <w:r>
              <w:rPr>
                <w:rFonts w:ascii="Arial" w:hAnsi="Arial"/>
                <w:sz w:val="16"/>
              </w:rPr>
              <w:t>-</w:t>
            </w:r>
          </w:p>
        </w:tc>
        <w:tc>
          <w:tcPr>
            <w:tcW w:w="1417" w:type="dxa"/>
          </w:tcPr>
          <w:p w:rsidR="00000000" w:rsidRDefault="00000000">
            <w:pPr>
              <w:jc w:val="center"/>
              <w:rPr>
                <w:rFonts w:ascii="Arial" w:hAnsi="Arial"/>
                <w:sz w:val="16"/>
              </w:rPr>
            </w:pPr>
            <w:r>
              <w:rPr>
                <w:rFonts w:ascii="Arial" w:hAnsi="Arial"/>
                <w:sz w:val="16"/>
              </w:rPr>
              <w:t>-</w:t>
            </w:r>
          </w:p>
        </w:tc>
      </w:tr>
      <w:tr w:rsidR="00000000">
        <w:tblPrEx>
          <w:tblCellMar>
            <w:top w:w="0" w:type="dxa"/>
            <w:bottom w:w="0" w:type="dxa"/>
          </w:tblCellMar>
        </w:tblPrEx>
        <w:trPr>
          <w:jc w:val="center"/>
        </w:trPr>
        <w:tc>
          <w:tcPr>
            <w:tcW w:w="708" w:type="dxa"/>
          </w:tcPr>
          <w:p w:rsidR="00000000" w:rsidRDefault="00000000">
            <w:pPr>
              <w:jc w:val="center"/>
              <w:rPr>
                <w:rFonts w:ascii="Arial" w:hAnsi="Arial"/>
                <w:sz w:val="16"/>
              </w:rPr>
            </w:pPr>
            <w:r>
              <w:rPr>
                <w:rFonts w:ascii="Arial" w:hAnsi="Arial"/>
                <w:sz w:val="16"/>
              </w:rPr>
              <w:t>2000</w:t>
            </w:r>
          </w:p>
        </w:tc>
        <w:tc>
          <w:tcPr>
            <w:tcW w:w="1276" w:type="dxa"/>
          </w:tcPr>
          <w:p w:rsidR="00000000" w:rsidRDefault="00000000">
            <w:pPr>
              <w:jc w:val="center"/>
              <w:rPr>
                <w:rFonts w:ascii="Arial" w:hAnsi="Arial"/>
                <w:sz w:val="16"/>
              </w:rPr>
            </w:pPr>
            <w:r>
              <w:rPr>
                <w:rFonts w:ascii="Arial" w:hAnsi="Arial"/>
                <w:sz w:val="16"/>
              </w:rPr>
              <w:t>15</w:t>
            </w:r>
          </w:p>
        </w:tc>
        <w:tc>
          <w:tcPr>
            <w:tcW w:w="1559" w:type="dxa"/>
          </w:tcPr>
          <w:p w:rsidR="00000000" w:rsidRDefault="00000000">
            <w:pPr>
              <w:jc w:val="center"/>
              <w:rPr>
                <w:rFonts w:ascii="Arial" w:hAnsi="Arial"/>
                <w:sz w:val="16"/>
              </w:rPr>
            </w:pPr>
            <w:r>
              <w:rPr>
                <w:rFonts w:ascii="Arial" w:hAnsi="Arial"/>
                <w:sz w:val="16"/>
              </w:rPr>
              <w:t>60</w:t>
            </w:r>
          </w:p>
        </w:tc>
        <w:tc>
          <w:tcPr>
            <w:tcW w:w="1134" w:type="dxa"/>
          </w:tcPr>
          <w:p w:rsidR="00000000" w:rsidRDefault="00000000">
            <w:pPr>
              <w:jc w:val="center"/>
              <w:rPr>
                <w:rFonts w:ascii="Arial" w:hAnsi="Arial"/>
                <w:sz w:val="16"/>
              </w:rPr>
            </w:pPr>
            <w:r>
              <w:rPr>
                <w:rFonts w:ascii="Arial" w:hAnsi="Arial"/>
                <w:sz w:val="16"/>
              </w:rPr>
              <w:t>33.33</w:t>
            </w:r>
          </w:p>
        </w:tc>
        <w:tc>
          <w:tcPr>
            <w:tcW w:w="1560" w:type="dxa"/>
          </w:tcPr>
          <w:p w:rsidR="00000000" w:rsidRDefault="00000000">
            <w:pPr>
              <w:jc w:val="center"/>
              <w:rPr>
                <w:rFonts w:ascii="Arial" w:hAnsi="Arial"/>
                <w:sz w:val="16"/>
              </w:rPr>
            </w:pPr>
            <w:r>
              <w:rPr>
                <w:rFonts w:ascii="Arial" w:hAnsi="Arial"/>
                <w:sz w:val="16"/>
              </w:rPr>
              <w:t>43</w:t>
            </w:r>
          </w:p>
        </w:tc>
        <w:tc>
          <w:tcPr>
            <w:tcW w:w="1417" w:type="dxa"/>
          </w:tcPr>
          <w:p w:rsidR="00000000" w:rsidRDefault="00000000">
            <w:pPr>
              <w:jc w:val="center"/>
              <w:rPr>
                <w:rFonts w:ascii="Arial" w:hAnsi="Arial"/>
                <w:sz w:val="16"/>
              </w:rPr>
            </w:pPr>
            <w:r>
              <w:rPr>
                <w:rFonts w:ascii="Arial" w:hAnsi="Arial"/>
                <w:sz w:val="16"/>
              </w:rPr>
              <w:t>44.19</w:t>
            </w:r>
          </w:p>
        </w:tc>
      </w:tr>
      <w:tr w:rsidR="00000000">
        <w:tblPrEx>
          <w:tblCellMar>
            <w:top w:w="0" w:type="dxa"/>
            <w:bottom w:w="0" w:type="dxa"/>
          </w:tblCellMar>
        </w:tblPrEx>
        <w:trPr>
          <w:jc w:val="center"/>
        </w:trPr>
        <w:tc>
          <w:tcPr>
            <w:tcW w:w="708" w:type="dxa"/>
          </w:tcPr>
          <w:p w:rsidR="00000000" w:rsidRDefault="00000000">
            <w:pPr>
              <w:jc w:val="center"/>
              <w:rPr>
                <w:rFonts w:ascii="Arial" w:hAnsi="Arial"/>
                <w:sz w:val="16"/>
              </w:rPr>
            </w:pPr>
            <w:r>
              <w:rPr>
                <w:rFonts w:ascii="Arial" w:hAnsi="Arial"/>
                <w:sz w:val="16"/>
              </w:rPr>
              <w:t>2001</w:t>
            </w:r>
          </w:p>
        </w:tc>
        <w:tc>
          <w:tcPr>
            <w:tcW w:w="1276" w:type="dxa"/>
          </w:tcPr>
          <w:p w:rsidR="00000000" w:rsidRDefault="00000000">
            <w:pPr>
              <w:jc w:val="center"/>
              <w:rPr>
                <w:rFonts w:ascii="Arial" w:hAnsi="Arial"/>
                <w:sz w:val="16"/>
              </w:rPr>
            </w:pPr>
            <w:r>
              <w:rPr>
                <w:rFonts w:ascii="Arial" w:hAnsi="Arial"/>
                <w:sz w:val="16"/>
              </w:rPr>
              <w:t>15</w:t>
            </w:r>
          </w:p>
        </w:tc>
        <w:tc>
          <w:tcPr>
            <w:tcW w:w="1559" w:type="dxa"/>
          </w:tcPr>
          <w:p w:rsidR="00000000" w:rsidRDefault="00000000">
            <w:pPr>
              <w:jc w:val="center"/>
              <w:rPr>
                <w:rFonts w:ascii="Arial" w:hAnsi="Arial"/>
                <w:sz w:val="16"/>
              </w:rPr>
            </w:pPr>
            <w:r>
              <w:rPr>
                <w:rFonts w:ascii="Arial" w:hAnsi="Arial"/>
                <w:sz w:val="16"/>
              </w:rPr>
              <w:t>72</w:t>
            </w:r>
          </w:p>
        </w:tc>
        <w:tc>
          <w:tcPr>
            <w:tcW w:w="1134" w:type="dxa"/>
          </w:tcPr>
          <w:p w:rsidR="00000000" w:rsidRDefault="00000000">
            <w:pPr>
              <w:jc w:val="center"/>
              <w:rPr>
                <w:rFonts w:ascii="Arial" w:hAnsi="Arial"/>
                <w:sz w:val="16"/>
              </w:rPr>
            </w:pPr>
            <w:r>
              <w:rPr>
                <w:rFonts w:ascii="Arial" w:hAnsi="Arial"/>
                <w:sz w:val="16"/>
              </w:rPr>
              <w:t>41.67</w:t>
            </w:r>
          </w:p>
        </w:tc>
        <w:tc>
          <w:tcPr>
            <w:tcW w:w="1560" w:type="dxa"/>
          </w:tcPr>
          <w:p w:rsidR="00000000" w:rsidRDefault="00000000">
            <w:pPr>
              <w:jc w:val="center"/>
              <w:rPr>
                <w:rFonts w:ascii="Arial" w:hAnsi="Arial"/>
                <w:sz w:val="16"/>
              </w:rPr>
            </w:pPr>
            <w:r>
              <w:rPr>
                <w:rFonts w:ascii="Arial" w:hAnsi="Arial"/>
                <w:sz w:val="16"/>
              </w:rPr>
              <w:t>10</w:t>
            </w:r>
          </w:p>
        </w:tc>
        <w:tc>
          <w:tcPr>
            <w:tcW w:w="1417" w:type="dxa"/>
          </w:tcPr>
          <w:p w:rsidR="00000000" w:rsidRDefault="00000000">
            <w:pPr>
              <w:jc w:val="center"/>
              <w:rPr>
                <w:rFonts w:ascii="Arial" w:hAnsi="Arial"/>
                <w:sz w:val="16"/>
              </w:rPr>
            </w:pPr>
            <w:r>
              <w:rPr>
                <w:rFonts w:ascii="Arial" w:hAnsi="Arial"/>
                <w:sz w:val="16"/>
              </w:rPr>
              <w:t>20</w:t>
            </w:r>
          </w:p>
        </w:tc>
      </w:tr>
      <w:tr w:rsidR="00000000">
        <w:tblPrEx>
          <w:tblCellMar>
            <w:top w:w="0" w:type="dxa"/>
            <w:bottom w:w="0" w:type="dxa"/>
          </w:tblCellMar>
        </w:tblPrEx>
        <w:trPr>
          <w:jc w:val="center"/>
        </w:trPr>
        <w:tc>
          <w:tcPr>
            <w:tcW w:w="708" w:type="dxa"/>
          </w:tcPr>
          <w:p w:rsidR="00000000" w:rsidRDefault="00000000">
            <w:pPr>
              <w:jc w:val="center"/>
              <w:rPr>
                <w:rFonts w:ascii="Arial" w:hAnsi="Arial"/>
                <w:sz w:val="16"/>
              </w:rPr>
            </w:pPr>
            <w:r>
              <w:rPr>
                <w:rFonts w:ascii="Arial" w:hAnsi="Arial"/>
                <w:sz w:val="16"/>
              </w:rPr>
              <w:t>2002*</w:t>
            </w:r>
          </w:p>
        </w:tc>
        <w:tc>
          <w:tcPr>
            <w:tcW w:w="1276" w:type="dxa"/>
          </w:tcPr>
          <w:p w:rsidR="00000000" w:rsidRDefault="00000000">
            <w:pPr>
              <w:jc w:val="center"/>
              <w:rPr>
                <w:rFonts w:ascii="Arial" w:hAnsi="Arial"/>
                <w:sz w:val="16"/>
              </w:rPr>
            </w:pPr>
            <w:r>
              <w:rPr>
                <w:rFonts w:ascii="Arial" w:hAnsi="Arial"/>
                <w:sz w:val="16"/>
              </w:rPr>
              <w:t>7 (1 cancelada)</w:t>
            </w:r>
          </w:p>
        </w:tc>
        <w:tc>
          <w:tcPr>
            <w:tcW w:w="1559" w:type="dxa"/>
          </w:tcPr>
          <w:p w:rsidR="00000000" w:rsidRDefault="00000000">
            <w:pPr>
              <w:jc w:val="center"/>
              <w:rPr>
                <w:rFonts w:ascii="Arial" w:hAnsi="Arial"/>
                <w:sz w:val="16"/>
              </w:rPr>
            </w:pPr>
            <w:r>
              <w:rPr>
                <w:rFonts w:ascii="Arial" w:hAnsi="Arial"/>
                <w:sz w:val="16"/>
              </w:rPr>
              <w:t>36</w:t>
            </w:r>
          </w:p>
        </w:tc>
        <w:tc>
          <w:tcPr>
            <w:tcW w:w="1134" w:type="dxa"/>
          </w:tcPr>
          <w:p w:rsidR="00000000" w:rsidRDefault="00000000">
            <w:pPr>
              <w:jc w:val="center"/>
              <w:rPr>
                <w:rFonts w:ascii="Arial" w:hAnsi="Arial"/>
                <w:sz w:val="16"/>
              </w:rPr>
            </w:pPr>
            <w:r>
              <w:rPr>
                <w:rFonts w:ascii="Arial" w:hAnsi="Arial"/>
                <w:sz w:val="16"/>
              </w:rPr>
              <w:t>33.33</w:t>
            </w:r>
          </w:p>
        </w:tc>
        <w:tc>
          <w:tcPr>
            <w:tcW w:w="1560" w:type="dxa"/>
          </w:tcPr>
          <w:p w:rsidR="00000000" w:rsidRDefault="00000000">
            <w:pPr>
              <w:jc w:val="center"/>
              <w:rPr>
                <w:rFonts w:ascii="Arial" w:hAnsi="Arial"/>
                <w:sz w:val="16"/>
              </w:rPr>
            </w:pPr>
            <w:r>
              <w:rPr>
                <w:rFonts w:ascii="Arial" w:hAnsi="Arial"/>
                <w:sz w:val="16"/>
              </w:rPr>
              <w:t>-</w:t>
            </w:r>
          </w:p>
        </w:tc>
        <w:tc>
          <w:tcPr>
            <w:tcW w:w="1417" w:type="dxa"/>
          </w:tcPr>
          <w:p w:rsidR="00000000" w:rsidRDefault="00000000">
            <w:pPr>
              <w:jc w:val="center"/>
              <w:rPr>
                <w:rFonts w:ascii="Arial" w:hAnsi="Arial"/>
                <w:sz w:val="16"/>
              </w:rPr>
            </w:pPr>
            <w:r>
              <w:rPr>
                <w:rFonts w:ascii="Arial" w:hAnsi="Arial"/>
                <w:sz w:val="16"/>
              </w:rPr>
              <w:t>-</w:t>
            </w:r>
          </w:p>
        </w:tc>
      </w:tr>
    </w:tbl>
    <w:p w:rsidR="00000000" w:rsidRDefault="00000000">
      <w:pPr>
        <w:pStyle w:val="Caption"/>
        <w:tabs>
          <w:tab w:val="left" w:pos="1089"/>
        </w:tabs>
        <w:ind w:left="0" w:right="0"/>
      </w:pPr>
      <w:r>
        <w:tab/>
        <w:t>Fuente: Ministerio de Asuntos Exteriores</w:t>
      </w:r>
    </w:p>
    <w:p w:rsidR="00000000" w:rsidRDefault="00000000">
      <w:pPr>
        <w:pStyle w:val="Caption"/>
        <w:tabs>
          <w:tab w:val="left" w:pos="1089"/>
        </w:tabs>
        <w:ind w:left="0" w:right="0"/>
      </w:pPr>
      <w:r>
        <w:tab/>
        <w:t>*Datos a junio de 2002</w:t>
      </w:r>
    </w:p>
    <w:p w:rsidR="00000000" w:rsidRDefault="00000000">
      <w:pPr>
        <w:jc w:val="both"/>
        <w:rPr>
          <w:rFonts w:ascii="Arial" w:hAnsi="Arial"/>
          <w:b/>
        </w:rPr>
      </w:pPr>
    </w:p>
    <w:p w:rsidR="00000000" w:rsidRDefault="00000000">
      <w:pPr>
        <w:pStyle w:val="BlockText"/>
        <w:suppressAutoHyphens/>
        <w:ind w:left="0" w:right="0"/>
      </w:pPr>
      <w:r>
        <w:t xml:space="preserve">En cuanto al personal femenino en Misiones de paz de la OSCE, Organización para la Seguridad y </w:t>
      </w:r>
      <w:r>
        <w:rPr>
          <w:sz w:val="20"/>
        </w:rPr>
        <w:t>Cooperación</w:t>
      </w:r>
      <w:r>
        <w:t xml:space="preserve"> en Europa, desarrolladas en Kosovo, Albania, Croacia, Skopje, Bosnia-Herzegovina y de la propia Secretaría de la OSCE, los datos son:</w:t>
      </w:r>
    </w:p>
    <w:p w:rsidR="00000000" w:rsidRDefault="00000000">
      <w:pPr>
        <w:pStyle w:val="BlockText"/>
        <w:ind w:left="0" w:right="0"/>
      </w:pPr>
    </w:p>
    <w:p w:rsidR="00000000" w:rsidRDefault="00000000">
      <w:pPr>
        <w:jc w:val="both"/>
        <w:rPr>
          <w:rFonts w:ascii="Arial" w:hAnsi="Arial"/>
        </w:rPr>
      </w:pPr>
    </w:p>
    <w:tbl>
      <w:tblPr>
        <w:tblW w:w="0" w:type="auto"/>
        <w:tblInd w:w="3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206"/>
        <w:gridCol w:w="1134"/>
      </w:tblGrid>
      <w:tr w:rsidR="00000000">
        <w:tblPrEx>
          <w:tblCellMar>
            <w:top w:w="0" w:type="dxa"/>
            <w:bottom w:w="0" w:type="dxa"/>
          </w:tblCellMar>
        </w:tblPrEx>
        <w:tc>
          <w:tcPr>
            <w:tcW w:w="637" w:type="dxa"/>
          </w:tcPr>
          <w:p w:rsidR="00000000" w:rsidRDefault="00000000">
            <w:pPr>
              <w:jc w:val="center"/>
              <w:rPr>
                <w:rFonts w:ascii="Arial" w:hAnsi="Arial"/>
                <w:sz w:val="16"/>
              </w:rPr>
            </w:pPr>
            <w:r>
              <w:rPr>
                <w:rFonts w:ascii="Arial" w:hAnsi="Arial"/>
                <w:sz w:val="16"/>
              </w:rPr>
              <w:t>AÑO</w:t>
            </w:r>
          </w:p>
        </w:tc>
        <w:tc>
          <w:tcPr>
            <w:tcW w:w="1206" w:type="dxa"/>
          </w:tcPr>
          <w:p w:rsidR="00000000" w:rsidRDefault="00000000">
            <w:pPr>
              <w:jc w:val="center"/>
              <w:rPr>
                <w:rFonts w:ascii="Arial" w:hAnsi="Arial"/>
                <w:sz w:val="16"/>
              </w:rPr>
            </w:pPr>
            <w:r>
              <w:rPr>
                <w:rFonts w:ascii="Arial" w:hAnsi="Arial"/>
                <w:sz w:val="16"/>
              </w:rPr>
              <w:t>Nº mujeres</w:t>
            </w:r>
          </w:p>
        </w:tc>
        <w:tc>
          <w:tcPr>
            <w:tcW w:w="1134" w:type="dxa"/>
          </w:tcPr>
          <w:p w:rsidR="00000000" w:rsidRDefault="00000000">
            <w:pPr>
              <w:jc w:val="center"/>
              <w:rPr>
                <w:rFonts w:ascii="Arial" w:hAnsi="Arial"/>
                <w:sz w:val="16"/>
              </w:rPr>
            </w:pPr>
            <w:r>
              <w:rPr>
                <w:rFonts w:ascii="Arial" w:hAnsi="Arial"/>
                <w:sz w:val="16"/>
              </w:rPr>
              <w:t>Nº hombres</w:t>
            </w:r>
          </w:p>
        </w:tc>
      </w:tr>
      <w:tr w:rsidR="00000000">
        <w:tblPrEx>
          <w:tblCellMar>
            <w:top w:w="0" w:type="dxa"/>
            <w:bottom w:w="0" w:type="dxa"/>
          </w:tblCellMar>
        </w:tblPrEx>
        <w:tc>
          <w:tcPr>
            <w:tcW w:w="637" w:type="dxa"/>
          </w:tcPr>
          <w:p w:rsidR="00000000" w:rsidRDefault="00000000">
            <w:pPr>
              <w:jc w:val="center"/>
              <w:rPr>
                <w:rFonts w:ascii="Arial" w:hAnsi="Arial"/>
                <w:sz w:val="16"/>
              </w:rPr>
            </w:pPr>
            <w:r>
              <w:rPr>
                <w:rFonts w:ascii="Arial" w:hAnsi="Arial"/>
                <w:sz w:val="16"/>
              </w:rPr>
              <w:t>1999</w:t>
            </w:r>
          </w:p>
        </w:tc>
        <w:tc>
          <w:tcPr>
            <w:tcW w:w="1206" w:type="dxa"/>
          </w:tcPr>
          <w:p w:rsidR="00000000" w:rsidRDefault="00000000">
            <w:pPr>
              <w:jc w:val="center"/>
              <w:rPr>
                <w:rFonts w:ascii="Arial" w:hAnsi="Arial"/>
                <w:sz w:val="16"/>
              </w:rPr>
            </w:pPr>
            <w:r>
              <w:rPr>
                <w:rFonts w:ascii="Arial" w:hAnsi="Arial"/>
                <w:sz w:val="16"/>
              </w:rPr>
              <w:t>8</w:t>
            </w:r>
          </w:p>
        </w:tc>
        <w:tc>
          <w:tcPr>
            <w:tcW w:w="1134" w:type="dxa"/>
          </w:tcPr>
          <w:p w:rsidR="00000000" w:rsidRDefault="00000000">
            <w:pPr>
              <w:jc w:val="center"/>
              <w:rPr>
                <w:rFonts w:ascii="Arial" w:hAnsi="Arial"/>
                <w:sz w:val="16"/>
              </w:rPr>
            </w:pPr>
            <w:r>
              <w:rPr>
                <w:rFonts w:ascii="Arial" w:hAnsi="Arial"/>
                <w:sz w:val="16"/>
              </w:rPr>
              <w:t>4</w:t>
            </w:r>
          </w:p>
        </w:tc>
      </w:tr>
      <w:tr w:rsidR="00000000">
        <w:tblPrEx>
          <w:tblCellMar>
            <w:top w:w="0" w:type="dxa"/>
            <w:bottom w:w="0" w:type="dxa"/>
          </w:tblCellMar>
        </w:tblPrEx>
        <w:tc>
          <w:tcPr>
            <w:tcW w:w="637" w:type="dxa"/>
          </w:tcPr>
          <w:p w:rsidR="00000000" w:rsidRDefault="00000000">
            <w:pPr>
              <w:jc w:val="center"/>
              <w:rPr>
                <w:rFonts w:ascii="Arial" w:hAnsi="Arial"/>
                <w:sz w:val="16"/>
              </w:rPr>
            </w:pPr>
            <w:r>
              <w:rPr>
                <w:rFonts w:ascii="Arial" w:hAnsi="Arial"/>
                <w:sz w:val="16"/>
              </w:rPr>
              <w:t>2000</w:t>
            </w:r>
          </w:p>
        </w:tc>
        <w:tc>
          <w:tcPr>
            <w:tcW w:w="1206" w:type="dxa"/>
          </w:tcPr>
          <w:p w:rsidR="00000000" w:rsidRDefault="00000000">
            <w:pPr>
              <w:jc w:val="center"/>
              <w:rPr>
                <w:rFonts w:ascii="Arial" w:hAnsi="Arial"/>
                <w:sz w:val="16"/>
              </w:rPr>
            </w:pPr>
            <w:r>
              <w:rPr>
                <w:rFonts w:ascii="Arial" w:hAnsi="Arial"/>
                <w:sz w:val="16"/>
              </w:rPr>
              <w:t>8</w:t>
            </w:r>
          </w:p>
        </w:tc>
        <w:tc>
          <w:tcPr>
            <w:tcW w:w="1134" w:type="dxa"/>
          </w:tcPr>
          <w:p w:rsidR="00000000" w:rsidRDefault="00000000">
            <w:pPr>
              <w:jc w:val="center"/>
              <w:rPr>
                <w:rFonts w:ascii="Arial" w:hAnsi="Arial"/>
                <w:sz w:val="16"/>
              </w:rPr>
            </w:pPr>
            <w:r>
              <w:rPr>
                <w:rFonts w:ascii="Arial" w:hAnsi="Arial"/>
                <w:sz w:val="16"/>
              </w:rPr>
              <w:t>12</w:t>
            </w:r>
          </w:p>
        </w:tc>
      </w:tr>
      <w:tr w:rsidR="00000000">
        <w:tblPrEx>
          <w:tblCellMar>
            <w:top w:w="0" w:type="dxa"/>
            <w:bottom w:w="0" w:type="dxa"/>
          </w:tblCellMar>
        </w:tblPrEx>
        <w:tc>
          <w:tcPr>
            <w:tcW w:w="637" w:type="dxa"/>
          </w:tcPr>
          <w:p w:rsidR="00000000" w:rsidRDefault="00000000">
            <w:pPr>
              <w:jc w:val="center"/>
              <w:rPr>
                <w:rFonts w:ascii="Arial" w:hAnsi="Arial"/>
                <w:sz w:val="16"/>
              </w:rPr>
            </w:pPr>
            <w:r>
              <w:rPr>
                <w:rFonts w:ascii="Arial" w:hAnsi="Arial"/>
                <w:sz w:val="16"/>
              </w:rPr>
              <w:t>2001</w:t>
            </w:r>
          </w:p>
        </w:tc>
        <w:tc>
          <w:tcPr>
            <w:tcW w:w="1206" w:type="dxa"/>
          </w:tcPr>
          <w:p w:rsidR="00000000" w:rsidRDefault="00000000">
            <w:pPr>
              <w:jc w:val="center"/>
              <w:rPr>
                <w:rFonts w:ascii="Arial" w:hAnsi="Arial"/>
                <w:sz w:val="16"/>
              </w:rPr>
            </w:pPr>
            <w:r>
              <w:rPr>
                <w:rFonts w:ascii="Arial" w:hAnsi="Arial"/>
                <w:sz w:val="16"/>
              </w:rPr>
              <w:t>12</w:t>
            </w:r>
          </w:p>
        </w:tc>
        <w:tc>
          <w:tcPr>
            <w:tcW w:w="1134" w:type="dxa"/>
          </w:tcPr>
          <w:p w:rsidR="00000000" w:rsidRDefault="00000000">
            <w:pPr>
              <w:jc w:val="center"/>
              <w:rPr>
                <w:rFonts w:ascii="Arial" w:hAnsi="Arial"/>
                <w:sz w:val="16"/>
              </w:rPr>
            </w:pPr>
            <w:r>
              <w:rPr>
                <w:rFonts w:ascii="Arial" w:hAnsi="Arial"/>
                <w:sz w:val="16"/>
              </w:rPr>
              <w:t>13</w:t>
            </w:r>
          </w:p>
        </w:tc>
      </w:tr>
      <w:tr w:rsidR="00000000">
        <w:tblPrEx>
          <w:tblCellMar>
            <w:top w:w="0" w:type="dxa"/>
            <w:bottom w:w="0" w:type="dxa"/>
          </w:tblCellMar>
        </w:tblPrEx>
        <w:tc>
          <w:tcPr>
            <w:tcW w:w="637" w:type="dxa"/>
          </w:tcPr>
          <w:p w:rsidR="00000000" w:rsidRDefault="00000000">
            <w:pPr>
              <w:jc w:val="center"/>
              <w:rPr>
                <w:rFonts w:ascii="Arial" w:hAnsi="Arial"/>
                <w:sz w:val="16"/>
              </w:rPr>
            </w:pPr>
            <w:r>
              <w:rPr>
                <w:rFonts w:ascii="Arial" w:hAnsi="Arial"/>
                <w:sz w:val="16"/>
              </w:rPr>
              <w:t>2002*</w:t>
            </w:r>
          </w:p>
        </w:tc>
        <w:tc>
          <w:tcPr>
            <w:tcW w:w="1206" w:type="dxa"/>
          </w:tcPr>
          <w:p w:rsidR="00000000" w:rsidRDefault="00000000">
            <w:pPr>
              <w:jc w:val="center"/>
              <w:rPr>
                <w:rFonts w:ascii="Arial" w:hAnsi="Arial"/>
                <w:sz w:val="16"/>
              </w:rPr>
            </w:pPr>
            <w:r>
              <w:rPr>
                <w:rFonts w:ascii="Arial" w:hAnsi="Arial"/>
                <w:sz w:val="16"/>
              </w:rPr>
              <w:t>-</w:t>
            </w:r>
          </w:p>
        </w:tc>
        <w:tc>
          <w:tcPr>
            <w:tcW w:w="1134" w:type="dxa"/>
          </w:tcPr>
          <w:p w:rsidR="00000000" w:rsidRDefault="00000000">
            <w:pPr>
              <w:jc w:val="center"/>
              <w:rPr>
                <w:rFonts w:ascii="Arial" w:hAnsi="Arial"/>
                <w:sz w:val="16"/>
              </w:rPr>
            </w:pPr>
            <w:r>
              <w:rPr>
                <w:rFonts w:ascii="Arial" w:hAnsi="Arial"/>
                <w:sz w:val="16"/>
              </w:rPr>
              <w:t>-</w:t>
            </w:r>
          </w:p>
        </w:tc>
      </w:tr>
    </w:tbl>
    <w:p w:rsidR="00000000" w:rsidRDefault="00000000">
      <w:pPr>
        <w:jc w:val="both"/>
        <w:rPr>
          <w:rFonts w:ascii="Arial" w:hAnsi="Arial"/>
        </w:rPr>
      </w:pPr>
    </w:p>
    <w:p w:rsidR="00000000" w:rsidRDefault="00000000">
      <w:pPr>
        <w:jc w:val="both"/>
        <w:rPr>
          <w:rFonts w:ascii="Arial" w:hAnsi="Arial"/>
        </w:rPr>
      </w:pPr>
    </w:p>
    <w:p w:rsidR="00000000" w:rsidRDefault="00000000">
      <w:pPr>
        <w:pStyle w:val="BlockText"/>
        <w:suppressAutoHyphens/>
        <w:ind w:left="0" w:right="0"/>
      </w:pPr>
      <w:r>
        <w:t xml:space="preserve">Dentro de la ayuda institucional, desde la perspectiva de género, en colaboración con las ONG, la AECI desarrolla distintos programas y proyectos en el ámbito de la prevención y resolución de conflictos. Para ello, se combina la ayuda humanitaria, en las primeras fases, con otro tipo de </w:t>
      </w:r>
      <w:r>
        <w:rPr>
          <w:sz w:val="20"/>
        </w:rPr>
        <w:t>instrumentos</w:t>
      </w:r>
      <w:r>
        <w:t xml:space="preserve"> de colaboración. En la actualidad se trabaja principalmente con Colombia, Guatemala, terr</w:t>
      </w:r>
      <w:r>
        <w:t>i</w:t>
      </w:r>
      <w:r>
        <w:t>torios palestinos, Siria y área de los Balcanes.</w:t>
      </w:r>
    </w:p>
    <w:p w:rsidR="00000000" w:rsidRDefault="00000000">
      <w:pPr>
        <w:jc w:val="both"/>
        <w:rPr>
          <w:rFonts w:ascii="Arial" w:hAnsi="Arial"/>
        </w:rPr>
      </w:pPr>
    </w:p>
    <w:p w:rsidR="00000000" w:rsidRDefault="00000000">
      <w:pPr>
        <w:pStyle w:val="Heading3"/>
        <w:ind w:left="0"/>
        <w:rPr>
          <w:b/>
          <w:sz w:val="22"/>
        </w:rPr>
      </w:pPr>
      <w:r>
        <w:rPr>
          <w:b/>
          <w:sz w:val="22"/>
        </w:rPr>
        <w:t>Cooperación al Desarrollo desde la perspectiva de Género.</w:t>
      </w:r>
    </w:p>
    <w:p w:rsidR="00000000" w:rsidRDefault="00000000">
      <w:pPr>
        <w:jc w:val="both"/>
        <w:rPr>
          <w:rFonts w:ascii="Arial" w:hAnsi="Arial"/>
        </w:rPr>
      </w:pPr>
    </w:p>
    <w:p w:rsidR="00000000" w:rsidRDefault="00000000">
      <w:pPr>
        <w:jc w:val="both"/>
        <w:rPr>
          <w:rFonts w:ascii="Arial" w:hAnsi="Arial"/>
        </w:rPr>
      </w:pPr>
      <w:r>
        <w:rPr>
          <w:rFonts w:ascii="Arial" w:hAnsi="Arial"/>
        </w:rPr>
        <w:t>La Ley 23/1998, de 7 de Julio, de Cooperación Internacional para el Desarrollo marca la tendencia que se debe adoptar en materia de género: entre los principios, objetivos y prioridades de la política española de cooperación internacional, se encuentra  la defensa y promoción de los derechos humanos y las libertades fundamentales, la paz, la democracia y la participación ciudadana en condiciones de igualdad para mujeres y hombres, y en general, la no discriminación por razón de sexo, raza, cultura o religión.</w:t>
      </w:r>
    </w:p>
    <w:p w:rsidR="00000000" w:rsidRDefault="00000000">
      <w:pPr>
        <w:jc w:val="both"/>
        <w:rPr>
          <w:rFonts w:ascii="Arial" w:hAnsi="Arial"/>
        </w:rPr>
      </w:pPr>
    </w:p>
    <w:p w:rsidR="00000000" w:rsidRDefault="00000000">
      <w:pPr>
        <w:pStyle w:val="BlockText"/>
        <w:suppressAutoHyphens/>
        <w:ind w:left="0" w:right="0"/>
        <w:rPr>
          <w:sz w:val="20"/>
        </w:rPr>
      </w:pPr>
      <w:r>
        <w:rPr>
          <w:sz w:val="20"/>
        </w:rPr>
        <w:t xml:space="preserve">El Plan Director de la Cooperación española 2001-2004 establece la promoción de la igualdad entre mujeres y hombres como una de las tres estrategias de intervención horizontales. </w:t>
      </w:r>
    </w:p>
    <w:p w:rsidR="00000000" w:rsidRDefault="00000000">
      <w:pPr>
        <w:pStyle w:val="BodyText"/>
        <w:rPr>
          <w:sz w:val="20"/>
        </w:rPr>
      </w:pPr>
    </w:p>
    <w:p w:rsidR="00000000" w:rsidRDefault="00000000">
      <w:pPr>
        <w:pStyle w:val="BodyText"/>
        <w:rPr>
          <w:sz w:val="20"/>
        </w:rPr>
      </w:pPr>
      <w:r>
        <w:rPr>
          <w:sz w:val="20"/>
        </w:rPr>
        <w:t>Las actividades desarrolladas en este ámbito se extienden desde la celebración de Comisiones Mixtas a e</w:t>
      </w:r>
      <w:r>
        <w:rPr>
          <w:sz w:val="20"/>
        </w:rPr>
        <w:t>s</w:t>
      </w:r>
      <w:r>
        <w:rPr>
          <w:sz w:val="20"/>
        </w:rPr>
        <w:t>cala nacional, con políticas de Estado, hasta el nivel de base, colaborando con instituciones descentralizadas y grupos y asociaciones de mujeres. Es notable el incremento de la sensibilidad para trabajar en este ámbito, tanto en las instituciones y la sociedad civil españolas, como en las de los pa</w:t>
      </w:r>
      <w:r>
        <w:rPr>
          <w:sz w:val="20"/>
        </w:rPr>
        <w:t>í</w:t>
      </w:r>
      <w:r>
        <w:rPr>
          <w:sz w:val="20"/>
        </w:rPr>
        <w:t>ses contraparte.</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Existe dentro de la AECI una Unidad de Género dependiente del Gabinete Técnico, para asesoramiento, asistencia y apoyo técnico a la Secretaría General, con responsabilidad en los programas con Organismos Internacionales (cooperación multilateral), preparación de acuerdos y convenios, gestión de ayuda alimentaria y de emergencia, actividades interinstitucionales y con la Unión Europea, programa de becas, subvenciones de apoyo a proyectos de desarrollo con ONGD y otras. Se coordinan además las acciones en materia de género, y se unifica la información sobre las actividades específicas de la Agencia en género y desarrollo, participando además en las reuniones técnicas nacionales e internacionales (Grupo de Trabajo del CAD, Grupo de Expertos Nacionales de Género de la UE, Sistema de Naciones Unidas).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Desde 1999, las Oficinas Técnicas de AECI en República Dominicana, Perú, Marruecos, Venezuela, Palestina cuentan ya con expertas en temas de género. </w:t>
      </w:r>
    </w:p>
    <w:p w:rsidR="00000000" w:rsidRDefault="00000000">
      <w:pPr>
        <w:jc w:val="both"/>
        <w:rPr>
          <w:rFonts w:ascii="Arial" w:hAnsi="Arial"/>
        </w:rPr>
      </w:pPr>
    </w:p>
    <w:p w:rsidR="00000000" w:rsidRDefault="00000000">
      <w:pPr>
        <w:pStyle w:val="BodyTextIndent"/>
        <w:suppressAutoHyphens/>
        <w:ind w:left="0"/>
        <w:rPr>
          <w:sz w:val="20"/>
        </w:rPr>
      </w:pPr>
      <w:r>
        <w:rPr>
          <w:sz w:val="20"/>
        </w:rPr>
        <w:t xml:space="preserve">La asignación presupuestaria de la AECI a proyectos, programas y organismos internacionales en los que la mujer ha sido la principal beneficiaria ha rondado, en los últimos dos años, los 30 millones de euros. La mayoría de los recursos se han dedicado a formación especializada y becas, así como a la financiación de proyectos de ONG, distribuyéndose el resto entre cooperación multilateral y bilateral. Los proyectos están </w:t>
      </w:r>
      <w:r>
        <w:rPr>
          <w:w w:val="99"/>
          <w:sz w:val="20"/>
        </w:rPr>
        <w:t>dirigidos a los sectores de salud (alrededor del 50%), gobierno y sociedad civil, apoyo a actividades productivas (entre ellos, concesión de microcréditos), educación, seguridad alimentaria y medio ambiente. Las áreas geográficas a las que han ido dirigidos son Iberoamérica y Países Árabes y Mediterráneos en su gran mayoría.</w:t>
      </w:r>
    </w:p>
    <w:p w:rsidR="00000000" w:rsidRDefault="00000000">
      <w:pPr>
        <w:jc w:val="both"/>
        <w:rPr>
          <w:rFonts w:ascii="Arial" w:hAnsi="Arial"/>
        </w:rPr>
      </w:pPr>
    </w:p>
    <w:p w:rsidR="00000000" w:rsidRDefault="00000000">
      <w:pPr>
        <w:pStyle w:val="BodyTextIndent"/>
        <w:suppressAutoHyphens/>
        <w:ind w:left="0"/>
        <w:rPr>
          <w:sz w:val="20"/>
        </w:rPr>
      </w:pPr>
      <w:r>
        <w:rPr>
          <w:b/>
          <w:sz w:val="20"/>
        </w:rPr>
        <w:t>El Instituto de la Mujer</w:t>
      </w:r>
      <w:r>
        <w:rPr>
          <w:sz w:val="20"/>
        </w:rPr>
        <w:t xml:space="preserve"> asumió, desde su creación, su participación en la cooperación internacional, impulsando programas destinados a colectivos concretos de mujeres, mediante, entre otras acciones, convenios firmados entre el propio Instituto de la Mujer y el Ministerio correspondiente. Con el objetivo de asegurar que en los proyectos y programas de desarrollo se contemple debidamente y en todas sus fases, la participación de las mujeres y su acceso a los recursos y beneficios del desarrollo, el Instituto de la Mujer, en colaboración con la AECI continua desarrollando el</w:t>
      </w:r>
      <w:r>
        <w:rPr>
          <w:b/>
          <w:sz w:val="20"/>
        </w:rPr>
        <w:t xml:space="preserve"> Programa de Cooperación " Mujeres y Desarrollo</w:t>
      </w:r>
      <w:r>
        <w:rPr>
          <w:sz w:val="20"/>
        </w:rPr>
        <w:t xml:space="preserve">". </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En relación con los Proyectos de cooperación al desarrollo enmarcados en este Programa, se ha producido un incremento de las solicitudes de financiación; actualmente se reciben al año una media de 250 proyectos de Organizaciones, principalmente de organizaciones de mujeres de América lat</w:t>
      </w:r>
      <w:r>
        <w:rPr>
          <w:sz w:val="20"/>
        </w:rPr>
        <w:t>i</w:t>
      </w:r>
      <w:r>
        <w:rPr>
          <w:sz w:val="20"/>
        </w:rPr>
        <w:t>na.</w:t>
      </w:r>
    </w:p>
    <w:p w:rsidR="00000000" w:rsidRDefault="00000000">
      <w:pPr>
        <w:pStyle w:val="BodyText2"/>
        <w:suppressAutoHyphens/>
        <w:ind w:right="0"/>
        <w:jc w:val="both"/>
        <w:rPr>
          <w:sz w:val="20"/>
        </w:rPr>
      </w:pPr>
      <w:r>
        <w:rPr>
          <w:sz w:val="20"/>
        </w:rPr>
        <w:t>La actividad prioritaria del Programa es: la capacitación, educación y formación de las mujeres  con responsabilidades familiares, mujeres de barrios marginales de centros urbanos, de áreas rurales de escasos recursos, mujeres víctimas de la violencia, mujeres indígenas y mujeres desplazadas y r</w:t>
      </w:r>
      <w:r>
        <w:rPr>
          <w:sz w:val="20"/>
        </w:rPr>
        <w:t>e</w:t>
      </w:r>
      <w:r>
        <w:rPr>
          <w:sz w:val="20"/>
        </w:rPr>
        <w:t>tornadas.</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El presupuesto anual para financiación de proyectos es de 650.000 euros, financiándose aproximadamente cada año entre 15 y 20 solicitudes.</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La gestión y seguimiento de los proyectos que se apoyan se realiza en colaboración con las Organizaciones no gubernamentales de Desarrollo españolas para lo que el Instituto de la Mujer elabora una convocatoria pública de subvenciones.</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 xml:space="preserve">El Instituto de la Mujer y el Instituto Complutense de Estudios Internacionales de la Universidad Complutense de Madrid, desarrollan el </w:t>
      </w:r>
      <w:r>
        <w:rPr>
          <w:b/>
          <w:sz w:val="20"/>
        </w:rPr>
        <w:t>Programa de Formación en Cooperación internacional</w:t>
      </w:r>
      <w:r>
        <w:rPr>
          <w:sz w:val="20"/>
        </w:rPr>
        <w:t xml:space="preserve"> "</w:t>
      </w:r>
      <w:r>
        <w:rPr>
          <w:b/>
          <w:sz w:val="20"/>
        </w:rPr>
        <w:t>Magister en Género y Desarrollo</w:t>
      </w:r>
      <w:r>
        <w:rPr>
          <w:sz w:val="20"/>
        </w:rPr>
        <w:t>". Este programa de formación, actualmente con un nivel de máster universitario, tiene como objetivo proporcionar formación especializada y capacitación técnica en materia de cooperación internacional para el desarrollo desde la perspectiva de género en el diseño, ejecución y evaluación de las políticas, estrategias y programas de cooperación. Se dirige a capacitar a 25 mujeres cada año, y actualmente se desarrolla la XI Edición del mismo con el patroc</w:t>
      </w:r>
      <w:r>
        <w:rPr>
          <w:sz w:val="20"/>
        </w:rPr>
        <w:t>i</w:t>
      </w:r>
      <w:r>
        <w:rPr>
          <w:sz w:val="20"/>
        </w:rPr>
        <w:t xml:space="preserve">nio del Fondo Social Europeo. </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Su duración es de 10 meses y consta de una fase teórica de 5 meses de duración en Madrid, una fase práctica de 4 meses y medio en organizaciones de países en desarrollo y una fase de evalu</w:t>
      </w:r>
      <w:r>
        <w:rPr>
          <w:sz w:val="20"/>
        </w:rPr>
        <w:t>a</w:t>
      </w:r>
      <w:r>
        <w:rPr>
          <w:sz w:val="20"/>
        </w:rPr>
        <w:t>ción en Madrid.</w:t>
      </w:r>
    </w:p>
    <w:p w:rsidR="00000000" w:rsidRDefault="00000000">
      <w:pPr>
        <w:pStyle w:val="BodyText2"/>
        <w:suppressAutoHyphens/>
        <w:ind w:right="0"/>
        <w:jc w:val="both"/>
        <w:rPr>
          <w:sz w:val="20"/>
        </w:rPr>
      </w:pPr>
    </w:p>
    <w:p w:rsidR="00000000" w:rsidRDefault="00000000">
      <w:pPr>
        <w:pStyle w:val="BodyText2"/>
        <w:tabs>
          <w:tab w:val="clear" w:pos="7230"/>
          <w:tab w:val="clear" w:pos="9070"/>
        </w:tabs>
        <w:suppressAutoHyphens/>
        <w:ind w:right="0"/>
        <w:jc w:val="both"/>
        <w:rPr>
          <w:sz w:val="20"/>
        </w:rPr>
      </w:pPr>
      <w:r>
        <w:rPr>
          <w:sz w:val="20"/>
        </w:rPr>
        <w:t xml:space="preserve">Cabe destacar, asimismo, las actividades de colaboración con la AECI, como son las actividades formativas en los Centros Iberoamericanos de Formación de la Agencia, dirigidas fundamentalmente a las Oficinas Gubernamentales de la mujer de los distintos países de la región. </w:t>
      </w:r>
    </w:p>
    <w:p w:rsidR="00000000" w:rsidRDefault="00000000">
      <w:pPr>
        <w:pStyle w:val="BodyText2"/>
        <w:suppressAutoHyphens/>
        <w:ind w:right="0"/>
        <w:jc w:val="both"/>
        <w:rPr>
          <w:sz w:val="20"/>
        </w:rPr>
      </w:pPr>
    </w:p>
    <w:p w:rsidR="00000000" w:rsidRDefault="00000000">
      <w:pPr>
        <w:pStyle w:val="BodyText2"/>
        <w:suppressAutoHyphens/>
        <w:ind w:right="0"/>
        <w:jc w:val="both"/>
        <w:rPr>
          <w:sz w:val="20"/>
        </w:rPr>
      </w:pPr>
      <w:r>
        <w:rPr>
          <w:sz w:val="20"/>
        </w:rPr>
        <w:t>En los últimos años se celebraron las siguientes actividades:</w:t>
      </w:r>
    </w:p>
    <w:p w:rsidR="00000000" w:rsidRDefault="00000000">
      <w:pPr>
        <w:pStyle w:val="BodyText2"/>
        <w:suppressAutoHyphens/>
        <w:ind w:right="0"/>
        <w:jc w:val="both"/>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
        <w:gridCol w:w="2835"/>
        <w:gridCol w:w="2552"/>
        <w:gridCol w:w="1559"/>
      </w:tblGrid>
      <w:tr w:rsidR="00000000">
        <w:tblPrEx>
          <w:tblCellMar>
            <w:top w:w="0" w:type="dxa"/>
            <w:bottom w:w="0" w:type="dxa"/>
          </w:tblCellMar>
        </w:tblPrEx>
        <w:trPr>
          <w:cantSplit/>
          <w:trHeight w:val="386"/>
          <w:jc w:val="center"/>
        </w:trPr>
        <w:tc>
          <w:tcPr>
            <w:tcW w:w="7796" w:type="dxa"/>
            <w:gridSpan w:val="4"/>
            <w:vAlign w:val="center"/>
          </w:tcPr>
          <w:p w:rsidR="00000000" w:rsidRDefault="00000000">
            <w:pPr>
              <w:pStyle w:val="BodyText2"/>
              <w:tabs>
                <w:tab w:val="clear" w:pos="7230"/>
              </w:tabs>
              <w:ind w:right="0"/>
              <w:jc w:val="center"/>
              <w:rPr>
                <w:sz w:val="16"/>
              </w:rPr>
            </w:pPr>
            <w:r>
              <w:rPr>
                <w:sz w:val="16"/>
              </w:rPr>
              <w:t>Seminarios de formación</w:t>
            </w:r>
          </w:p>
        </w:tc>
      </w:tr>
      <w:tr w:rsidR="00000000">
        <w:tblPrEx>
          <w:tblCellMar>
            <w:top w:w="0" w:type="dxa"/>
            <w:bottom w:w="0" w:type="dxa"/>
          </w:tblCellMar>
        </w:tblPrEx>
        <w:trPr>
          <w:trHeight w:val="387"/>
          <w:jc w:val="center"/>
        </w:trPr>
        <w:tc>
          <w:tcPr>
            <w:tcW w:w="850" w:type="dxa"/>
            <w:vAlign w:val="center"/>
          </w:tcPr>
          <w:p w:rsidR="00000000" w:rsidRDefault="00000000">
            <w:pPr>
              <w:pStyle w:val="BodyText2"/>
              <w:ind w:right="0"/>
              <w:jc w:val="center"/>
              <w:rPr>
                <w:sz w:val="16"/>
              </w:rPr>
            </w:pPr>
            <w:r>
              <w:rPr>
                <w:sz w:val="16"/>
              </w:rPr>
              <w:t>AÑO</w:t>
            </w:r>
          </w:p>
        </w:tc>
        <w:tc>
          <w:tcPr>
            <w:tcW w:w="2835" w:type="dxa"/>
            <w:vAlign w:val="center"/>
          </w:tcPr>
          <w:p w:rsidR="00000000" w:rsidRDefault="00000000">
            <w:pPr>
              <w:pStyle w:val="BodyText2"/>
              <w:ind w:right="0"/>
              <w:jc w:val="center"/>
              <w:rPr>
                <w:sz w:val="16"/>
              </w:rPr>
            </w:pPr>
            <w:r>
              <w:rPr>
                <w:sz w:val="16"/>
              </w:rPr>
              <w:t>TÍTULO</w:t>
            </w:r>
          </w:p>
        </w:tc>
        <w:tc>
          <w:tcPr>
            <w:tcW w:w="2552" w:type="dxa"/>
            <w:vAlign w:val="center"/>
          </w:tcPr>
          <w:p w:rsidR="00000000" w:rsidRDefault="00000000">
            <w:pPr>
              <w:pStyle w:val="BodyText2"/>
              <w:ind w:right="0"/>
              <w:jc w:val="center"/>
              <w:rPr>
                <w:sz w:val="16"/>
              </w:rPr>
            </w:pPr>
            <w:r>
              <w:rPr>
                <w:sz w:val="16"/>
              </w:rPr>
              <w:t>LUGAR</w:t>
            </w:r>
          </w:p>
        </w:tc>
        <w:tc>
          <w:tcPr>
            <w:tcW w:w="1559" w:type="dxa"/>
            <w:vAlign w:val="center"/>
          </w:tcPr>
          <w:p w:rsidR="00000000" w:rsidRDefault="00000000">
            <w:pPr>
              <w:pStyle w:val="BodyText2"/>
              <w:ind w:right="0"/>
              <w:jc w:val="center"/>
              <w:rPr>
                <w:sz w:val="16"/>
              </w:rPr>
            </w:pPr>
            <w:r>
              <w:rPr>
                <w:sz w:val="16"/>
              </w:rPr>
              <w:t>FECHAS</w:t>
            </w:r>
          </w:p>
        </w:tc>
      </w:tr>
      <w:tr w:rsidR="00000000">
        <w:tblPrEx>
          <w:tblCellMar>
            <w:top w:w="0" w:type="dxa"/>
            <w:bottom w:w="0" w:type="dxa"/>
          </w:tblCellMar>
        </w:tblPrEx>
        <w:trPr>
          <w:trHeight w:val="447"/>
          <w:jc w:val="center"/>
        </w:trPr>
        <w:tc>
          <w:tcPr>
            <w:tcW w:w="850" w:type="dxa"/>
            <w:vAlign w:val="center"/>
          </w:tcPr>
          <w:p w:rsidR="00000000" w:rsidRDefault="00000000">
            <w:pPr>
              <w:pStyle w:val="BodyText2"/>
              <w:ind w:right="0"/>
              <w:jc w:val="center"/>
              <w:rPr>
                <w:sz w:val="16"/>
              </w:rPr>
            </w:pPr>
            <w:r>
              <w:rPr>
                <w:sz w:val="16"/>
              </w:rPr>
              <w:t>1.999</w:t>
            </w:r>
          </w:p>
        </w:tc>
        <w:tc>
          <w:tcPr>
            <w:tcW w:w="2835" w:type="dxa"/>
            <w:vAlign w:val="center"/>
          </w:tcPr>
          <w:p w:rsidR="00000000" w:rsidRDefault="00000000">
            <w:pPr>
              <w:pStyle w:val="BodyText2"/>
              <w:ind w:right="0"/>
              <w:jc w:val="center"/>
              <w:rPr>
                <w:sz w:val="16"/>
              </w:rPr>
            </w:pPr>
            <w:r>
              <w:rPr>
                <w:sz w:val="16"/>
              </w:rPr>
              <w:t>Cooperación y Género</w:t>
            </w:r>
          </w:p>
        </w:tc>
        <w:tc>
          <w:tcPr>
            <w:tcW w:w="2552" w:type="dxa"/>
            <w:vAlign w:val="center"/>
          </w:tcPr>
          <w:p w:rsidR="00000000" w:rsidRDefault="00000000">
            <w:pPr>
              <w:pStyle w:val="BodyText2"/>
              <w:ind w:right="0"/>
              <w:jc w:val="both"/>
              <w:rPr>
                <w:sz w:val="16"/>
              </w:rPr>
            </w:pPr>
            <w:r>
              <w:rPr>
                <w:sz w:val="16"/>
              </w:rPr>
              <w:t>La Antigua</w:t>
            </w:r>
          </w:p>
          <w:p w:rsidR="00000000" w:rsidRDefault="00000000">
            <w:pPr>
              <w:pStyle w:val="BodyText2"/>
              <w:ind w:right="0"/>
              <w:jc w:val="both"/>
              <w:rPr>
                <w:sz w:val="16"/>
              </w:rPr>
            </w:pPr>
            <w:r>
              <w:rPr>
                <w:sz w:val="16"/>
              </w:rPr>
              <w:t>(Guatemala)</w:t>
            </w:r>
          </w:p>
        </w:tc>
        <w:tc>
          <w:tcPr>
            <w:tcW w:w="1559" w:type="dxa"/>
            <w:vAlign w:val="center"/>
          </w:tcPr>
          <w:p w:rsidR="00000000" w:rsidRDefault="00000000">
            <w:pPr>
              <w:pStyle w:val="BodyText2"/>
              <w:ind w:right="0"/>
              <w:jc w:val="center"/>
              <w:rPr>
                <w:sz w:val="16"/>
              </w:rPr>
            </w:pPr>
            <w:r>
              <w:rPr>
                <w:sz w:val="16"/>
              </w:rPr>
              <w:t>8/12 noviembre</w:t>
            </w:r>
          </w:p>
        </w:tc>
      </w:tr>
      <w:tr w:rsidR="00000000">
        <w:tblPrEx>
          <w:tblCellMar>
            <w:top w:w="0" w:type="dxa"/>
            <w:bottom w:w="0" w:type="dxa"/>
          </w:tblCellMar>
        </w:tblPrEx>
        <w:trPr>
          <w:trHeight w:val="448"/>
          <w:jc w:val="center"/>
        </w:trPr>
        <w:tc>
          <w:tcPr>
            <w:tcW w:w="850" w:type="dxa"/>
            <w:vAlign w:val="center"/>
          </w:tcPr>
          <w:p w:rsidR="00000000" w:rsidRDefault="00000000">
            <w:pPr>
              <w:pStyle w:val="BodyText2"/>
              <w:ind w:right="0"/>
              <w:jc w:val="center"/>
              <w:rPr>
                <w:sz w:val="16"/>
              </w:rPr>
            </w:pPr>
            <w:r>
              <w:rPr>
                <w:sz w:val="16"/>
              </w:rPr>
              <w:t>2.000</w:t>
            </w:r>
          </w:p>
        </w:tc>
        <w:tc>
          <w:tcPr>
            <w:tcW w:w="2835" w:type="dxa"/>
            <w:vAlign w:val="center"/>
          </w:tcPr>
          <w:p w:rsidR="00000000" w:rsidRDefault="00000000">
            <w:pPr>
              <w:pStyle w:val="BodyText2"/>
              <w:ind w:right="0"/>
              <w:jc w:val="center"/>
              <w:rPr>
                <w:sz w:val="16"/>
              </w:rPr>
            </w:pPr>
            <w:r>
              <w:rPr>
                <w:sz w:val="16"/>
              </w:rPr>
              <w:t>La Violencia en el ámbito familiar</w:t>
            </w:r>
          </w:p>
        </w:tc>
        <w:tc>
          <w:tcPr>
            <w:tcW w:w="2552" w:type="dxa"/>
            <w:vAlign w:val="center"/>
          </w:tcPr>
          <w:p w:rsidR="00000000" w:rsidRDefault="00000000">
            <w:pPr>
              <w:pStyle w:val="BodyText2"/>
              <w:ind w:right="0"/>
              <w:jc w:val="both"/>
              <w:rPr>
                <w:sz w:val="16"/>
              </w:rPr>
            </w:pPr>
            <w:r>
              <w:rPr>
                <w:sz w:val="16"/>
              </w:rPr>
              <w:t xml:space="preserve">Cartagena de Indias </w:t>
            </w:r>
          </w:p>
          <w:p w:rsidR="00000000" w:rsidRDefault="00000000">
            <w:pPr>
              <w:pStyle w:val="BodyText2"/>
              <w:ind w:right="0"/>
              <w:jc w:val="both"/>
              <w:rPr>
                <w:sz w:val="16"/>
              </w:rPr>
            </w:pPr>
            <w:r>
              <w:rPr>
                <w:sz w:val="16"/>
              </w:rPr>
              <w:t>(Colombia)</w:t>
            </w:r>
          </w:p>
        </w:tc>
        <w:tc>
          <w:tcPr>
            <w:tcW w:w="1559" w:type="dxa"/>
            <w:vAlign w:val="center"/>
          </w:tcPr>
          <w:p w:rsidR="00000000" w:rsidRDefault="00000000">
            <w:pPr>
              <w:pStyle w:val="BodyText2"/>
              <w:ind w:right="0"/>
              <w:jc w:val="center"/>
              <w:rPr>
                <w:sz w:val="16"/>
              </w:rPr>
            </w:pPr>
            <w:r>
              <w:rPr>
                <w:sz w:val="16"/>
              </w:rPr>
              <w:t>18/20 octubre</w:t>
            </w:r>
          </w:p>
        </w:tc>
      </w:tr>
      <w:tr w:rsidR="00000000">
        <w:tblPrEx>
          <w:tblCellMar>
            <w:top w:w="0" w:type="dxa"/>
            <w:bottom w:w="0" w:type="dxa"/>
          </w:tblCellMar>
        </w:tblPrEx>
        <w:trPr>
          <w:trHeight w:val="448"/>
          <w:jc w:val="center"/>
        </w:trPr>
        <w:tc>
          <w:tcPr>
            <w:tcW w:w="850" w:type="dxa"/>
            <w:vAlign w:val="center"/>
          </w:tcPr>
          <w:p w:rsidR="00000000" w:rsidRDefault="00000000">
            <w:pPr>
              <w:pStyle w:val="BodyText2"/>
              <w:ind w:right="0"/>
              <w:jc w:val="center"/>
              <w:rPr>
                <w:sz w:val="16"/>
              </w:rPr>
            </w:pPr>
            <w:r>
              <w:rPr>
                <w:sz w:val="16"/>
              </w:rPr>
              <w:t>2.001</w:t>
            </w:r>
          </w:p>
        </w:tc>
        <w:tc>
          <w:tcPr>
            <w:tcW w:w="2835" w:type="dxa"/>
            <w:vAlign w:val="center"/>
          </w:tcPr>
          <w:p w:rsidR="00000000" w:rsidRDefault="00000000">
            <w:pPr>
              <w:pStyle w:val="BodyText2"/>
              <w:ind w:right="0"/>
              <w:jc w:val="center"/>
              <w:rPr>
                <w:sz w:val="16"/>
              </w:rPr>
            </w:pPr>
            <w:r>
              <w:rPr>
                <w:sz w:val="16"/>
              </w:rPr>
              <w:t xml:space="preserve">Promoción de la mujer </w:t>
            </w:r>
            <w:r>
              <w:rPr>
                <w:sz w:val="16"/>
              </w:rPr>
              <w:br/>
              <w:t>a través del empleo</w:t>
            </w:r>
          </w:p>
          <w:p w:rsidR="00000000" w:rsidRDefault="00000000">
            <w:pPr>
              <w:pStyle w:val="BodyText2"/>
              <w:ind w:right="0"/>
              <w:jc w:val="center"/>
              <w:rPr>
                <w:sz w:val="16"/>
              </w:rPr>
            </w:pPr>
          </w:p>
          <w:p w:rsidR="00000000" w:rsidRDefault="00000000">
            <w:pPr>
              <w:pStyle w:val="BodyText2"/>
              <w:ind w:right="0"/>
              <w:jc w:val="center"/>
              <w:rPr>
                <w:sz w:val="16"/>
              </w:rPr>
            </w:pPr>
            <w:r>
              <w:rPr>
                <w:sz w:val="16"/>
              </w:rPr>
              <w:t>Conciliación de la vida familiar y lab</w:t>
            </w:r>
            <w:r>
              <w:rPr>
                <w:sz w:val="16"/>
              </w:rPr>
              <w:t>o</w:t>
            </w:r>
            <w:r>
              <w:rPr>
                <w:sz w:val="16"/>
              </w:rPr>
              <w:t>ral</w:t>
            </w:r>
          </w:p>
        </w:tc>
        <w:tc>
          <w:tcPr>
            <w:tcW w:w="2552" w:type="dxa"/>
            <w:vAlign w:val="center"/>
          </w:tcPr>
          <w:p w:rsidR="00000000" w:rsidRDefault="00000000">
            <w:pPr>
              <w:pStyle w:val="BodyText2"/>
              <w:ind w:right="0"/>
              <w:jc w:val="both"/>
              <w:rPr>
                <w:sz w:val="16"/>
              </w:rPr>
            </w:pPr>
            <w:r>
              <w:rPr>
                <w:sz w:val="16"/>
              </w:rPr>
              <w:t xml:space="preserve">   La Antigua</w:t>
            </w:r>
          </w:p>
          <w:p w:rsidR="00000000" w:rsidRDefault="00000000">
            <w:pPr>
              <w:pStyle w:val="BodyText2"/>
              <w:ind w:right="0"/>
              <w:rPr>
                <w:sz w:val="16"/>
              </w:rPr>
            </w:pPr>
            <w:r>
              <w:rPr>
                <w:sz w:val="16"/>
              </w:rPr>
              <w:t>(Guatemala)</w:t>
            </w:r>
          </w:p>
          <w:p w:rsidR="00000000" w:rsidRDefault="00000000">
            <w:pPr>
              <w:pStyle w:val="BodyText2"/>
              <w:ind w:right="0"/>
              <w:rPr>
                <w:sz w:val="16"/>
              </w:rPr>
            </w:pPr>
          </w:p>
          <w:p w:rsidR="00000000" w:rsidRDefault="00000000">
            <w:pPr>
              <w:pStyle w:val="BodyText2"/>
              <w:ind w:right="0"/>
              <w:rPr>
                <w:sz w:val="16"/>
              </w:rPr>
            </w:pPr>
            <w:r>
              <w:rPr>
                <w:sz w:val="16"/>
              </w:rPr>
              <w:t xml:space="preserve">Cartagena de Indias </w:t>
            </w:r>
          </w:p>
          <w:p w:rsidR="00000000" w:rsidRDefault="00000000">
            <w:pPr>
              <w:pStyle w:val="BodyText2"/>
              <w:ind w:right="0"/>
              <w:rPr>
                <w:sz w:val="16"/>
              </w:rPr>
            </w:pPr>
            <w:r>
              <w:rPr>
                <w:sz w:val="16"/>
              </w:rPr>
              <w:t>(Colombia)</w:t>
            </w:r>
          </w:p>
        </w:tc>
        <w:tc>
          <w:tcPr>
            <w:tcW w:w="1559" w:type="dxa"/>
            <w:vAlign w:val="center"/>
          </w:tcPr>
          <w:p w:rsidR="00000000" w:rsidRDefault="00000000">
            <w:pPr>
              <w:pStyle w:val="BodyText2"/>
              <w:ind w:right="0"/>
              <w:jc w:val="center"/>
              <w:rPr>
                <w:sz w:val="16"/>
              </w:rPr>
            </w:pPr>
            <w:r>
              <w:rPr>
                <w:sz w:val="16"/>
              </w:rPr>
              <w:t>26/28 junio</w:t>
            </w:r>
          </w:p>
          <w:p w:rsidR="00000000" w:rsidRDefault="00000000">
            <w:pPr>
              <w:pStyle w:val="BodyText2"/>
              <w:ind w:right="0"/>
              <w:jc w:val="center"/>
              <w:rPr>
                <w:sz w:val="16"/>
              </w:rPr>
            </w:pPr>
          </w:p>
          <w:p w:rsidR="00000000" w:rsidRDefault="00000000">
            <w:pPr>
              <w:pStyle w:val="BodyText2"/>
              <w:ind w:right="0"/>
              <w:jc w:val="center"/>
              <w:rPr>
                <w:sz w:val="16"/>
              </w:rPr>
            </w:pPr>
            <w:r>
              <w:rPr>
                <w:sz w:val="16"/>
              </w:rPr>
              <w:t>29/31 octubre</w:t>
            </w:r>
          </w:p>
        </w:tc>
      </w:tr>
      <w:tr w:rsidR="00000000">
        <w:tblPrEx>
          <w:tblCellMar>
            <w:top w:w="0" w:type="dxa"/>
            <w:bottom w:w="0" w:type="dxa"/>
          </w:tblCellMar>
        </w:tblPrEx>
        <w:trPr>
          <w:trHeight w:val="448"/>
          <w:jc w:val="center"/>
        </w:trPr>
        <w:tc>
          <w:tcPr>
            <w:tcW w:w="850" w:type="dxa"/>
            <w:vAlign w:val="center"/>
          </w:tcPr>
          <w:p w:rsidR="00000000" w:rsidRDefault="00000000">
            <w:pPr>
              <w:pStyle w:val="BodyText2"/>
              <w:ind w:right="0"/>
              <w:jc w:val="center"/>
              <w:rPr>
                <w:sz w:val="16"/>
              </w:rPr>
            </w:pPr>
            <w:r>
              <w:rPr>
                <w:sz w:val="16"/>
              </w:rPr>
              <w:t>2.002</w:t>
            </w:r>
          </w:p>
        </w:tc>
        <w:tc>
          <w:tcPr>
            <w:tcW w:w="2835" w:type="dxa"/>
            <w:vAlign w:val="center"/>
          </w:tcPr>
          <w:p w:rsidR="00000000" w:rsidRDefault="00000000">
            <w:pPr>
              <w:pStyle w:val="BodyText2"/>
              <w:ind w:right="0"/>
              <w:jc w:val="center"/>
              <w:rPr>
                <w:sz w:val="16"/>
              </w:rPr>
            </w:pPr>
            <w:r>
              <w:rPr>
                <w:sz w:val="16"/>
              </w:rPr>
              <w:t>Políticas de Igualdad en la Unión e</w:t>
            </w:r>
            <w:r>
              <w:rPr>
                <w:sz w:val="16"/>
              </w:rPr>
              <w:t>u</w:t>
            </w:r>
            <w:r>
              <w:rPr>
                <w:sz w:val="16"/>
              </w:rPr>
              <w:t>ropea</w:t>
            </w:r>
          </w:p>
        </w:tc>
        <w:tc>
          <w:tcPr>
            <w:tcW w:w="2552" w:type="dxa"/>
            <w:vAlign w:val="center"/>
          </w:tcPr>
          <w:p w:rsidR="00000000" w:rsidRDefault="00000000">
            <w:pPr>
              <w:pStyle w:val="BodyText2"/>
              <w:ind w:right="0"/>
              <w:rPr>
                <w:sz w:val="16"/>
              </w:rPr>
            </w:pPr>
            <w:r>
              <w:rPr>
                <w:sz w:val="16"/>
              </w:rPr>
              <w:t>La Antigua</w:t>
            </w:r>
          </w:p>
          <w:p w:rsidR="00000000" w:rsidRDefault="00000000">
            <w:pPr>
              <w:pStyle w:val="BodyText2"/>
              <w:ind w:right="0"/>
              <w:rPr>
                <w:sz w:val="16"/>
              </w:rPr>
            </w:pPr>
            <w:r>
              <w:rPr>
                <w:sz w:val="16"/>
              </w:rPr>
              <w:t>(Guatemala)</w:t>
            </w:r>
          </w:p>
        </w:tc>
        <w:tc>
          <w:tcPr>
            <w:tcW w:w="1559" w:type="dxa"/>
            <w:vAlign w:val="center"/>
          </w:tcPr>
          <w:p w:rsidR="00000000" w:rsidRDefault="00000000">
            <w:pPr>
              <w:pStyle w:val="BodyText2"/>
              <w:ind w:right="0"/>
              <w:jc w:val="center"/>
              <w:rPr>
                <w:sz w:val="16"/>
              </w:rPr>
            </w:pPr>
            <w:r>
              <w:rPr>
                <w:sz w:val="16"/>
              </w:rPr>
              <w:t>2/4 diciembre</w:t>
            </w:r>
          </w:p>
        </w:tc>
      </w:tr>
    </w:tbl>
    <w:p w:rsidR="00000000" w:rsidRDefault="00000000">
      <w:pPr>
        <w:pStyle w:val="BodyText2"/>
        <w:ind w:right="0"/>
        <w:jc w:val="both"/>
      </w:pPr>
    </w:p>
    <w:p w:rsidR="00000000" w:rsidRDefault="00000000">
      <w:pPr>
        <w:jc w:val="both"/>
        <w:rPr>
          <w:rFonts w:ascii="Arial" w:hAnsi="Arial"/>
        </w:rPr>
      </w:pPr>
      <w:r>
        <w:rPr>
          <w:rFonts w:ascii="Arial" w:hAnsi="Arial"/>
        </w:rPr>
        <w:t>Regularmente se participa en los Encuentros Iberoamericanos de Ministras y Responsables de Políticas de igualdad de Oportunidades.</w:t>
      </w:r>
    </w:p>
    <w:p w:rsidR="00000000" w:rsidRDefault="00000000">
      <w:pPr>
        <w:jc w:val="both"/>
        <w:rPr>
          <w:rFonts w:ascii="Arial" w:hAnsi="Arial"/>
        </w:rPr>
      </w:pPr>
    </w:p>
    <w:p w:rsidR="00000000" w:rsidRDefault="00000000">
      <w:pPr>
        <w:jc w:val="both"/>
        <w:rPr>
          <w:rFonts w:ascii="Arial" w:hAnsi="Arial"/>
        </w:rPr>
      </w:pPr>
      <w:r>
        <w:rPr>
          <w:rFonts w:ascii="Arial" w:hAnsi="Arial"/>
        </w:rPr>
        <w:t>El Instituto de la Mujer ha continuado otorgando contribuciones financieras voluntarias a los siguientes organismos y entidades:</w:t>
      </w:r>
    </w:p>
    <w:p w:rsidR="00000000" w:rsidRDefault="00000000">
      <w:pPr>
        <w:jc w:val="both"/>
        <w:rPr>
          <w:rFonts w:ascii="Arial" w:hAnsi="Arial"/>
        </w:rPr>
      </w:pPr>
    </w:p>
    <w:p w:rsidR="00000000" w:rsidRDefault="00000000">
      <w:pPr>
        <w:jc w:val="both"/>
        <w:rPr>
          <w:rFonts w:ascii="Arial" w:hAnsi="Arial"/>
        </w:rPr>
      </w:pPr>
      <w:r>
        <w:rPr>
          <w:rFonts w:ascii="Arial" w:hAnsi="Arial"/>
        </w:rPr>
        <w:t>INSTRAW, UNIFEM y WOMEN WATCH, por un importe de 108.182´18 euros anuales.</w:t>
      </w:r>
    </w:p>
    <w:p w:rsidR="00000000" w:rsidRDefault="00000000">
      <w:pPr>
        <w:jc w:val="both"/>
        <w:rPr>
          <w:rFonts w:ascii="Arial" w:hAnsi="Arial"/>
        </w:rPr>
      </w:pPr>
    </w:p>
    <w:p w:rsidR="00000000" w:rsidRDefault="00000000"/>
    <w:p w:rsidR="00000000" w:rsidRDefault="00000000">
      <w:pPr>
        <w:pStyle w:val="Heading3"/>
        <w:ind w:left="0"/>
        <w:jc w:val="left"/>
        <w:rPr>
          <w:b/>
          <w:sz w:val="22"/>
        </w:rPr>
      </w:pPr>
      <w:r>
        <w:rPr>
          <w:b/>
          <w:sz w:val="22"/>
        </w:rPr>
        <w:t>Artículo 9: Nacionalidad</w:t>
      </w:r>
    </w:p>
    <w:p w:rsidR="00000000" w:rsidRDefault="00000000">
      <w:pPr>
        <w:tabs>
          <w:tab w:val="left" w:pos="9356"/>
          <w:tab w:val="left" w:pos="9639"/>
        </w:tabs>
        <w:jc w:val="both"/>
        <w:rPr>
          <w:rFonts w:ascii="Arial" w:hAnsi="Arial"/>
          <w:b/>
        </w:rPr>
      </w:pPr>
    </w:p>
    <w:p w:rsidR="00000000" w:rsidRDefault="00000000">
      <w:pPr>
        <w:tabs>
          <w:tab w:val="left" w:pos="9639"/>
        </w:tabs>
        <w:jc w:val="both"/>
        <w:rPr>
          <w:rFonts w:ascii="Arial" w:hAnsi="Arial"/>
        </w:rPr>
      </w:pPr>
      <w:r>
        <w:rPr>
          <w:rFonts w:ascii="Arial" w:hAnsi="Arial"/>
        </w:rPr>
        <w:t xml:space="preserve">Se ha aprobado la Ley 36/2002, de 8 de octubre, de modificación del Código Civil en materia de nacionalidad. </w:t>
      </w:r>
    </w:p>
    <w:p w:rsidR="00000000" w:rsidRDefault="00000000">
      <w:pPr>
        <w:tabs>
          <w:tab w:val="left" w:pos="9356"/>
          <w:tab w:val="left" w:pos="9639"/>
        </w:tabs>
        <w:jc w:val="both"/>
        <w:rPr>
          <w:rFonts w:ascii="Arial" w:hAnsi="Arial"/>
        </w:rPr>
      </w:pPr>
    </w:p>
    <w:p w:rsidR="00000000" w:rsidRDefault="00000000">
      <w:pPr>
        <w:tabs>
          <w:tab w:val="left" w:pos="9356"/>
          <w:tab w:val="left" w:pos="9639"/>
        </w:tabs>
        <w:jc w:val="both"/>
        <w:rPr>
          <w:rFonts w:ascii="Arial" w:hAnsi="Arial"/>
        </w:rPr>
      </w:pPr>
      <w:r>
        <w:rPr>
          <w:rFonts w:ascii="Arial" w:hAnsi="Arial"/>
        </w:rPr>
        <w:t>En diversas ocasiones, el Instituto de la Mujer ha recibido denuncias de mujeres acerca de la discriminación sufrida por los hijos/as, nacidos antes del día 19 de agosto de 1982, de madre española y padre extranjero. Así, estos hijos sólo eran considerados españoles si no seguían la nacionalidad del padre. Esta situación era discriminatoria respecto de la de los hijos/as de madre extranjera y padre español, que sí recibían automáticamente la nacionalidad española.</w:t>
      </w:r>
    </w:p>
    <w:p w:rsidR="00000000" w:rsidRDefault="00000000">
      <w:pPr>
        <w:tabs>
          <w:tab w:val="left" w:pos="9356"/>
          <w:tab w:val="left" w:pos="9639"/>
        </w:tabs>
        <w:jc w:val="both"/>
        <w:rPr>
          <w:rFonts w:ascii="Arial" w:hAnsi="Arial"/>
        </w:rPr>
      </w:pPr>
    </w:p>
    <w:p w:rsidR="00000000" w:rsidRDefault="00000000">
      <w:pPr>
        <w:jc w:val="both"/>
        <w:rPr>
          <w:rFonts w:ascii="Arial" w:hAnsi="Arial"/>
        </w:rPr>
      </w:pPr>
      <w:r>
        <w:rPr>
          <w:rFonts w:ascii="Arial" w:hAnsi="Arial"/>
        </w:rPr>
        <w:t>A partir de la Ley 51/1981, de 13 de julio, se modificó tal situación. Sin embargo, la norma no preveía disposiciones transitorias ni efectos retroactivos, por lo que aquellos hijos, nacidos antes de la fecha citada, seguían sufriendo la misma situación de discriminación.</w:t>
      </w:r>
    </w:p>
    <w:p w:rsidR="00000000" w:rsidRDefault="00000000">
      <w:pPr>
        <w:jc w:val="both"/>
        <w:rPr>
          <w:rFonts w:ascii="Arial" w:hAnsi="Arial"/>
        </w:rPr>
      </w:pPr>
    </w:p>
    <w:p w:rsidR="00000000" w:rsidRDefault="00000000">
      <w:pPr>
        <w:jc w:val="both"/>
        <w:rPr>
          <w:rFonts w:ascii="Arial" w:hAnsi="Arial"/>
        </w:rPr>
      </w:pPr>
      <w:r>
        <w:rPr>
          <w:rFonts w:ascii="Arial" w:hAnsi="Arial"/>
        </w:rPr>
        <w:t>La Ley 18/1990, de 17 de diciembre, sobre reforma del Código Civil, en materia de nacionalidad, estableció en la Disposición Transitoria Segunda un plazo de dos años para que esas personas pudieran ejercitar una opción por la nacionalidad española. Las Leyes 15/1993, y 29/1995, de 2 de noviembre, otorgaron un nuevo plazo de opción que concluyó definitivamente el 7 de enero de 1997. De esta manera, los hijos/as de madre española, que no hubieran efectuado su opción en ninguno de estos plazos, seguían sufriendo una discriminación respecto de los hijos de varones españoles, a quienes nunca se les había negado la nacionalidad española.</w:t>
      </w:r>
    </w:p>
    <w:p w:rsidR="00000000" w:rsidRDefault="00000000">
      <w:pPr>
        <w:jc w:val="both"/>
        <w:rPr>
          <w:rFonts w:ascii="Arial" w:hAnsi="Arial"/>
        </w:rPr>
      </w:pPr>
    </w:p>
    <w:p w:rsidR="00000000" w:rsidRDefault="00000000">
      <w:pPr>
        <w:pStyle w:val="BodyTextIndent"/>
        <w:ind w:left="0"/>
        <w:rPr>
          <w:sz w:val="20"/>
        </w:rPr>
      </w:pPr>
      <w:r>
        <w:t>Este sistema de plazos se supera con la aprobación de esta Ley al permitir a las personas cuyo p</w:t>
      </w:r>
      <w:r>
        <w:t>a</w:t>
      </w:r>
      <w:r>
        <w:t>dre o madre hubiera sido originariamente español y nacido en España puedan optar por la nacion</w:t>
      </w:r>
      <w:r>
        <w:t>a</w:t>
      </w:r>
      <w:r>
        <w:t>lidad española sin límite de edad.</w:t>
      </w:r>
    </w:p>
    <w:p w:rsidR="00000000" w:rsidRDefault="00000000">
      <w:pPr>
        <w:pStyle w:val="BodyTextIndent"/>
        <w:ind w:left="0"/>
        <w:rPr>
          <w:sz w:val="20"/>
        </w:rPr>
      </w:pPr>
    </w:p>
    <w:p w:rsidR="00000000" w:rsidRDefault="00000000">
      <w:pPr>
        <w:pStyle w:val="BodyTextIndent"/>
        <w:ind w:left="0"/>
        <w:rPr>
          <w:sz w:val="20"/>
        </w:rPr>
      </w:pPr>
    </w:p>
    <w:p w:rsidR="00000000" w:rsidRDefault="00000000">
      <w:pPr>
        <w:rPr>
          <w:rFonts w:ascii="Arial" w:hAnsi="Arial"/>
          <w:b/>
        </w:rPr>
      </w:pPr>
      <w:r>
        <w:rPr>
          <w:rFonts w:ascii="Arial" w:hAnsi="Arial"/>
          <w:b/>
        </w:rPr>
        <w:t>Artículo 10: Educación</w:t>
      </w:r>
    </w:p>
    <w:p w:rsidR="00000000" w:rsidRDefault="00000000">
      <w:pPr>
        <w:rPr>
          <w:rFonts w:ascii="Arial" w:hAnsi="Arial"/>
          <w:b/>
        </w:rPr>
      </w:pPr>
    </w:p>
    <w:p w:rsidR="00000000" w:rsidRDefault="00000000">
      <w:pPr>
        <w:rPr>
          <w:rFonts w:ascii="Arial" w:hAnsi="Arial"/>
          <w:b/>
        </w:rPr>
      </w:pPr>
      <w:r>
        <w:rPr>
          <w:rFonts w:ascii="Arial" w:hAnsi="Arial"/>
          <w:b/>
        </w:rPr>
        <w:t>I. Situación actual</w:t>
      </w:r>
    </w:p>
    <w:p w:rsidR="00000000" w:rsidRDefault="00000000">
      <w:pPr>
        <w:rPr>
          <w:b/>
        </w:rPr>
      </w:pPr>
    </w:p>
    <w:p w:rsidR="00000000" w:rsidRDefault="00000000">
      <w:pPr>
        <w:pStyle w:val="BodyText2"/>
        <w:ind w:right="0"/>
        <w:jc w:val="both"/>
        <w:rPr>
          <w:sz w:val="20"/>
        </w:rPr>
      </w:pPr>
      <w:r>
        <w:rPr>
          <w:sz w:val="20"/>
        </w:rPr>
        <w:t>El sistema educativo español se caracteriza por ofertar una enseñanza obligatoria, mixta y gratuita en los ce</w:t>
      </w:r>
      <w:r>
        <w:rPr>
          <w:sz w:val="20"/>
        </w:rPr>
        <w:t>n</w:t>
      </w:r>
      <w:r>
        <w:rPr>
          <w:sz w:val="20"/>
        </w:rPr>
        <w:t xml:space="preserve">tros públicos, entre los seis y los dieciséis años. La propia Constitución reconoce el derecho a la educación, como uno de los derechos fundamentales, (art.27.1) </w:t>
      </w:r>
    </w:p>
    <w:p w:rsidR="00000000" w:rsidRDefault="00000000">
      <w:pPr>
        <w:pStyle w:val="BodyText2"/>
        <w:ind w:right="0"/>
        <w:jc w:val="both"/>
        <w:rPr>
          <w:sz w:val="20"/>
        </w:rPr>
      </w:pPr>
    </w:p>
    <w:p w:rsidR="00000000" w:rsidRDefault="00000000">
      <w:pPr>
        <w:pStyle w:val="BodyText2"/>
        <w:ind w:right="0"/>
        <w:jc w:val="both"/>
        <w:rPr>
          <w:b/>
          <w:sz w:val="20"/>
        </w:rPr>
      </w:pPr>
      <w:r>
        <w:rPr>
          <w:sz w:val="20"/>
        </w:rPr>
        <w:t xml:space="preserve">Quizá, el dato más característico de este período en materia educativa sea la convivencia en España de dos sistemas educativos: el regulado por la </w:t>
      </w:r>
      <w:r>
        <w:rPr>
          <w:b/>
          <w:sz w:val="20"/>
        </w:rPr>
        <w:t>Ley General de Educación (LGE</w:t>
      </w:r>
      <w:r>
        <w:rPr>
          <w:sz w:val="20"/>
        </w:rPr>
        <w:t xml:space="preserve">) y el regulado por la </w:t>
      </w:r>
      <w:r>
        <w:rPr>
          <w:b/>
          <w:sz w:val="20"/>
        </w:rPr>
        <w:t xml:space="preserve">Ley Orgánica de Ordenación del Sistema Educativo (LOGSE). </w:t>
      </w:r>
    </w:p>
    <w:p w:rsidR="00000000" w:rsidRDefault="00000000">
      <w:pPr>
        <w:pStyle w:val="BodyText2"/>
        <w:ind w:right="0"/>
        <w:jc w:val="both"/>
        <w:rPr>
          <w:b/>
          <w:sz w:val="20"/>
        </w:rPr>
      </w:pPr>
    </w:p>
    <w:p w:rsidR="00000000" w:rsidRDefault="00000000">
      <w:pPr>
        <w:pStyle w:val="BodyText2"/>
        <w:ind w:right="0"/>
        <w:jc w:val="both"/>
        <w:rPr>
          <w:sz w:val="20"/>
        </w:rPr>
      </w:pPr>
      <w:r>
        <w:rPr>
          <w:sz w:val="20"/>
        </w:rPr>
        <w:t xml:space="preserve">En general, la proporción de mujeres respecto a la población global de 16 y más años, que ha cursado algún tipo de estudios está en torno al 50,11%. </w:t>
      </w:r>
    </w:p>
    <w:p w:rsidR="00000000" w:rsidRDefault="00000000">
      <w:pPr>
        <w:pStyle w:val="BodyText2"/>
        <w:ind w:right="0"/>
        <w:jc w:val="both"/>
        <w:rPr>
          <w:sz w:val="20"/>
        </w:rPr>
      </w:pPr>
    </w:p>
    <w:p w:rsidR="00000000" w:rsidRDefault="00000000">
      <w:pPr>
        <w:jc w:val="both"/>
        <w:rPr>
          <w:rFonts w:ascii="Arial" w:hAnsi="Arial"/>
        </w:rPr>
      </w:pPr>
      <w:r>
        <w:rPr>
          <w:rFonts w:ascii="Arial" w:hAnsi="Arial"/>
        </w:rPr>
        <w:t>En España, se han producido en los últimos años cambios significativos en relación con la educación de las mujeres. Desde un punto de vista cuantitativo, cabe destacar la obligatoriedad de la escolaridad de los 6 a los 16 años de edad. El analfabetismo que aún se registra en la población adulta es básicamente un analfabetismo femenino. Según los últimos datos de la Encuesta de Población activa (I Trimestre 2002), frente a la tasa de analfabetismo masculino del 2%, la tasa femenina se sitúa en torno al 4,26%.</w:t>
      </w:r>
    </w:p>
    <w:p w:rsidR="00000000" w:rsidRDefault="00000000">
      <w:pPr>
        <w:jc w:val="both"/>
        <w:rPr>
          <w:rFonts w:ascii="Arial" w:hAnsi="Arial"/>
        </w:rPr>
      </w:pPr>
    </w:p>
    <w:p w:rsidR="00000000" w:rsidRDefault="00000000">
      <w:pPr>
        <w:jc w:val="both"/>
        <w:rPr>
          <w:rFonts w:ascii="Arial" w:hAnsi="Arial"/>
        </w:rPr>
      </w:pPr>
      <w:r>
        <w:rPr>
          <w:rFonts w:ascii="Arial" w:hAnsi="Arial"/>
        </w:rPr>
        <w:t>Se ofrece una tabla comparativa entre los años 1996 y 2000 en relación con la población de 16 y más años por sexo y nivel de formación alcanzado y en la que a pesar del descenso del número de mujeres analfabetas se aprecia que éstas siguen constituyendo mayoría.</w:t>
      </w:r>
    </w:p>
    <w:p w:rsidR="00000000" w:rsidRDefault="00000000">
      <w:pPr>
        <w:jc w:val="both"/>
        <w:rPr>
          <w:rFonts w:ascii="Arial" w:hAnsi="Arial"/>
        </w:rPr>
      </w:pPr>
    </w:p>
    <w:p w:rsidR="00000000" w:rsidRDefault="00000000">
      <w:pPr>
        <w:jc w:val="both"/>
        <w:rPr>
          <w:rFonts w:ascii="Arial" w:hAnsi="Arial"/>
        </w:rPr>
      </w:pPr>
      <w:r>
        <w:rPr>
          <w:rFonts w:ascii="Arial" w:hAnsi="Arial"/>
        </w:rPr>
        <w:t>Respecto al nivel de formación alcanzado, según la EPA 2000 hay mayor proporción de mujeres en los niveles de segunda etapa de Educación Secundaria (50,30 %) y enseñanza universitaria de primer y segundo ciclo (52,12 %), mientras que son minoritarias en enseñanzas técnico-profesionales de grado superior (42,61 %) y en enseñanza universitaria de tercer ciclo correspondiente al doctorado, 35,35%.</w:t>
      </w:r>
    </w:p>
    <w:p w:rsidR="00000000" w:rsidRDefault="00000000">
      <w:pPr>
        <w:jc w:val="both"/>
        <w:rPr>
          <w:rFonts w:ascii="Arial" w:hAnsi="Arial"/>
        </w:rPr>
      </w:pPr>
    </w:p>
    <w:p w:rsidR="00000000" w:rsidRDefault="00000000">
      <w:pPr>
        <w:jc w:val="both"/>
        <w:rPr>
          <w:rFonts w:ascii="Arial" w:hAnsi="Arial"/>
        </w:rPr>
      </w:pPr>
      <w:r>
        <w:rPr>
          <w:rFonts w:ascii="Arial" w:hAnsi="Arial"/>
        </w:rPr>
        <w:t>El avance experimentado por las mujeres en los últimos años es tal que la población femenina de 16 a 40 años ha logrado superar en términos generales el nivel de estudios de la población masculina en esas mismas edades.</w:t>
      </w:r>
    </w:p>
    <w:p w:rsidR="00000000" w:rsidRDefault="00000000">
      <w:pPr>
        <w:pStyle w:val="BodyTextIndent"/>
        <w:ind w:left="0"/>
        <w:rPr>
          <w:sz w:val="20"/>
        </w:rPr>
      </w:pPr>
    </w:p>
    <w:p w:rsidR="00000000" w:rsidRDefault="00000000">
      <w:pPr>
        <w:pStyle w:val="BodyTextIndent"/>
        <w:ind w:left="0"/>
        <w:rPr>
          <w:sz w:val="20"/>
        </w:rPr>
      </w:pPr>
    </w:p>
    <w:p w:rsidR="00000000" w:rsidRDefault="00000000">
      <w:pPr>
        <w:pStyle w:val="BodyTextIndent"/>
        <w:ind w:left="0"/>
        <w:rPr>
          <w:sz w:val="20"/>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eading7"/>
        <w:ind w:left="0" w:right="0"/>
        <w:rPr>
          <w:sz w:val="16"/>
        </w:rPr>
      </w:pPr>
      <w:r>
        <w:rPr>
          <w:sz w:val="16"/>
        </w:rPr>
        <w:t>Población de 16 y más años por sexo y nivel de formación alcanzado</w:t>
      </w:r>
    </w:p>
    <w:tbl>
      <w:tblPr>
        <w:tblW w:w="0" w:type="auto"/>
        <w:tblInd w:w="32" w:type="dxa"/>
        <w:tblLayout w:type="fixed"/>
        <w:tblCellMar>
          <w:left w:w="30" w:type="dxa"/>
          <w:right w:w="30" w:type="dxa"/>
        </w:tblCellMar>
        <w:tblLook w:val="0000" w:firstRow="0" w:lastRow="0" w:firstColumn="0" w:lastColumn="0" w:noHBand="0" w:noVBand="0"/>
      </w:tblPr>
      <w:tblGrid>
        <w:gridCol w:w="2115"/>
        <w:gridCol w:w="1035"/>
        <w:gridCol w:w="756"/>
        <w:gridCol w:w="891"/>
        <w:gridCol w:w="720"/>
        <w:gridCol w:w="891"/>
        <w:gridCol w:w="765"/>
        <w:gridCol w:w="882"/>
        <w:gridCol w:w="774"/>
        <w:gridCol w:w="909"/>
        <w:gridCol w:w="783"/>
        <w:gridCol w:w="846"/>
        <w:gridCol w:w="828"/>
      </w:tblGrid>
      <w:tr w:rsidR="00000000">
        <w:tblPrEx>
          <w:tblCellMar>
            <w:top w:w="0" w:type="dxa"/>
            <w:bottom w:w="0" w:type="dxa"/>
          </w:tblCellMar>
        </w:tblPrEx>
        <w:trPr>
          <w:cantSplit/>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i/>
                <w:snapToGrid w:val="0"/>
                <w:color w:val="000000"/>
                <w:sz w:val="16"/>
                <w:lang w:eastAsia="es-ES"/>
              </w:rPr>
            </w:pPr>
          </w:p>
        </w:tc>
        <w:tc>
          <w:tcPr>
            <w:tcW w:w="5058" w:type="dxa"/>
            <w:gridSpan w:val="6"/>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1996</w:t>
            </w:r>
          </w:p>
        </w:tc>
        <w:tc>
          <w:tcPr>
            <w:tcW w:w="5022" w:type="dxa"/>
            <w:gridSpan w:val="6"/>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2000</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i/>
                <w:snapToGrid w:val="0"/>
                <w:color w:val="000000"/>
                <w:sz w:val="16"/>
                <w:lang w:eastAsia="es-ES"/>
              </w:rPr>
            </w:pP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i/>
                <w:snapToGrid w:val="0"/>
                <w:color w:val="000000"/>
                <w:sz w:val="16"/>
                <w:lang w:eastAsia="es-ES"/>
              </w:rPr>
            </w:pP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32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i/>
                <w:snapToGrid w:val="0"/>
                <w:color w:val="000000"/>
                <w:sz w:val="16"/>
                <w:lang w:eastAsia="es-ES"/>
              </w:rPr>
            </w:pP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i/>
                <w:snapToGrid w:val="0"/>
                <w:color w:val="000000"/>
                <w:sz w:val="16"/>
                <w:lang w:eastAsia="es-ES"/>
              </w:rPr>
            </w:pP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76"/>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791"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89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2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Varones</w:t>
            </w:r>
          </w:p>
        </w:tc>
        <w:tc>
          <w:tcPr>
            <w:tcW w:w="765"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p>
        </w:tc>
        <w:tc>
          <w:tcPr>
            <w:tcW w:w="1656"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Ambos Sexos</w:t>
            </w:r>
          </w:p>
        </w:tc>
        <w:tc>
          <w:tcPr>
            <w:tcW w:w="9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Mujeres</w:t>
            </w:r>
          </w:p>
        </w:tc>
        <w:tc>
          <w:tcPr>
            <w:tcW w:w="783"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MS Sans Serif" w:hAnsi="MS Sans Serif"/>
                <w:snapToGrid w:val="0"/>
                <w:color w:val="000000"/>
                <w:sz w:val="16"/>
                <w:lang w:eastAsia="es-ES"/>
              </w:rPr>
            </w:pPr>
          </w:p>
        </w:tc>
        <w:tc>
          <w:tcPr>
            <w:tcW w:w="846"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Hombres</w:t>
            </w:r>
          </w:p>
        </w:tc>
        <w:tc>
          <w:tcPr>
            <w:tcW w:w="828"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MS Sans Serif" w:hAnsi="MS Sans Serif"/>
                <w:snapToGrid w:val="0"/>
                <w:color w:val="000000"/>
                <w:sz w:val="16"/>
                <w:lang w:eastAsia="es-ES"/>
              </w:rPr>
            </w:pPr>
          </w:p>
        </w:tc>
      </w:tr>
      <w:tr w:rsidR="00000000">
        <w:tblPrEx>
          <w:tblCellMar>
            <w:top w:w="0" w:type="dxa"/>
            <w:bottom w:w="0" w:type="dxa"/>
          </w:tblCellMar>
        </w:tblPrEx>
        <w:trPr>
          <w:trHeight w:val="276"/>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035"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56"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82"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74"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9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83"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46"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28"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03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756"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89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72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9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76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82"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Absoluto</w:t>
            </w:r>
          </w:p>
        </w:tc>
        <w:tc>
          <w:tcPr>
            <w:tcW w:w="77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Muj</w:t>
            </w:r>
          </w:p>
        </w:tc>
        <w:tc>
          <w:tcPr>
            <w:tcW w:w="9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Absoluto</w:t>
            </w:r>
          </w:p>
        </w:tc>
        <w:tc>
          <w:tcPr>
            <w:tcW w:w="78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w:t>
            </w:r>
          </w:p>
        </w:tc>
        <w:tc>
          <w:tcPr>
            <w:tcW w:w="846"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Absoluto</w:t>
            </w:r>
          </w:p>
        </w:tc>
        <w:tc>
          <w:tcPr>
            <w:tcW w:w="828"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03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56"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9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82"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7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9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8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46"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28"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6" w:space="0" w:color="auto"/>
              <w:right w:val="single" w:sz="2" w:space="0" w:color="000000"/>
            </w:tcBorders>
          </w:tcPr>
          <w:p w:rsidR="00000000" w:rsidRDefault="00000000">
            <w:pPr>
              <w:rPr>
                <w:rFonts w:ascii="MS Sans Serif" w:hAnsi="MS Sans Serif"/>
                <w:b/>
                <w:snapToGrid w:val="0"/>
                <w:color w:val="000000"/>
                <w:sz w:val="16"/>
                <w:lang w:eastAsia="es-ES"/>
              </w:rPr>
            </w:pPr>
            <w:r>
              <w:rPr>
                <w:rFonts w:ascii="MS Sans Serif" w:hAnsi="MS Sans Serif"/>
                <w:b/>
                <w:snapToGrid w:val="0"/>
                <w:color w:val="000000"/>
                <w:sz w:val="16"/>
                <w:lang w:eastAsia="es-ES"/>
              </w:rPr>
              <w:t>Total</w:t>
            </w:r>
          </w:p>
        </w:tc>
        <w:tc>
          <w:tcPr>
            <w:tcW w:w="103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32.215.3</w:t>
            </w:r>
          </w:p>
        </w:tc>
        <w:tc>
          <w:tcPr>
            <w:tcW w:w="756"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51,70</w:t>
            </w:r>
          </w:p>
        </w:tc>
        <w:tc>
          <w:tcPr>
            <w:tcW w:w="89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16.654.4</w:t>
            </w:r>
          </w:p>
        </w:tc>
        <w:tc>
          <w:tcPr>
            <w:tcW w:w="72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9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15.560.9</w:t>
            </w:r>
          </w:p>
        </w:tc>
        <w:tc>
          <w:tcPr>
            <w:tcW w:w="76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82"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32.876.2</w:t>
            </w:r>
          </w:p>
        </w:tc>
        <w:tc>
          <w:tcPr>
            <w:tcW w:w="77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51,86</w:t>
            </w:r>
          </w:p>
        </w:tc>
        <w:tc>
          <w:tcPr>
            <w:tcW w:w="9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17.048.4</w:t>
            </w:r>
          </w:p>
        </w:tc>
        <w:tc>
          <w:tcPr>
            <w:tcW w:w="78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46"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15.827.8</w:t>
            </w:r>
          </w:p>
        </w:tc>
        <w:tc>
          <w:tcPr>
            <w:tcW w:w="828"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r>
      <w:tr w:rsidR="00000000">
        <w:tblPrEx>
          <w:tblCellMar>
            <w:top w:w="0" w:type="dxa"/>
            <w:bottom w:w="0" w:type="dxa"/>
          </w:tblCellMar>
        </w:tblPrEx>
        <w:trPr>
          <w:trHeight w:val="262"/>
        </w:trPr>
        <w:tc>
          <w:tcPr>
            <w:tcW w:w="2115" w:type="dxa"/>
            <w:tcBorders>
              <w:top w:val="single" w:sz="6" w:space="0" w:color="auto"/>
              <w:left w:val="single" w:sz="2" w:space="0" w:color="000000"/>
              <w:bottom w:val="single" w:sz="2" w:space="0" w:color="000000"/>
              <w:right w:val="single" w:sz="2" w:space="0" w:color="000000"/>
            </w:tcBorders>
          </w:tcPr>
          <w:p w:rsidR="00000000" w:rsidRDefault="00000000">
            <w:pPr>
              <w:rPr>
                <w:rFonts w:ascii="MS Sans Serif" w:hAnsi="MS Sans Serif"/>
                <w:b/>
                <w:snapToGrid w:val="0"/>
                <w:color w:val="000000"/>
                <w:sz w:val="16"/>
                <w:lang w:eastAsia="es-ES"/>
              </w:rPr>
            </w:pPr>
          </w:p>
        </w:tc>
        <w:tc>
          <w:tcPr>
            <w:tcW w:w="103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756"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89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72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89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76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882"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p>
        </w:tc>
        <w:tc>
          <w:tcPr>
            <w:tcW w:w="77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9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8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46"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28"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Analfabetas/os</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1.238.4</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70,85</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877.4</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5,27</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361.0</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2,32</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1.140.4</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70,16</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800.1</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4,69</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340.3</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2,15</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Sin estudios</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4.366.5</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57,63</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2.516.4</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15,11</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1.850.1</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11,89</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4.576.5</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57,65</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2.638.5</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15,48</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1.938.0</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12,24</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Estudios primarios</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10.169.8</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51,85</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5.273.5</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31,66</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4.896.3</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31,47</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8.713.8</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52,66</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4.588.7</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26,92</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4.125.1</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26,06</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Estudios secundarios o medios</w:t>
            </w:r>
          </w:p>
        </w:tc>
        <w:tc>
          <w:tcPr>
            <w:tcW w:w="103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11.797.1</w:t>
            </w:r>
          </w:p>
        </w:tc>
        <w:tc>
          <w:tcPr>
            <w:tcW w:w="75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48,80</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5.756.9</w:t>
            </w:r>
          </w:p>
        </w:tc>
        <w:tc>
          <w:tcPr>
            <w:tcW w:w="720"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34,57</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6.040.2</w:t>
            </w:r>
          </w:p>
        </w:tc>
        <w:tc>
          <w:tcPr>
            <w:tcW w:w="76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38,82</w:t>
            </w:r>
          </w:p>
        </w:tc>
        <w:tc>
          <w:tcPr>
            <w:tcW w:w="882"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11.015.0</w:t>
            </w:r>
          </w:p>
        </w:tc>
        <w:tc>
          <w:tcPr>
            <w:tcW w:w="774"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48,71</w:t>
            </w:r>
          </w:p>
        </w:tc>
        <w:tc>
          <w:tcPr>
            <w:tcW w:w="909"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5.365.5</w:t>
            </w:r>
          </w:p>
        </w:tc>
        <w:tc>
          <w:tcPr>
            <w:tcW w:w="783"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31,47</w:t>
            </w:r>
          </w:p>
        </w:tc>
        <w:tc>
          <w:tcPr>
            <w:tcW w:w="84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5.649.5</w:t>
            </w:r>
          </w:p>
        </w:tc>
        <w:tc>
          <w:tcPr>
            <w:tcW w:w="828"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35,69</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Técnico-Profesionales superiores*</w:t>
            </w:r>
          </w:p>
        </w:tc>
        <w:tc>
          <w:tcPr>
            <w:tcW w:w="103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1.353.7</w:t>
            </w:r>
          </w:p>
        </w:tc>
        <w:tc>
          <w:tcPr>
            <w:tcW w:w="75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40,42</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547.2</w:t>
            </w:r>
          </w:p>
        </w:tc>
        <w:tc>
          <w:tcPr>
            <w:tcW w:w="720"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3,29</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806.5</w:t>
            </w:r>
          </w:p>
        </w:tc>
        <w:tc>
          <w:tcPr>
            <w:tcW w:w="76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5,18</w:t>
            </w:r>
          </w:p>
        </w:tc>
        <w:tc>
          <w:tcPr>
            <w:tcW w:w="882"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3.376.9</w:t>
            </w:r>
          </w:p>
        </w:tc>
        <w:tc>
          <w:tcPr>
            <w:tcW w:w="774"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46,26</w:t>
            </w:r>
          </w:p>
        </w:tc>
        <w:tc>
          <w:tcPr>
            <w:tcW w:w="909"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1.562.2</w:t>
            </w:r>
          </w:p>
        </w:tc>
        <w:tc>
          <w:tcPr>
            <w:tcW w:w="783"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9,16</w:t>
            </w:r>
          </w:p>
        </w:tc>
        <w:tc>
          <w:tcPr>
            <w:tcW w:w="84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1.814.7</w:t>
            </w:r>
          </w:p>
        </w:tc>
        <w:tc>
          <w:tcPr>
            <w:tcW w:w="828"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11,47</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Universitarios primer ciclo</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1.727.7</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57,50</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993.5</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5,97</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734.2</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4,72</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1.961.0</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56,85</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1.114.8</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6,54</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846.2</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5,35</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Universitarios segundo ciclo</w:t>
            </w:r>
          </w:p>
        </w:tc>
        <w:tc>
          <w:tcPr>
            <w:tcW w:w="103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1.482.3</w:t>
            </w:r>
          </w:p>
        </w:tc>
        <w:tc>
          <w:tcPr>
            <w:tcW w:w="75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44,20</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655.2</w:t>
            </w:r>
          </w:p>
        </w:tc>
        <w:tc>
          <w:tcPr>
            <w:tcW w:w="720"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3,93</w:t>
            </w:r>
          </w:p>
        </w:tc>
        <w:tc>
          <w:tcPr>
            <w:tcW w:w="891"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827.1</w:t>
            </w:r>
          </w:p>
        </w:tc>
        <w:tc>
          <w:tcPr>
            <w:tcW w:w="765"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5,32</w:t>
            </w:r>
          </w:p>
        </w:tc>
        <w:tc>
          <w:tcPr>
            <w:tcW w:w="882"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1.987.2</w:t>
            </w:r>
          </w:p>
        </w:tc>
        <w:tc>
          <w:tcPr>
            <w:tcW w:w="774"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47,05</w:t>
            </w:r>
          </w:p>
        </w:tc>
        <w:tc>
          <w:tcPr>
            <w:tcW w:w="909"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934.9</w:t>
            </w:r>
          </w:p>
        </w:tc>
        <w:tc>
          <w:tcPr>
            <w:tcW w:w="783"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5,48</w:t>
            </w:r>
          </w:p>
        </w:tc>
        <w:tc>
          <w:tcPr>
            <w:tcW w:w="84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1.052.3</w:t>
            </w:r>
          </w:p>
        </w:tc>
        <w:tc>
          <w:tcPr>
            <w:tcW w:w="828"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6,65</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Universitarios tercer ciclo</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 xml:space="preserve">     (Doctorado)</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40.8</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31,13</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12.7</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0,08</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28.1</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0,18</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66.2</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35,35</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23.4</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0,14</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42.8</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0,27</w:t>
            </w:r>
          </w:p>
        </w:tc>
      </w:tr>
      <w:tr w:rsidR="00000000">
        <w:tblPrEx>
          <w:tblCellMar>
            <w:top w:w="0" w:type="dxa"/>
            <w:bottom w:w="0" w:type="dxa"/>
          </w:tblCellMar>
        </w:tblPrEx>
        <w:trPr>
          <w:trHeight w:val="262"/>
        </w:trPr>
        <w:tc>
          <w:tcPr>
            <w:tcW w:w="2115"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snapToGrid w:val="0"/>
                <w:color w:val="000000"/>
                <w:sz w:val="16"/>
                <w:lang w:eastAsia="es-ES"/>
              </w:rPr>
            </w:pPr>
            <w:r>
              <w:rPr>
                <w:rFonts w:ascii="MS Sans Serif" w:hAnsi="MS Sans Serif"/>
                <w:snapToGrid w:val="0"/>
                <w:color w:val="000000"/>
                <w:sz w:val="16"/>
                <w:lang w:eastAsia="es-ES"/>
              </w:rPr>
              <w:t>Otros</w:t>
            </w:r>
          </w:p>
        </w:tc>
        <w:tc>
          <w:tcPr>
            <w:tcW w:w="103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39.0</w:t>
            </w:r>
          </w:p>
        </w:tc>
        <w:tc>
          <w:tcPr>
            <w:tcW w:w="75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55,38</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21.6</w:t>
            </w:r>
          </w:p>
        </w:tc>
        <w:tc>
          <w:tcPr>
            <w:tcW w:w="7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0,13</w:t>
            </w:r>
          </w:p>
        </w:tc>
        <w:tc>
          <w:tcPr>
            <w:tcW w:w="89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0,11</w:t>
            </w:r>
          </w:p>
        </w:tc>
        <w:tc>
          <w:tcPr>
            <w:tcW w:w="88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39.2</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51,79</w:t>
            </w:r>
          </w:p>
        </w:tc>
        <w:tc>
          <w:tcPr>
            <w:tcW w:w="9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20.3</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0,12</w:t>
            </w:r>
          </w:p>
        </w:tc>
        <w:tc>
          <w:tcPr>
            <w:tcW w:w="846"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18.9</w:t>
            </w:r>
          </w:p>
        </w:tc>
        <w:tc>
          <w:tcPr>
            <w:tcW w:w="82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snapToGrid w:val="0"/>
                <w:color w:val="000000"/>
                <w:sz w:val="16"/>
                <w:lang w:eastAsia="es-ES"/>
              </w:rPr>
            </w:pPr>
            <w:r>
              <w:rPr>
                <w:rFonts w:ascii="MS Sans Serif" w:hAnsi="MS Sans Serif"/>
                <w:snapToGrid w:val="0"/>
                <w:color w:val="000000"/>
                <w:sz w:val="16"/>
                <w:lang w:eastAsia="es-ES"/>
              </w:rPr>
              <w:t>0,12</w:t>
            </w:r>
          </w:p>
        </w:tc>
      </w:tr>
    </w:tbl>
    <w:p w:rsidR="00000000" w:rsidRDefault="00000000">
      <w:pPr>
        <w:numPr>
          <w:ilvl w:val="0"/>
          <w:numId w:val="52"/>
        </w:numPr>
        <w:ind w:left="0" w:hanging="283"/>
        <w:jc w:val="both"/>
        <w:rPr>
          <w:rFonts w:ascii="MS Sans Serif" w:hAnsi="MS Sans Serif"/>
          <w:snapToGrid w:val="0"/>
          <w:color w:val="000000"/>
          <w:sz w:val="16"/>
          <w:lang w:eastAsia="es-ES"/>
        </w:rPr>
      </w:pPr>
    </w:p>
    <w:p w:rsidR="00000000" w:rsidRDefault="00000000">
      <w:pPr>
        <w:pStyle w:val="BodyTextIndent"/>
        <w:ind w:left="0"/>
        <w:rPr>
          <w:sz w:val="20"/>
        </w:rPr>
      </w:pPr>
    </w:p>
    <w:p w:rsidR="00000000" w:rsidRDefault="00000000">
      <w:pPr>
        <w:pStyle w:val="BodyTextIndent"/>
        <w:ind w:left="0"/>
        <w:rPr>
          <w:sz w:val="20"/>
        </w:rPr>
      </w:pPr>
    </w:p>
    <w:p w:rsidR="00000000" w:rsidRDefault="00000000">
      <w:pPr>
        <w:pStyle w:val="BodyTextIndent"/>
        <w:ind w:left="0"/>
        <w:rPr>
          <w:sz w:val="20"/>
        </w:rPr>
        <w:sectPr w:rsidR="00000000">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898" w:header="0" w:footer="0" w:gutter="0"/>
          <w:cols w:space="720"/>
          <w:noEndnote/>
        </w:sectPr>
      </w:pPr>
    </w:p>
    <w:p w:rsidR="00000000" w:rsidRDefault="00000000">
      <w:pPr>
        <w:tabs>
          <w:tab w:val="left" w:pos="1134"/>
          <w:tab w:val="left" w:pos="9639"/>
        </w:tabs>
        <w:jc w:val="center"/>
        <w:rPr>
          <w:rFonts w:ascii="Arial" w:hAnsi="Arial"/>
          <w:b/>
        </w:rPr>
      </w:pPr>
      <w:r>
        <w:rPr>
          <w:rFonts w:ascii="Arial" w:hAnsi="Arial"/>
          <w:b/>
        </w:rPr>
        <w:t>Alumnado matriculado en todo el sistema educativo</w:t>
      </w:r>
    </w:p>
    <w:p w:rsidR="00000000" w:rsidRDefault="00000000">
      <w:pPr>
        <w:jc w:val="center"/>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1418"/>
        <w:gridCol w:w="850"/>
        <w:gridCol w:w="567"/>
        <w:gridCol w:w="851"/>
        <w:gridCol w:w="567"/>
        <w:gridCol w:w="850"/>
        <w:gridCol w:w="567"/>
        <w:gridCol w:w="851"/>
        <w:gridCol w:w="567"/>
        <w:gridCol w:w="850"/>
        <w:gridCol w:w="567"/>
        <w:gridCol w:w="851"/>
        <w:gridCol w:w="709"/>
      </w:tblGrid>
      <w:tr w:rsidR="00000000">
        <w:tblPrEx>
          <w:tblCellMar>
            <w:top w:w="0" w:type="dxa"/>
            <w:bottom w:w="0" w:type="dxa"/>
          </w:tblCellMar>
        </w:tblPrEx>
        <w:trPr>
          <w:cantSplit/>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i/>
                <w:snapToGrid w:val="0"/>
                <w:color w:val="000000"/>
                <w:sz w:val="16"/>
                <w:lang w:eastAsia="es-ES"/>
              </w:rPr>
            </w:pPr>
          </w:p>
        </w:tc>
        <w:tc>
          <w:tcPr>
            <w:tcW w:w="4252" w:type="dxa"/>
            <w:gridSpan w:val="6"/>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1996-97</w:t>
            </w:r>
          </w:p>
        </w:tc>
        <w:tc>
          <w:tcPr>
            <w:tcW w:w="4395" w:type="dxa"/>
            <w:gridSpan w:val="6"/>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1998-99</w:t>
            </w:r>
          </w:p>
        </w:tc>
      </w:tr>
      <w:tr w:rsidR="00000000">
        <w:tblPrEx>
          <w:tblCellMar>
            <w:top w:w="0" w:type="dxa"/>
            <w:bottom w:w="0" w:type="dxa"/>
          </w:tblCellMar>
        </w:tblPrEx>
        <w:trPr>
          <w:cantSplit/>
          <w:trHeight w:val="276"/>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567"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p>
        </w:tc>
        <w:tc>
          <w:tcPr>
            <w:tcW w:w="1418"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1417"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567"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p>
        </w:tc>
        <w:tc>
          <w:tcPr>
            <w:tcW w:w="1417"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1560" w:type="dxa"/>
            <w:gridSpan w:val="2"/>
            <w:tcBorders>
              <w:top w:val="single" w:sz="2" w:space="0" w:color="000000"/>
              <w:left w:val="single" w:sz="2" w:space="0" w:color="000000"/>
              <w:bottom w:val="double" w:sz="6"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r>
      <w:tr w:rsidR="00000000">
        <w:tblPrEx>
          <w:tblCellMar>
            <w:top w:w="0" w:type="dxa"/>
            <w:bottom w:w="0" w:type="dxa"/>
          </w:tblCellMar>
        </w:tblPrEx>
        <w:trPr>
          <w:trHeight w:val="276"/>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r>
      <w:tr w:rsidR="00000000">
        <w:tblPrEx>
          <w:tblCellMar>
            <w:top w:w="0" w:type="dxa"/>
            <w:bottom w:w="0" w:type="dxa"/>
          </w:tblCellMar>
        </w:tblPrEx>
        <w:trPr>
          <w:trHeight w:val="307"/>
          <w:jc w:val="center"/>
        </w:trPr>
        <w:tc>
          <w:tcPr>
            <w:tcW w:w="1418" w:type="dxa"/>
            <w:tcBorders>
              <w:top w:val="single" w:sz="2" w:space="0" w:color="000000"/>
              <w:left w:val="single" w:sz="2" w:space="0" w:color="000000"/>
              <w:bottom w:val="single" w:sz="12"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Total</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9.037.226</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49,72</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4.493.244</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4.543.982</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8.709.701</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49,78</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4.335.421</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4.374.280</w:t>
            </w:r>
          </w:p>
        </w:tc>
        <w:tc>
          <w:tcPr>
            <w:tcW w:w="709"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Ed. Infanfil / Preescolar</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1.115.244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48,71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543.228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12,09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572.016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1.128.861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48,55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548.102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12,64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580.759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13,28</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Ed. Primaria / E.G.B.</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3.137.278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48,21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1.512.493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33,66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1.624.785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2.562.785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1.239.597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1.323.188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30,25</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Ed. Secundaria Obligatoria</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1.181.466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48,52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573.278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12,76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608.188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1.890.004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48,59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918.394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971.610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22,21</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BU.P. y C.O.U.</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1.080.784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573.234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12,76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507.550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531.032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51,92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275.731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255.301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5,84</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Bachillerato Experimental</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27.257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11.510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0,26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15.747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0,01</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Bachillerato LOGSE</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153.836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55,01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84.623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69.213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396.217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215.840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180.377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4,12</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B.U.P. y C.O.U.  a distancia</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48.464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50,24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24.348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0,54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24.116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0,53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35.269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49,93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17.611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0,41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17.658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0,40</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val="en-US" w:eastAsia="es-ES"/>
              </w:rPr>
            </w:pPr>
            <w:r>
              <w:rPr>
                <w:rFonts w:ascii="Arial" w:hAnsi="Arial"/>
                <w:snapToGrid w:val="0"/>
                <w:color w:val="000000"/>
                <w:sz w:val="16"/>
                <w:lang w:val="en-US" w:eastAsia="es-ES"/>
              </w:rPr>
              <w:t>F.P. I</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232.113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44,50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103.291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128.822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69.540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46,09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32.048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37.492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0,86</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val="en-US" w:eastAsia="es-ES"/>
              </w:rPr>
            </w:pPr>
            <w:r>
              <w:rPr>
                <w:rFonts w:ascii="Arial" w:hAnsi="Arial"/>
                <w:snapToGrid w:val="0"/>
                <w:color w:val="000000"/>
                <w:sz w:val="16"/>
                <w:lang w:val="en-US" w:eastAsia="es-ES"/>
              </w:rPr>
              <w:t>F.P. II</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359.530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49,31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174.126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185.404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220.598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47,80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105.454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115.144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2,63</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Módulos Profesionales II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48.812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44,21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21.581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27.231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0,60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119.556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52.992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66.564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Módulos Profesionales III*</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55.200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28.178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0,63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27.022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110.516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54.505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56.011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1,28</w:t>
            </w:r>
          </w:p>
        </w:tc>
      </w:tr>
      <w:tr w:rsidR="00000000">
        <w:tblPrEx>
          <w:tblCellMar>
            <w:top w:w="0" w:type="dxa"/>
            <w:bottom w:w="0" w:type="dxa"/>
          </w:tblCellMar>
        </w:tblPrEx>
        <w:trPr>
          <w:trHeight w:val="230"/>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Universidad 1er  Ciclo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Ing. Técnica, Arq. Técnica</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202.033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24,11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48.705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153.328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216.065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53.704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162.361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3,71</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Diplomaturas</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330.209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221.374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108.835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349.239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67,67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236.317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112.922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2,58</w:t>
            </w:r>
          </w:p>
        </w:tc>
      </w:tr>
      <w:tr w:rsidR="00000000">
        <w:tblPrEx>
          <w:tblCellMar>
            <w:top w:w="0" w:type="dxa"/>
            <w:bottom w:w="0" w:type="dxa"/>
          </w:tblCellMar>
        </w:tblPrEx>
        <w:trPr>
          <w:trHeight w:val="230"/>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Universidad 1er y 2º Ciclo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Licenciaturas</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847.754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493.653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10,99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354.101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7,79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840.223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58,76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493.678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346.545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7,92</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Ingenierías</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138.851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27,69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38.447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100.404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147.912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28,69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42.430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0,98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105.482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2,41</w:t>
            </w:r>
          </w:p>
        </w:tc>
      </w:tr>
      <w:tr w:rsidR="00000000">
        <w:tblPrEx>
          <w:tblCellMar>
            <w:top w:w="0" w:type="dxa"/>
            <w:bottom w:w="0" w:type="dxa"/>
          </w:tblCellMar>
        </w:tblPrEx>
        <w:trPr>
          <w:trHeight w:val="230"/>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Universidad solo 2º Ciclo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Licenciaturas</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14.682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10.373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0,23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4.309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21.428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15.037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0,15</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Ingenierías</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2.880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17,85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2.366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5.291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16,75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886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0,10</w:t>
            </w:r>
          </w:p>
        </w:tc>
      </w:tr>
      <w:tr w:rsidR="00000000">
        <w:tblPrEx>
          <w:tblCellMar>
            <w:top w:w="0" w:type="dxa"/>
            <w:bottom w:w="0" w:type="dxa"/>
          </w:tblCellMar>
        </w:tblPrEx>
        <w:trPr>
          <w:trHeight w:val="262"/>
          <w:jc w:val="center"/>
        </w:trPr>
        <w:tc>
          <w:tcPr>
            <w:tcW w:w="1418" w:type="dxa"/>
            <w:tcBorders>
              <w:top w:val="single" w:sz="2" w:space="0" w:color="000000"/>
              <w:left w:val="single" w:sz="2" w:space="0" w:color="000000"/>
              <w:bottom w:val="single" w:sz="12" w:space="0" w:color="auto"/>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Universidad 3er Ciclo (Doctorado)</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60.833</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49,79</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30.288</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0,67</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30.545</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0,67</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64.472</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50,70</w:t>
            </w: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32.686</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0,75</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31.786</w:t>
            </w:r>
          </w:p>
        </w:tc>
        <w:tc>
          <w:tcPr>
            <w:tcW w:w="709"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0,73</w:t>
            </w:r>
          </w:p>
        </w:tc>
      </w:tr>
    </w:tbl>
    <w:p w:rsidR="00000000" w:rsidRDefault="00000000">
      <w:pPr>
        <w:jc w:val="both"/>
        <w:rPr>
          <w:rFonts w:ascii="Arial" w:hAnsi="Arial"/>
          <w:snapToGrid w:val="0"/>
          <w:color w:val="000000"/>
          <w:sz w:val="16"/>
          <w:lang w:eastAsia="es-ES"/>
        </w:rPr>
      </w:pPr>
    </w:p>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Incluye la modalidad "a distancia"  FUENTE: Elaboración propia a partir de datos de la Estadística de la Enseñanza Superior en España, INE  y de la Estadística de la Enseñanza en España, MEC.</w:t>
      </w:r>
    </w:p>
    <w:p w:rsidR="00000000" w:rsidRDefault="00000000">
      <w:pPr>
        <w:jc w:val="both"/>
        <w:rPr>
          <w:rFonts w:ascii="Arial" w:hAnsi="Arial"/>
          <w:snapToGrid w:val="0"/>
          <w:color w:val="000000"/>
          <w:sz w:val="16"/>
          <w:lang w:eastAsia="es-ES"/>
        </w:rPr>
      </w:pPr>
    </w:p>
    <w:p w:rsidR="00000000" w:rsidRDefault="00000000">
      <w:pPr>
        <w:jc w:val="both"/>
        <w:rPr>
          <w:rFonts w:ascii="Arial" w:hAnsi="Arial"/>
          <w:snapToGrid w:val="0"/>
          <w:color w:val="000000"/>
          <w:sz w:val="16"/>
          <w:lang w:eastAsia="es-ES"/>
        </w:rPr>
      </w:pPr>
    </w:p>
    <w:p w:rsidR="00000000" w:rsidRDefault="00000000">
      <w:pPr>
        <w:jc w:val="both"/>
        <w:rPr>
          <w:rFonts w:ascii="Arial" w:hAnsi="Arial"/>
        </w:rPr>
      </w:pPr>
      <w:r>
        <w:rPr>
          <w:rFonts w:ascii="Arial" w:hAnsi="Arial"/>
        </w:rPr>
        <w:t xml:space="preserve">En cuanto al </w:t>
      </w:r>
      <w:r>
        <w:rPr>
          <w:rFonts w:ascii="Arial" w:hAnsi="Arial"/>
          <w:b/>
        </w:rPr>
        <w:t>alumnado matriculado en BUP y COU, por curso y sexo</w:t>
      </w:r>
      <w:r>
        <w:rPr>
          <w:rFonts w:ascii="Arial" w:hAnsi="Arial"/>
        </w:rPr>
        <w:t xml:space="preserve"> los datos analizados ponen de manifiesto que las mujeres constituyen una clara mayoría (51,92%).</w:t>
      </w:r>
    </w:p>
    <w:p w:rsidR="00000000" w:rsidRDefault="00000000">
      <w:pPr>
        <w:jc w:val="both"/>
        <w:rPr>
          <w:rFonts w:ascii="Arial" w:hAnsi="Arial"/>
        </w:rPr>
      </w:pPr>
      <w:r>
        <w:rPr>
          <w:rFonts w:ascii="Arial" w:hAnsi="Arial"/>
        </w:rPr>
        <w:t xml:space="preserve">Al analizar los datos por separado, las mujeres son mayoritarias en las diferentes opciones del BUP y COU a excepción de la opción científico-tecnológica. </w:t>
      </w:r>
    </w:p>
    <w:p w:rsidR="00000000" w:rsidRDefault="00000000">
      <w:pPr>
        <w:tabs>
          <w:tab w:val="left" w:pos="9639"/>
        </w:tabs>
        <w:jc w:val="both"/>
        <w:rPr>
          <w:rFonts w:ascii="Arial" w:hAnsi="Arial"/>
        </w:rPr>
      </w:pPr>
    </w:p>
    <w:p w:rsidR="00000000" w:rsidRDefault="00000000">
      <w:pPr>
        <w:tabs>
          <w:tab w:val="left" w:pos="9639"/>
        </w:tabs>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850"/>
        <w:gridCol w:w="851"/>
        <w:gridCol w:w="850"/>
        <w:gridCol w:w="851"/>
        <w:gridCol w:w="992"/>
        <w:gridCol w:w="851"/>
        <w:gridCol w:w="850"/>
        <w:gridCol w:w="851"/>
        <w:gridCol w:w="992"/>
      </w:tblGrid>
      <w:tr w:rsidR="00000000">
        <w:tblPrEx>
          <w:tblCellMar>
            <w:top w:w="0" w:type="dxa"/>
            <w:bottom w:w="0" w:type="dxa"/>
          </w:tblCellMar>
        </w:tblPrEx>
        <w:trPr>
          <w:cantSplit/>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p>
        </w:tc>
        <w:tc>
          <w:tcPr>
            <w:tcW w:w="3544"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1996-97</w:t>
            </w:r>
          </w:p>
        </w:tc>
        <w:tc>
          <w:tcPr>
            <w:tcW w:w="3544"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1998-99</w:t>
            </w:r>
          </w:p>
        </w:tc>
      </w:tr>
      <w:tr w:rsidR="00000000">
        <w:tblPrEx>
          <w:tblCellMar>
            <w:top w:w="0" w:type="dxa"/>
            <w:bottom w:w="0" w:type="dxa"/>
          </w:tblCellMar>
        </w:tblPrEx>
        <w:trPr>
          <w:trHeight w:val="276"/>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 Sexos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c>
          <w:tcPr>
            <w:tcW w:w="992"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 Sexos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 xml:space="preserve"> 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c>
          <w:tcPr>
            <w:tcW w:w="992"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Total</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1.080.784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573.234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507.550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53,04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531.032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275.731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255.301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val="en-US" w:eastAsia="es-ES"/>
              </w:rPr>
            </w:pPr>
            <w:r>
              <w:rPr>
                <w:rFonts w:ascii="Arial" w:hAnsi="Arial"/>
                <w:b/>
                <w:snapToGrid w:val="0"/>
                <w:color w:val="000000"/>
                <w:sz w:val="16"/>
                <w:lang w:val="en-US" w:eastAsia="es-ES"/>
              </w:rPr>
              <w:t>51,92</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b/>
                <w:snapToGrid w:val="0"/>
                <w:color w:val="000000"/>
                <w:sz w:val="16"/>
                <w:lang w:val="en-US" w:eastAsia="es-ES"/>
              </w:rPr>
            </w:pPr>
            <w:r>
              <w:rPr>
                <w:rFonts w:ascii="Arial" w:hAnsi="Arial"/>
                <w:b/>
                <w:snapToGrid w:val="0"/>
                <w:color w:val="000000"/>
                <w:sz w:val="16"/>
                <w:lang w:val="en-US" w:eastAsia="es-ES"/>
              </w:rPr>
              <w:t>BUP</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745.017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392.806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352.211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52,72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291.074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151.108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139.966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51,91</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1º BUP</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201.800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104.598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97.202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51,83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48,34</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2º BUP</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247.302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130.378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116.924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52,72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148.892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77.128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71.764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51,80</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3º BUP</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295.915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157.830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138.085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53,34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141.971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73.878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68.093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52,04</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91.344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56.509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34.835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61,86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51.232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27.949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23.283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54,55</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B</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204.571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101.321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103.250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49,53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90.739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45.929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44.810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50,62</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COU</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335.767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180.428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155.339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239.958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124.623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115.335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51,94</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106.169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36.334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69.835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75.868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24.691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51.177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32,54</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B</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85.989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54.741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31.248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63,66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59.763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37.075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22.688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62,04</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C</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95.728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58.059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37.669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67.832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39.718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28.114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58,55</w:t>
            </w:r>
          </w:p>
        </w:tc>
      </w:tr>
      <w:tr w:rsidR="00000000">
        <w:tblPrEx>
          <w:tblCellMar>
            <w:top w:w="0" w:type="dxa"/>
            <w:bottom w:w="0" w:type="dxa"/>
          </w:tblCellMar>
        </w:tblPrEx>
        <w:trPr>
          <w:trHeight w:val="262"/>
          <w:jc w:val="center"/>
        </w:trPr>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r>
              <w:rPr>
                <w:rFonts w:ascii="Arial" w:hAnsi="Arial"/>
                <w:snapToGrid w:val="0"/>
                <w:color w:val="000000"/>
                <w:sz w:val="16"/>
                <w:lang w:eastAsia="es-ES"/>
              </w:rPr>
              <w:t>Opción D</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47.881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31.294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16.587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65,36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36.495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23.139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13.356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63,40</w:t>
            </w:r>
          </w:p>
        </w:tc>
      </w:tr>
    </w:tbl>
    <w:p w:rsidR="00000000" w:rsidRDefault="00000000">
      <w:pPr>
        <w:jc w:val="both"/>
        <w:rPr>
          <w:rFonts w:ascii="Arial" w:hAnsi="Arial"/>
          <w:snapToGrid w:val="0"/>
          <w:color w:val="000000"/>
          <w:sz w:val="18"/>
          <w:lang w:eastAsia="es-ES"/>
        </w:rPr>
      </w:pPr>
    </w:p>
    <w:p w:rsidR="00000000" w:rsidRDefault="00000000">
      <w:pPr>
        <w:ind w:left="936" w:right="949"/>
        <w:jc w:val="both"/>
        <w:rPr>
          <w:rFonts w:ascii="Arial" w:hAnsi="Arial"/>
          <w:sz w:val="18"/>
        </w:rPr>
      </w:pPr>
      <w:r>
        <w:rPr>
          <w:rFonts w:ascii="Arial" w:hAnsi="Arial"/>
          <w:snapToGrid w:val="0"/>
          <w:color w:val="000000"/>
          <w:sz w:val="18"/>
          <w:lang w:eastAsia="es-ES"/>
        </w:rPr>
        <w:t>Opción A: Letras (B.U.P), Científico-Tecnológica (C.O.U.)</w:t>
      </w:r>
    </w:p>
    <w:p w:rsidR="00000000" w:rsidRDefault="00000000">
      <w:pPr>
        <w:ind w:left="936" w:right="949"/>
        <w:jc w:val="both"/>
        <w:rPr>
          <w:rFonts w:ascii="Arial" w:hAnsi="Arial"/>
          <w:sz w:val="18"/>
        </w:rPr>
      </w:pPr>
      <w:r>
        <w:rPr>
          <w:rFonts w:ascii="Arial" w:hAnsi="Arial"/>
          <w:snapToGrid w:val="0"/>
          <w:color w:val="000000"/>
          <w:sz w:val="18"/>
          <w:lang w:eastAsia="es-ES"/>
        </w:rPr>
        <w:t>Opción B: Ciencias (B.U.P.), Biosanitaria (C.O.U.)</w:t>
      </w:r>
    </w:p>
    <w:p w:rsidR="00000000" w:rsidRDefault="00000000">
      <w:pPr>
        <w:ind w:left="936" w:right="949"/>
        <w:rPr>
          <w:rFonts w:ascii="Arial" w:hAnsi="Arial"/>
          <w:snapToGrid w:val="0"/>
          <w:color w:val="000000"/>
          <w:sz w:val="18"/>
          <w:lang w:eastAsia="es-ES"/>
        </w:rPr>
      </w:pPr>
      <w:r>
        <w:rPr>
          <w:rFonts w:ascii="Arial" w:hAnsi="Arial"/>
          <w:snapToGrid w:val="0"/>
          <w:color w:val="000000"/>
          <w:sz w:val="18"/>
          <w:lang w:eastAsia="es-ES"/>
        </w:rPr>
        <w:t>Opción C: Ciencias Sociales (C.O.U.)</w:t>
      </w:r>
    </w:p>
    <w:p w:rsidR="00000000" w:rsidRDefault="00000000">
      <w:pPr>
        <w:ind w:left="936" w:right="949"/>
        <w:rPr>
          <w:rFonts w:ascii="Arial" w:hAnsi="Arial"/>
          <w:snapToGrid w:val="0"/>
          <w:color w:val="000000"/>
          <w:sz w:val="18"/>
          <w:lang w:eastAsia="es-ES"/>
        </w:rPr>
      </w:pPr>
      <w:r>
        <w:rPr>
          <w:rFonts w:ascii="Arial" w:hAnsi="Arial"/>
          <w:snapToGrid w:val="0"/>
          <w:color w:val="000000"/>
          <w:sz w:val="18"/>
          <w:lang w:eastAsia="es-ES"/>
        </w:rPr>
        <w:t>Opción D: Humanístico-Lingüistica (C.O.U.)</w:t>
      </w:r>
    </w:p>
    <w:p w:rsidR="00000000" w:rsidRDefault="00000000">
      <w:pPr>
        <w:ind w:left="936" w:right="949"/>
      </w:pPr>
      <w:r>
        <w:rPr>
          <w:rFonts w:ascii="Arial" w:hAnsi="Arial"/>
          <w:snapToGrid w:val="0"/>
          <w:color w:val="000000"/>
          <w:sz w:val="18"/>
          <w:lang w:eastAsia="es-ES"/>
        </w:rPr>
        <w:t>FUENTE: Elaboración propia a partir de datos de la Estadística de la Enseñanza en España. MEC</w:t>
      </w:r>
      <w:r>
        <w:t xml:space="preserve"> </w:t>
      </w:r>
    </w:p>
    <w:p w:rsidR="00000000" w:rsidRDefault="00000000"/>
    <w:p w:rsidR="00000000" w:rsidRDefault="00000000"/>
    <w:p w:rsidR="00000000" w:rsidRDefault="00000000">
      <w:pPr>
        <w:jc w:val="both"/>
        <w:rPr>
          <w:rFonts w:ascii="Arial" w:hAnsi="Arial"/>
        </w:rPr>
      </w:pPr>
      <w:r>
        <w:rPr>
          <w:rFonts w:ascii="Arial" w:hAnsi="Arial"/>
        </w:rPr>
        <w:t>De acuerdo con los datos presentados, parece evidente que las alumnas obtienen mejores resultados académicos que los alumnos en COU, puesto que las mujeres representan un porcentaje mayor entre quienes han aprobado el curso que entre las personas matriculadas, tanto en 1996-97, como en 1998-99. En 1996-97, las mujeres constituían el 53,74 de las personas matriculadas y el 56,33% de los aprobados y, en 1998-99, el 51,94% y el 55,56%, respectivamente.</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Cifras similares se dan en el sistema educativo regulado por la LOGSE.</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1134"/>
        <w:gridCol w:w="824"/>
        <w:gridCol w:w="593"/>
        <w:gridCol w:w="851"/>
        <w:gridCol w:w="567"/>
        <w:gridCol w:w="850"/>
        <w:gridCol w:w="709"/>
        <w:gridCol w:w="850"/>
        <w:gridCol w:w="567"/>
      </w:tblGrid>
      <w:tr w:rsidR="00000000">
        <w:tblPrEx>
          <w:tblCellMar>
            <w:top w:w="0" w:type="dxa"/>
            <w:bottom w:w="0" w:type="dxa"/>
          </w:tblCellMar>
        </w:tblPrEx>
        <w:trPr>
          <w:cantSplit/>
          <w:trHeight w:val="262"/>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2835"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Curso 1996-97</w:t>
            </w:r>
          </w:p>
        </w:tc>
        <w:tc>
          <w:tcPr>
            <w:tcW w:w="2976"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Curso 1998-1999</w:t>
            </w:r>
          </w:p>
        </w:tc>
      </w:tr>
      <w:tr w:rsidR="00000000">
        <w:tblPrEx>
          <w:tblCellMar>
            <w:top w:w="0" w:type="dxa"/>
            <w:bottom w:w="0" w:type="dxa"/>
          </w:tblCellMar>
        </w:tblPrEx>
        <w:trPr>
          <w:trHeight w:val="276"/>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1417"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Total Matriculado</w:t>
            </w:r>
          </w:p>
        </w:tc>
        <w:tc>
          <w:tcPr>
            <w:tcW w:w="1418"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Aprobado</w:t>
            </w:r>
          </w:p>
        </w:tc>
        <w:tc>
          <w:tcPr>
            <w:tcW w:w="1559" w:type="dxa"/>
            <w:gridSpan w:val="2"/>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Total Matriculado</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Aprobado</w:t>
            </w:r>
          </w:p>
        </w:tc>
        <w:tc>
          <w:tcPr>
            <w:tcW w:w="567"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2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59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r>
      <w:tr w:rsidR="00000000">
        <w:tblPrEx>
          <w:tblCellMar>
            <w:top w:w="0" w:type="dxa"/>
            <w:bottom w:w="0" w:type="dxa"/>
          </w:tblCellMar>
        </w:tblPrEx>
        <w:trPr>
          <w:trHeight w:val="262"/>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rPr>
                <w:rFonts w:ascii="MS Sans Serif" w:hAnsi="MS Sans Serif"/>
                <w:b/>
                <w:snapToGrid w:val="0"/>
                <w:color w:val="000000"/>
                <w:sz w:val="16"/>
                <w:lang w:eastAsia="es-ES"/>
              </w:rPr>
            </w:pPr>
            <w:r>
              <w:rPr>
                <w:rFonts w:ascii="MS Sans Serif" w:hAnsi="MS Sans Serif"/>
                <w:b/>
                <w:snapToGrid w:val="0"/>
                <w:color w:val="000000"/>
                <w:sz w:val="16"/>
                <w:lang w:eastAsia="es-ES"/>
              </w:rPr>
              <w:t>Ambos sexos</w:t>
            </w:r>
          </w:p>
        </w:tc>
        <w:tc>
          <w:tcPr>
            <w:tcW w:w="82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335.767</w:t>
            </w:r>
          </w:p>
        </w:tc>
        <w:tc>
          <w:tcPr>
            <w:tcW w:w="5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223.377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239.958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203.141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MS Sans Serif" w:hAnsi="MS Sans Serif"/>
                <w:b/>
                <w:snapToGrid w:val="0"/>
                <w:color w:val="000000"/>
                <w:sz w:val="16"/>
                <w:lang w:eastAsia="es-ES"/>
              </w:rPr>
            </w:pPr>
            <w:r>
              <w:rPr>
                <w:rFonts w:ascii="MS Sans Serif" w:hAnsi="MS Sans Serif"/>
                <w:b/>
                <w:snapToGrid w:val="0"/>
                <w:color w:val="000000"/>
                <w:sz w:val="16"/>
                <w:lang w:eastAsia="es-ES"/>
              </w:rPr>
              <w:t>100,00</w:t>
            </w:r>
          </w:p>
        </w:tc>
      </w:tr>
      <w:tr w:rsidR="00000000">
        <w:tblPrEx>
          <w:tblCellMar>
            <w:top w:w="0" w:type="dxa"/>
            <w:bottom w:w="0" w:type="dxa"/>
          </w:tblCellMar>
        </w:tblPrEx>
        <w:trPr>
          <w:trHeight w:val="262"/>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Mujeres</w:t>
            </w:r>
          </w:p>
        </w:tc>
        <w:tc>
          <w:tcPr>
            <w:tcW w:w="82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180.428</w:t>
            </w:r>
          </w:p>
        </w:tc>
        <w:tc>
          <w:tcPr>
            <w:tcW w:w="5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125.838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124.623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51,94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112.866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55,56</w:t>
            </w:r>
          </w:p>
        </w:tc>
      </w:tr>
      <w:tr w:rsidR="00000000">
        <w:tblPrEx>
          <w:tblCellMar>
            <w:top w:w="0" w:type="dxa"/>
            <w:bottom w:w="0" w:type="dxa"/>
          </w:tblCellMar>
        </w:tblPrEx>
        <w:trPr>
          <w:trHeight w:val="262"/>
          <w:jc w:val="center"/>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Hombres</w:t>
            </w:r>
          </w:p>
        </w:tc>
        <w:tc>
          <w:tcPr>
            <w:tcW w:w="82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155.339</w:t>
            </w:r>
          </w:p>
        </w:tc>
        <w:tc>
          <w:tcPr>
            <w:tcW w:w="5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46,26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97.539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43,67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115.335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48,06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90.275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44,44</w:t>
            </w:r>
          </w:p>
        </w:tc>
      </w:tr>
    </w:tbl>
    <w:p w:rsidR="00000000" w:rsidRDefault="00000000">
      <w:pPr>
        <w:jc w:val="both"/>
        <w:rPr>
          <w:rFonts w:ascii="Arial" w:hAnsi="Arial"/>
          <w:snapToGrid w:val="0"/>
          <w:color w:val="000000"/>
          <w:sz w:val="16"/>
          <w:lang w:eastAsia="es-ES"/>
        </w:rPr>
      </w:pPr>
    </w:p>
    <w:p w:rsidR="00000000" w:rsidRDefault="00000000">
      <w:pPr>
        <w:ind w:left="1458" w:right="1444"/>
        <w:jc w:val="both"/>
        <w:rPr>
          <w:rFonts w:ascii="Arial" w:hAnsi="Arial"/>
          <w:snapToGrid w:val="0"/>
          <w:color w:val="000000"/>
          <w:sz w:val="16"/>
          <w:lang w:eastAsia="es-ES"/>
        </w:rPr>
      </w:pPr>
      <w:r>
        <w:rPr>
          <w:rFonts w:ascii="Arial" w:hAnsi="Arial"/>
          <w:snapToGrid w:val="0"/>
          <w:color w:val="000000"/>
          <w:sz w:val="16"/>
          <w:lang w:eastAsia="es-ES"/>
        </w:rPr>
        <w:t>FUENTE: Elaboración propia a partir de datos de la Estadística de la Enseñanza en España. MEC</w:t>
      </w: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rPr>
      </w:pPr>
      <w:r>
        <w:rPr>
          <w:rFonts w:ascii="Arial" w:hAnsi="Arial"/>
        </w:rPr>
        <w:t xml:space="preserve">En cuanto a la </w:t>
      </w:r>
      <w:r>
        <w:rPr>
          <w:rFonts w:ascii="Arial" w:hAnsi="Arial"/>
          <w:b/>
        </w:rPr>
        <w:t>Formación Profesional (FP)</w:t>
      </w:r>
      <w:r>
        <w:rPr>
          <w:rFonts w:ascii="Arial" w:hAnsi="Arial"/>
        </w:rPr>
        <w:t>, nivel en el que también conviven los dos sistemas comentados, también presenta datos similares En términos generales, existe un equilibrio entre la proporción de hombres y mujeres tanto en ciclos formativos de grado medio (un 45% de mujeres en 1998-1999) como de grado superior (un 48.7% de mujeres en 1998-1999), lo que significa un avance, ya que tradicionalmente los estudios de formación profesional eran realizados mayoritariamente por hombres.</w:t>
      </w:r>
    </w:p>
    <w:p w:rsidR="00000000" w:rsidRDefault="00000000">
      <w:pPr>
        <w:jc w:val="both"/>
        <w:rPr>
          <w:rFonts w:ascii="Arial" w:hAnsi="Arial"/>
        </w:rPr>
      </w:pPr>
    </w:p>
    <w:p w:rsidR="00000000" w:rsidRDefault="00000000">
      <w:pPr>
        <w:pStyle w:val="BodyText2"/>
        <w:suppressAutoHyphens/>
        <w:ind w:right="0"/>
        <w:jc w:val="both"/>
        <w:rPr>
          <w:sz w:val="20"/>
        </w:rPr>
      </w:pPr>
      <w:r>
        <w:rPr>
          <w:sz w:val="20"/>
        </w:rPr>
        <w:t>Precisamente en este nivel educativo se pone de manifiesto que existen ramas claramente feminizadas y otras claramente masculinizadas. Esto indica que en la elección de profesión todavía pesan, en ocasiones, estereotipos culturales, y que es preciso seguir trabajando sobre este aspecto. Este es uno de los campos donde no se han producido suficientes progresos hacia una situación de mayor igualdad de oportunidades entre los s</w:t>
      </w:r>
      <w:r>
        <w:rPr>
          <w:sz w:val="20"/>
        </w:rPr>
        <w:t>e</w:t>
      </w:r>
      <w:r>
        <w:rPr>
          <w:sz w:val="20"/>
        </w:rPr>
        <w:t>xos.</w:t>
      </w:r>
    </w:p>
    <w:p w:rsidR="00000000" w:rsidRDefault="00000000">
      <w:pPr>
        <w:pStyle w:val="BodyText2"/>
        <w:suppressAutoHyphens/>
        <w:ind w:right="0"/>
        <w:jc w:val="both"/>
        <w:rPr>
          <w:sz w:val="20"/>
        </w:rPr>
      </w:pPr>
      <w:r>
        <w:rPr>
          <w:sz w:val="20"/>
        </w:rPr>
        <w:pict>
          <v:shape id="_x0000_s2063" type="#_x0000_t75" style="position:absolute;left:0;text-align:left;margin-left:278.2pt;margin-top:21.9pt;width:208.8pt;height:115.2pt;z-index:4;mso-position-horizontal:absolute;mso-position-horizontal-relative:text;mso-position-vertical:absolute;mso-position-vertical-relative:text" o:allowincell="f" filled="t" fillcolor="black" stroked="t">
            <v:imagedata r:id="rId21" o:title=""/>
            <w10:wrap type="topAndBottom"/>
          </v:shape>
          <o:OLEObject Type="Embed" ProgID="MSPhotoEd.3" ShapeID="_x0000_s2063" DrawAspect="Content" ObjectID="_1395237890" r:id="rId22"/>
        </w:pict>
      </w:r>
    </w:p>
    <w:p w:rsidR="00000000" w:rsidRDefault="00000000">
      <w:pPr>
        <w:pStyle w:val="BodyText2"/>
        <w:suppressAutoHyphens/>
        <w:ind w:right="0"/>
        <w:jc w:val="both"/>
        <w:rPr>
          <w:sz w:val="20"/>
        </w:rPr>
      </w:pPr>
    </w:p>
    <w:p w:rsidR="00000000" w:rsidRDefault="00000000">
      <w:pPr>
        <w:jc w:val="both"/>
        <w:rPr>
          <w:rFonts w:ascii="Arial" w:hAnsi="Arial"/>
        </w:rPr>
      </w:pPr>
      <w:r>
        <w:pict>
          <v:shape id="_x0000_s2064" type="#_x0000_t75" style="position:absolute;left:0;text-align:left;margin-left:22.4pt;margin-top:-126pt;width:208.8pt;height:115.2pt;z-index:5;mso-position-horizontal:absolute;mso-position-horizontal-relative:text;mso-position-vertical:absolute;mso-position-vertical-relative:text" o:allowincell="f" filled="t" fillcolor="black" stroked="t">
            <v:imagedata r:id="rId23" o:title=""/>
            <w10:wrap type="square"/>
          </v:shape>
          <o:OLEObject Type="Embed" ProgID="MSPhotoEd.3" ShapeID="_x0000_s2064" DrawAspect="Content" ObjectID="_1395237891" r:id="rId24"/>
        </w:pict>
      </w:r>
    </w:p>
    <w:p w:rsidR="00000000" w:rsidRDefault="00000000">
      <w:pPr>
        <w:jc w:val="both"/>
        <w:rPr>
          <w:rFonts w:ascii="Arial" w:hAnsi="Arial"/>
        </w:rPr>
      </w:pPr>
    </w:p>
    <w:p w:rsidR="00000000" w:rsidRDefault="00000000">
      <w:pPr>
        <w:jc w:val="center"/>
        <w:rPr>
          <w:rFonts w:ascii="Arial" w:hAnsi="Arial"/>
          <w:b/>
        </w:rPr>
      </w:pPr>
      <w:r>
        <w:rPr>
          <w:rFonts w:ascii="Arial" w:hAnsi="Arial"/>
        </w:rPr>
        <w:br w:type="page"/>
      </w:r>
      <w:r>
        <w:rPr>
          <w:rFonts w:ascii="Arial" w:hAnsi="Arial"/>
          <w:b/>
        </w:rPr>
        <w:t>Alumnado matriculado por rama y sexo (LGE)</w:t>
      </w:r>
    </w:p>
    <w:p w:rsidR="00000000" w:rsidRDefault="00000000">
      <w:pPr>
        <w:jc w:val="center"/>
        <w:rPr>
          <w:rFonts w:ascii="Arial" w:hAnsi="Arial"/>
          <w:b/>
        </w:rPr>
      </w:pPr>
    </w:p>
    <w:tbl>
      <w:tblPr>
        <w:tblW w:w="0" w:type="auto"/>
        <w:jc w:val="center"/>
        <w:tblLayout w:type="fixed"/>
        <w:tblCellMar>
          <w:left w:w="30" w:type="dxa"/>
          <w:right w:w="30" w:type="dxa"/>
        </w:tblCellMar>
        <w:tblLook w:val="0000" w:firstRow="0" w:lastRow="0" w:firstColumn="0" w:lastColumn="0" w:noHBand="0" w:noVBand="0"/>
      </w:tblPr>
      <w:tblGrid>
        <w:gridCol w:w="1984"/>
        <w:gridCol w:w="851"/>
        <w:gridCol w:w="850"/>
        <w:gridCol w:w="851"/>
        <w:gridCol w:w="851"/>
        <w:gridCol w:w="708"/>
        <w:gridCol w:w="709"/>
        <w:gridCol w:w="850"/>
        <w:gridCol w:w="993"/>
      </w:tblGrid>
      <w:tr w:rsidR="00000000">
        <w:tblPrEx>
          <w:tblCellMar>
            <w:top w:w="0" w:type="dxa"/>
            <w:bottom w:w="0" w:type="dxa"/>
          </w:tblCellMar>
        </w:tblPrEx>
        <w:trPr>
          <w:cantSplit/>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b/>
                <w:i/>
                <w:snapToGrid w:val="0"/>
                <w:color w:val="000000"/>
                <w:sz w:val="16"/>
                <w:lang w:eastAsia="es-ES"/>
              </w:rPr>
            </w:pPr>
          </w:p>
        </w:tc>
        <w:tc>
          <w:tcPr>
            <w:tcW w:w="3403"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1996-97</w:t>
            </w:r>
          </w:p>
        </w:tc>
        <w:tc>
          <w:tcPr>
            <w:tcW w:w="3260"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1998-99</w:t>
            </w:r>
          </w:p>
        </w:tc>
      </w:tr>
      <w:tr w:rsidR="00000000">
        <w:tblPrEx>
          <w:tblCellMar>
            <w:top w:w="0" w:type="dxa"/>
            <w:bottom w:w="0" w:type="dxa"/>
          </w:tblCellMar>
        </w:tblPrEx>
        <w:trPr>
          <w:trHeight w:val="276"/>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A. Sexos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Mujeres</w:t>
            </w:r>
          </w:p>
        </w:tc>
        <w:tc>
          <w:tcPr>
            <w:tcW w:w="708"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A.Sexos</w:t>
            </w: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993"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Mujeres</w:t>
            </w:r>
          </w:p>
        </w:tc>
      </w:tr>
      <w:tr w:rsidR="00000000">
        <w:tblPrEx>
          <w:tblCellMar>
            <w:top w:w="0" w:type="dxa"/>
            <w:bottom w:w="0" w:type="dxa"/>
          </w:tblCellMar>
        </w:tblPrEx>
        <w:trPr>
          <w:trHeight w:val="276"/>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708"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993"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6"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Total General *</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592.233</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277.849</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314.384</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46,92</w:t>
            </w:r>
          </w:p>
        </w:tc>
        <w:tc>
          <w:tcPr>
            <w:tcW w:w="708"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290.441</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137.506</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152.935</w:t>
            </w:r>
          </w:p>
        </w:tc>
        <w:tc>
          <w:tcPr>
            <w:tcW w:w="99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47,34</w:t>
            </w:r>
          </w:p>
        </w:tc>
      </w:tr>
      <w:tr w:rsidR="00000000">
        <w:tblPrEx>
          <w:tblCellMar>
            <w:top w:w="0" w:type="dxa"/>
            <w:bottom w:w="0" w:type="dxa"/>
          </w:tblCellMar>
        </w:tblPrEx>
        <w:trPr>
          <w:trHeight w:val="262"/>
          <w:jc w:val="center"/>
        </w:trPr>
        <w:tc>
          <w:tcPr>
            <w:tcW w:w="1984"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99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Administrativa y Comercial</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242.222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157.233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84.989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64,91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116.848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72.012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44.836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61,63</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Agraria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8.531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6.783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20,49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3.444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24,01</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Artes Gráficas</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1.302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33,99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1.708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34,37</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Automoción</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36.174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35.828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0,96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16.448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15.511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5,70</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Construcción y Obras</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13,18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726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11,25</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Delineación</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26.943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19.000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29,48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13.718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9.586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30,12</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Eléctrica y Electrónica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110.102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1.917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108.185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51.187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3.343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47.844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6,53</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Servicios a la comunidad (Hogar)</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22.218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21.906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98,60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13.482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12.490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992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92,64</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Hostelería y Turismo</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14.152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6.190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7.962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43,74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8.677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4.273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4.404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49,25</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Imagen y Sonido</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6.813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2.291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33,63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2.553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31,09</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Madera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3.432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1.441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5,38</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Marítimo-Pesquera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1.641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1.327</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6,94</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Metal</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22.147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21.572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9.989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5,65</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Minera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Moda y Confección </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1.973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1.934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98,02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95,94</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Peluquería y Estética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18.402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17.827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96,88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8.329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7.427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89,17</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Piel</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16,00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23,53</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Química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5.887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3.313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56,28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1.404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52,08</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Sanitaria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62.026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51.971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10.055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83,79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33.387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26.763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6.624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80,16</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Textil</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56,25</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65,52</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Vidrio y Cerámica</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37,43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48,42</w:t>
            </w:r>
          </w:p>
        </w:tc>
      </w:tr>
      <w:tr w:rsidR="00000000">
        <w:tblPrEx>
          <w:tblCellMar>
            <w:top w:w="0" w:type="dxa"/>
            <w:bottom w:w="0" w:type="dxa"/>
          </w:tblCellMar>
        </w:tblPrEx>
        <w:trPr>
          <w:trHeight w:val="262"/>
          <w:jc w:val="center"/>
        </w:trPr>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No Consta *</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3.634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2.841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21,82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w:t>
            </w:r>
          </w:p>
        </w:tc>
      </w:tr>
    </w:tbl>
    <w:p w:rsidR="00000000" w:rsidRDefault="00000000">
      <w:pPr>
        <w:jc w:val="both"/>
        <w:rPr>
          <w:rFonts w:ascii="Arial" w:hAnsi="Arial"/>
          <w:snapToGrid w:val="0"/>
          <w:color w:val="000000"/>
          <w:sz w:val="16"/>
          <w:lang w:eastAsia="es-ES"/>
        </w:rPr>
      </w:pPr>
    </w:p>
    <w:p w:rsidR="00000000" w:rsidRDefault="00000000">
      <w:pPr>
        <w:ind w:left="612"/>
        <w:jc w:val="both"/>
        <w:rPr>
          <w:rFonts w:ascii="Arial" w:hAnsi="Arial"/>
        </w:rPr>
      </w:pPr>
      <w:r>
        <w:rPr>
          <w:rFonts w:ascii="Arial" w:hAnsi="Arial"/>
          <w:snapToGrid w:val="0"/>
          <w:color w:val="000000"/>
          <w:sz w:val="16"/>
          <w:lang w:eastAsia="es-ES"/>
        </w:rPr>
        <w:t>* Incluye todo el alumnado que cursa Formación Profesional Interprofesional.</w:t>
      </w:r>
    </w:p>
    <w:p w:rsidR="00000000" w:rsidRDefault="00000000">
      <w:pPr>
        <w:pStyle w:val="BodyText2"/>
        <w:ind w:left="612" w:right="0"/>
        <w:jc w:val="both"/>
        <w:rPr>
          <w:snapToGrid w:val="0"/>
          <w:color w:val="000000"/>
          <w:sz w:val="16"/>
          <w:lang w:val="es-ES" w:eastAsia="es-ES"/>
        </w:rPr>
      </w:pPr>
      <w:r>
        <w:rPr>
          <w:snapToGrid w:val="0"/>
          <w:color w:val="000000"/>
          <w:sz w:val="16"/>
          <w:lang w:val="es-ES" w:eastAsia="es-ES"/>
        </w:rPr>
        <w:t xml:space="preserve">Nota: El alumnado puede estar inscrito en más de una especialidad en cada curso. </w:t>
      </w:r>
    </w:p>
    <w:p w:rsidR="00000000" w:rsidRDefault="00000000">
      <w:pPr>
        <w:pStyle w:val="BodyText2"/>
        <w:ind w:left="612" w:right="0"/>
        <w:jc w:val="both"/>
        <w:rPr>
          <w:snapToGrid w:val="0"/>
          <w:color w:val="000000"/>
          <w:sz w:val="16"/>
          <w:lang w:val="es-ES" w:eastAsia="es-ES"/>
        </w:rPr>
      </w:pPr>
      <w:r>
        <w:rPr>
          <w:snapToGrid w:val="0"/>
          <w:color w:val="000000"/>
          <w:sz w:val="16"/>
          <w:lang w:val="es-ES" w:eastAsia="es-ES"/>
        </w:rPr>
        <w:t>FUENTE: Elaboración propia a partir de datos de la Estadística de la Enseñanza en España. MEC</w:t>
      </w:r>
    </w:p>
    <w:p w:rsidR="00000000" w:rsidRDefault="00000000">
      <w:pPr>
        <w:rPr>
          <w:b/>
        </w:rPr>
      </w:pPr>
    </w:p>
    <w:p w:rsidR="00000000" w:rsidRDefault="00000000">
      <w:pPr>
        <w:jc w:val="both"/>
        <w:rPr>
          <w:rFonts w:ascii="Arial" w:hAnsi="Arial"/>
          <w:b/>
        </w:rPr>
      </w:pPr>
    </w:p>
    <w:p w:rsidR="00000000" w:rsidRDefault="00000000">
      <w:pPr>
        <w:jc w:val="both"/>
        <w:rPr>
          <w:rFonts w:ascii="Arial" w:hAnsi="Arial"/>
          <w:b/>
        </w:rPr>
      </w:pPr>
    </w:p>
    <w:p w:rsidR="00000000" w:rsidRDefault="00000000">
      <w:pPr>
        <w:jc w:val="both"/>
        <w:rPr>
          <w:rFonts w:ascii="Arial" w:hAnsi="Arial"/>
        </w:rPr>
      </w:pPr>
      <w:r>
        <w:rPr>
          <w:rFonts w:ascii="Arial" w:hAnsi="Arial"/>
        </w:rPr>
        <w:t>De acuerdo con los datos, el fenómeno comentado al hablar de BUP y COU, según el cual las alumnas obtienen mejores resultados académicos que los alumnos, se confirma, también, en la enseñanza de Formación Profesional, tanto en la Formación Profesional de la LGE, como en la de la LOGSE. En esta última destaca que el 54,11% de mujeres finalizan los estudios de grado superior y el 50,91% los de grado medio.</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center"/>
        <w:rPr>
          <w:rFonts w:ascii="Arial" w:hAnsi="Arial"/>
          <w:b/>
          <w:sz w:val="16"/>
        </w:rPr>
      </w:pPr>
      <w:r>
        <w:rPr>
          <w:rFonts w:ascii="Arial" w:hAnsi="Arial"/>
          <w:b/>
          <w:sz w:val="16"/>
        </w:rPr>
        <w:t xml:space="preserve">Alumnado matriculado en FP y que terminó en curso anterior </w:t>
      </w:r>
    </w:p>
    <w:p w:rsidR="00000000" w:rsidRDefault="00000000">
      <w:pPr>
        <w:jc w:val="center"/>
        <w:rPr>
          <w:rFonts w:ascii="Arial" w:hAnsi="Arial"/>
          <w:b/>
          <w:sz w:val="16"/>
        </w:rPr>
      </w:pPr>
    </w:p>
    <w:tbl>
      <w:tblPr>
        <w:tblW w:w="0" w:type="auto"/>
        <w:jc w:val="center"/>
        <w:tblLayout w:type="fixed"/>
        <w:tblCellMar>
          <w:left w:w="30" w:type="dxa"/>
          <w:right w:w="30" w:type="dxa"/>
        </w:tblCellMar>
        <w:tblLook w:val="0000" w:firstRow="0" w:lastRow="0" w:firstColumn="0" w:lastColumn="0" w:noHBand="0" w:noVBand="0"/>
      </w:tblPr>
      <w:tblGrid>
        <w:gridCol w:w="2126"/>
        <w:gridCol w:w="993"/>
        <w:gridCol w:w="708"/>
        <w:gridCol w:w="851"/>
        <w:gridCol w:w="850"/>
        <w:gridCol w:w="851"/>
        <w:gridCol w:w="567"/>
        <w:gridCol w:w="709"/>
        <w:gridCol w:w="708"/>
      </w:tblGrid>
      <w:tr w:rsidR="00000000">
        <w:tblPrEx>
          <w:tblCellMar>
            <w:top w:w="0" w:type="dxa"/>
            <w:bottom w:w="0" w:type="dxa"/>
          </w:tblCellMar>
        </w:tblPrEx>
        <w:trPr>
          <w:cantSplit/>
          <w:trHeight w:val="276"/>
          <w:jc w:val="center"/>
        </w:trPr>
        <w:tc>
          <w:tcPr>
            <w:tcW w:w="2126" w:type="dxa"/>
            <w:tcBorders>
              <w:top w:val="single" w:sz="2" w:space="0" w:color="000000"/>
              <w:left w:val="single" w:sz="2" w:space="0" w:color="000000"/>
              <w:bottom w:val="single" w:sz="12" w:space="0" w:color="auto"/>
              <w:right w:val="single" w:sz="2" w:space="0" w:color="000000"/>
            </w:tcBorders>
          </w:tcPr>
          <w:p w:rsidR="00000000" w:rsidRDefault="00000000">
            <w:pPr>
              <w:jc w:val="right"/>
              <w:rPr>
                <w:rFonts w:ascii="Arial" w:hAnsi="Arial"/>
                <w:snapToGrid w:val="0"/>
                <w:color w:val="000000"/>
                <w:sz w:val="16"/>
                <w:lang w:eastAsia="es-ES"/>
              </w:rPr>
            </w:pPr>
          </w:p>
        </w:tc>
        <w:tc>
          <w:tcPr>
            <w:tcW w:w="3402" w:type="dxa"/>
            <w:gridSpan w:val="4"/>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CURSO 1996-97</w:t>
            </w:r>
          </w:p>
        </w:tc>
        <w:tc>
          <w:tcPr>
            <w:tcW w:w="2835" w:type="dxa"/>
            <w:gridSpan w:val="4"/>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CURSO 1998-1999</w:t>
            </w:r>
          </w:p>
        </w:tc>
      </w:tr>
      <w:tr w:rsidR="00000000">
        <w:tblPrEx>
          <w:tblCellMar>
            <w:top w:w="0" w:type="dxa"/>
            <w:bottom w:w="0" w:type="dxa"/>
          </w:tblCellMar>
        </w:tblPrEx>
        <w:trPr>
          <w:cantSplit/>
          <w:trHeight w:val="276"/>
          <w:jc w:val="center"/>
        </w:trPr>
        <w:tc>
          <w:tcPr>
            <w:tcW w:w="2126" w:type="dxa"/>
            <w:tcBorders>
              <w:top w:val="single" w:sz="12" w:space="0" w:color="auto"/>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 xml:space="preserve"> </w:t>
            </w:r>
          </w:p>
        </w:tc>
        <w:tc>
          <w:tcPr>
            <w:tcW w:w="1701" w:type="dxa"/>
            <w:gridSpan w:val="2"/>
            <w:tcBorders>
              <w:top w:val="single" w:sz="12"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851" w:type="dxa"/>
            <w:tcBorders>
              <w:top w:val="single" w:sz="12" w:space="0" w:color="auto"/>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12" w:space="0" w:color="auto"/>
              <w:left w:val="single" w:sz="2" w:space="0" w:color="000000"/>
              <w:bottom w:val="double" w:sz="6" w:space="0" w:color="auto"/>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1418" w:type="dxa"/>
            <w:gridSpan w:val="2"/>
            <w:tcBorders>
              <w:top w:val="single" w:sz="12" w:space="0" w:color="auto"/>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709" w:type="dxa"/>
            <w:tcBorders>
              <w:top w:val="single" w:sz="12" w:space="0" w:color="auto"/>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08" w:type="dxa"/>
            <w:tcBorders>
              <w:top w:val="single" w:sz="12" w:space="0" w:color="auto"/>
              <w:left w:val="single" w:sz="2" w:space="0" w:color="000000"/>
              <w:bottom w:val="double" w:sz="6" w:space="0" w:color="auto"/>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r>
      <w:tr w:rsidR="00000000">
        <w:tblPrEx>
          <w:tblCellMar>
            <w:top w:w="0" w:type="dxa"/>
            <w:bottom w:w="0" w:type="dxa"/>
          </w:tblCellMar>
        </w:tblPrEx>
        <w:trPr>
          <w:cantSplit/>
          <w:trHeight w:val="276"/>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708"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851" w:type="dxa"/>
            <w:tcBorders>
              <w:top w:val="double" w:sz="6" w:space="0" w:color="auto"/>
              <w:left w:val="single" w:sz="2" w:space="0" w:color="000000"/>
              <w:bottom w:val="nil"/>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Absolutos</w:t>
            </w: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double" w:sz="6" w:space="0" w:color="auto"/>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L.G.E</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nil"/>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val="en-US" w:eastAsia="es-ES"/>
              </w:rPr>
            </w:pPr>
            <w:r>
              <w:rPr>
                <w:rFonts w:ascii="Arial" w:hAnsi="Arial"/>
                <w:snapToGrid w:val="0"/>
                <w:color w:val="000000"/>
                <w:sz w:val="16"/>
                <w:lang w:eastAsia="es-ES"/>
              </w:rPr>
              <w:t xml:space="preserve">  </w:t>
            </w:r>
            <w:r>
              <w:rPr>
                <w:rFonts w:ascii="Arial" w:hAnsi="Arial"/>
                <w:snapToGrid w:val="0"/>
                <w:color w:val="000000"/>
                <w:sz w:val="16"/>
                <w:lang w:val="en-US" w:eastAsia="es-ES"/>
              </w:rPr>
              <w:t>F.P. I</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232.113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44,50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103.291</w:t>
            </w: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128.822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69.540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46,09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32.048</w:t>
            </w: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37.492</w:t>
            </w: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val="en-US" w:eastAsia="es-ES"/>
              </w:rPr>
            </w:pPr>
            <w:r>
              <w:rPr>
                <w:rFonts w:ascii="Arial" w:hAnsi="Arial"/>
                <w:snapToGrid w:val="0"/>
                <w:color w:val="000000"/>
                <w:sz w:val="16"/>
                <w:lang w:val="en-US" w:eastAsia="es-ES"/>
              </w:rPr>
              <w:t xml:space="preserve">  F.P. II</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359.530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48,43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174.126</w:t>
            </w: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185.404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225.083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48,41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108.958</w:t>
            </w: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r>
              <w:rPr>
                <w:rFonts w:ascii="Arial" w:hAnsi="Arial"/>
                <w:snapToGrid w:val="0"/>
                <w:color w:val="000000"/>
                <w:sz w:val="16"/>
                <w:lang w:val="en-US" w:eastAsia="es-ES"/>
              </w:rPr>
              <w:t>116.125</w:t>
            </w: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val="en-US" w:eastAsia="es-ES"/>
              </w:rPr>
            </w:pPr>
            <w:r>
              <w:rPr>
                <w:rFonts w:ascii="Arial" w:hAnsi="Arial"/>
                <w:snapToGrid w:val="0"/>
                <w:color w:val="000000"/>
                <w:sz w:val="16"/>
                <w:lang w:val="en-US" w:eastAsia="es-ES"/>
              </w:rPr>
              <w:t>L.O.G.S.E.</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val="en-US" w:eastAsia="es-ES"/>
              </w:rPr>
            </w:pP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val="en-US" w:eastAsia="es-ES"/>
              </w:rPr>
            </w:pP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Módulos Profesionales II*</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48.812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44,21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21.581</w:t>
            </w: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27.231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119.809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44,36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53.152</w:t>
            </w: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66.657</w:t>
            </w: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Módulos Profesionales III*</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55.200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28.178</w:t>
            </w: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27.022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111.276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55.170</w:t>
            </w: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56.106</w:t>
            </w:r>
          </w:p>
        </w:tc>
      </w:tr>
      <w:tr w:rsidR="00000000">
        <w:tblPrEx>
          <w:tblCellMar>
            <w:top w:w="0" w:type="dxa"/>
            <w:bottom w:w="0" w:type="dxa"/>
          </w:tblCellMar>
        </w:tblPrEx>
        <w:trPr>
          <w:cantSplit/>
          <w:trHeight w:val="262"/>
          <w:jc w:val="center"/>
        </w:trPr>
        <w:tc>
          <w:tcPr>
            <w:tcW w:w="2126" w:type="dxa"/>
            <w:tcBorders>
              <w:top w:val="single" w:sz="2" w:space="0" w:color="000000"/>
              <w:left w:val="single" w:sz="12" w:space="0" w:color="auto"/>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2" w:space="0" w:color="000000"/>
              <w:left w:val="single" w:sz="2" w:space="0" w:color="000000"/>
              <w:bottom w:val="single" w:sz="2" w:space="0" w:color="000000"/>
              <w:right w:val="single" w:sz="12" w:space="0" w:color="auto"/>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cantSplit/>
          <w:trHeight w:val="276"/>
          <w:jc w:val="center"/>
        </w:trPr>
        <w:tc>
          <w:tcPr>
            <w:tcW w:w="2126" w:type="dxa"/>
            <w:tcBorders>
              <w:top w:val="single" w:sz="2" w:space="0" w:color="000000"/>
              <w:left w:val="single" w:sz="12" w:space="0" w:color="auto"/>
              <w:bottom w:val="single" w:sz="12"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TOTAL FP</w:t>
            </w:r>
          </w:p>
        </w:tc>
        <w:tc>
          <w:tcPr>
            <w:tcW w:w="993"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695.655</w:t>
            </w:r>
          </w:p>
        </w:tc>
        <w:tc>
          <w:tcPr>
            <w:tcW w:w="708"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47,03</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327,176</w:t>
            </w:r>
          </w:p>
        </w:tc>
        <w:tc>
          <w:tcPr>
            <w:tcW w:w="850" w:type="dxa"/>
            <w:tcBorders>
              <w:top w:val="single" w:sz="2" w:space="0" w:color="000000"/>
              <w:left w:val="single" w:sz="2" w:space="0" w:color="000000"/>
              <w:bottom w:val="single" w:sz="12" w:space="0" w:color="auto"/>
              <w:right w:val="single" w:sz="12"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368.479</w:t>
            </w: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525.708</w:t>
            </w:r>
          </w:p>
        </w:tc>
        <w:tc>
          <w:tcPr>
            <w:tcW w:w="567"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52,57</w:t>
            </w:r>
          </w:p>
        </w:tc>
        <w:tc>
          <w:tcPr>
            <w:tcW w:w="709"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249.328</w:t>
            </w:r>
          </w:p>
        </w:tc>
        <w:tc>
          <w:tcPr>
            <w:tcW w:w="708" w:type="dxa"/>
            <w:tcBorders>
              <w:top w:val="single" w:sz="2" w:space="0" w:color="000000"/>
              <w:left w:val="single" w:sz="2" w:space="0" w:color="000000"/>
              <w:bottom w:val="single" w:sz="12" w:space="0" w:color="auto"/>
              <w:right w:val="single" w:sz="12"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276.380</w:t>
            </w:r>
          </w:p>
        </w:tc>
      </w:tr>
    </w:tbl>
    <w:p w:rsidR="00000000" w:rsidRDefault="00000000">
      <w:pPr>
        <w:pStyle w:val="BodyText2"/>
        <w:tabs>
          <w:tab w:val="clear" w:pos="7230"/>
          <w:tab w:val="clear" w:pos="9070"/>
        </w:tabs>
        <w:ind w:right="0"/>
        <w:jc w:val="both"/>
        <w:rPr>
          <w:snapToGrid w:val="0"/>
          <w:color w:val="000000"/>
          <w:sz w:val="16"/>
          <w:lang w:val="es-ES" w:eastAsia="es-ES"/>
        </w:rPr>
      </w:pPr>
    </w:p>
    <w:p w:rsidR="00000000" w:rsidRDefault="00000000">
      <w:pPr>
        <w:pStyle w:val="BodyText2"/>
        <w:tabs>
          <w:tab w:val="clear" w:pos="7230"/>
          <w:tab w:val="clear" w:pos="9070"/>
        </w:tabs>
        <w:ind w:left="747" w:right="0"/>
        <w:jc w:val="both"/>
        <w:rPr>
          <w:snapToGrid w:val="0"/>
          <w:color w:val="000000"/>
          <w:sz w:val="16"/>
          <w:lang w:val="es-ES" w:eastAsia="es-ES"/>
        </w:rPr>
      </w:pPr>
      <w:r>
        <w:rPr>
          <w:snapToGrid w:val="0"/>
          <w:color w:val="000000"/>
          <w:sz w:val="16"/>
          <w:lang w:val="es-ES" w:eastAsia="es-ES"/>
        </w:rPr>
        <w:t>*Incluye la modalidad a distancia</w:t>
      </w:r>
    </w:p>
    <w:p w:rsidR="00000000" w:rsidRDefault="00000000">
      <w:pPr>
        <w:pStyle w:val="BodyText2"/>
        <w:tabs>
          <w:tab w:val="clear" w:pos="7230"/>
          <w:tab w:val="clear" w:pos="9070"/>
        </w:tabs>
        <w:ind w:left="747" w:right="0"/>
        <w:jc w:val="both"/>
        <w:rPr>
          <w:snapToGrid w:val="0"/>
          <w:color w:val="000000"/>
          <w:sz w:val="17"/>
          <w:lang w:val="es-ES" w:eastAsia="es-ES"/>
        </w:rPr>
      </w:pPr>
      <w:r>
        <w:rPr>
          <w:snapToGrid w:val="0"/>
          <w:color w:val="000000"/>
          <w:sz w:val="16"/>
          <w:lang w:val="es-ES" w:eastAsia="es-ES"/>
        </w:rPr>
        <w:t>FUENTE: Elaboración propia a partir de datos de la Estadística de Enseñanza en España. MEC</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alumnado universitario</w:t>
      </w:r>
      <w:r>
        <w:rPr>
          <w:rFonts w:ascii="Arial" w:hAnsi="Arial"/>
        </w:rPr>
        <w:t xml:space="preserve"> ha aumentado, desde el curso 1996-97 al 1998-99, en un 2,85%, pasándose de una cifra global de 1.536.409 matrículas a otra de 1.580.158. El aumento ha sido mayor en el caso de las mujeres, ya que, en 1996-97, constituían el 52,92% del alumnado y, en 1998-99, el 53,29%.</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al alumnado universitario matriculado por áreas, se observa que la presencia de las mujeres sigue siendo minoritaria en las carreras técnicas, aunque ha tenido lugar cierto crecimiento. En cuatro de las cinco áreas en que se agrupan las carreras universitarias, ha habido un crecimiento de la presencia femenina respecto de la masculina. Sólo en el caso de las Humanidades ha habido una leve disminución porcentual. Las dos con mayor crecimiento han sido, por este orden, las carreras técnicas y las de Ciencias Experimentales.</w:t>
      </w:r>
    </w:p>
    <w:p w:rsidR="00000000" w:rsidRDefault="00000000">
      <w:pPr>
        <w:pStyle w:val="BodyText2"/>
        <w:tabs>
          <w:tab w:val="clear" w:pos="7230"/>
          <w:tab w:val="clear" w:pos="9070"/>
        </w:tabs>
        <w:ind w:right="0"/>
        <w:jc w:val="both"/>
      </w:pPr>
    </w:p>
    <w:p w:rsidR="00000000" w:rsidRDefault="00000000">
      <w:pPr>
        <w:pStyle w:val="BodyText2"/>
        <w:tabs>
          <w:tab w:val="clear" w:pos="7230"/>
          <w:tab w:val="clear" w:pos="9070"/>
        </w:tabs>
        <w:ind w:right="0"/>
        <w:jc w:val="center"/>
        <w:rPr>
          <w:b/>
        </w:rPr>
      </w:pPr>
      <w:r>
        <w:rPr>
          <w:b/>
        </w:rPr>
        <w:t>Alumnado universitario matriculado,</w:t>
      </w:r>
      <w:r>
        <w:rPr>
          <w:b/>
          <w:snapToGrid w:val="0"/>
          <w:color w:val="000000"/>
          <w:lang w:val="es-ES" w:eastAsia="es-ES"/>
        </w:rPr>
        <w:t xml:space="preserve"> según sexo y área de conocimiento</w:t>
      </w:r>
    </w:p>
    <w:p w:rsidR="00000000" w:rsidRDefault="00000000">
      <w:pPr>
        <w:pStyle w:val="BodyText2"/>
        <w:tabs>
          <w:tab w:val="clear" w:pos="7230"/>
          <w:tab w:val="clear" w:pos="9070"/>
        </w:tabs>
        <w:ind w:right="0"/>
        <w:jc w:val="both"/>
        <w:rPr>
          <w:sz w:val="18"/>
        </w:rPr>
      </w:pPr>
    </w:p>
    <w:tbl>
      <w:tblPr>
        <w:tblW w:w="0" w:type="auto"/>
        <w:jc w:val="center"/>
        <w:tblLayout w:type="fixed"/>
        <w:tblCellMar>
          <w:left w:w="30" w:type="dxa"/>
          <w:right w:w="30" w:type="dxa"/>
        </w:tblCellMar>
        <w:tblLook w:val="0000" w:firstRow="0" w:lastRow="0" w:firstColumn="0" w:lastColumn="0" w:noHBand="0" w:noVBand="0"/>
      </w:tblPr>
      <w:tblGrid>
        <w:gridCol w:w="1276"/>
        <w:gridCol w:w="992"/>
        <w:gridCol w:w="851"/>
        <w:gridCol w:w="850"/>
        <w:gridCol w:w="851"/>
        <w:gridCol w:w="850"/>
        <w:gridCol w:w="709"/>
        <w:gridCol w:w="851"/>
        <w:gridCol w:w="1275"/>
      </w:tblGrid>
      <w:tr w:rsidR="00000000">
        <w:tblPrEx>
          <w:tblCellMar>
            <w:top w:w="0" w:type="dxa"/>
            <w:bottom w:w="0" w:type="dxa"/>
          </w:tblCellMar>
        </w:tblPrEx>
        <w:trPr>
          <w:cantSplit/>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3544"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1996-97</w:t>
            </w:r>
          </w:p>
        </w:tc>
        <w:tc>
          <w:tcPr>
            <w:tcW w:w="3685"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1998-99</w:t>
            </w:r>
          </w:p>
        </w:tc>
      </w:tr>
      <w:tr w:rsidR="00000000">
        <w:tblPrEx>
          <w:tblCellMar>
            <w:top w:w="0" w:type="dxa"/>
            <w:bottom w:w="0" w:type="dxa"/>
          </w:tblCellMar>
        </w:tblPrEx>
        <w:trPr>
          <w:trHeight w:val="276"/>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992"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1275"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r>
      <w:tr w:rsidR="00000000">
        <w:tblPrEx>
          <w:tblCellMar>
            <w:top w:w="0" w:type="dxa"/>
            <w:bottom w:w="0" w:type="dxa"/>
          </w:tblCellMar>
        </w:tblPrEx>
        <w:trPr>
          <w:trHeight w:val="276"/>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992"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275"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6"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Todas las titulaciones</w:t>
            </w:r>
          </w:p>
        </w:tc>
        <w:tc>
          <w:tcPr>
            <w:tcW w:w="992"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1.536.409</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813.066</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723.343</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52,92</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1.580.158</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842.052</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738.106</w:t>
            </w:r>
          </w:p>
        </w:tc>
        <w:tc>
          <w:tcPr>
            <w:tcW w:w="127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53,29</w:t>
            </w:r>
          </w:p>
        </w:tc>
      </w:tr>
      <w:tr w:rsidR="00000000">
        <w:tblPrEx>
          <w:tblCellMar>
            <w:top w:w="0" w:type="dxa"/>
            <w:bottom w:w="0" w:type="dxa"/>
          </w:tblCellMar>
        </w:tblPrEx>
        <w:trPr>
          <w:trHeight w:val="262"/>
          <w:jc w:val="center"/>
        </w:trPr>
        <w:tc>
          <w:tcPr>
            <w:tcW w:w="1276"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992"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127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Humanidades</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152.003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98.378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53.625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161.487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102.649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58.838</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63,56</w:t>
            </w: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CC. Sociales y Jurídicas</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800.565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480.927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319.638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60,07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801.400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487.690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313.710</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60,85</w:t>
            </w: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CC. Experimentales</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126.477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66.149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60.328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129.844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70.370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59.474</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54,20</w:t>
            </w: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CC. de la Salud</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113.600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79.946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33.654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70,38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118.159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84.323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33.836</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71,36</w:t>
            </w:r>
          </w:p>
        </w:tc>
      </w:tr>
      <w:tr w:rsidR="00000000">
        <w:tblPrEx>
          <w:tblCellMar>
            <w:top w:w="0" w:type="dxa"/>
            <w:bottom w:w="0" w:type="dxa"/>
          </w:tblCellMar>
        </w:tblPrEx>
        <w:trPr>
          <w:trHeight w:val="262"/>
          <w:jc w:val="center"/>
        </w:trPr>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Técnicas</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343.764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87.666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256.098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25,50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369.268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97.020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272.248</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26,27</w:t>
            </w:r>
          </w:p>
        </w:tc>
      </w:tr>
      <w:tr w:rsidR="00000000">
        <w:tblPrEx>
          <w:tblCellMar>
            <w:top w:w="0" w:type="dxa"/>
            <w:bottom w:w="0" w:type="dxa"/>
          </w:tblCellMar>
        </w:tblPrEx>
        <w:trPr>
          <w:trHeight w:val="276"/>
          <w:jc w:val="center"/>
        </w:trPr>
        <w:tc>
          <w:tcPr>
            <w:tcW w:w="1276" w:type="dxa"/>
            <w:tcBorders>
              <w:top w:val="single" w:sz="2" w:space="0" w:color="000000"/>
              <w:left w:val="single" w:sz="2" w:space="0" w:color="000000"/>
              <w:bottom w:val="single" w:sz="12" w:space="0" w:color="auto"/>
              <w:right w:val="single" w:sz="2" w:space="0" w:color="000000"/>
            </w:tcBorders>
          </w:tcPr>
          <w:p w:rsidR="00000000" w:rsidRDefault="00000000">
            <w:pPr>
              <w:jc w:val="right"/>
              <w:rPr>
                <w:rFonts w:ascii="Arial" w:hAnsi="Arial"/>
                <w:snapToGrid w:val="0"/>
                <w:color w:val="000000"/>
                <w:sz w:val="16"/>
                <w:lang w:eastAsia="es-ES"/>
              </w:rPr>
            </w:pPr>
          </w:p>
        </w:tc>
        <w:tc>
          <w:tcPr>
            <w:tcW w:w="992"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c>
          <w:tcPr>
            <w:tcW w:w="1275" w:type="dxa"/>
            <w:tcBorders>
              <w:top w:val="single" w:sz="2" w:space="0" w:color="000000"/>
              <w:left w:val="single" w:sz="2" w:space="0" w:color="000000"/>
              <w:bottom w:val="single" w:sz="12" w:space="0" w:color="auto"/>
              <w:right w:val="single" w:sz="2" w:space="0" w:color="000000"/>
            </w:tcBorders>
          </w:tcPr>
          <w:p w:rsidR="00000000" w:rsidRDefault="00000000">
            <w:pPr>
              <w:jc w:val="center"/>
              <w:rPr>
                <w:rFonts w:ascii="Arial" w:hAnsi="Arial"/>
                <w:snapToGrid w:val="0"/>
                <w:color w:val="000000"/>
                <w:sz w:val="16"/>
                <w:lang w:eastAsia="es-ES"/>
              </w:rPr>
            </w:pPr>
          </w:p>
        </w:tc>
      </w:tr>
    </w:tbl>
    <w:p w:rsidR="00000000" w:rsidRDefault="00000000">
      <w:pPr>
        <w:pStyle w:val="BodyText2"/>
        <w:tabs>
          <w:tab w:val="clear" w:pos="7230"/>
          <w:tab w:val="clear" w:pos="9070"/>
        </w:tabs>
        <w:ind w:right="0"/>
        <w:jc w:val="both"/>
        <w:rPr>
          <w:snapToGrid w:val="0"/>
          <w:color w:val="000000"/>
          <w:sz w:val="16"/>
          <w:lang w:val="es-ES" w:eastAsia="es-ES"/>
        </w:rPr>
      </w:pPr>
    </w:p>
    <w:p w:rsidR="00000000" w:rsidRDefault="00000000">
      <w:pPr>
        <w:pStyle w:val="BodyText2"/>
        <w:tabs>
          <w:tab w:val="clear" w:pos="7230"/>
          <w:tab w:val="clear" w:pos="9070"/>
        </w:tabs>
        <w:ind w:left="666" w:right="0"/>
        <w:jc w:val="both"/>
        <w:rPr>
          <w:sz w:val="16"/>
        </w:rPr>
      </w:pPr>
      <w:r>
        <w:rPr>
          <w:snapToGrid w:val="0"/>
          <w:color w:val="000000"/>
          <w:sz w:val="16"/>
          <w:lang w:val="es-ES" w:eastAsia="es-ES"/>
        </w:rPr>
        <w:t>FUENTE: Elaboración propia a partir de datos de la Estadística de la Enseñanza Superior en España . INE</w:t>
      </w:r>
    </w:p>
    <w:p w:rsidR="00000000" w:rsidRDefault="00000000">
      <w:pPr>
        <w:jc w:val="both"/>
        <w:rPr>
          <w:rFonts w:ascii="Arial" w:hAnsi="Arial"/>
        </w:rPr>
      </w:pPr>
      <w:r>
        <w:rPr>
          <w:rFonts w:ascii="Arial" w:hAnsi="Arial"/>
        </w:rPr>
        <w:t xml:space="preserve">Puede afirmarse que,  también en el nivel universitario, las mujeres obtienen mejor </w:t>
      </w:r>
      <w:r>
        <w:rPr>
          <w:rFonts w:ascii="Arial" w:hAnsi="Arial"/>
          <w:b/>
        </w:rPr>
        <w:t>rendimiento académico</w:t>
      </w:r>
      <w:r>
        <w:rPr>
          <w:rFonts w:ascii="Arial" w:hAnsi="Arial"/>
        </w:rPr>
        <w:t xml:space="preserve"> que los hombres. Estas diferencias, entre los porcentajes femeninos de terminación y matrícula, son mayores en 1998 que en 1996, por lo que puede afirmarse que, con el paso del tiempo, la diferencia de rendimiento entre mujeres y varones se va incrementando.</w:t>
      </w:r>
    </w:p>
    <w:p w:rsidR="00000000" w:rsidRDefault="00000000">
      <w:pPr>
        <w:tabs>
          <w:tab w:val="left" w:pos="9639"/>
        </w:tabs>
        <w:jc w:val="both"/>
        <w:rPr>
          <w:rFonts w:ascii="Arial" w:hAnsi="Arial"/>
        </w:rPr>
      </w:pPr>
    </w:p>
    <w:p w:rsidR="00000000" w:rsidRDefault="00000000">
      <w:pPr>
        <w:tabs>
          <w:tab w:val="left" w:pos="9639"/>
        </w:tabs>
        <w:jc w:val="both"/>
        <w:rPr>
          <w:rFonts w:ascii="Arial" w:hAnsi="Arial"/>
        </w:rPr>
      </w:pPr>
    </w:p>
    <w:p w:rsidR="00000000" w:rsidRDefault="00000000">
      <w:pPr>
        <w:pStyle w:val="BodyText2"/>
        <w:tabs>
          <w:tab w:val="clear" w:pos="7230"/>
          <w:tab w:val="clear" w:pos="9070"/>
        </w:tabs>
        <w:ind w:right="0"/>
        <w:jc w:val="center"/>
        <w:rPr>
          <w:b/>
        </w:rPr>
      </w:pPr>
      <w:r>
        <w:rPr>
          <w:b/>
        </w:rPr>
        <w:t>Alumnado universitario que terminó los estudios por áreas de conocimiento</w:t>
      </w:r>
    </w:p>
    <w:tbl>
      <w:tblPr>
        <w:tblW w:w="0" w:type="auto"/>
        <w:jc w:val="center"/>
        <w:tblLayout w:type="fixed"/>
        <w:tblCellMar>
          <w:left w:w="30" w:type="dxa"/>
          <w:right w:w="30" w:type="dxa"/>
        </w:tblCellMar>
        <w:tblLook w:val="0000" w:firstRow="0" w:lastRow="0" w:firstColumn="0" w:lastColumn="0" w:noHBand="0" w:noVBand="0"/>
      </w:tblPr>
      <w:tblGrid>
        <w:gridCol w:w="1985"/>
        <w:gridCol w:w="709"/>
        <w:gridCol w:w="708"/>
        <w:gridCol w:w="851"/>
        <w:gridCol w:w="850"/>
        <w:gridCol w:w="851"/>
        <w:gridCol w:w="850"/>
        <w:gridCol w:w="851"/>
        <w:gridCol w:w="992"/>
      </w:tblGrid>
      <w:tr w:rsidR="00000000">
        <w:tblPrEx>
          <w:tblCellMar>
            <w:top w:w="0" w:type="dxa"/>
            <w:bottom w:w="0" w:type="dxa"/>
          </w:tblCellMar>
        </w:tblPrEx>
        <w:trPr>
          <w:cantSplit/>
          <w:trHeight w:val="262"/>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b/>
                <w:i/>
                <w:snapToGrid w:val="0"/>
                <w:color w:val="000000"/>
                <w:sz w:val="16"/>
                <w:lang w:eastAsia="es-ES"/>
              </w:rPr>
            </w:pPr>
          </w:p>
        </w:tc>
        <w:tc>
          <w:tcPr>
            <w:tcW w:w="3118"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w:t>
            </w:r>
          </w:p>
        </w:tc>
        <w:tc>
          <w:tcPr>
            <w:tcW w:w="3544" w:type="dxa"/>
            <w:gridSpan w:val="4"/>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w:t>
            </w:r>
          </w:p>
        </w:tc>
      </w:tr>
      <w:tr w:rsidR="00000000">
        <w:tblPrEx>
          <w:tblCellMar>
            <w:top w:w="0" w:type="dxa"/>
            <w:bottom w:w="0" w:type="dxa"/>
          </w:tblCellMar>
        </w:tblPrEx>
        <w:trPr>
          <w:trHeight w:val="276"/>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708"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Ambos sexos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992"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Mujeres</w:t>
            </w:r>
          </w:p>
        </w:tc>
      </w:tr>
      <w:tr w:rsidR="00000000">
        <w:tblPrEx>
          <w:tblCellMar>
            <w:top w:w="0" w:type="dxa"/>
            <w:bottom w:w="0" w:type="dxa"/>
          </w:tblCellMar>
        </w:tblPrEx>
        <w:trPr>
          <w:trHeight w:val="262"/>
          <w:jc w:val="center"/>
        </w:trPr>
        <w:tc>
          <w:tcPr>
            <w:tcW w:w="1985" w:type="dxa"/>
            <w:tcBorders>
              <w:top w:val="single" w:sz="2" w:space="0" w:color="000000"/>
              <w:left w:val="single" w:sz="2" w:space="0" w:color="000000"/>
              <w:bottom w:val="single" w:sz="6"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Todas las titulaciones</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170.673</w:t>
            </w:r>
          </w:p>
        </w:tc>
        <w:tc>
          <w:tcPr>
            <w:tcW w:w="708"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98.967</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71.706</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57,99</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202.529</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120.022</w:t>
            </w:r>
          </w:p>
        </w:tc>
        <w:tc>
          <w:tcPr>
            <w:tcW w:w="85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82.507</w:t>
            </w:r>
          </w:p>
        </w:tc>
        <w:tc>
          <w:tcPr>
            <w:tcW w:w="992"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59,26</w:t>
            </w:r>
          </w:p>
        </w:tc>
      </w:tr>
      <w:tr w:rsidR="00000000">
        <w:tblPrEx>
          <w:tblCellMar>
            <w:top w:w="0" w:type="dxa"/>
            <w:bottom w:w="0" w:type="dxa"/>
          </w:tblCellMar>
        </w:tblPrEx>
        <w:trPr>
          <w:trHeight w:val="262"/>
          <w:jc w:val="center"/>
        </w:trPr>
        <w:tc>
          <w:tcPr>
            <w:tcW w:w="1985"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b/>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8"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992"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62"/>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Humanidades</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15.558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10.516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5.042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18.701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12.725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5.976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68,04</w:t>
            </w:r>
          </w:p>
        </w:tc>
      </w:tr>
      <w:tr w:rsidR="00000000">
        <w:tblPrEx>
          <w:tblCellMar>
            <w:top w:w="0" w:type="dxa"/>
            <w:bottom w:w="0" w:type="dxa"/>
          </w:tblCellMar>
        </w:tblPrEx>
        <w:trPr>
          <w:trHeight w:val="262"/>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CC. Sociales y Jurídicas</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98.658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62.230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36.428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63,08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114.960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74.954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40.006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65,20</w:t>
            </w:r>
          </w:p>
        </w:tc>
      </w:tr>
      <w:tr w:rsidR="00000000">
        <w:tblPrEx>
          <w:tblCellMar>
            <w:top w:w="0" w:type="dxa"/>
            <w:bottom w:w="0" w:type="dxa"/>
          </w:tblCellMar>
        </w:tblPrEx>
        <w:trPr>
          <w:trHeight w:val="262"/>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CC. Experimentales y de la salud</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29.806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19.756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10.050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34.721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23.081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11.640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66,48</w:t>
            </w:r>
          </w:p>
        </w:tc>
      </w:tr>
      <w:tr w:rsidR="00000000">
        <w:tblPrEx>
          <w:tblCellMar>
            <w:top w:w="0" w:type="dxa"/>
            <w:bottom w:w="0" w:type="dxa"/>
          </w:tblCellMar>
        </w:tblPrEx>
        <w:trPr>
          <w:trHeight w:val="262"/>
          <w:jc w:val="center"/>
        </w:trPr>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Técnicas</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26.651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20.186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24,26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34.147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9.262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24.885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27,12</w:t>
            </w:r>
          </w:p>
        </w:tc>
      </w:tr>
    </w:tbl>
    <w:p w:rsidR="00000000" w:rsidRDefault="00000000">
      <w:pPr>
        <w:jc w:val="both"/>
        <w:rPr>
          <w:rFonts w:ascii="Arial" w:hAnsi="Arial"/>
          <w:snapToGrid w:val="0"/>
          <w:color w:val="000000"/>
          <w:sz w:val="16"/>
          <w:lang w:eastAsia="es-ES"/>
        </w:rPr>
      </w:pPr>
    </w:p>
    <w:p w:rsidR="00000000" w:rsidRDefault="00000000">
      <w:pPr>
        <w:ind w:left="612" w:right="616"/>
        <w:jc w:val="both"/>
        <w:rPr>
          <w:rFonts w:ascii="Arial" w:hAnsi="Arial"/>
          <w:snapToGrid w:val="0"/>
          <w:color w:val="000000"/>
          <w:sz w:val="16"/>
          <w:lang w:eastAsia="es-ES"/>
        </w:rPr>
      </w:pPr>
      <w:r>
        <w:rPr>
          <w:rFonts w:ascii="Arial" w:hAnsi="Arial"/>
          <w:snapToGrid w:val="0"/>
          <w:color w:val="000000"/>
          <w:sz w:val="16"/>
          <w:lang w:eastAsia="es-ES"/>
        </w:rPr>
        <w:t>Incluye los tres ciclos FUENTE: Elaboración propia a partir de datos de la Estadística de la Enseñanza Superior en España. INE</w:t>
      </w:r>
    </w:p>
    <w:p w:rsidR="00000000" w:rsidRDefault="00000000">
      <w:pPr>
        <w:jc w:val="both"/>
        <w:rPr>
          <w:rFonts w:ascii="Arial" w:hAnsi="Arial"/>
          <w:snapToGrid w:val="0"/>
          <w:color w:val="000000"/>
          <w:lang w:eastAsia="es-ES"/>
        </w:rPr>
      </w:pPr>
    </w:p>
    <w:p w:rsidR="00000000" w:rsidRDefault="00000000">
      <w:pPr>
        <w:jc w:val="both"/>
        <w:rPr>
          <w:rFonts w:ascii="Arial" w:hAnsi="Arial"/>
        </w:rPr>
      </w:pPr>
      <w:r>
        <w:rPr>
          <w:rFonts w:ascii="Arial" w:hAnsi="Arial"/>
        </w:rPr>
        <w:t xml:space="preserve">También ha habido un incremento del número total de </w:t>
      </w:r>
      <w:r>
        <w:rPr>
          <w:rFonts w:ascii="Arial" w:hAnsi="Arial"/>
          <w:b/>
        </w:rPr>
        <w:t>tesis doctorales</w:t>
      </w:r>
      <w:r>
        <w:rPr>
          <w:rFonts w:ascii="Arial" w:hAnsi="Arial"/>
        </w:rPr>
        <w:t xml:space="preserve"> aprobadas en España (0,8%), que ha sido mayor en el grupo de Ciencias Sociales y Jurídicas, en términos porcentuales, y ha disminuido en el de Ciencias Experimentales y de la Salud. Si consideramos las variaciones que se han producido en el colectivo femenino, el aumento de tesis doctorales aprobadas desde el curso 1989/90 hasta 1996/97 ha sido del 202%.</w:t>
      </w:r>
    </w:p>
    <w:p w:rsidR="00000000" w:rsidRDefault="00000000">
      <w:pPr>
        <w:jc w:val="both"/>
        <w:rPr>
          <w:rFonts w:ascii="Arial" w:hAnsi="Arial"/>
        </w:rPr>
      </w:pPr>
    </w:p>
    <w:p w:rsidR="00000000" w:rsidRDefault="00000000">
      <w:pPr>
        <w:jc w:val="both"/>
        <w:rPr>
          <w:rFonts w:ascii="Arial" w:hAnsi="Arial"/>
        </w:rPr>
        <w:sectPr w:rsidR="00000000">
          <w:headerReference w:type="even" r:id="rId25"/>
          <w:headerReference w:type="default" r:id="rId26"/>
          <w:footerReference w:type="even" r:id="rId27"/>
          <w:footerReference w:type="default" r:id="rId28"/>
          <w:endnotePr>
            <w:numFmt w:val="decimal"/>
          </w:endnotePr>
          <w:pgSz w:w="12240" w:h="15840" w:code="1"/>
          <w:pgMar w:top="1742" w:right="1195" w:bottom="1898" w:left="1195" w:header="576" w:footer="1030" w:gutter="0"/>
          <w:cols w:space="720"/>
          <w:noEndnote/>
        </w:sectPr>
      </w:pPr>
    </w:p>
    <w:p w:rsidR="00000000" w:rsidRDefault="00000000">
      <w:pPr>
        <w:jc w:val="both"/>
      </w:pPr>
    </w:p>
    <w:tbl>
      <w:tblPr>
        <w:tblW w:w="0" w:type="auto"/>
        <w:tblInd w:w="2" w:type="dxa"/>
        <w:tblLayout w:type="fixed"/>
        <w:tblCellMar>
          <w:left w:w="30" w:type="dxa"/>
          <w:right w:w="30" w:type="dxa"/>
        </w:tblCellMar>
        <w:tblLook w:val="0000" w:firstRow="0" w:lastRow="0" w:firstColumn="0" w:lastColumn="0" w:noHBand="0" w:noVBand="0"/>
      </w:tblPr>
      <w:tblGrid>
        <w:gridCol w:w="1307"/>
        <w:gridCol w:w="679"/>
        <w:gridCol w:w="732"/>
        <w:gridCol w:w="774"/>
        <w:gridCol w:w="621"/>
        <w:gridCol w:w="684"/>
        <w:gridCol w:w="783"/>
        <w:gridCol w:w="765"/>
        <w:gridCol w:w="558"/>
        <w:gridCol w:w="729"/>
        <w:gridCol w:w="765"/>
        <w:gridCol w:w="774"/>
        <w:gridCol w:w="594"/>
        <w:gridCol w:w="693"/>
        <w:gridCol w:w="711"/>
        <w:gridCol w:w="783"/>
        <w:gridCol w:w="549"/>
      </w:tblGrid>
      <w:tr w:rsidR="00000000">
        <w:tblPrEx>
          <w:tblCellMar>
            <w:top w:w="0" w:type="dxa"/>
            <w:bottom w:w="0" w:type="dxa"/>
          </w:tblCellMar>
        </w:tblPrEx>
        <w:trPr>
          <w:cantSplit/>
          <w:trHeight w:val="322"/>
        </w:trPr>
        <w:tc>
          <w:tcPr>
            <w:tcW w:w="12501" w:type="dxa"/>
            <w:gridSpan w:val="17"/>
            <w:tcBorders>
              <w:top w:val="single" w:sz="2" w:space="0" w:color="000000"/>
              <w:left w:val="single" w:sz="2" w:space="0" w:color="000000"/>
              <w:right w:val="single" w:sz="2" w:space="0" w:color="000000"/>
            </w:tcBorders>
          </w:tcPr>
          <w:p w:rsidR="00000000" w:rsidRDefault="00000000">
            <w:pPr>
              <w:pBdr>
                <w:top w:val="single" w:sz="2" w:space="1" w:color="000000"/>
                <w:left w:val="single" w:sz="2" w:space="4" w:color="000000"/>
                <w:bottom w:val="single" w:sz="2" w:space="1" w:color="000000"/>
                <w:right w:val="single" w:sz="2" w:space="4" w:color="000000"/>
              </w:pBdr>
              <w:jc w:val="center"/>
              <w:rPr>
                <w:rFonts w:ascii="Arial" w:hAnsi="Arial"/>
                <w:b/>
                <w:i/>
                <w:snapToGrid w:val="0"/>
                <w:color w:val="000000"/>
                <w:sz w:val="16"/>
                <w:lang w:eastAsia="es-ES"/>
              </w:rPr>
            </w:pPr>
            <w:r>
              <w:rPr>
                <w:rFonts w:ascii="Arial" w:hAnsi="Arial"/>
                <w:b/>
                <w:i/>
                <w:snapToGrid w:val="0"/>
                <w:color w:val="000000"/>
                <w:sz w:val="16"/>
                <w:lang w:eastAsia="es-ES"/>
              </w:rPr>
              <w:t>ALUMNADO MATRICULADO EN CURSOS DE DOCTORADO</w:t>
            </w:r>
          </w:p>
          <w:p w:rsidR="00000000" w:rsidRDefault="00000000">
            <w:pPr>
              <w:pBdr>
                <w:top w:val="single" w:sz="2" w:space="1" w:color="000000"/>
                <w:left w:val="single" w:sz="2" w:space="4" w:color="000000"/>
                <w:bottom w:val="single" w:sz="2" w:space="1" w:color="000000"/>
                <w:right w:val="single" w:sz="2" w:space="4" w:color="000000"/>
              </w:pBdr>
              <w:tabs>
                <w:tab w:val="left" w:pos="13123"/>
              </w:tabs>
              <w:jc w:val="center"/>
              <w:rPr>
                <w:rFonts w:ascii="Arial" w:hAnsi="Arial"/>
                <w:b/>
                <w:i/>
                <w:snapToGrid w:val="0"/>
                <w:color w:val="000000"/>
                <w:sz w:val="16"/>
                <w:lang w:eastAsia="es-ES"/>
              </w:rPr>
            </w:pPr>
            <w:r>
              <w:rPr>
                <w:rFonts w:ascii="Arial" w:hAnsi="Arial"/>
                <w:b/>
                <w:i/>
                <w:snapToGrid w:val="0"/>
                <w:color w:val="000000"/>
                <w:sz w:val="16"/>
                <w:lang w:eastAsia="es-ES"/>
              </w:rPr>
              <w:t>Y TESIS DOCTORALES APROBADAS SEGÚN SEXO Y ÁREA DE CONOCIMIENTO.</w:t>
            </w:r>
          </w:p>
        </w:tc>
      </w:tr>
      <w:tr w:rsidR="00000000">
        <w:tblPrEx>
          <w:tblCellMar>
            <w:top w:w="0" w:type="dxa"/>
            <w:bottom w:w="0" w:type="dxa"/>
          </w:tblCellMar>
        </w:tblPrEx>
        <w:trPr>
          <w:cantSplit/>
          <w:trHeight w:val="262"/>
        </w:trPr>
        <w:tc>
          <w:tcPr>
            <w:tcW w:w="1307" w:type="dxa"/>
            <w:tcBorders>
              <w:left w:val="single" w:sz="2" w:space="0" w:color="000000"/>
              <w:bottom w:val="single" w:sz="2" w:space="0" w:color="000000"/>
              <w:right w:val="single" w:sz="2" w:space="0" w:color="000000"/>
            </w:tcBorders>
          </w:tcPr>
          <w:p w:rsidR="00000000" w:rsidRDefault="00000000">
            <w:pPr>
              <w:jc w:val="right"/>
              <w:rPr>
                <w:rFonts w:ascii="Arial" w:hAnsi="Arial"/>
                <w:b/>
                <w:i/>
                <w:snapToGrid w:val="0"/>
                <w:color w:val="000000"/>
                <w:sz w:val="16"/>
                <w:lang w:eastAsia="es-ES"/>
              </w:rPr>
            </w:pPr>
          </w:p>
        </w:tc>
        <w:tc>
          <w:tcPr>
            <w:tcW w:w="2806" w:type="dxa"/>
            <w:gridSpan w:val="4"/>
            <w:vMerge w:val="restart"/>
            <w:tcBorders>
              <w:left w:val="single" w:sz="2" w:space="0" w:color="000000"/>
              <w:bottom w:val="nil"/>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Matriculadas/os en cursos</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de doctorado en  96-97</w:t>
            </w:r>
          </w:p>
        </w:tc>
        <w:tc>
          <w:tcPr>
            <w:tcW w:w="2790" w:type="dxa"/>
            <w:gridSpan w:val="4"/>
            <w:vMerge w:val="restart"/>
            <w:tcBorders>
              <w:left w:val="single" w:sz="2" w:space="0" w:color="000000"/>
              <w:bottom w:val="nil"/>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Tesis doctorales aprobadas</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en el curso 1996</w:t>
            </w:r>
          </w:p>
        </w:tc>
        <w:tc>
          <w:tcPr>
            <w:tcW w:w="2862" w:type="dxa"/>
            <w:gridSpan w:val="4"/>
            <w:vMerge w:val="restart"/>
            <w:tcBorders>
              <w:left w:val="single" w:sz="2" w:space="0" w:color="000000"/>
              <w:bottom w:val="nil"/>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Matriculadas/os en cursos</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de doctorado en  98-99</w:t>
            </w:r>
          </w:p>
        </w:tc>
        <w:tc>
          <w:tcPr>
            <w:tcW w:w="2736" w:type="dxa"/>
            <w:gridSpan w:val="4"/>
            <w:vMerge w:val="restart"/>
            <w:tcBorders>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Tesis doctorales aprobadas</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en el curso 1998</w:t>
            </w:r>
          </w:p>
        </w:tc>
      </w:tr>
      <w:tr w:rsidR="00000000">
        <w:tblPrEx>
          <w:tblCellMar>
            <w:top w:w="0" w:type="dxa"/>
            <w:bottom w:w="0" w:type="dxa"/>
          </w:tblCellMar>
        </w:tblPrEx>
        <w:trPr>
          <w:cantSplit/>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2806" w:type="dxa"/>
            <w:gridSpan w:val="4"/>
            <w:vMerge/>
            <w:tcBorders>
              <w:top w:val="nil"/>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2790" w:type="dxa"/>
            <w:gridSpan w:val="4"/>
            <w:vMerge/>
            <w:tcBorders>
              <w:top w:val="nil"/>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2862" w:type="dxa"/>
            <w:gridSpan w:val="4"/>
            <w:vMerge/>
            <w:tcBorders>
              <w:top w:val="nil"/>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2736" w:type="dxa"/>
            <w:gridSpan w:val="4"/>
            <w:vMerge/>
            <w:tcBorders>
              <w:top w:val="nil"/>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r>
      <w:tr w:rsidR="00000000">
        <w:tblPrEx>
          <w:tblCellMar>
            <w:top w:w="0" w:type="dxa"/>
            <w:bottom w:w="0" w:type="dxa"/>
          </w:tblCellMar>
        </w:tblPrEx>
        <w:trPr>
          <w:trHeight w:val="276"/>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4"/>
                <w:lang w:eastAsia="es-ES"/>
              </w:rPr>
            </w:pPr>
          </w:p>
        </w:tc>
        <w:tc>
          <w:tcPr>
            <w:tcW w:w="67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32"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74"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Varones</w:t>
            </w:r>
          </w:p>
        </w:tc>
        <w:tc>
          <w:tcPr>
            <w:tcW w:w="62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684"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83"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65"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Varones</w:t>
            </w:r>
          </w:p>
        </w:tc>
        <w:tc>
          <w:tcPr>
            <w:tcW w:w="558"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72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65"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74"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594"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693"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11"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783"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54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r>
      <w:tr w:rsidR="00000000">
        <w:tblPrEx>
          <w:tblCellMar>
            <w:top w:w="0" w:type="dxa"/>
            <w:bottom w:w="0" w:type="dxa"/>
          </w:tblCellMar>
        </w:tblPrEx>
        <w:trPr>
          <w:trHeight w:val="276"/>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4"/>
                <w:lang w:eastAsia="es-ES"/>
              </w:rPr>
            </w:pPr>
          </w:p>
        </w:tc>
        <w:tc>
          <w:tcPr>
            <w:tcW w:w="67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32"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74"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62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684"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83"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58"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74"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94"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693"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11"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83"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49"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Todas las titulaciones</w:t>
            </w:r>
          </w:p>
        </w:tc>
        <w:tc>
          <w:tcPr>
            <w:tcW w:w="67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60.833</w:t>
            </w:r>
          </w:p>
        </w:tc>
        <w:tc>
          <w:tcPr>
            <w:tcW w:w="732"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30.288</w:t>
            </w:r>
          </w:p>
        </w:tc>
        <w:tc>
          <w:tcPr>
            <w:tcW w:w="77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30.545</w:t>
            </w:r>
          </w:p>
        </w:tc>
        <w:tc>
          <w:tcPr>
            <w:tcW w:w="62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49,79</w:t>
            </w:r>
          </w:p>
        </w:tc>
        <w:tc>
          <w:tcPr>
            <w:tcW w:w="68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5.880</w:t>
            </w:r>
          </w:p>
        </w:tc>
        <w:tc>
          <w:tcPr>
            <w:tcW w:w="78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2.333</w:t>
            </w:r>
          </w:p>
        </w:tc>
        <w:tc>
          <w:tcPr>
            <w:tcW w:w="76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3.547</w:t>
            </w:r>
          </w:p>
        </w:tc>
        <w:tc>
          <w:tcPr>
            <w:tcW w:w="558"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39,68</w:t>
            </w:r>
          </w:p>
        </w:tc>
        <w:tc>
          <w:tcPr>
            <w:tcW w:w="72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64.472</w:t>
            </w:r>
          </w:p>
        </w:tc>
        <w:tc>
          <w:tcPr>
            <w:tcW w:w="765"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32.686</w:t>
            </w:r>
          </w:p>
        </w:tc>
        <w:tc>
          <w:tcPr>
            <w:tcW w:w="77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31.786</w:t>
            </w:r>
          </w:p>
        </w:tc>
        <w:tc>
          <w:tcPr>
            <w:tcW w:w="594"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50,70</w:t>
            </w:r>
          </w:p>
        </w:tc>
        <w:tc>
          <w:tcPr>
            <w:tcW w:w="69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5.931</w:t>
            </w:r>
          </w:p>
        </w:tc>
        <w:tc>
          <w:tcPr>
            <w:tcW w:w="711"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2.491</w:t>
            </w:r>
          </w:p>
        </w:tc>
        <w:tc>
          <w:tcPr>
            <w:tcW w:w="783"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3.440</w:t>
            </w:r>
          </w:p>
        </w:tc>
        <w:tc>
          <w:tcPr>
            <w:tcW w:w="54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42,00</w:t>
            </w:r>
          </w:p>
        </w:tc>
      </w:tr>
      <w:tr w:rsidR="00000000">
        <w:tblPrEx>
          <w:tblCellMar>
            <w:top w:w="0" w:type="dxa"/>
            <w:bottom w:w="0" w:type="dxa"/>
          </w:tblCellMar>
        </w:tblPrEx>
        <w:trPr>
          <w:trHeight w:val="262"/>
        </w:trPr>
        <w:tc>
          <w:tcPr>
            <w:tcW w:w="1307"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67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32"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7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62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68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8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6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58"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2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765"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77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594"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69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711"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783"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c>
          <w:tcPr>
            <w:tcW w:w="54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CC. Experimentales y de la Salud</w:t>
            </w:r>
          </w:p>
        </w:tc>
        <w:tc>
          <w:tcPr>
            <w:tcW w:w="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22.880</w:t>
            </w:r>
          </w:p>
        </w:tc>
        <w:tc>
          <w:tcPr>
            <w:tcW w:w="7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12.038</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10.842</w:t>
            </w:r>
          </w:p>
        </w:tc>
        <w:tc>
          <w:tcPr>
            <w:tcW w:w="62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52,61</w:t>
            </w:r>
          </w:p>
        </w:tc>
        <w:tc>
          <w:tcPr>
            <w:tcW w:w="6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3.158</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1.333</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1.825</w:t>
            </w:r>
          </w:p>
        </w:tc>
        <w:tc>
          <w:tcPr>
            <w:tcW w:w="55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42,21</w:t>
            </w:r>
          </w:p>
        </w:tc>
        <w:tc>
          <w:tcPr>
            <w:tcW w:w="72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22.953</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12.340</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10.613</w:t>
            </w:r>
          </w:p>
        </w:tc>
        <w:tc>
          <w:tcPr>
            <w:tcW w:w="5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53,76</w:t>
            </w:r>
          </w:p>
        </w:tc>
        <w:tc>
          <w:tcPr>
            <w:tcW w:w="6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3.118</w:t>
            </w:r>
          </w:p>
        </w:tc>
        <w:tc>
          <w:tcPr>
            <w:tcW w:w="71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1.414</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1.704</w:t>
            </w:r>
          </w:p>
        </w:tc>
        <w:tc>
          <w:tcPr>
            <w:tcW w:w="54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45,35</w:t>
            </w: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Área de Humanidades</w:t>
            </w:r>
          </w:p>
        </w:tc>
        <w:tc>
          <w:tcPr>
            <w:tcW w:w="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13.093</w:t>
            </w:r>
          </w:p>
        </w:tc>
        <w:tc>
          <w:tcPr>
            <w:tcW w:w="7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7.431</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5.662</w:t>
            </w:r>
          </w:p>
        </w:tc>
        <w:tc>
          <w:tcPr>
            <w:tcW w:w="62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56,76</w:t>
            </w:r>
          </w:p>
        </w:tc>
        <w:tc>
          <w:tcPr>
            <w:tcW w:w="6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987</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424</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563</w:t>
            </w:r>
          </w:p>
        </w:tc>
        <w:tc>
          <w:tcPr>
            <w:tcW w:w="55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42,96</w:t>
            </w:r>
          </w:p>
        </w:tc>
        <w:tc>
          <w:tcPr>
            <w:tcW w:w="72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14.032</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7.953</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6.079</w:t>
            </w:r>
          </w:p>
        </w:tc>
        <w:tc>
          <w:tcPr>
            <w:tcW w:w="5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56,68</w:t>
            </w:r>
          </w:p>
        </w:tc>
        <w:tc>
          <w:tcPr>
            <w:tcW w:w="6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841</w:t>
            </w:r>
          </w:p>
        </w:tc>
        <w:tc>
          <w:tcPr>
            <w:tcW w:w="71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349</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492</w:t>
            </w:r>
          </w:p>
        </w:tc>
        <w:tc>
          <w:tcPr>
            <w:tcW w:w="54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41,50</w:t>
            </w: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Ingeniería y Tecnología</w:t>
            </w:r>
          </w:p>
        </w:tc>
        <w:tc>
          <w:tcPr>
            <w:tcW w:w="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6.049</w:t>
            </w:r>
          </w:p>
        </w:tc>
        <w:tc>
          <w:tcPr>
            <w:tcW w:w="7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1.528</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4.521</w:t>
            </w:r>
          </w:p>
        </w:tc>
        <w:tc>
          <w:tcPr>
            <w:tcW w:w="62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25,26</w:t>
            </w:r>
          </w:p>
        </w:tc>
        <w:tc>
          <w:tcPr>
            <w:tcW w:w="6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580</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468</w:t>
            </w:r>
          </w:p>
        </w:tc>
        <w:tc>
          <w:tcPr>
            <w:tcW w:w="55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19,31</w:t>
            </w:r>
          </w:p>
        </w:tc>
        <w:tc>
          <w:tcPr>
            <w:tcW w:w="72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6.718</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1.740</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4.978</w:t>
            </w:r>
          </w:p>
        </w:tc>
        <w:tc>
          <w:tcPr>
            <w:tcW w:w="5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25,90</w:t>
            </w:r>
          </w:p>
        </w:tc>
        <w:tc>
          <w:tcPr>
            <w:tcW w:w="6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687</w:t>
            </w:r>
          </w:p>
        </w:tc>
        <w:tc>
          <w:tcPr>
            <w:tcW w:w="71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150</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w:t>
            </w:r>
          </w:p>
        </w:tc>
        <w:tc>
          <w:tcPr>
            <w:tcW w:w="54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21,83</w:t>
            </w: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CC. Sociales y Jurídicas</w:t>
            </w:r>
          </w:p>
        </w:tc>
        <w:tc>
          <w:tcPr>
            <w:tcW w:w="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17.706</w:t>
            </w:r>
          </w:p>
        </w:tc>
        <w:tc>
          <w:tcPr>
            <w:tcW w:w="7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8.933</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8.773</w:t>
            </w:r>
          </w:p>
        </w:tc>
        <w:tc>
          <w:tcPr>
            <w:tcW w:w="62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50,45</w:t>
            </w:r>
          </w:p>
        </w:tc>
        <w:tc>
          <w:tcPr>
            <w:tcW w:w="6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1.109</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460</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649</w:t>
            </w:r>
          </w:p>
        </w:tc>
        <w:tc>
          <w:tcPr>
            <w:tcW w:w="55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41,48</w:t>
            </w:r>
          </w:p>
        </w:tc>
        <w:tc>
          <w:tcPr>
            <w:tcW w:w="72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19.163</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10.087</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9.076</w:t>
            </w:r>
          </w:p>
        </w:tc>
        <w:tc>
          <w:tcPr>
            <w:tcW w:w="5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52,64</w:t>
            </w:r>
          </w:p>
        </w:tc>
        <w:tc>
          <w:tcPr>
            <w:tcW w:w="6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1.225</w:t>
            </w:r>
          </w:p>
        </w:tc>
        <w:tc>
          <w:tcPr>
            <w:tcW w:w="71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558</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667</w:t>
            </w:r>
          </w:p>
        </w:tc>
        <w:tc>
          <w:tcPr>
            <w:tcW w:w="54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45,55</w:t>
            </w:r>
          </w:p>
        </w:tc>
      </w:tr>
      <w:tr w:rsidR="00000000">
        <w:tblPrEx>
          <w:tblCellMar>
            <w:top w:w="0" w:type="dxa"/>
            <w:bottom w:w="0" w:type="dxa"/>
          </w:tblCellMar>
        </w:tblPrEx>
        <w:trPr>
          <w:trHeight w:val="262"/>
        </w:trPr>
        <w:tc>
          <w:tcPr>
            <w:tcW w:w="130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No consta área</w:t>
            </w:r>
          </w:p>
        </w:tc>
        <w:tc>
          <w:tcPr>
            <w:tcW w:w="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1.105</w:t>
            </w:r>
          </w:p>
        </w:tc>
        <w:tc>
          <w:tcPr>
            <w:tcW w:w="7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358</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747</w:t>
            </w:r>
          </w:p>
        </w:tc>
        <w:tc>
          <w:tcPr>
            <w:tcW w:w="62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32,40</w:t>
            </w:r>
          </w:p>
        </w:tc>
        <w:tc>
          <w:tcPr>
            <w:tcW w:w="68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w:t>
            </w:r>
          </w:p>
        </w:tc>
        <w:tc>
          <w:tcPr>
            <w:tcW w:w="558"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8,70</w:t>
            </w:r>
          </w:p>
        </w:tc>
        <w:tc>
          <w:tcPr>
            <w:tcW w:w="72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1.606</w:t>
            </w:r>
          </w:p>
        </w:tc>
        <w:tc>
          <w:tcPr>
            <w:tcW w:w="7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566</w:t>
            </w:r>
          </w:p>
        </w:tc>
        <w:tc>
          <w:tcPr>
            <w:tcW w:w="77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1.040</w:t>
            </w:r>
          </w:p>
        </w:tc>
        <w:tc>
          <w:tcPr>
            <w:tcW w:w="5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35,24</w:t>
            </w:r>
          </w:p>
        </w:tc>
        <w:tc>
          <w:tcPr>
            <w:tcW w:w="69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w:t>
            </w:r>
          </w:p>
        </w:tc>
        <w:tc>
          <w:tcPr>
            <w:tcW w:w="711"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w:t>
            </w:r>
          </w:p>
        </w:tc>
        <w:tc>
          <w:tcPr>
            <w:tcW w:w="783"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w:t>
            </w:r>
          </w:p>
        </w:tc>
        <w:tc>
          <w:tcPr>
            <w:tcW w:w="54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33,33</w:t>
            </w:r>
          </w:p>
        </w:tc>
      </w:tr>
    </w:tbl>
    <w:p w:rsidR="00000000" w:rsidRDefault="00000000">
      <w:pPr>
        <w:jc w:val="both"/>
        <w:rPr>
          <w:rFonts w:ascii="Arial" w:hAnsi="Arial"/>
          <w:snapToGrid w:val="0"/>
          <w:color w:val="000000"/>
          <w:sz w:val="16"/>
          <w:lang w:eastAsia="es-ES"/>
        </w:rPr>
      </w:pPr>
    </w:p>
    <w:p w:rsidR="00000000" w:rsidRDefault="00000000">
      <w:pPr>
        <w:jc w:val="both"/>
        <w:rPr>
          <w:sz w:val="16"/>
        </w:rPr>
      </w:pPr>
      <w:r>
        <w:rPr>
          <w:rFonts w:ascii="Arial" w:hAnsi="Arial"/>
          <w:snapToGrid w:val="0"/>
          <w:color w:val="000000"/>
          <w:sz w:val="16"/>
          <w:lang w:eastAsia="es-ES"/>
        </w:rPr>
        <w:t>FUENTE: Elaboración propia a partir de datos de la Estadística de la Enseñanza Superior en España. INE</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sectPr w:rsidR="00000000">
          <w:headerReference w:type="even" r:id="rId29"/>
          <w:headerReference w:type="default" r:id="rId30"/>
          <w:footerReference w:type="even" r:id="rId31"/>
          <w:footerReference w:type="default" r:id="rId32"/>
          <w:endnotePr>
            <w:numFmt w:val="decimal"/>
          </w:endnotePr>
          <w:pgSz w:w="15840" w:h="12240" w:orient="landscape" w:code="1"/>
          <w:pgMar w:top="1195" w:right="1742" w:bottom="1195" w:left="1898" w:header="0" w:footer="0" w:gutter="0"/>
          <w:cols w:space="720"/>
          <w:noEndnote/>
        </w:sectPr>
      </w:pPr>
    </w:p>
    <w:p w:rsidR="00000000" w:rsidRDefault="00000000">
      <w:pPr>
        <w:jc w:val="both"/>
        <w:rPr>
          <w:rFonts w:ascii="Arial" w:hAnsi="Arial"/>
        </w:rPr>
      </w:pPr>
      <w:r>
        <w:rPr>
          <w:rFonts w:ascii="Arial" w:hAnsi="Arial"/>
        </w:rPr>
        <w:t>Por otra parte, se observa que cuanto más alto es el nivel educativo de referencia, menor es el porcentaje de mujeres profesoras. De este modo, en el curso 1998/1999, el 95,20% del profesorado de preescolar y educación infantil es femenino; el 69,50% del profesorado de primaria o EGB; el 49,72% del de Educación Secundaria y el 33,64% del universitario.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Al analizar la presencia femenina entre el profesorado universitario, se observa cómo el problema señalado con anterioridad, relativo a la escasa representación de las mujeres entre este colectivo universitario, adquiere tintes de mayor gravedad, dado que el porcentaje de mujeres entre los niveles más altos del profesorado, como es el de catedráticas y eméritas, es mucho menor que entre las restantes categorías. Así, en 1998-99, solamente el 14,86% de los puestos de catedráticos/as y el 7,83% de los eméritos tenían como titular a una mujer. En cambio, entre el profesorado titular, las </w:t>
      </w:r>
      <w:r>
        <w:rPr>
          <w:rFonts w:ascii="Arial" w:hAnsi="Arial"/>
          <w:w w:val="101"/>
        </w:rPr>
        <w:t>mujeres constituían el 35,11%; entre los/as asociados/as, el 32,7% y, entre los/as ayudantes/as, 46,53%.</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Si se compara la situación del curso 1998-99 con la del 1996-97, se aprecian visos de que se está avanzando algo hacia una situación más igualitaria. En el caso de la categoría de catedráticas ha tenido lugar un aumento considerable, en números absolutos, de un curso a otro: En 1996-97, había 1.256 catedráticas universitarias en España y, en 1998-99, 1.367, lo que representa un aumento del </w:t>
      </w:r>
      <w:r>
        <w:rPr>
          <w:rFonts w:ascii="Arial" w:hAnsi="Arial"/>
          <w:spacing w:val="0"/>
          <w:w w:val="101"/>
        </w:rPr>
        <w:t xml:space="preserve">8,44%. Solamente en otro caso, el de las asociadas ha habido, también, un aumento, en niveles absolutos, pasándose de 9.371 a 9.442, lo que supone un crecimiento casi inapreciable, equivalente al 0,76%. </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II.</w:t>
      </w:r>
      <w:r>
        <w:rPr>
          <w:rFonts w:ascii="Arial" w:hAnsi="Arial"/>
          <w:b/>
        </w:rPr>
        <w:tab/>
        <w:t>Modificaciones del ordenamiento jurídico</w:t>
      </w:r>
    </w:p>
    <w:p w:rsidR="00000000" w:rsidRDefault="00000000">
      <w:pPr>
        <w:jc w:val="both"/>
        <w:rPr>
          <w:rFonts w:ascii="Arial" w:hAnsi="Arial"/>
          <w:b/>
        </w:rPr>
      </w:pPr>
    </w:p>
    <w:p w:rsidR="00000000" w:rsidRDefault="00000000">
      <w:pPr>
        <w:jc w:val="both"/>
        <w:rPr>
          <w:rFonts w:ascii="Arial" w:hAnsi="Arial"/>
        </w:rPr>
      </w:pPr>
      <w:r>
        <w:rPr>
          <w:rFonts w:ascii="Arial" w:hAnsi="Arial"/>
        </w:rPr>
        <w:t>Las modificaciones introducidas en el ordenamiento jurídico durante estos años han sido las siguientes:</w:t>
      </w:r>
    </w:p>
    <w:p w:rsidR="00000000" w:rsidRDefault="00000000">
      <w:pPr>
        <w:jc w:val="both"/>
        <w:rPr>
          <w:rFonts w:ascii="Arial" w:hAnsi="Arial"/>
        </w:rPr>
      </w:pPr>
      <w:r>
        <w:rPr>
          <w:rFonts w:ascii="Arial" w:hAnsi="Arial"/>
        </w:rPr>
        <w:t xml:space="preserve"> </w:t>
      </w:r>
    </w:p>
    <w:p w:rsidR="00000000" w:rsidRDefault="00000000">
      <w:pPr>
        <w:pStyle w:val="BodyText"/>
        <w:suppressAutoHyphens/>
      </w:pPr>
      <w:r>
        <w:t xml:space="preserve">Por Acuerdo de 13 de marzo de 1998, el Consejo de Ministros aprobó el nuevo </w:t>
      </w:r>
      <w:r>
        <w:rPr>
          <w:b/>
        </w:rPr>
        <w:t>Programa de Formación Profesional</w:t>
      </w:r>
      <w:r>
        <w:t xml:space="preserve">, que tiene como objetivo básico la consolidación de un sistema integrado de formación profesional, estructurado en tres ejes: la formación profesional reglada/inicial, la ocupacional y la continua y consensuado con los agentes sociales y las Comunidades Autónomas </w:t>
      </w:r>
    </w:p>
    <w:p w:rsidR="00000000" w:rsidRDefault="00000000">
      <w:pPr>
        <w:pStyle w:val="BodyText"/>
        <w:suppressAutoHyphens/>
      </w:pPr>
    </w:p>
    <w:p w:rsidR="00000000" w:rsidRDefault="00000000">
      <w:pPr>
        <w:pStyle w:val="BodyText"/>
        <w:suppressAutoHyphens/>
      </w:pPr>
      <w:r>
        <w:t>Tomando como referencia este Programa de Formación Profesional se aprueba la Ley Orgánica 5/2002, de 19 de junio, de las Cualificaciones y de la Formación Profesional. Inspirada en los principios constitucionales, garantiza el acceso, en condiciones de igualdad de todos los ciudadanos y ciudadanas, a las diferentes modalidades de la formación profesional, formación que se adaptará a las cambiantes demandas del mercado laboral integrando las tres modalidades descritas: formación reglada, continua y ocupacional.</w:t>
      </w:r>
    </w:p>
    <w:p w:rsidR="00000000" w:rsidRDefault="00000000">
      <w:pPr>
        <w:pStyle w:val="BodyText"/>
        <w:suppressAutoHyphens/>
        <w:rPr>
          <w:b/>
        </w:rPr>
      </w:pPr>
    </w:p>
    <w:p w:rsidR="00000000" w:rsidRDefault="00000000">
      <w:pPr>
        <w:pStyle w:val="BodyText"/>
        <w:suppressAutoHyphens/>
      </w:pPr>
      <w:r>
        <w:t>Del mismo modo, en la Ley Orgánica 6/2001, de 21 de diciembre, de Universidades, se garantiza la igualdad de oportunidades y el derecho a la no discriminación en el acceso a los estudios universitarios así como a los puestos del profesorado.</w:t>
      </w:r>
    </w:p>
    <w:p w:rsidR="00000000" w:rsidRDefault="00000000">
      <w:pPr>
        <w:jc w:val="both"/>
        <w:rPr>
          <w:rFonts w:ascii="Arial" w:hAnsi="Arial"/>
          <w:b/>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III. Políticas y programas</w:t>
      </w:r>
    </w:p>
    <w:p w:rsidR="00000000" w:rsidRDefault="00000000">
      <w:pPr>
        <w:jc w:val="both"/>
        <w:rPr>
          <w:rFonts w:ascii="Arial" w:hAnsi="Arial"/>
        </w:rPr>
      </w:pPr>
    </w:p>
    <w:p w:rsidR="00000000" w:rsidRDefault="00000000">
      <w:pPr>
        <w:jc w:val="both"/>
        <w:rPr>
          <w:rFonts w:ascii="Arial" w:hAnsi="Arial"/>
        </w:rPr>
      </w:pPr>
      <w:r>
        <w:rPr>
          <w:rFonts w:ascii="Arial" w:hAnsi="Arial"/>
        </w:rPr>
        <w:t>La educación es una de las áreas de actuación incluidas en el III Plan para la igualdad de Oportunidades que persigue los siguientes objetivos:</w:t>
      </w:r>
    </w:p>
    <w:p w:rsidR="00000000" w:rsidRDefault="00000000">
      <w:pPr>
        <w:rPr>
          <w:rFonts w:ascii="Arial" w:hAnsi="Arial"/>
        </w:rPr>
      </w:pP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Colaborar con otras instituciones y con centros educativos en el desarrollo de proyectos dirigidos a promover la igualdad de oportunidades entre ambos sexos y a prevenir la violencia contra las mujeres.</w:t>
      </w: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Promover proyectos educativos que vinculen la educación básica y la formación profesional, adecuados a las demandas de las mujeres.</w:t>
      </w:r>
    </w:p>
    <w:p w:rsidR="00000000" w:rsidRDefault="00000000">
      <w:pPr>
        <w:pStyle w:val="Title"/>
        <w:suppressAutoHyphens/>
        <w:ind w:hanging="284"/>
        <w:jc w:val="both"/>
        <w:rPr>
          <w:b w:val="0"/>
          <w:sz w:val="20"/>
          <w:u w:val="none"/>
        </w:rPr>
      </w:pP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Promover la investigación y difusión sobre usos lingüísticos que nombran la diferencia sexual.</w:t>
      </w:r>
    </w:p>
    <w:p w:rsidR="00000000" w:rsidRDefault="00000000">
      <w:pPr>
        <w:pStyle w:val="Title"/>
        <w:tabs>
          <w:tab w:val="num" w:pos="851"/>
        </w:tabs>
        <w:suppressAutoHyphens/>
        <w:ind w:hanging="284"/>
        <w:jc w:val="both"/>
        <w:rPr>
          <w:b w:val="0"/>
          <w:sz w:val="20"/>
          <w:u w:val="none"/>
        </w:rPr>
      </w:pP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Promover el ejercicio físico y la práctica deportiva femenina.</w:t>
      </w:r>
    </w:p>
    <w:p w:rsidR="00000000" w:rsidRDefault="00000000">
      <w:pPr>
        <w:pStyle w:val="Title"/>
        <w:tabs>
          <w:tab w:val="num" w:pos="851"/>
        </w:tabs>
        <w:suppressAutoHyphens/>
        <w:ind w:hanging="284"/>
        <w:jc w:val="both"/>
        <w:rPr>
          <w:b w:val="0"/>
          <w:sz w:val="20"/>
          <w:u w:val="none"/>
        </w:rPr>
      </w:pP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Favorecer la elaboración y difusión de materiales didácticos coeducativos</w:t>
      </w:r>
    </w:p>
    <w:p w:rsidR="00000000" w:rsidRDefault="00000000">
      <w:pPr>
        <w:pStyle w:val="Title"/>
        <w:tabs>
          <w:tab w:val="num" w:pos="851"/>
        </w:tabs>
        <w:suppressAutoHyphens/>
        <w:ind w:hanging="284"/>
        <w:jc w:val="both"/>
        <w:rPr>
          <w:b w:val="0"/>
          <w:sz w:val="20"/>
          <w:u w:val="none"/>
        </w:rPr>
      </w:pPr>
    </w:p>
    <w:p w:rsidR="00000000" w:rsidRDefault="00000000">
      <w:pPr>
        <w:pStyle w:val="Title"/>
        <w:numPr>
          <w:ilvl w:val="0"/>
          <w:numId w:val="40"/>
        </w:numPr>
        <w:tabs>
          <w:tab w:val="clear" w:pos="720"/>
        </w:tabs>
        <w:suppressAutoHyphens/>
        <w:ind w:left="207" w:hanging="189"/>
        <w:jc w:val="both"/>
        <w:rPr>
          <w:b w:val="0"/>
          <w:sz w:val="20"/>
          <w:u w:val="none"/>
        </w:rPr>
      </w:pPr>
      <w:r>
        <w:rPr>
          <w:b w:val="0"/>
          <w:sz w:val="20"/>
          <w:u w:val="none"/>
        </w:rPr>
        <w:t>Participar en la formación del profesorado en educación no sexista</w:t>
      </w:r>
    </w:p>
    <w:p w:rsidR="00000000" w:rsidRDefault="00000000">
      <w:pPr>
        <w:tabs>
          <w:tab w:val="num" w:pos="851"/>
        </w:tabs>
        <w:jc w:val="both"/>
        <w:rPr>
          <w:rFonts w:ascii="Arial" w:hAnsi="Arial"/>
        </w:rPr>
      </w:pPr>
    </w:p>
    <w:p w:rsidR="00000000" w:rsidRDefault="00000000">
      <w:pPr>
        <w:jc w:val="both"/>
        <w:rPr>
          <w:rFonts w:ascii="Arial" w:hAnsi="Arial"/>
        </w:rPr>
      </w:pPr>
      <w:r>
        <w:rPr>
          <w:rFonts w:ascii="Arial" w:hAnsi="Arial"/>
        </w:rPr>
        <w:t xml:space="preserve">Uno de los factores sobre el que se ha considerado necesario incidir durante los últimos años con una mayor insistencia ha sido sobre los </w:t>
      </w:r>
      <w:r>
        <w:rPr>
          <w:rFonts w:ascii="Arial" w:hAnsi="Arial"/>
          <w:b/>
        </w:rPr>
        <w:t>materiales didácticos</w:t>
      </w:r>
      <w:r>
        <w:rPr>
          <w:rFonts w:ascii="Arial" w:hAnsi="Arial"/>
        </w:rPr>
        <w:t>, que, a veces, aún reflejan la visión del mundo en la que se plasman los estereotipos tradicionales. Para ello, se ha colaborado con distintas Universidades y asociaciones, para la elaboración de materiales de difusión, que sirvan como instrumentos para la educación no sexista, así como de guías de buenas prácticas, con la misma finalidad.</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Igualmente importante ha sido </w:t>
      </w:r>
      <w:r>
        <w:rPr>
          <w:rFonts w:ascii="Arial" w:hAnsi="Arial"/>
          <w:b/>
        </w:rPr>
        <w:t>la sensibilización del</w:t>
      </w:r>
      <w:r>
        <w:rPr>
          <w:rFonts w:ascii="Arial" w:hAnsi="Arial"/>
        </w:rPr>
        <w:t xml:space="preserve"> </w:t>
      </w:r>
      <w:r>
        <w:rPr>
          <w:rFonts w:ascii="Arial" w:hAnsi="Arial"/>
          <w:b/>
        </w:rPr>
        <w:t xml:space="preserve">profesorado </w:t>
      </w:r>
      <w:r>
        <w:rPr>
          <w:rFonts w:ascii="Arial" w:hAnsi="Arial"/>
        </w:rPr>
        <w:t>en la transmisión del principio de igualdad. Por ello, anualmente se han llevado a cabo cursos de formación para este colectivo en colaboración con el Ministerio de Educación y Cultura, con las Escuelas Universitarias de Formación,  con los Organismos de Igualdad Autonómicos, las Organizaciones Sindicales de enseñanza y otras Entidades.</w:t>
      </w:r>
    </w:p>
    <w:p w:rsidR="00000000" w:rsidRDefault="00000000">
      <w:pPr>
        <w:jc w:val="both"/>
        <w:rPr>
          <w:rFonts w:ascii="Arial" w:hAnsi="Arial"/>
        </w:rPr>
      </w:pPr>
      <w:r>
        <w:rPr>
          <w:rFonts w:ascii="Arial" w:hAnsi="Arial"/>
        </w:rPr>
        <w:t xml:space="preserve"> </w:t>
      </w:r>
    </w:p>
    <w:p w:rsidR="00000000" w:rsidRDefault="00000000">
      <w:pPr>
        <w:pStyle w:val="BodyText2"/>
        <w:suppressAutoHyphens/>
        <w:ind w:right="0"/>
        <w:jc w:val="both"/>
        <w:rPr>
          <w:sz w:val="20"/>
        </w:rPr>
      </w:pPr>
      <w:r>
        <w:rPr>
          <w:sz w:val="20"/>
        </w:rPr>
        <w:t xml:space="preserve">Fruto de distintos </w:t>
      </w:r>
      <w:r>
        <w:rPr>
          <w:b/>
          <w:sz w:val="20"/>
        </w:rPr>
        <w:t>Convenios de Colaboración con el Ministerio de Educación, Cultura y Deporte</w:t>
      </w:r>
      <w:r>
        <w:rPr>
          <w:sz w:val="20"/>
        </w:rPr>
        <w:t>, se han cofinanciado cursos dirigidos a promover la educación no-sexista en los centros educat</w:t>
      </w:r>
      <w:r>
        <w:rPr>
          <w:sz w:val="20"/>
        </w:rPr>
        <w:t>i</w:t>
      </w:r>
      <w:r>
        <w:rPr>
          <w:sz w:val="20"/>
        </w:rPr>
        <w:t>vos.</w:t>
      </w:r>
    </w:p>
    <w:p w:rsidR="00000000" w:rsidRDefault="00000000">
      <w:pPr>
        <w:pStyle w:val="Title"/>
        <w:suppressAutoHyphens/>
        <w:jc w:val="both"/>
        <w:rPr>
          <w:b w:val="0"/>
          <w:sz w:val="20"/>
          <w:u w:val="none"/>
        </w:rPr>
      </w:pPr>
    </w:p>
    <w:p w:rsidR="00000000" w:rsidRDefault="00000000">
      <w:pPr>
        <w:pStyle w:val="Title"/>
        <w:suppressAutoHyphens/>
        <w:jc w:val="both"/>
        <w:rPr>
          <w:b w:val="0"/>
          <w:sz w:val="20"/>
          <w:u w:val="none"/>
        </w:rPr>
      </w:pPr>
      <w:r>
        <w:rPr>
          <w:b w:val="0"/>
          <w:sz w:val="20"/>
          <w:u w:val="none"/>
        </w:rPr>
        <w:t xml:space="preserve">Asimismo, el </w:t>
      </w:r>
      <w:r>
        <w:rPr>
          <w:sz w:val="20"/>
          <w:u w:val="none"/>
        </w:rPr>
        <w:t>Instituto de la Mujer y Confederación Española de Asociaciones de Padres y</w:t>
      </w:r>
      <w:r>
        <w:rPr>
          <w:b w:val="0"/>
          <w:sz w:val="20"/>
          <w:u w:val="none"/>
        </w:rPr>
        <w:t xml:space="preserve"> </w:t>
      </w:r>
      <w:r>
        <w:rPr>
          <w:sz w:val="20"/>
          <w:u w:val="none"/>
        </w:rPr>
        <w:t>Madres de Alumnos/as</w:t>
      </w:r>
      <w:r>
        <w:rPr>
          <w:b w:val="0"/>
          <w:sz w:val="20"/>
          <w:u w:val="none"/>
        </w:rPr>
        <w:t xml:space="preserve"> mantienen un Convenio marco de colaboración, firmado en el año 1989, renovado anualmente para la realización de actividades dirigidas a promover la participación de madres y padres en iniciativas dirigidas a conseguir la igualdad de oportunidades de alumnas y alumnos en la educación. Entre las actividades realizadas cabe destacar:</w:t>
      </w:r>
    </w:p>
    <w:p w:rsidR="00000000" w:rsidRDefault="00000000">
      <w:pPr>
        <w:pStyle w:val="Title"/>
        <w:suppressAutoHyphens/>
        <w:jc w:val="both"/>
        <w:rPr>
          <w:b w:val="0"/>
          <w:sz w:val="20"/>
          <w:u w:val="none"/>
        </w:rPr>
      </w:pPr>
    </w:p>
    <w:p w:rsidR="00000000" w:rsidRDefault="00000000">
      <w:pPr>
        <w:pStyle w:val="BodyTextIndent2"/>
        <w:numPr>
          <w:ilvl w:val="0"/>
          <w:numId w:val="41"/>
        </w:numPr>
        <w:tabs>
          <w:tab w:val="clear" w:pos="720"/>
        </w:tabs>
        <w:suppressAutoHyphens/>
        <w:ind w:left="207" w:hanging="207"/>
        <w:jc w:val="both"/>
        <w:rPr>
          <w:sz w:val="20"/>
        </w:rPr>
      </w:pPr>
      <w:r>
        <w:rPr>
          <w:sz w:val="20"/>
        </w:rPr>
        <w:t>Publicación de la revista bimensual que incluye información sobre coeducación: "Ser Padres/Madres". Esta revista  con una tirada de 11.500 ejemplares, se distribuye a través de las Federaciones Provinciales a todas las asociaciones de padres y madres de la Confederación.</w:t>
      </w:r>
    </w:p>
    <w:p w:rsidR="00000000" w:rsidRDefault="00000000">
      <w:pPr>
        <w:pStyle w:val="BodyTextIndent2"/>
        <w:numPr>
          <w:ilvl w:val="0"/>
          <w:numId w:val="41"/>
        </w:numPr>
        <w:tabs>
          <w:tab w:val="clear" w:pos="720"/>
        </w:tabs>
        <w:suppressAutoHyphens/>
        <w:ind w:left="207" w:hanging="207"/>
        <w:rPr>
          <w:sz w:val="20"/>
        </w:rPr>
      </w:pPr>
      <w:r>
        <w:rPr>
          <w:sz w:val="20"/>
        </w:rPr>
        <w:t>Curso de formación de formadores para padres y madres sobre maltrato.</w:t>
      </w:r>
    </w:p>
    <w:p w:rsidR="00000000" w:rsidRDefault="00000000">
      <w:pPr>
        <w:pStyle w:val="BodyTextIndent2"/>
        <w:numPr>
          <w:ilvl w:val="0"/>
          <w:numId w:val="41"/>
        </w:numPr>
        <w:tabs>
          <w:tab w:val="clear" w:pos="720"/>
        </w:tabs>
        <w:suppressAutoHyphens/>
        <w:ind w:left="207" w:hanging="207"/>
        <w:jc w:val="both"/>
        <w:rPr>
          <w:sz w:val="20"/>
        </w:rPr>
      </w:pPr>
      <w:r>
        <w:rPr>
          <w:sz w:val="20"/>
        </w:rPr>
        <w:t>Seminario de “Formación y sensibilización sobre integración: estrategias para promocionar la interculturalidad en los centros escolares desde las APAS”.</w:t>
      </w:r>
    </w:p>
    <w:p w:rsidR="00000000" w:rsidRDefault="00000000">
      <w:pPr>
        <w:pStyle w:val="BodyTextIndent2"/>
        <w:numPr>
          <w:ilvl w:val="0"/>
          <w:numId w:val="41"/>
        </w:numPr>
        <w:tabs>
          <w:tab w:val="clear" w:pos="720"/>
        </w:tabs>
        <w:suppressAutoHyphens/>
        <w:ind w:left="207" w:hanging="207"/>
        <w:rPr>
          <w:sz w:val="20"/>
        </w:rPr>
      </w:pPr>
      <w:r>
        <w:rPr>
          <w:sz w:val="20"/>
        </w:rPr>
        <w:t>Curso de “Orientación profesional desde la familia: la elección de carreras y ciclos formativos no tradicionales” para padres y madres de adolescentes.</w:t>
      </w:r>
    </w:p>
    <w:p w:rsidR="00000000" w:rsidRDefault="00000000">
      <w:pPr>
        <w:pStyle w:val="BodyText2"/>
        <w:suppressAutoHyphens/>
        <w:ind w:right="0"/>
        <w:jc w:val="both"/>
        <w:rPr>
          <w:sz w:val="20"/>
        </w:rPr>
      </w:pPr>
    </w:p>
    <w:p w:rsidR="00000000" w:rsidRDefault="00000000">
      <w:pPr>
        <w:pStyle w:val="BlockText"/>
        <w:suppressAutoHyphens/>
        <w:ind w:left="0" w:right="0"/>
        <w:rPr>
          <w:sz w:val="20"/>
        </w:rPr>
      </w:pPr>
      <w:r>
        <w:rPr>
          <w:sz w:val="20"/>
        </w:rPr>
        <w:t xml:space="preserve">Otro objetivo fundamental de los planes del Gobierno, ya sean los Planes de Igualdad de Oportunidades, de acción para el empleo o de inclusión social, son los </w:t>
      </w:r>
      <w:r>
        <w:rPr>
          <w:b/>
          <w:sz w:val="20"/>
        </w:rPr>
        <w:t>cursos de formación</w:t>
      </w:r>
      <w:r>
        <w:rPr>
          <w:sz w:val="20"/>
        </w:rPr>
        <w:t xml:space="preserve"> </w:t>
      </w:r>
      <w:r>
        <w:rPr>
          <w:b/>
          <w:sz w:val="20"/>
        </w:rPr>
        <w:t>ocupacional dirigidos a mejorar la empleabilidad de las mujeres desempleadas</w:t>
      </w:r>
      <w:r>
        <w:rPr>
          <w:sz w:val="20"/>
        </w:rPr>
        <w:t>. Para ello, el Instituto de la Mujer en colaboración con las Comunidades Autónomas, Ayuntamientos y Diputaciones, realiza una oferta formativa en función de las necesidades de cada localidad, enmarcados en los nuevos yacimientos de empleo y teniendo en cuenta que van dirigidos a mujeres desempleadas con diferentes perfiles formativos.</w:t>
      </w:r>
    </w:p>
    <w:p w:rsidR="00000000" w:rsidRDefault="00000000">
      <w:pPr>
        <w:jc w:val="both"/>
        <w:rPr>
          <w:rFonts w:ascii="Arial" w:hAnsi="Arial"/>
        </w:rPr>
      </w:pPr>
      <w:r>
        <w:rPr>
          <w:rFonts w:ascii="Arial" w:hAnsi="Arial"/>
        </w:rPr>
        <w:t>La formación impartida en dichos cursos es variable ya que su objetivo fundamental es su adaptación a las necesidades del mercado local y su duración aproximada es de 200 horas.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este sentido, cabe destacar el </w:t>
      </w:r>
      <w:r>
        <w:rPr>
          <w:rFonts w:ascii="Arial" w:hAnsi="Arial"/>
          <w:b/>
          <w:i/>
        </w:rPr>
        <w:t>Proyecto ALBA</w:t>
      </w:r>
      <w:r>
        <w:rPr>
          <w:rFonts w:ascii="Arial" w:hAnsi="Arial"/>
          <w:i/>
        </w:rPr>
        <w:t>: Mejora de la empleabilidad de las mujeres</w:t>
      </w:r>
      <w:r>
        <w:rPr>
          <w:rFonts w:ascii="Arial" w:hAnsi="Arial"/>
        </w:rPr>
        <w:t xml:space="preserve"> enmarcado dentro del Programa Comunitario </w:t>
      </w:r>
      <w:r>
        <w:rPr>
          <w:rFonts w:ascii="Arial" w:hAnsi="Arial"/>
          <w:b/>
        </w:rPr>
        <w:t>Leonardo</w:t>
      </w:r>
      <w:r>
        <w:rPr>
          <w:rFonts w:ascii="Arial" w:hAnsi="Arial"/>
        </w:rPr>
        <w:t xml:space="preserve"> </w:t>
      </w:r>
      <w:r>
        <w:rPr>
          <w:rFonts w:ascii="Arial" w:hAnsi="Arial"/>
          <w:b/>
        </w:rPr>
        <w:t>da Vinci</w:t>
      </w:r>
      <w:r>
        <w:rPr>
          <w:rFonts w:ascii="Arial" w:hAnsi="Arial"/>
        </w:rPr>
        <w:t xml:space="preserve"> para el fomento de la formación profesional,  seleccionado por la Comisión Europea para su cofinanciación durante el periodo 1998-2000.</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Proyecto Alba es una experiencia piloto que trata de mostrar nuevos caminos en la formación profesional. </w:t>
      </w:r>
    </w:p>
    <w:p w:rsidR="00000000" w:rsidRDefault="00000000">
      <w:pPr>
        <w:jc w:val="both"/>
        <w:rPr>
          <w:rFonts w:ascii="Arial" w:hAnsi="Arial"/>
        </w:rPr>
      </w:pPr>
    </w:p>
    <w:p w:rsidR="00000000" w:rsidRDefault="00000000">
      <w:pPr>
        <w:pStyle w:val="BodyText2"/>
        <w:suppressAutoHyphens/>
        <w:ind w:right="0"/>
        <w:jc w:val="both"/>
        <w:rPr>
          <w:sz w:val="20"/>
        </w:rPr>
      </w:pPr>
      <w:r>
        <w:rPr>
          <w:sz w:val="20"/>
        </w:rPr>
        <w:t>El objetivo del Proyecto es: promover la coordinación entre los subsistemas de formación básica, profesional y ocupacional en colaboración con los distintos agentes sociales, mejorando las ofertas formativas, para facilitar la empleabilidad de mujeres adultas que carecen de titulación en educación básica y de cualificación adecuada a las ofertas de empleo existentes.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Promovido por el </w:t>
      </w:r>
      <w:r>
        <w:rPr>
          <w:rFonts w:ascii="Arial" w:hAnsi="Arial"/>
          <w:b/>
        </w:rPr>
        <w:t>Instituto de la Mujer</w:t>
      </w:r>
      <w:r>
        <w:rPr>
          <w:rFonts w:ascii="Arial" w:hAnsi="Arial"/>
        </w:rPr>
        <w:t>,  han colaborado en este proyecto, el Ministerio de Educación Cultura y Deporte, el Instituto Nacional de Empleo, el Instituto Nacional de las Cualificaciones, e Italia y Portugal como socios transnacionales.</w:t>
      </w:r>
    </w:p>
    <w:p w:rsidR="00000000" w:rsidRDefault="00000000">
      <w:pPr>
        <w:jc w:val="both"/>
        <w:rPr>
          <w:rFonts w:ascii="Arial" w:hAnsi="Arial"/>
        </w:rPr>
      </w:pPr>
    </w:p>
    <w:p w:rsidR="00000000" w:rsidRDefault="00000000">
      <w:pPr>
        <w:jc w:val="both"/>
        <w:rPr>
          <w:rFonts w:ascii="Arial" w:hAnsi="Arial"/>
        </w:rPr>
      </w:pPr>
      <w:r>
        <w:rPr>
          <w:rFonts w:ascii="Arial" w:hAnsi="Arial"/>
        </w:rPr>
        <w:t>Las actuaciones llevadas a cabo son:</w:t>
      </w:r>
    </w:p>
    <w:p w:rsidR="00000000" w:rsidRDefault="00000000">
      <w:pPr>
        <w:ind w:hanging="284"/>
        <w:jc w:val="both"/>
        <w:rPr>
          <w:rFonts w:ascii="Arial" w:hAnsi="Arial"/>
        </w:rPr>
      </w:pPr>
    </w:p>
    <w:p w:rsidR="00000000" w:rsidRDefault="00000000">
      <w:pPr>
        <w:numPr>
          <w:ilvl w:val="0"/>
          <w:numId w:val="28"/>
        </w:numPr>
        <w:ind w:left="475" w:hanging="475"/>
        <w:jc w:val="both"/>
        <w:rPr>
          <w:rFonts w:ascii="Arial" w:hAnsi="Arial"/>
        </w:rPr>
      </w:pPr>
      <w:r>
        <w:rPr>
          <w:rFonts w:ascii="Arial" w:hAnsi="Arial"/>
        </w:rPr>
        <w:t>Diseño de perfiles profesionales de acompañamiento.</w:t>
      </w:r>
    </w:p>
    <w:p w:rsidR="00000000" w:rsidRDefault="00000000">
      <w:pPr>
        <w:numPr>
          <w:ilvl w:val="0"/>
          <w:numId w:val="28"/>
        </w:numPr>
        <w:ind w:left="475" w:hanging="475"/>
        <w:jc w:val="both"/>
        <w:rPr>
          <w:rFonts w:ascii="Arial" w:hAnsi="Arial"/>
        </w:rPr>
      </w:pPr>
      <w:r>
        <w:rPr>
          <w:rFonts w:ascii="Arial" w:hAnsi="Arial"/>
        </w:rPr>
        <w:t>Elaboración de guías y módulos formativos.</w:t>
      </w:r>
    </w:p>
    <w:p w:rsidR="00000000" w:rsidRDefault="00000000">
      <w:pPr>
        <w:numPr>
          <w:ilvl w:val="0"/>
          <w:numId w:val="28"/>
        </w:numPr>
        <w:ind w:left="475" w:hanging="475"/>
        <w:jc w:val="both"/>
        <w:rPr>
          <w:rFonts w:ascii="Arial" w:hAnsi="Arial"/>
        </w:rPr>
      </w:pPr>
      <w:r>
        <w:rPr>
          <w:rFonts w:ascii="Arial" w:hAnsi="Arial"/>
        </w:rPr>
        <w:t>Promoción del uso de nuevas tecnologías.</w:t>
      </w:r>
    </w:p>
    <w:p w:rsidR="00000000" w:rsidRDefault="00000000">
      <w:pPr>
        <w:numPr>
          <w:ilvl w:val="0"/>
          <w:numId w:val="28"/>
        </w:numPr>
        <w:ind w:left="475" w:hanging="475"/>
        <w:jc w:val="both"/>
        <w:rPr>
          <w:rFonts w:ascii="Arial" w:hAnsi="Arial"/>
        </w:rPr>
      </w:pPr>
      <w:r>
        <w:rPr>
          <w:rFonts w:ascii="Arial" w:hAnsi="Arial"/>
        </w:rPr>
        <w:t>Reconocimiento y acreditación de la formación.</w:t>
      </w:r>
    </w:p>
    <w:p w:rsidR="00000000" w:rsidRDefault="00000000">
      <w:pPr>
        <w:numPr>
          <w:ilvl w:val="0"/>
          <w:numId w:val="28"/>
        </w:numPr>
        <w:ind w:left="475" w:hanging="475"/>
        <w:jc w:val="both"/>
        <w:rPr>
          <w:rFonts w:ascii="Arial" w:hAnsi="Arial"/>
        </w:rPr>
      </w:pPr>
      <w:r>
        <w:rPr>
          <w:rFonts w:ascii="Arial" w:hAnsi="Arial"/>
        </w:rPr>
        <w:t>Identificación y descripción de ocupaciones adecuadas para el colectivo destinatario.</w:t>
      </w:r>
    </w:p>
    <w:p w:rsidR="00000000" w:rsidRDefault="00000000">
      <w:pPr>
        <w:jc w:val="both"/>
        <w:rPr>
          <w:rFonts w:ascii="Arial" w:hAnsi="Arial"/>
        </w:rPr>
      </w:pPr>
    </w:p>
    <w:p w:rsidR="00000000" w:rsidRDefault="00000000">
      <w:pPr>
        <w:jc w:val="both"/>
        <w:rPr>
          <w:rFonts w:ascii="Arial" w:hAnsi="Arial"/>
        </w:rPr>
      </w:pPr>
      <w:r>
        <w:rPr>
          <w:rFonts w:ascii="Arial" w:hAnsi="Arial"/>
        </w:rPr>
        <w:t>En los primeros cursos piloto han participado cien mujeres y según los datos del seguimiento realizado, el 65,3% tienen la intención de continuar sus estudios, ya sea matriculándose en las materias que no han superado o en cursos de mayor nivel. E igualmente, el 69’3% de las mujeres formadas han accedido a algún puesto de trabajo tras la realización del curso, de ellas el 40,8% en el sector de hostelería.</w:t>
      </w:r>
    </w:p>
    <w:p w:rsidR="00000000" w:rsidRDefault="00000000">
      <w:pPr>
        <w:pStyle w:val="BodyTextIndent"/>
        <w:suppressAutoHyphens/>
        <w:ind w:left="0"/>
        <w:rPr>
          <w:sz w:val="20"/>
        </w:rPr>
      </w:pPr>
    </w:p>
    <w:p w:rsidR="00000000" w:rsidRDefault="00000000">
      <w:pPr>
        <w:jc w:val="both"/>
        <w:rPr>
          <w:rFonts w:ascii="Arial" w:hAnsi="Arial"/>
        </w:rPr>
      </w:pPr>
      <w:r>
        <w:rPr>
          <w:rFonts w:ascii="Arial" w:hAnsi="Arial"/>
        </w:rPr>
        <w:t xml:space="preserve">Junto a la formación del profesorado y a la sensibilización de la sociedad, hay que añadir el esfuerzo realizado para promover la </w:t>
      </w:r>
      <w:r>
        <w:rPr>
          <w:rFonts w:ascii="Arial" w:hAnsi="Arial"/>
          <w:b/>
        </w:rPr>
        <w:t>utilización de un lenguaje que represente lo femenino y lo masculino</w:t>
      </w:r>
      <w:r>
        <w:rPr>
          <w:rFonts w:ascii="Arial" w:hAnsi="Arial"/>
        </w:rPr>
        <w:t xml:space="preserve"> en todos los ámbitos, pero especialmente en el educativo. Para conseguirlo, se constituyó la </w:t>
      </w:r>
      <w:r>
        <w:rPr>
          <w:rFonts w:ascii="Arial" w:hAnsi="Arial"/>
          <w:b/>
        </w:rPr>
        <w:t>Comisión Asesora sobre el Lenguaje NOMBRA</w:t>
      </w:r>
      <w:r>
        <w:rPr>
          <w:rFonts w:ascii="Arial" w:hAnsi="Arial"/>
        </w:rPr>
        <w:t>, que ha llevado a cabo una revisión crítica del Diccionario de la Real Academia Española de la Lengua. Posteriormente, las propuestas se remitieron a la Academia y han sido tenidas en cuenta en la redacción de la nueva edición del Diccionario del año 2000. También se han celebrado reuniones de trabajo y Seminarios sobre lenguaje</w:t>
      </w:r>
      <w:r>
        <w:rPr>
          <w:rFonts w:ascii="Arial" w:hAnsi="Arial"/>
          <w:b/>
        </w:rPr>
        <w:t>,</w:t>
      </w:r>
      <w:r>
        <w:rPr>
          <w:rFonts w:ascii="Arial" w:hAnsi="Arial"/>
        </w:rPr>
        <w:t xml:space="preserve"> con representantes de Institutos y Seminarios Universitarios de Estudios de la Mujer, con la finalidad de difundir las últimas investigaciones llevadas a cabo en este campo.</w:t>
      </w:r>
    </w:p>
    <w:p w:rsidR="00000000" w:rsidRDefault="00000000">
      <w:pPr>
        <w:jc w:val="both"/>
        <w:rPr>
          <w:rFonts w:ascii="Arial" w:hAnsi="Arial"/>
        </w:rPr>
      </w:pPr>
    </w:p>
    <w:p w:rsidR="00000000" w:rsidRDefault="00000000">
      <w:pPr>
        <w:jc w:val="both"/>
        <w:rPr>
          <w:rFonts w:ascii="Arial" w:hAnsi="Arial"/>
        </w:rPr>
      </w:pPr>
      <w:r>
        <w:rPr>
          <w:rFonts w:ascii="Arial" w:hAnsi="Arial"/>
        </w:rPr>
        <w:t>En 1999, en colaboración con la Confederación Española de Asociaciones de Padres y Madres (CEAPA) se han elaborado y difundido las guías: “Tareas domésticas: hacia un modelo de responsabilidades compartidas” con una edición de 2000 ejemplares y “Orientación profesional desde la familia” con la misma tirada. En el año 2001 y en colaboración con esta organización se ha desarrollado el curso “Orientación profesional desde la familia: la elección de carreras no tradicionales”.</w:t>
      </w:r>
    </w:p>
    <w:p w:rsidR="00000000" w:rsidRDefault="00000000">
      <w:pPr>
        <w:jc w:val="both"/>
        <w:rPr>
          <w:rFonts w:ascii="Arial" w:hAnsi="Arial"/>
        </w:rPr>
      </w:pPr>
    </w:p>
    <w:p w:rsidR="00000000" w:rsidRDefault="00000000">
      <w:pPr>
        <w:jc w:val="both"/>
        <w:rPr>
          <w:rFonts w:ascii="Arial" w:hAnsi="Arial"/>
        </w:rPr>
      </w:pPr>
      <w:r>
        <w:rPr>
          <w:rFonts w:ascii="Arial" w:hAnsi="Arial"/>
        </w:rPr>
        <w:t>En el 2001, y en colaboración con el Centro de Investigación y Documentación Educativa del Ministerio de Educación, Cultura y Deporte se han promovido investigaciones sobre “Trayectorias profesionales de mujeres con estudios tradicionalmente masculinos”, "Reparto de responsabilidades entre mujeres y hombres en el mundo de la educación” y La escolarización de hijas de inmigrantes”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Asimismo y con el fin de potenciar la creación y el funcionamiento de los </w:t>
      </w:r>
      <w:r>
        <w:rPr>
          <w:rFonts w:ascii="Arial" w:hAnsi="Arial"/>
          <w:b/>
        </w:rPr>
        <w:t>Seminarios de estudios de la mujer en las Universidades</w:t>
      </w:r>
      <w:r>
        <w:rPr>
          <w:rFonts w:ascii="Arial" w:hAnsi="Arial"/>
        </w:rPr>
        <w:t>, se ha venido apoyando financieramente a través de convocatorias públicas anuales, la realización de actividades, y el intercambio de experiencias entre los mismos. Hoy en día existen Seminarios e Institutos Universitarios de estudios de las mujeres en la práctica totalidad de las Universidades españolas.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Desde 1999, el Instituto de la Mujer desarrolla el </w:t>
      </w:r>
      <w:r>
        <w:rPr>
          <w:rFonts w:ascii="Arial" w:hAnsi="Arial"/>
          <w:b/>
        </w:rPr>
        <w:t>Proyecto RELACIONA</w:t>
      </w:r>
      <w:r>
        <w:rPr>
          <w:rFonts w:ascii="Arial" w:hAnsi="Arial"/>
        </w:rPr>
        <w:t>, para abordar el tratamiento de la violencia en los centros educativos. Se trata de propiciar la reflexión del profesorado sobre la relación existente entre el modelo tradicional de masculinidad y la violencia contra las mujeres, que se da en la sociedad y que la educación puede modificar.</w:t>
      </w:r>
    </w:p>
    <w:p w:rsidR="00000000" w:rsidRDefault="00000000">
      <w:pPr>
        <w:pStyle w:val="BodyText"/>
        <w:suppressAutoHyphens/>
        <w:rPr>
          <w:sz w:val="20"/>
        </w:rPr>
      </w:pPr>
    </w:p>
    <w:p w:rsidR="00000000" w:rsidRDefault="00000000">
      <w:pPr>
        <w:jc w:val="both"/>
        <w:rPr>
          <w:rFonts w:ascii="Arial" w:hAnsi="Arial"/>
        </w:rPr>
      </w:pPr>
      <w:r>
        <w:rPr>
          <w:rFonts w:ascii="Arial" w:hAnsi="Arial"/>
        </w:rPr>
        <w:t xml:space="preserve">Otro campo de actuación dentro de esta área, se centra en la </w:t>
      </w:r>
      <w:r>
        <w:rPr>
          <w:rFonts w:ascii="Arial" w:hAnsi="Arial"/>
          <w:b/>
        </w:rPr>
        <w:t>práctica</w:t>
      </w:r>
      <w:r>
        <w:rPr>
          <w:rFonts w:ascii="Arial" w:hAnsi="Arial"/>
        </w:rPr>
        <w:t xml:space="preserve"> </w:t>
      </w:r>
      <w:r>
        <w:rPr>
          <w:rFonts w:ascii="Arial" w:hAnsi="Arial"/>
          <w:b/>
        </w:rPr>
        <w:t>deportiva</w:t>
      </w:r>
      <w:r>
        <w:rPr>
          <w:rFonts w:ascii="Arial" w:hAnsi="Arial"/>
        </w:rPr>
        <w:t xml:space="preserve"> de las mujeres. Los datos disponibles muestran que la práctica del ejercicio físico es menor en el caso del sexo femenino en todos los grupos de edad, lo que repercute negativamente en la salud y el desarrollo integral de las mujeres. Por ello, se cree conveniente potenciar esta práctica desde las instituciones educativas, así como desde los distintos agentes sociales.</w:t>
      </w:r>
    </w:p>
    <w:p w:rsidR="00000000" w:rsidRDefault="00000000">
      <w:pPr>
        <w:jc w:val="both"/>
        <w:rPr>
          <w:rFonts w:ascii="Arial" w:hAnsi="Arial"/>
        </w:rPr>
      </w:pPr>
    </w:p>
    <w:p w:rsidR="00000000" w:rsidRDefault="00000000">
      <w:pPr>
        <w:pStyle w:val="BodyText"/>
        <w:suppressAutoHyphens/>
        <w:rPr>
          <w:sz w:val="20"/>
        </w:rPr>
      </w:pPr>
      <w:r>
        <w:rPr>
          <w:sz w:val="20"/>
        </w:rPr>
        <w:t xml:space="preserve">Con este objetivo, el Ministerio de Trabajo y Asuntos Sociales viene colaborando con el Ministerio de Educación, Cultura y Deporte a través de la figura del </w:t>
      </w:r>
      <w:r>
        <w:rPr>
          <w:b/>
          <w:sz w:val="20"/>
        </w:rPr>
        <w:t>Convenio de colaboración para la realización de actividades en el ámbito del deporte. Así, el Instituto de la Mujer y el Consejo Superior de Deportes</w:t>
      </w:r>
      <w:r>
        <w:rPr>
          <w:sz w:val="20"/>
        </w:rPr>
        <w:t xml:space="preserve"> realizan, conjuntamente, actividades dirigidas a promover la coeducación en la práctica deportiva, la elaboración y difusión de materiales didácticos, la promoción de la práctica deportiva femenina y la investigación y análisis sobre dicha práctica.</w:t>
      </w:r>
    </w:p>
    <w:p w:rsidR="00000000" w:rsidRDefault="00000000">
      <w:pPr>
        <w:pStyle w:val="BodyText"/>
        <w:suppressAutoHyphens/>
        <w:rPr>
          <w:sz w:val="20"/>
        </w:rPr>
      </w:pPr>
    </w:p>
    <w:p w:rsidR="00000000" w:rsidRDefault="00000000">
      <w:pPr>
        <w:jc w:val="both"/>
        <w:rPr>
          <w:rFonts w:ascii="Arial" w:hAnsi="Arial"/>
        </w:rPr>
      </w:pPr>
      <w:r>
        <w:rPr>
          <w:rFonts w:ascii="Arial" w:hAnsi="Arial"/>
        </w:rPr>
        <w:t>Entre las actividades cabe señalar:</w:t>
      </w:r>
    </w:p>
    <w:p w:rsidR="00000000" w:rsidRDefault="00000000">
      <w:pPr>
        <w:pStyle w:val="Title"/>
        <w:suppressAutoHyphens/>
        <w:ind w:hanging="284"/>
        <w:jc w:val="both"/>
        <w:rPr>
          <w:b w:val="0"/>
          <w:sz w:val="20"/>
          <w:u w:val="none"/>
        </w:rPr>
      </w:pPr>
    </w:p>
    <w:p w:rsidR="00000000" w:rsidRDefault="00000000">
      <w:pPr>
        <w:pStyle w:val="Title"/>
        <w:numPr>
          <w:ilvl w:val="0"/>
          <w:numId w:val="51"/>
        </w:numPr>
        <w:suppressAutoHyphens/>
        <w:jc w:val="both"/>
        <w:rPr>
          <w:sz w:val="20"/>
          <w:u w:val="none"/>
        </w:rPr>
      </w:pPr>
      <w:r>
        <w:rPr>
          <w:b w:val="0"/>
          <w:sz w:val="20"/>
          <w:u w:val="none"/>
        </w:rPr>
        <w:t>Premio a la Comunidad Autónoma que más se haya distinguido en cuanto a participación femenina y resultados obtenidos en los Campeonatos Escolares nacionales.</w:t>
      </w:r>
    </w:p>
    <w:p w:rsidR="00000000" w:rsidRDefault="00000000">
      <w:pPr>
        <w:pStyle w:val="Title"/>
        <w:numPr>
          <w:ilvl w:val="0"/>
          <w:numId w:val="51"/>
        </w:numPr>
        <w:suppressAutoHyphens/>
        <w:jc w:val="both"/>
        <w:rPr>
          <w:sz w:val="20"/>
          <w:u w:val="none"/>
        </w:rPr>
      </w:pPr>
      <w:r>
        <w:rPr>
          <w:b w:val="0"/>
          <w:sz w:val="20"/>
          <w:u w:val="none"/>
        </w:rPr>
        <w:t>Elaboración de un vídeo, con el título “Elige tu deporte”, dirigido al profesorado con propuestas para desarrollar en los centros educativos diversos.</w:t>
      </w:r>
    </w:p>
    <w:p w:rsidR="00000000" w:rsidRDefault="00000000">
      <w:pPr>
        <w:pStyle w:val="Title"/>
        <w:numPr>
          <w:ilvl w:val="0"/>
          <w:numId w:val="51"/>
        </w:numPr>
        <w:suppressAutoHyphens/>
        <w:jc w:val="both"/>
        <w:rPr>
          <w:sz w:val="20"/>
          <w:u w:val="none"/>
        </w:rPr>
      </w:pPr>
      <w:r>
        <w:rPr>
          <w:b w:val="0"/>
          <w:sz w:val="20"/>
          <w:u w:val="none"/>
        </w:rPr>
        <w:t>Desagregación de datos por sexo en los ámbitos escolar, universitario y federativo, de las diferentes actividades deportivas.</w:t>
      </w:r>
    </w:p>
    <w:p w:rsidR="00000000" w:rsidRDefault="00000000">
      <w:pPr>
        <w:pStyle w:val="BodyText"/>
        <w:tabs>
          <w:tab w:val="left" w:pos="9072"/>
        </w:tabs>
        <w:suppressAutoHyphens/>
        <w:ind w:hanging="284"/>
        <w:rPr>
          <w:b/>
          <w:sz w:val="20"/>
        </w:rPr>
      </w:pPr>
    </w:p>
    <w:p w:rsidR="00000000" w:rsidRDefault="00000000">
      <w:pPr>
        <w:pStyle w:val="BodyTextIndent2"/>
        <w:suppressAutoHyphens/>
        <w:ind w:left="0"/>
        <w:rPr>
          <w:sz w:val="20"/>
        </w:rPr>
      </w:pPr>
      <w:r>
        <w:rPr>
          <w:sz w:val="20"/>
        </w:rPr>
        <w:t xml:space="preserve">Con similares objetivos, el Instituto de la Mujer y la </w:t>
      </w:r>
      <w:r>
        <w:rPr>
          <w:b/>
          <w:sz w:val="20"/>
        </w:rPr>
        <w:t>Fundación Mujer y Deporte</w:t>
      </w:r>
      <w:r>
        <w:rPr>
          <w:sz w:val="20"/>
        </w:rPr>
        <w:t xml:space="preserve"> tienen firmado un </w:t>
      </w:r>
      <w:r>
        <w:rPr>
          <w:b/>
          <w:sz w:val="20"/>
        </w:rPr>
        <w:t>Convenio de colaboración</w:t>
      </w:r>
      <w:r>
        <w:rPr>
          <w:sz w:val="20"/>
        </w:rPr>
        <w:t xml:space="preserve"> a través del cual se han realizado las siguientes actividades:</w:t>
      </w:r>
    </w:p>
    <w:p w:rsidR="00000000" w:rsidRDefault="00000000">
      <w:pPr>
        <w:pStyle w:val="BodyTextIndent2"/>
        <w:suppressAutoHyphens/>
        <w:ind w:left="0"/>
        <w:rPr>
          <w:sz w:val="20"/>
        </w:rPr>
      </w:pPr>
    </w:p>
    <w:p w:rsidR="00000000" w:rsidRDefault="00000000">
      <w:pPr>
        <w:pStyle w:val="BodyTextIndent2"/>
        <w:numPr>
          <w:ilvl w:val="0"/>
          <w:numId w:val="41"/>
        </w:numPr>
        <w:tabs>
          <w:tab w:val="clear" w:pos="720"/>
        </w:tabs>
        <w:suppressAutoHyphens/>
        <w:ind w:left="207" w:hanging="207"/>
        <w:jc w:val="both"/>
        <w:rPr>
          <w:sz w:val="20"/>
        </w:rPr>
      </w:pPr>
      <w:r>
        <w:rPr>
          <w:sz w:val="20"/>
        </w:rPr>
        <w:t>Creación de un Observatorio sobre Mujer y Deporte.</w:t>
      </w:r>
    </w:p>
    <w:p w:rsidR="00000000" w:rsidRDefault="00000000">
      <w:pPr>
        <w:pStyle w:val="BodyTextIndent2"/>
        <w:numPr>
          <w:ilvl w:val="0"/>
          <w:numId w:val="41"/>
        </w:numPr>
        <w:tabs>
          <w:tab w:val="clear" w:pos="720"/>
        </w:tabs>
        <w:suppressAutoHyphens/>
        <w:ind w:left="207" w:hanging="207"/>
        <w:jc w:val="both"/>
        <w:rPr>
          <w:sz w:val="20"/>
        </w:rPr>
      </w:pPr>
      <w:r>
        <w:rPr>
          <w:sz w:val="20"/>
        </w:rPr>
        <w:t>Celebración de una jornada sobre Mujer y Deporte en la que se ha difundido el estado actual de la presencia femenina y su participación en el ámbito deportivo.</w:t>
      </w:r>
    </w:p>
    <w:p w:rsidR="00000000" w:rsidRDefault="00000000">
      <w:pPr>
        <w:jc w:val="both"/>
        <w:rPr>
          <w:rFonts w:ascii="Arial" w:hAnsi="Arial"/>
        </w:rPr>
      </w:pPr>
    </w:p>
    <w:p w:rsidR="00000000" w:rsidRDefault="00000000">
      <w:pPr>
        <w:jc w:val="both"/>
        <w:rPr>
          <w:rFonts w:ascii="Arial" w:hAnsi="Arial"/>
        </w:rPr>
      </w:pPr>
      <w:r>
        <w:rPr>
          <w:rFonts w:ascii="Arial" w:hAnsi="Arial"/>
        </w:rPr>
        <w:t>Durante estos años, se han firmado Convenios de Colaboración con otros Organismos públicos, tales como el Instituto Nacional de Consumo, Universidades,  para la realización de actividades de educación y formación no-sexista, educación afectiva/sexual, y reparto de responsabilidades familiares.</w:t>
      </w:r>
    </w:p>
    <w:p w:rsidR="00000000" w:rsidRDefault="00000000">
      <w:pPr>
        <w:jc w:val="both"/>
        <w:rPr>
          <w:rFonts w:ascii="Arial" w:hAnsi="Arial"/>
        </w:rPr>
      </w:pPr>
    </w:p>
    <w:p w:rsidR="00000000" w:rsidRDefault="00000000">
      <w:pPr>
        <w:jc w:val="both"/>
        <w:rPr>
          <w:rFonts w:ascii="Arial" w:hAnsi="Arial"/>
        </w:rPr>
      </w:pPr>
      <w:r>
        <w:rPr>
          <w:rFonts w:ascii="Arial" w:hAnsi="Arial"/>
        </w:rPr>
        <w:t>Con el fin de que los medios de comunicación representen adecuadamente a las mujeres, sin estereotipos sexistas, en el año 2001, se ha establecido un convenio de colaboración con el ente público Radiotelevisión Española. Su objetivo es analizar la presencia de las mujeres en los medios, debatir el tratamiento que se otorga a la violencia ejercida contra las mujeres y formar a profesionales para mejorar la representación de lo femenino en los informativos y programas.</w:t>
      </w:r>
    </w:p>
    <w:p w:rsidR="00000000" w:rsidRDefault="00000000">
      <w:pPr>
        <w:jc w:val="both"/>
        <w:rPr>
          <w:rFonts w:ascii="Arial" w:hAnsi="Arial"/>
        </w:rPr>
      </w:pPr>
    </w:p>
    <w:p w:rsidR="00000000" w:rsidRDefault="00000000">
      <w:pPr>
        <w:pStyle w:val="Heading2"/>
        <w:suppressAutoHyphens/>
        <w:spacing w:line="240" w:lineRule="auto"/>
        <w:jc w:val="both"/>
        <w:rPr>
          <w:rFonts w:ascii="Arial" w:hAnsi="Arial"/>
          <w:b w:val="0"/>
          <w:sz w:val="20"/>
        </w:rPr>
      </w:pPr>
      <w:r>
        <w:rPr>
          <w:rFonts w:ascii="Arial" w:hAnsi="Arial"/>
          <w:b w:val="0"/>
          <w:sz w:val="20"/>
        </w:rPr>
        <w:t>Entre las acciones formativas para fomento de la igualdad de oportunidades desarrolladas por el Instituto de la Mujer  figuran también:</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Curso de Agentes de Igualdad</w:t>
      </w:r>
      <w:r>
        <w:rPr>
          <w:rFonts w:ascii="Arial" w:hAnsi="Arial"/>
        </w:rPr>
        <w:t>, de 270 horas de duración dirigido a  formar, desde la óptica de la igualdad de oportunidades, a aquellas personas, técnicas y profesionales, que trabajan con mujeres desde las diferentes áreas de política social, educación, salud, etc, con el objetivo de integrar en dichas políticas el “mainstreaming” de género.</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3"/>
        <w:suppressAutoHyphens/>
        <w:ind w:left="0"/>
        <w:jc w:val="left"/>
        <w:rPr>
          <w:b/>
        </w:rPr>
      </w:pPr>
      <w:r>
        <w:rPr>
          <w:b/>
        </w:rPr>
        <w:t>Artículo 11: Empleo</w:t>
      </w:r>
    </w:p>
    <w:p w:rsidR="00000000" w:rsidRDefault="00000000">
      <w:pPr>
        <w:pStyle w:val="Heading3"/>
        <w:suppressAutoHyphens/>
        <w:ind w:left="0"/>
        <w:jc w:val="left"/>
        <w:rPr>
          <w:b/>
          <w:i/>
        </w:rPr>
      </w:pPr>
    </w:p>
    <w:p w:rsidR="00000000" w:rsidRDefault="00000000">
      <w:pPr>
        <w:pStyle w:val="Heading3"/>
        <w:suppressAutoHyphens/>
        <w:ind w:left="0"/>
        <w:jc w:val="left"/>
        <w:rPr>
          <w:b/>
        </w:rPr>
      </w:pPr>
      <w:r>
        <w:rPr>
          <w:b/>
        </w:rPr>
        <w:t>I.- Situación actual</w:t>
      </w:r>
    </w:p>
    <w:p w:rsidR="00000000" w:rsidRDefault="00000000"/>
    <w:p w:rsidR="00000000" w:rsidRDefault="00000000">
      <w:pPr>
        <w:jc w:val="both"/>
        <w:rPr>
          <w:rFonts w:ascii="Arial" w:hAnsi="Arial"/>
        </w:rPr>
      </w:pPr>
      <w:r>
        <w:rPr>
          <w:rFonts w:ascii="Arial" w:hAnsi="Arial"/>
        </w:rPr>
        <w:t>Desde 1997, el mercado de trabajo en España viene evolucionando favorablemente, en un contexto económico marcado por un crecimiento anual superior al 4%. Sin embargo, el progreso registrado en los últimos años no ha conseguido, aún, compensar plenamente las debilidades del mercado de trabajo español. La tasa de empleo sigue siendo baja, y el desempleo alto, especialmente entre las mujeres; asimismo, y a pesar del crecimiento de los contratos indefinidos, la tasa de temporalidad continúa elevada.</w:t>
      </w:r>
    </w:p>
    <w:p w:rsidR="00000000" w:rsidRDefault="00000000">
      <w:pPr>
        <w:jc w:val="both"/>
        <w:rPr>
          <w:rFonts w:ascii="Arial" w:hAnsi="Arial"/>
        </w:rPr>
      </w:pPr>
    </w:p>
    <w:p w:rsidR="00000000" w:rsidRDefault="00000000">
      <w:pPr>
        <w:jc w:val="both"/>
        <w:rPr>
          <w:rFonts w:ascii="Arial" w:hAnsi="Arial"/>
        </w:rPr>
      </w:pPr>
      <w:r>
        <w:rPr>
          <w:rFonts w:ascii="Arial" w:hAnsi="Arial"/>
        </w:rPr>
        <w:t>El desafío para los próximos años es superar esas debilidades, continuando con la creación intensiva de empleo, en particular empleo indefinido. Para ello, se está incidiendo en la formación y en la educación, que como  ya hemos adelantado en el capítulo anterior, se ha constituido en el aspecto clave para incrementar la tasa de empleo femenina.</w:t>
      </w:r>
    </w:p>
    <w:p w:rsidR="00000000" w:rsidRDefault="00000000">
      <w:pPr>
        <w:jc w:val="both"/>
        <w:rPr>
          <w:rFonts w:ascii="Arial" w:hAnsi="Arial"/>
          <w:i/>
        </w:rPr>
      </w:pPr>
    </w:p>
    <w:p w:rsidR="00000000" w:rsidRDefault="00000000">
      <w:pPr>
        <w:jc w:val="both"/>
        <w:rPr>
          <w:rFonts w:ascii="Arial" w:hAnsi="Arial"/>
        </w:rPr>
      </w:pPr>
      <w:r>
        <w:rPr>
          <w:rFonts w:ascii="Arial" w:hAnsi="Arial"/>
        </w:rPr>
        <w:t xml:space="preserve">La evolución de la </w:t>
      </w:r>
      <w:r>
        <w:rPr>
          <w:rFonts w:ascii="Arial" w:hAnsi="Arial"/>
          <w:b/>
        </w:rPr>
        <w:t>tasa de actividad</w:t>
      </w:r>
      <w:r>
        <w:rPr>
          <w:rFonts w:ascii="Arial" w:hAnsi="Arial"/>
        </w:rPr>
        <w:t xml:space="preserve"> entre los años 1999-2001 muestra que la tasa femenina en estos años ha aumentado más que la masculina, 1.25 puntos, frente a 0.92 puntos. Este crecimiento es mucho más acusado sí tomamos en cuenta los datos que España aportó en su primer informe a este Comité. Así, en 1985, la tasa de actividad femenina era de 27,6, mientras que la de los hombres era ya de 68,6. Aunque la participación femenina en el mercado laboral es todavía moderada, durante estos años se ha producido un incremento superior al masculino, y sí tenemos en cuenta las medidas relativas al empleo que España está adoptando, la previsión es que esta tendencia se va a mantener en los próximos años.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sz w:val="18"/>
        </w:rPr>
      </w:pPr>
      <w:r>
        <w:rPr>
          <w:sz w:val="18"/>
        </w:rPr>
        <w:t>Fuente: Elaboración propia a partir de los datos de la Encuesta de Población Activa, IV trimestre</w:t>
      </w:r>
    </w:p>
    <w:p w:rsidR="00000000" w:rsidRDefault="00000000">
      <w:pPr>
        <w:jc w:val="both"/>
        <w:rPr>
          <w:rFonts w:ascii="Arial" w:hAnsi="Arial"/>
        </w:rPr>
      </w:pPr>
      <w:r>
        <w:rPr>
          <w:rFonts w:ascii="Arial" w:hAnsi="Arial"/>
        </w:rPr>
        <w:t xml:space="preserve">Las </w:t>
      </w:r>
      <w:r>
        <w:rPr>
          <w:rFonts w:ascii="Arial" w:hAnsi="Arial"/>
          <w:b/>
        </w:rPr>
        <w:t>tasas de ocupación</w:t>
      </w:r>
      <w:r>
        <w:rPr>
          <w:rFonts w:ascii="Arial" w:hAnsi="Arial"/>
        </w:rPr>
        <w:t xml:space="preserve"> de las mujeres y de los hombres han experimentado un considerable incremento. No obstante, al igual que ocurre en la tasa de actividad, el aumento es mucho más importante para el sexo femenino, sí se tiene en cuenta la tasa de ocupación femenina del año 1985. En aquel momento, la tasa era de 20,75, por tanto hasta el año 2001, la tasa de ocupación femenina ha crecido en 12.08 puntos.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rFonts w:ascii="Arial" w:hAnsi="Arial"/>
          <w:i/>
          <w:sz w:val="16"/>
        </w:rPr>
      </w:pPr>
      <w:r>
        <w:rPr>
          <w:rFonts w:ascii="Arial" w:hAnsi="Arial"/>
          <w:sz w:val="16"/>
        </w:rPr>
        <w:t>Fuente: Elaboración propia a partir de los datos de la Encuesta de Población Activa, IV trimestre</w:t>
      </w:r>
    </w:p>
    <w:p w:rsidR="00000000" w:rsidRDefault="00000000">
      <w:pPr>
        <w:rPr>
          <w:rFonts w:ascii="Arial" w:hAnsi="Arial"/>
        </w:rPr>
      </w:pPr>
    </w:p>
    <w:p w:rsidR="00000000" w:rsidRDefault="00000000">
      <w:pPr>
        <w:jc w:val="both"/>
        <w:rPr>
          <w:rFonts w:ascii="Arial" w:hAnsi="Arial"/>
          <w:snapToGrid w:val="0"/>
          <w:color w:val="000000"/>
          <w:lang w:eastAsia="es-ES"/>
        </w:rPr>
      </w:pPr>
      <w:r>
        <w:rPr>
          <w:rFonts w:ascii="Arial" w:hAnsi="Arial"/>
        </w:rPr>
        <w:t>Sí tenemos en cuenta las cifras absolutas de la población ocupada, se aprecia que se ha producido un incremento de la presencia de mujeres en todas las ocupaciones consideradas, a excepción de las categorías de artesanas y trabajadoras cualificadas de industrias manufactureras, construcción y minería (excepto operadoras),</w:t>
      </w:r>
      <w:r>
        <w:rPr>
          <w:rFonts w:ascii="Arial" w:hAnsi="Arial"/>
          <w:snapToGrid w:val="0"/>
          <w:color w:val="000000"/>
          <w:lang w:eastAsia="es-ES"/>
        </w:rPr>
        <w:t xml:space="preserve"> operadoras de instalaciones y maquinaria y montadoras y trabajadoras cualificadas en agricultura y pesca, ocupaciones donde la mujer está claramente infrarrepresentada, de ahí que, como hemos visto en el capítulo correspondiente a la educación, se lleven a cabo programas y actividades dirigidas a la diversificación currícular.</w:t>
      </w:r>
    </w:p>
    <w:p w:rsidR="00000000" w:rsidRDefault="00000000">
      <w:pPr>
        <w:rPr>
          <w:snapToGrid w:val="0"/>
          <w:color w:val="000000"/>
          <w:lang w:eastAsia="es-ES"/>
        </w:rPr>
      </w:pPr>
    </w:p>
    <w:p w:rsidR="00000000" w:rsidRDefault="00000000">
      <w:pPr>
        <w:pStyle w:val="Heading5"/>
        <w:suppressAutoHyphens/>
        <w:ind w:left="0" w:right="0"/>
        <w:jc w:val="center"/>
      </w:pPr>
      <w:r>
        <w:t>Población ocupada por tipo de ocupación</w:t>
      </w:r>
    </w:p>
    <w:tbl>
      <w:tblPr>
        <w:tblW w:w="0" w:type="auto"/>
        <w:jc w:val="center"/>
        <w:tblLayout w:type="fixed"/>
        <w:tblCellMar>
          <w:left w:w="30" w:type="dxa"/>
          <w:right w:w="30" w:type="dxa"/>
        </w:tblCellMar>
        <w:tblLook w:val="0000" w:firstRow="0" w:lastRow="0" w:firstColumn="0" w:lastColumn="0" w:noHBand="0" w:noVBand="0"/>
      </w:tblPr>
      <w:tblGrid>
        <w:gridCol w:w="4678"/>
        <w:gridCol w:w="850"/>
        <w:gridCol w:w="993"/>
        <w:gridCol w:w="850"/>
        <w:gridCol w:w="992"/>
      </w:tblGrid>
      <w:tr w:rsidR="00000000">
        <w:tblPrEx>
          <w:tblCellMar>
            <w:top w:w="0" w:type="dxa"/>
            <w:bottom w:w="0" w:type="dxa"/>
          </w:tblCellMar>
        </w:tblPrEx>
        <w:trPr>
          <w:cantSplit/>
          <w:trHeight w:val="290"/>
          <w:jc w:val="center"/>
        </w:trPr>
        <w:tc>
          <w:tcPr>
            <w:tcW w:w="4678" w:type="dxa"/>
          </w:tcPr>
          <w:p w:rsidR="00000000" w:rsidRDefault="00000000">
            <w:pPr>
              <w:tabs>
                <w:tab w:val="left" w:pos="4790"/>
              </w:tabs>
              <w:jc w:val="center"/>
              <w:rPr>
                <w:rFonts w:ascii="Arial" w:hAnsi="Arial"/>
                <w:snapToGrid w:val="0"/>
                <w:color w:val="000000"/>
                <w:sz w:val="16"/>
                <w:lang w:eastAsia="es-ES"/>
              </w:rPr>
            </w:pPr>
          </w:p>
        </w:tc>
        <w:tc>
          <w:tcPr>
            <w:tcW w:w="1843" w:type="dxa"/>
            <w:gridSpan w:val="2"/>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1999</w:t>
            </w:r>
          </w:p>
        </w:tc>
        <w:tc>
          <w:tcPr>
            <w:tcW w:w="1842" w:type="dxa"/>
            <w:gridSpan w:val="2"/>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2001</w:t>
            </w:r>
          </w:p>
        </w:tc>
      </w:tr>
      <w:tr w:rsidR="00000000">
        <w:tblPrEx>
          <w:tblCellMar>
            <w:top w:w="0" w:type="dxa"/>
            <w:bottom w:w="0" w:type="dxa"/>
          </w:tblCellMar>
        </w:tblPrEx>
        <w:trPr>
          <w:cantSplit/>
          <w:trHeight w:val="305"/>
          <w:jc w:val="center"/>
        </w:trPr>
        <w:tc>
          <w:tcPr>
            <w:tcW w:w="4678" w:type="dxa"/>
          </w:tcPr>
          <w:p w:rsidR="00000000" w:rsidRDefault="00000000">
            <w:pPr>
              <w:tabs>
                <w:tab w:val="left" w:pos="4790"/>
              </w:tabs>
              <w:jc w:val="both"/>
              <w:rPr>
                <w:rFonts w:ascii="Arial" w:hAnsi="Arial"/>
                <w:b/>
                <w:snapToGrid w:val="0"/>
                <w:color w:val="000000"/>
                <w:sz w:val="16"/>
                <w:lang w:eastAsia="es-ES"/>
              </w:rPr>
            </w:pPr>
          </w:p>
        </w:tc>
        <w:tc>
          <w:tcPr>
            <w:tcW w:w="850" w:type="dxa"/>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Total</w:t>
            </w:r>
          </w:p>
        </w:tc>
        <w:tc>
          <w:tcPr>
            <w:tcW w:w="993" w:type="dxa"/>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 Mujeres</w:t>
            </w:r>
          </w:p>
        </w:tc>
        <w:tc>
          <w:tcPr>
            <w:tcW w:w="850" w:type="dxa"/>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Total</w:t>
            </w:r>
          </w:p>
        </w:tc>
        <w:tc>
          <w:tcPr>
            <w:tcW w:w="992" w:type="dxa"/>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 Mujeres</w:t>
            </w:r>
          </w:p>
        </w:tc>
      </w:tr>
      <w:tr w:rsidR="00000000">
        <w:tblPrEx>
          <w:tblCellMar>
            <w:top w:w="0" w:type="dxa"/>
            <w:bottom w:w="0" w:type="dxa"/>
          </w:tblCellMar>
        </w:tblPrEx>
        <w:trPr>
          <w:cantSplit/>
          <w:trHeight w:val="305"/>
          <w:jc w:val="center"/>
        </w:trPr>
        <w:tc>
          <w:tcPr>
            <w:tcW w:w="4678" w:type="dxa"/>
            <w:tcBorders>
              <w:bottom w:val="double" w:sz="4" w:space="0" w:color="auto"/>
            </w:tcBorders>
          </w:tcPr>
          <w:p w:rsidR="00000000" w:rsidRDefault="00000000">
            <w:pPr>
              <w:pStyle w:val="Heading4"/>
              <w:tabs>
                <w:tab w:val="left" w:pos="4790"/>
              </w:tabs>
              <w:suppressAutoHyphens/>
              <w:ind w:left="0"/>
              <w:jc w:val="both"/>
            </w:pPr>
            <w:r>
              <w:t>TOTAL</w:t>
            </w:r>
          </w:p>
        </w:tc>
        <w:tc>
          <w:tcPr>
            <w:tcW w:w="850" w:type="dxa"/>
            <w:tcBorders>
              <w:bottom w:val="double" w:sz="4" w:space="0" w:color="auto"/>
            </w:tcBorders>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14.041,5</w:t>
            </w:r>
          </w:p>
        </w:tc>
        <w:tc>
          <w:tcPr>
            <w:tcW w:w="993" w:type="dxa"/>
            <w:tcBorders>
              <w:bottom w:val="double" w:sz="4" w:space="0" w:color="auto"/>
            </w:tcBorders>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36,85</w:t>
            </w:r>
          </w:p>
        </w:tc>
        <w:tc>
          <w:tcPr>
            <w:tcW w:w="850" w:type="dxa"/>
            <w:tcBorders>
              <w:bottom w:val="double" w:sz="4" w:space="0" w:color="auto"/>
            </w:tcBorders>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14.866,9</w:t>
            </w:r>
          </w:p>
        </w:tc>
        <w:tc>
          <w:tcPr>
            <w:tcW w:w="992" w:type="dxa"/>
            <w:tcBorders>
              <w:bottom w:val="double" w:sz="4" w:space="0" w:color="auto"/>
            </w:tcBorders>
          </w:tcPr>
          <w:p w:rsidR="00000000" w:rsidRDefault="00000000">
            <w:pPr>
              <w:tabs>
                <w:tab w:val="left" w:pos="4790"/>
              </w:tabs>
              <w:jc w:val="center"/>
              <w:rPr>
                <w:rFonts w:ascii="Arial" w:hAnsi="Arial"/>
                <w:b/>
                <w:snapToGrid w:val="0"/>
                <w:color w:val="000000"/>
                <w:sz w:val="16"/>
                <w:lang w:eastAsia="es-ES"/>
              </w:rPr>
            </w:pPr>
            <w:r>
              <w:rPr>
                <w:rFonts w:ascii="Arial" w:hAnsi="Arial"/>
                <w:b/>
                <w:snapToGrid w:val="0"/>
                <w:color w:val="000000"/>
                <w:sz w:val="16"/>
                <w:lang w:eastAsia="es-ES"/>
              </w:rPr>
              <w:t>37,86</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Dirección de las empresas y de la administración pública</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1.117,6</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30,99</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1.155,5</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32,37</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Técnicas/os profesionales cientificas/os e intelectuales</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1.619,1</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48,92</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1.784,9</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49,68</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Técnicas/os y profesionales de apoyo</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1.273.4</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39,01</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1.525,0</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42,45</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Empleadas/os de tipo administrativo</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1.359,6</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59,55</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1.420,2</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61,53</w:t>
            </w:r>
          </w:p>
        </w:tc>
      </w:tr>
      <w:tr w:rsidR="00000000">
        <w:tblPrEx>
          <w:tblCellMar>
            <w:top w:w="0" w:type="dxa"/>
            <w:bottom w:w="0" w:type="dxa"/>
          </w:tblCellMar>
        </w:tblPrEx>
        <w:trPr>
          <w:cantSplit/>
          <w:trHeight w:val="420"/>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Trabajadoras/es de servicios de restauración, personales,</w:t>
            </w:r>
          </w:p>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protección y vendedoras/es</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1.969,2</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58,96</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2.080,7</w:t>
            </w:r>
          </w:p>
        </w:tc>
        <w:tc>
          <w:tcPr>
            <w:tcW w:w="992" w:type="dxa"/>
            <w:tcBorders>
              <w:bottom w:val="nil"/>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59,97</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Trabajadoras/es cualificadas/os en agricultura y pesca</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691.6</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25,36</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619,7</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24,04</w:t>
            </w:r>
          </w:p>
        </w:tc>
      </w:tr>
      <w:tr w:rsidR="00000000">
        <w:tblPrEx>
          <w:tblCellMar>
            <w:top w:w="0" w:type="dxa"/>
            <w:bottom w:w="0" w:type="dxa"/>
          </w:tblCellMar>
        </w:tblPrEx>
        <w:trPr>
          <w:cantSplit/>
          <w:trHeight w:val="403"/>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Artesanas/os y trabajadoras/es cualificadas/os de industrias manufactureras, construcción y minería (excepto operadoras/es)</w:t>
            </w:r>
          </w:p>
        </w:tc>
        <w:tc>
          <w:tcPr>
            <w:tcW w:w="850" w:type="dxa"/>
          </w:tcPr>
          <w:p w:rsidR="00000000" w:rsidRDefault="00000000">
            <w:pPr>
              <w:tabs>
                <w:tab w:val="left" w:pos="4790"/>
              </w:tabs>
              <w:ind w:hanging="112"/>
              <w:jc w:val="center"/>
              <w:rPr>
                <w:rFonts w:ascii="Arial" w:hAnsi="Arial"/>
                <w:snapToGrid w:val="0"/>
                <w:color w:val="000000"/>
                <w:sz w:val="16"/>
                <w:lang w:eastAsia="es-ES"/>
              </w:rPr>
            </w:pPr>
            <w:r>
              <w:rPr>
                <w:rFonts w:ascii="Arial" w:hAnsi="Arial"/>
                <w:snapToGrid w:val="0"/>
                <w:color w:val="000000"/>
                <w:sz w:val="16"/>
                <w:lang w:eastAsia="es-ES"/>
              </w:rPr>
              <w:t>2.408,4</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7,59</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2578,8</w:t>
            </w:r>
          </w:p>
        </w:tc>
        <w:tc>
          <w:tcPr>
            <w:tcW w:w="992" w:type="dxa"/>
            <w:tcBorders>
              <w:bottom w:val="nil"/>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7,32</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Operadoras/es de instalaciones y maquinaría, montadoras/es</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1.465,8</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15,92</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1.503,1</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14,78</w:t>
            </w:r>
          </w:p>
        </w:tc>
      </w:tr>
      <w:tr w:rsidR="00000000">
        <w:tblPrEx>
          <w:tblCellMar>
            <w:top w:w="0" w:type="dxa"/>
            <w:bottom w:w="0" w:type="dxa"/>
          </w:tblCellMar>
        </w:tblPrEx>
        <w:trPr>
          <w:trHeight w:val="305"/>
          <w:jc w:val="center"/>
        </w:trPr>
        <w:tc>
          <w:tcPr>
            <w:tcW w:w="4678" w:type="dxa"/>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Trabajadoras/es no cualificadas/os</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2.069,1</w:t>
            </w:r>
          </w:p>
        </w:tc>
        <w:tc>
          <w:tcPr>
            <w:tcW w:w="993"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47,06</w:t>
            </w:r>
          </w:p>
        </w:tc>
        <w:tc>
          <w:tcPr>
            <w:tcW w:w="850"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2.113,5</w:t>
            </w:r>
          </w:p>
        </w:tc>
        <w:tc>
          <w:tcPr>
            <w:tcW w:w="992" w:type="dxa"/>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48,75</w:t>
            </w:r>
          </w:p>
        </w:tc>
      </w:tr>
      <w:tr w:rsidR="00000000">
        <w:tblPrEx>
          <w:tblCellMar>
            <w:top w:w="0" w:type="dxa"/>
            <w:bottom w:w="0" w:type="dxa"/>
          </w:tblCellMar>
        </w:tblPrEx>
        <w:trPr>
          <w:trHeight w:val="305"/>
          <w:jc w:val="center"/>
        </w:trPr>
        <w:tc>
          <w:tcPr>
            <w:tcW w:w="4678" w:type="dxa"/>
            <w:tcBorders>
              <w:bottom w:val="single" w:sz="4" w:space="0" w:color="auto"/>
            </w:tcBorders>
          </w:tcPr>
          <w:p w:rsidR="00000000" w:rsidRDefault="00000000">
            <w:pPr>
              <w:tabs>
                <w:tab w:val="left" w:pos="4790"/>
              </w:tabs>
              <w:rPr>
                <w:rFonts w:ascii="Arial" w:hAnsi="Arial"/>
                <w:snapToGrid w:val="0"/>
                <w:color w:val="000000"/>
                <w:sz w:val="16"/>
                <w:lang w:eastAsia="es-ES"/>
              </w:rPr>
            </w:pPr>
            <w:r>
              <w:rPr>
                <w:rFonts w:ascii="Arial" w:hAnsi="Arial"/>
                <w:snapToGrid w:val="0"/>
                <w:color w:val="000000"/>
                <w:sz w:val="16"/>
                <w:lang w:eastAsia="es-ES"/>
              </w:rPr>
              <w:t>Fuerzas armadas</w:t>
            </w:r>
          </w:p>
        </w:tc>
        <w:tc>
          <w:tcPr>
            <w:tcW w:w="850" w:type="dxa"/>
            <w:tcBorders>
              <w:bottom w:val="single" w:sz="4" w:space="0" w:color="auto"/>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67,7</w:t>
            </w:r>
          </w:p>
        </w:tc>
        <w:tc>
          <w:tcPr>
            <w:tcW w:w="993" w:type="dxa"/>
            <w:tcBorders>
              <w:bottom w:val="single" w:sz="4" w:space="0" w:color="auto"/>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4,87</w:t>
            </w:r>
          </w:p>
        </w:tc>
        <w:tc>
          <w:tcPr>
            <w:tcW w:w="850" w:type="dxa"/>
            <w:tcBorders>
              <w:bottom w:val="single" w:sz="4" w:space="0" w:color="auto"/>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82,5</w:t>
            </w:r>
          </w:p>
        </w:tc>
        <w:tc>
          <w:tcPr>
            <w:tcW w:w="992" w:type="dxa"/>
            <w:tcBorders>
              <w:bottom w:val="single" w:sz="4" w:space="0" w:color="auto"/>
            </w:tcBorders>
          </w:tcPr>
          <w:p w:rsidR="00000000" w:rsidRDefault="00000000">
            <w:pPr>
              <w:tabs>
                <w:tab w:val="left" w:pos="4790"/>
              </w:tabs>
              <w:jc w:val="center"/>
              <w:rPr>
                <w:rFonts w:ascii="Arial" w:hAnsi="Arial"/>
                <w:snapToGrid w:val="0"/>
                <w:color w:val="000000"/>
                <w:sz w:val="16"/>
                <w:lang w:eastAsia="es-ES"/>
              </w:rPr>
            </w:pPr>
            <w:r>
              <w:rPr>
                <w:rFonts w:ascii="Arial" w:hAnsi="Arial"/>
                <w:snapToGrid w:val="0"/>
                <w:color w:val="000000"/>
                <w:sz w:val="16"/>
                <w:lang w:eastAsia="es-ES"/>
              </w:rPr>
              <w:t>8,85</w:t>
            </w:r>
          </w:p>
        </w:tc>
      </w:tr>
    </w:tbl>
    <w:p w:rsidR="00000000" w:rsidRDefault="00000000">
      <w:pPr>
        <w:ind w:left="747"/>
        <w:jc w:val="both"/>
        <w:rPr>
          <w:rFonts w:ascii="Arial" w:hAnsi="Arial"/>
          <w:snapToGrid w:val="0"/>
          <w:color w:val="000000"/>
          <w:sz w:val="16"/>
          <w:lang w:eastAsia="es-ES"/>
        </w:rPr>
      </w:pPr>
      <w:r>
        <w:rPr>
          <w:rFonts w:ascii="Arial" w:hAnsi="Arial"/>
          <w:snapToGrid w:val="0"/>
          <w:color w:val="000000"/>
          <w:sz w:val="16"/>
          <w:lang w:eastAsia="es-ES"/>
        </w:rPr>
        <w:t>Fuente: Elaboración propia a partir de datos de la Encuesta de Población Activa, IV trimestre .INE</w:t>
      </w:r>
    </w:p>
    <w:p w:rsidR="00000000" w:rsidRDefault="00000000">
      <w:pPr>
        <w:ind w:left="747"/>
        <w:jc w:val="both"/>
        <w:rPr>
          <w:rFonts w:ascii="Arial" w:hAnsi="Arial"/>
          <w:b/>
          <w:snapToGrid w:val="0"/>
          <w:color w:val="000000"/>
          <w:sz w:val="28"/>
          <w:lang w:eastAsia="es-ES"/>
        </w:rPr>
      </w:pPr>
      <w:r>
        <w:rPr>
          <w:rFonts w:ascii="Arial" w:hAnsi="Arial"/>
          <w:snapToGrid w:val="0"/>
          <w:color w:val="000000"/>
          <w:sz w:val="16"/>
          <w:lang w:eastAsia="es-ES"/>
        </w:rPr>
        <w:t>Nota 1: Datos en miles</w:t>
      </w:r>
      <w:r>
        <w:rPr>
          <w:rFonts w:ascii="Arial" w:hAnsi="Arial"/>
          <w:b/>
          <w:snapToGrid w:val="0"/>
          <w:color w:val="000000"/>
          <w:sz w:val="28"/>
          <w:lang w:eastAsia="es-ES"/>
        </w:rPr>
        <w:t xml:space="preserve"> </w:t>
      </w:r>
    </w:p>
    <w:p w:rsidR="00000000" w:rsidRDefault="00000000">
      <w:pPr>
        <w:jc w:val="both"/>
        <w:rPr>
          <w:rFonts w:ascii="Arial" w:hAnsi="Arial"/>
          <w:b/>
          <w:snapToGrid w:val="0"/>
          <w:color w:val="000000"/>
          <w:sz w:val="28"/>
          <w:lang w:eastAsia="es-ES"/>
        </w:rPr>
      </w:pPr>
    </w:p>
    <w:p w:rsidR="00000000" w:rsidRDefault="00000000">
      <w:pPr>
        <w:jc w:val="both"/>
        <w:rPr>
          <w:rFonts w:ascii="Arial" w:hAnsi="Arial"/>
          <w:snapToGrid w:val="0"/>
          <w:color w:val="000000"/>
          <w:lang w:eastAsia="es-ES"/>
        </w:rPr>
      </w:pPr>
      <w:r>
        <w:rPr>
          <w:rFonts w:ascii="Arial" w:hAnsi="Arial"/>
          <w:snapToGrid w:val="0"/>
          <w:color w:val="000000"/>
          <w:lang w:eastAsia="es-ES"/>
        </w:rPr>
        <w:t>Otro aspecto a destacar es el fuerte incremento de las mujeres en las Fuerzas Armadas duplicando su presencia  en tan sólo tres años. Además, las cifras aportadas por el Ministerio de Defensa, muestran que es el Ejército de Tierra  el que cuenta con una mayor presencia femenina, con 6.727 mujeres en sus filas, le sigue en número la Armada, con 1989, y por último, el Ejército de Tierra, con 1961 mujeres.</w:t>
      </w:r>
    </w:p>
    <w:p w:rsidR="00000000" w:rsidRDefault="00000000">
      <w:pPr>
        <w:jc w:val="both"/>
        <w:rPr>
          <w:rFonts w:ascii="Arial" w:hAnsi="Arial"/>
          <w:snapToGrid w:val="0"/>
          <w:color w:val="000000"/>
          <w:lang w:eastAsia="es-ES"/>
        </w:rPr>
      </w:pPr>
    </w:p>
    <w:p w:rsidR="00000000" w:rsidRDefault="00000000">
      <w:pPr>
        <w:jc w:val="both"/>
        <w:rPr>
          <w:rFonts w:ascii="Arial" w:hAnsi="Arial"/>
        </w:rPr>
      </w:pPr>
      <w:r>
        <w:rPr>
          <w:rFonts w:ascii="Arial" w:hAnsi="Arial"/>
        </w:rPr>
        <w:t xml:space="preserve">Por lo que respecta a la </w:t>
      </w:r>
      <w:r>
        <w:rPr>
          <w:rFonts w:ascii="Arial" w:hAnsi="Arial"/>
          <w:b/>
        </w:rPr>
        <w:t>tasa de paro</w:t>
      </w:r>
      <w:r>
        <w:rPr>
          <w:rFonts w:ascii="Arial" w:hAnsi="Arial"/>
        </w:rPr>
        <w:t>, desde 1999, ésta ha descendido 7,35 puntos porcentuales, situándose en el primer trimestre de 2002 en 11,4. Las tasas de paro, tanto de hombres como de mujeres, han descendido; sin embargo, la tasa de las mujeres durante los años 1999, 2000 y 2001 sigue siendo el doble que la de los hombres con las cifras de 22,40, 19,76 y 18,65, respectivamente.</w:t>
      </w:r>
    </w:p>
    <w:p w:rsidR="00000000" w:rsidRDefault="00000000">
      <w:pPr>
        <w:jc w:val="both"/>
        <w:rPr>
          <w:rFonts w:ascii="Arial" w:hAnsi="Arial"/>
        </w:rPr>
      </w:pPr>
    </w:p>
    <w:p w:rsidR="00000000" w:rsidRDefault="00000000">
      <w:pPr>
        <w:jc w:val="both"/>
        <w:rPr>
          <w:rFonts w:ascii="Arial" w:hAnsi="Arial"/>
        </w:rPr>
      </w:pPr>
      <w:r>
        <w:rPr>
          <w:rFonts w:ascii="Arial" w:hAnsi="Arial"/>
        </w:rPr>
        <w:t>Una de las estrategias para combatir el paro, íntimamente ligado al nivel de estudios alcanzado, es la formación. Así, tanto en hombres como en mujeres, cuanto más elevado es el nivel de sus estudios, menos tasa de paro soportan, llegando, por ejemplo, en el caso de las mujeres que no saben leer ni escribir a tener una tasa superior a 20 puntos porcentuales respecto a las que han completado estudios universitarios.</w:t>
      </w:r>
    </w:p>
    <w:p w:rsidR="00000000" w:rsidRDefault="00000000">
      <w:pPr>
        <w:jc w:val="both"/>
        <w:rPr>
          <w:rFonts w:ascii="Arial" w:hAnsi="Arial"/>
        </w:rPr>
      </w:pPr>
    </w:p>
    <w:p w:rsidR="00000000" w:rsidRDefault="00000000">
      <w:pPr>
        <w:pStyle w:val="Heading6"/>
        <w:suppressAutoHyphens/>
        <w:ind w:left="0" w:right="0"/>
      </w:pPr>
      <w:r>
        <w:t>Tasa de paro por nivel de formación</w:t>
      </w:r>
    </w:p>
    <w:p w:rsidR="00000000" w:rsidRDefault="00000000"/>
    <w:tbl>
      <w:tblPr>
        <w:tblW w:w="0" w:type="auto"/>
        <w:jc w:val="center"/>
        <w:tblLayout w:type="fixed"/>
        <w:tblCellMar>
          <w:left w:w="30" w:type="dxa"/>
          <w:right w:w="30" w:type="dxa"/>
        </w:tblCellMar>
        <w:tblLook w:val="0000" w:firstRow="0" w:lastRow="0" w:firstColumn="0" w:lastColumn="0" w:noHBand="0" w:noVBand="0"/>
      </w:tblPr>
      <w:tblGrid>
        <w:gridCol w:w="1275"/>
        <w:gridCol w:w="1418"/>
        <w:gridCol w:w="709"/>
        <w:gridCol w:w="992"/>
        <w:gridCol w:w="850"/>
        <w:gridCol w:w="851"/>
        <w:gridCol w:w="992"/>
        <w:gridCol w:w="992"/>
      </w:tblGrid>
      <w:tr w:rsidR="00000000">
        <w:tblPrEx>
          <w:tblCellMar>
            <w:top w:w="0" w:type="dxa"/>
            <w:bottom w:w="0" w:type="dxa"/>
          </w:tblCellMar>
        </w:tblPrEx>
        <w:trPr>
          <w:cantSplit/>
          <w:trHeight w:val="247"/>
          <w:jc w:val="center"/>
        </w:trPr>
        <w:tc>
          <w:tcPr>
            <w:tcW w:w="2693" w:type="dxa"/>
            <w:gridSpan w:val="2"/>
          </w:tcPr>
          <w:p w:rsidR="00000000" w:rsidRDefault="00000000">
            <w:pPr>
              <w:jc w:val="both"/>
              <w:rPr>
                <w:rFonts w:ascii="Arial" w:hAnsi="Arial"/>
                <w:snapToGrid w:val="0"/>
                <w:color w:val="000000"/>
                <w:sz w:val="16"/>
                <w:lang w:eastAsia="es-ES"/>
              </w:rPr>
            </w:pPr>
          </w:p>
        </w:tc>
        <w:tc>
          <w:tcPr>
            <w:tcW w:w="2551" w:type="dxa"/>
            <w:gridSpan w:val="3"/>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1999</w:t>
            </w:r>
          </w:p>
        </w:tc>
        <w:tc>
          <w:tcPr>
            <w:tcW w:w="2835" w:type="dxa"/>
            <w:gridSpan w:val="3"/>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2001</w:t>
            </w:r>
          </w:p>
        </w:tc>
      </w:tr>
      <w:tr w:rsidR="00000000">
        <w:tblPrEx>
          <w:tblCellMar>
            <w:top w:w="0" w:type="dxa"/>
            <w:bottom w:w="0" w:type="dxa"/>
          </w:tblCellMar>
        </w:tblPrEx>
        <w:trPr>
          <w:trHeight w:val="247"/>
          <w:jc w:val="center"/>
        </w:trPr>
        <w:tc>
          <w:tcPr>
            <w:tcW w:w="1275" w:type="dxa"/>
          </w:tcPr>
          <w:p w:rsidR="00000000" w:rsidRDefault="00000000">
            <w:pPr>
              <w:jc w:val="both"/>
              <w:rPr>
                <w:rFonts w:ascii="Arial" w:hAnsi="Arial"/>
                <w:snapToGrid w:val="0"/>
                <w:color w:val="000000"/>
                <w:sz w:val="16"/>
                <w:lang w:eastAsia="es-ES"/>
              </w:rPr>
            </w:pPr>
          </w:p>
        </w:tc>
        <w:tc>
          <w:tcPr>
            <w:tcW w:w="1418" w:type="dxa"/>
          </w:tcPr>
          <w:p w:rsidR="00000000" w:rsidRDefault="00000000">
            <w:pPr>
              <w:jc w:val="both"/>
              <w:rPr>
                <w:rFonts w:ascii="Arial" w:hAnsi="Arial"/>
                <w:snapToGrid w:val="0"/>
                <w:color w:val="000000"/>
                <w:sz w:val="16"/>
                <w:lang w:eastAsia="es-ES"/>
              </w:rPr>
            </w:pPr>
          </w:p>
        </w:tc>
        <w:tc>
          <w:tcPr>
            <w:tcW w:w="709"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Total</w:t>
            </w:r>
          </w:p>
        </w:tc>
        <w:tc>
          <w:tcPr>
            <w:tcW w:w="992"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Hombres</w:t>
            </w:r>
          </w:p>
        </w:tc>
        <w:tc>
          <w:tcPr>
            <w:tcW w:w="851"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Total</w:t>
            </w:r>
          </w:p>
        </w:tc>
        <w:tc>
          <w:tcPr>
            <w:tcW w:w="992"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Mujeres</w:t>
            </w:r>
          </w:p>
        </w:tc>
        <w:tc>
          <w:tcPr>
            <w:tcW w:w="992" w:type="dxa"/>
            <w:tcBorders>
              <w:bottom w:val="doub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Hombres</w:t>
            </w:r>
          </w:p>
        </w:tc>
      </w:tr>
      <w:tr w:rsidR="00000000">
        <w:tblPrEx>
          <w:tblCellMar>
            <w:top w:w="0" w:type="dxa"/>
            <w:bottom w:w="0" w:type="dxa"/>
          </w:tblCellMar>
        </w:tblPrEx>
        <w:trPr>
          <w:trHeight w:val="247"/>
          <w:jc w:val="center"/>
        </w:trPr>
        <w:tc>
          <w:tcPr>
            <w:tcW w:w="1275" w:type="dxa"/>
          </w:tcPr>
          <w:p w:rsidR="00000000" w:rsidRDefault="00000000">
            <w:pPr>
              <w:jc w:val="both"/>
              <w:rPr>
                <w:rFonts w:ascii="Arial" w:hAnsi="Arial"/>
                <w:snapToGrid w:val="0"/>
                <w:color w:val="000000"/>
                <w:sz w:val="16"/>
                <w:lang w:eastAsia="es-ES"/>
              </w:rPr>
            </w:pPr>
          </w:p>
        </w:tc>
        <w:tc>
          <w:tcPr>
            <w:tcW w:w="1418" w:type="dxa"/>
          </w:tcPr>
          <w:p w:rsidR="00000000" w:rsidRDefault="00000000">
            <w:pPr>
              <w:jc w:val="both"/>
              <w:rPr>
                <w:rFonts w:ascii="Arial" w:hAnsi="Arial"/>
                <w:snapToGrid w:val="0"/>
                <w:color w:val="000000"/>
                <w:sz w:val="16"/>
                <w:lang w:eastAsia="es-ES"/>
              </w:rPr>
            </w:pPr>
          </w:p>
        </w:tc>
        <w:tc>
          <w:tcPr>
            <w:tcW w:w="709"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c>
          <w:tcPr>
            <w:tcW w:w="850" w:type="dxa"/>
          </w:tcPr>
          <w:p w:rsidR="00000000" w:rsidRDefault="00000000">
            <w:pPr>
              <w:jc w:val="both"/>
              <w:rPr>
                <w:rFonts w:ascii="Arial" w:hAnsi="Arial"/>
                <w:snapToGrid w:val="0"/>
                <w:color w:val="000000"/>
                <w:sz w:val="16"/>
                <w:lang w:eastAsia="es-ES"/>
              </w:rPr>
            </w:pPr>
          </w:p>
        </w:tc>
        <w:tc>
          <w:tcPr>
            <w:tcW w:w="851"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1275"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Total</w:t>
            </w:r>
          </w:p>
        </w:tc>
        <w:tc>
          <w:tcPr>
            <w:tcW w:w="1418" w:type="dxa"/>
          </w:tcPr>
          <w:p w:rsidR="00000000" w:rsidRDefault="00000000">
            <w:pPr>
              <w:jc w:val="both"/>
              <w:rPr>
                <w:rFonts w:ascii="Arial" w:hAnsi="Arial"/>
                <w:b/>
                <w:snapToGrid w:val="0"/>
                <w:color w:val="000000"/>
                <w:sz w:val="16"/>
                <w:lang w:eastAsia="es-ES"/>
              </w:rPr>
            </w:pPr>
          </w:p>
        </w:tc>
        <w:tc>
          <w:tcPr>
            <w:tcW w:w="709"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15,40</w:t>
            </w:r>
          </w:p>
        </w:tc>
        <w:tc>
          <w:tcPr>
            <w:tcW w:w="992"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22,40</w:t>
            </w:r>
          </w:p>
        </w:tc>
        <w:tc>
          <w:tcPr>
            <w:tcW w:w="850"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10,80</w:t>
            </w:r>
          </w:p>
        </w:tc>
        <w:tc>
          <w:tcPr>
            <w:tcW w:w="851"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12,96</w:t>
            </w:r>
          </w:p>
        </w:tc>
        <w:tc>
          <w:tcPr>
            <w:tcW w:w="992"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18,65</w:t>
            </w:r>
          </w:p>
        </w:tc>
        <w:tc>
          <w:tcPr>
            <w:tcW w:w="992" w:type="dxa"/>
          </w:tcPr>
          <w:p w:rsidR="00000000" w:rsidRDefault="00000000">
            <w:pPr>
              <w:jc w:val="both"/>
              <w:rPr>
                <w:rFonts w:ascii="Arial" w:hAnsi="Arial"/>
                <w:b/>
                <w:snapToGrid w:val="0"/>
                <w:color w:val="000000"/>
                <w:sz w:val="16"/>
                <w:lang w:eastAsia="es-ES"/>
              </w:rPr>
            </w:pPr>
            <w:r>
              <w:rPr>
                <w:rFonts w:ascii="Arial" w:hAnsi="Arial"/>
                <w:b/>
                <w:snapToGrid w:val="0"/>
                <w:color w:val="000000"/>
                <w:sz w:val="16"/>
                <w:lang w:eastAsia="es-ES"/>
              </w:rPr>
              <w:t>9,08</w:t>
            </w:r>
          </w:p>
        </w:tc>
      </w:tr>
      <w:tr w:rsidR="00000000">
        <w:tblPrEx>
          <w:tblCellMar>
            <w:top w:w="0" w:type="dxa"/>
            <w:bottom w:w="0" w:type="dxa"/>
          </w:tblCellMar>
        </w:tblPrEx>
        <w:trPr>
          <w:trHeight w:val="247"/>
          <w:jc w:val="center"/>
        </w:trPr>
        <w:tc>
          <w:tcPr>
            <w:tcW w:w="1275" w:type="dxa"/>
          </w:tcPr>
          <w:p w:rsidR="00000000" w:rsidRDefault="00000000">
            <w:pPr>
              <w:jc w:val="both"/>
              <w:rPr>
                <w:rFonts w:ascii="Arial" w:hAnsi="Arial"/>
                <w:snapToGrid w:val="0"/>
                <w:color w:val="000000"/>
                <w:sz w:val="16"/>
                <w:lang w:eastAsia="es-ES"/>
              </w:rPr>
            </w:pPr>
          </w:p>
        </w:tc>
        <w:tc>
          <w:tcPr>
            <w:tcW w:w="1418" w:type="dxa"/>
          </w:tcPr>
          <w:p w:rsidR="00000000" w:rsidRDefault="00000000">
            <w:pPr>
              <w:jc w:val="both"/>
              <w:rPr>
                <w:rFonts w:ascii="Arial" w:hAnsi="Arial"/>
                <w:snapToGrid w:val="0"/>
                <w:color w:val="000000"/>
                <w:sz w:val="16"/>
                <w:lang w:eastAsia="es-ES"/>
              </w:rPr>
            </w:pPr>
          </w:p>
        </w:tc>
        <w:tc>
          <w:tcPr>
            <w:tcW w:w="709"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c>
          <w:tcPr>
            <w:tcW w:w="850" w:type="dxa"/>
          </w:tcPr>
          <w:p w:rsidR="00000000" w:rsidRDefault="00000000">
            <w:pPr>
              <w:jc w:val="both"/>
              <w:rPr>
                <w:rFonts w:ascii="Arial" w:hAnsi="Arial"/>
                <w:snapToGrid w:val="0"/>
                <w:color w:val="000000"/>
                <w:sz w:val="16"/>
                <w:lang w:eastAsia="es-ES"/>
              </w:rPr>
            </w:pPr>
          </w:p>
        </w:tc>
        <w:tc>
          <w:tcPr>
            <w:tcW w:w="851"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2693"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 xml:space="preserve">Analfabetas/os </w:t>
            </w: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28,80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36,80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21,20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28,05</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34,91</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22,97</w:t>
            </w:r>
          </w:p>
        </w:tc>
      </w:tr>
      <w:tr w:rsidR="00000000">
        <w:tblPrEx>
          <w:tblCellMar>
            <w:top w:w="0" w:type="dxa"/>
            <w:bottom w:w="0" w:type="dxa"/>
          </w:tblCellMar>
        </w:tblPrEx>
        <w:trPr>
          <w:cantSplit/>
          <w:trHeight w:val="247"/>
          <w:jc w:val="center"/>
        </w:trPr>
        <w:tc>
          <w:tcPr>
            <w:tcW w:w="2693"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Sin estudios</w:t>
            </w: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20,20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22,90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18,70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17,31</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24,60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13,17</w:t>
            </w:r>
          </w:p>
        </w:tc>
      </w:tr>
      <w:tr w:rsidR="00000000">
        <w:tblPrEx>
          <w:tblCellMar>
            <w:top w:w="0" w:type="dxa"/>
            <w:bottom w:w="0" w:type="dxa"/>
          </w:tblCellMar>
        </w:tblPrEx>
        <w:trPr>
          <w:trHeight w:val="247"/>
          <w:jc w:val="center"/>
        </w:trPr>
        <w:tc>
          <w:tcPr>
            <w:tcW w:w="1275"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Primarios</w:t>
            </w:r>
          </w:p>
        </w:tc>
        <w:tc>
          <w:tcPr>
            <w:tcW w:w="1418" w:type="dxa"/>
          </w:tcPr>
          <w:p w:rsidR="00000000" w:rsidRDefault="00000000">
            <w:pPr>
              <w:jc w:val="both"/>
              <w:rPr>
                <w:rFonts w:ascii="Arial" w:hAnsi="Arial"/>
                <w:snapToGrid w:val="0"/>
                <w:color w:val="000000"/>
                <w:sz w:val="16"/>
                <w:lang w:eastAsia="es-ES"/>
              </w:rPr>
            </w:pP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14,30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21,40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11,00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12,46</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18,34</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9,48</w:t>
            </w:r>
          </w:p>
        </w:tc>
      </w:tr>
      <w:tr w:rsidR="00000000">
        <w:tblPrEx>
          <w:tblCellMar>
            <w:top w:w="0" w:type="dxa"/>
            <w:bottom w:w="0" w:type="dxa"/>
          </w:tblCellMar>
        </w:tblPrEx>
        <w:trPr>
          <w:trHeight w:val="247"/>
          <w:jc w:val="center"/>
        </w:trPr>
        <w:tc>
          <w:tcPr>
            <w:tcW w:w="2693"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Secundarios o medios</w:t>
            </w: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16,60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24,90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10,90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13,79</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20,14</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9,88</w:t>
            </w:r>
          </w:p>
        </w:tc>
      </w:tr>
      <w:tr w:rsidR="00000000">
        <w:tblPrEx>
          <w:tblCellMar>
            <w:top w:w="0" w:type="dxa"/>
            <w:bottom w:w="0" w:type="dxa"/>
          </w:tblCellMar>
        </w:tblPrEx>
        <w:trPr>
          <w:trHeight w:val="247"/>
          <w:jc w:val="center"/>
        </w:trPr>
        <w:tc>
          <w:tcPr>
            <w:tcW w:w="2693"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Técnico profesionales medios</w:t>
            </w: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17,50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25,80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10,30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12,97</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20,43</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7,24</w:t>
            </w:r>
          </w:p>
        </w:tc>
      </w:tr>
      <w:tr w:rsidR="00000000">
        <w:tblPrEx>
          <w:tblCellMar>
            <w:top w:w="0" w:type="dxa"/>
            <w:bottom w:w="0" w:type="dxa"/>
          </w:tblCellMar>
        </w:tblPrEx>
        <w:trPr>
          <w:trHeight w:val="247"/>
          <w:jc w:val="center"/>
        </w:trPr>
        <w:tc>
          <w:tcPr>
            <w:tcW w:w="2693"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Universitarios (1º ciclo)*</w:t>
            </w:r>
          </w:p>
        </w:tc>
        <w:tc>
          <w:tcPr>
            <w:tcW w:w="709"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13,20</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18,90</w:t>
            </w:r>
          </w:p>
        </w:tc>
        <w:tc>
          <w:tcPr>
            <w:tcW w:w="850"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8,10</w:t>
            </w:r>
          </w:p>
        </w:tc>
        <w:tc>
          <w:tcPr>
            <w:tcW w:w="851"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10,88</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13,82</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7,15</w:t>
            </w:r>
          </w:p>
        </w:tc>
      </w:tr>
      <w:tr w:rsidR="00000000">
        <w:tblPrEx>
          <w:tblCellMar>
            <w:top w:w="0" w:type="dxa"/>
            <w:bottom w:w="0" w:type="dxa"/>
          </w:tblCellMar>
        </w:tblPrEx>
        <w:trPr>
          <w:trHeight w:val="247"/>
          <w:jc w:val="center"/>
        </w:trPr>
        <w:tc>
          <w:tcPr>
            <w:tcW w:w="2693" w:type="dxa"/>
            <w:gridSpan w:val="2"/>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Universitarios ( 2º ciclo)</w:t>
            </w:r>
          </w:p>
        </w:tc>
        <w:tc>
          <w:tcPr>
            <w:tcW w:w="709" w:type="dxa"/>
            <w:tcBorders>
              <w:bottom w:val="single" w:sz="4" w:space="0" w:color="auto"/>
            </w:tcBorders>
          </w:tcPr>
          <w:p w:rsidR="00000000" w:rsidRDefault="00000000">
            <w:pPr>
              <w:jc w:val="both"/>
              <w:rPr>
                <w:rFonts w:ascii="Arial" w:hAnsi="Arial"/>
                <w:snapToGrid w:val="0"/>
                <w:color w:val="000000"/>
                <w:sz w:val="16"/>
                <w:lang w:eastAsia="es-ES"/>
              </w:rPr>
            </w:pPr>
          </w:p>
        </w:tc>
        <w:tc>
          <w:tcPr>
            <w:tcW w:w="992" w:type="dxa"/>
            <w:tcBorders>
              <w:bottom w:val="single" w:sz="4" w:space="0" w:color="auto"/>
            </w:tcBorders>
          </w:tcPr>
          <w:p w:rsidR="00000000" w:rsidRDefault="00000000">
            <w:pPr>
              <w:jc w:val="both"/>
              <w:rPr>
                <w:rFonts w:ascii="Arial" w:hAnsi="Arial"/>
                <w:snapToGrid w:val="0"/>
                <w:color w:val="000000"/>
                <w:sz w:val="16"/>
                <w:lang w:eastAsia="es-ES"/>
              </w:rPr>
            </w:pPr>
          </w:p>
        </w:tc>
        <w:tc>
          <w:tcPr>
            <w:tcW w:w="850" w:type="dxa"/>
            <w:tcBorders>
              <w:bottom w:val="single" w:sz="4" w:space="0" w:color="auto"/>
            </w:tcBorders>
          </w:tcPr>
          <w:p w:rsidR="00000000" w:rsidRDefault="00000000">
            <w:pPr>
              <w:jc w:val="both"/>
              <w:rPr>
                <w:rFonts w:ascii="Arial" w:hAnsi="Arial"/>
                <w:snapToGrid w:val="0"/>
                <w:color w:val="000000"/>
                <w:sz w:val="16"/>
                <w:lang w:eastAsia="es-ES"/>
              </w:rPr>
            </w:pPr>
          </w:p>
        </w:tc>
        <w:tc>
          <w:tcPr>
            <w:tcW w:w="851" w:type="dxa"/>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10,06</w:t>
            </w:r>
          </w:p>
        </w:tc>
        <w:tc>
          <w:tcPr>
            <w:tcW w:w="992" w:type="dxa"/>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14,20</w:t>
            </w:r>
          </w:p>
        </w:tc>
        <w:tc>
          <w:tcPr>
            <w:tcW w:w="992" w:type="dxa"/>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6,37</w:t>
            </w:r>
          </w:p>
        </w:tc>
      </w:tr>
    </w:tbl>
    <w:p w:rsidR="00000000" w:rsidRDefault="00000000">
      <w:pPr>
        <w:ind w:left="900"/>
        <w:jc w:val="both"/>
        <w:rPr>
          <w:rFonts w:ascii="Arial" w:hAnsi="Arial"/>
          <w:sz w:val="16"/>
        </w:rPr>
      </w:pPr>
      <w:r>
        <w:rPr>
          <w:rFonts w:ascii="Arial" w:hAnsi="Arial"/>
          <w:sz w:val="16"/>
        </w:rPr>
        <w:t>(*) los datos de 1999 no están desagregados por estudios universitarios  de 1º y 2º ciclo, sino que están recogidos como Estudios Superiores</w:t>
      </w:r>
    </w:p>
    <w:p w:rsidR="00000000" w:rsidRDefault="00000000">
      <w:pPr>
        <w:jc w:val="both"/>
        <w:rPr>
          <w:rFonts w:ascii="Arial" w:hAnsi="Arial"/>
          <w:sz w:val="16"/>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relación con los últimos datos sobre </w:t>
      </w:r>
      <w:r>
        <w:rPr>
          <w:rFonts w:ascii="Arial" w:hAnsi="Arial"/>
          <w:b/>
        </w:rPr>
        <w:t>salario</w:t>
      </w:r>
      <w:r>
        <w:rPr>
          <w:rFonts w:ascii="Arial" w:hAnsi="Arial"/>
        </w:rPr>
        <w:t xml:space="preserve"> medio, se aprecia que a pesar de que la diferencia entre hombres y mujeres se va reduciendo, ésta es todavía muy acusada. Así, en 1999, el 24,6% menos que los hombres mientras que, en el 2000, el porcentaje fue del 25.3%.</w:t>
      </w:r>
    </w:p>
    <w:p w:rsidR="00000000" w:rsidRDefault="00000000">
      <w:pPr>
        <w:jc w:val="both"/>
        <w:rPr>
          <w:rFonts w:ascii="Arial" w:hAnsi="Arial"/>
        </w:rPr>
      </w:pPr>
    </w:p>
    <w:p w:rsidR="00000000" w:rsidRDefault="00000000">
      <w:pPr>
        <w:jc w:val="both"/>
        <w:rPr>
          <w:rFonts w:ascii="Arial" w:hAnsi="Arial"/>
        </w:rPr>
      </w:pPr>
      <w:r>
        <w:rPr>
          <w:rFonts w:ascii="Arial" w:hAnsi="Arial"/>
        </w:rPr>
        <w:t>Las mayores diferencias salariales se dan en la industria y en los servicios, sectores en los que el salario de las mujeres es casi un 30% inferior al de los hombres. En la construcción, la diferencia salarial entre los sexos es muy pequeña.</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7"/>
        <w:tabs>
          <w:tab w:val="left" w:pos="1985"/>
        </w:tabs>
        <w:suppressAutoHyphens/>
        <w:ind w:left="0" w:right="0"/>
      </w:pPr>
      <w:r>
        <w:rPr>
          <w:snapToGrid w:val="0"/>
          <w:color w:val="000000"/>
          <w:lang w:val="es-ES" w:eastAsia="es-ES"/>
        </w:rPr>
        <w:br w:type="page"/>
        <w:t>Ganancia media por trabajador/a y mes, Sector de actividad, categoría profesional y sexo</w:t>
      </w:r>
    </w:p>
    <w:tbl>
      <w:tblPr>
        <w:tblW w:w="0" w:type="auto"/>
        <w:tblInd w:w="1987" w:type="dxa"/>
        <w:tblLayout w:type="fixed"/>
        <w:tblCellMar>
          <w:left w:w="30" w:type="dxa"/>
          <w:right w:w="30" w:type="dxa"/>
        </w:tblCellMar>
        <w:tblLook w:val="0000" w:firstRow="0" w:lastRow="0" w:firstColumn="0" w:lastColumn="0" w:noHBand="0" w:noVBand="0"/>
      </w:tblPr>
      <w:tblGrid>
        <w:gridCol w:w="1276"/>
        <w:gridCol w:w="80"/>
        <w:gridCol w:w="61"/>
        <w:gridCol w:w="882"/>
        <w:gridCol w:w="394"/>
        <w:gridCol w:w="111"/>
        <w:gridCol w:w="487"/>
        <w:gridCol w:w="80"/>
        <w:gridCol w:w="992"/>
        <w:gridCol w:w="31"/>
        <w:gridCol w:w="111"/>
        <w:gridCol w:w="850"/>
        <w:gridCol w:w="31"/>
        <w:gridCol w:w="253"/>
        <w:gridCol w:w="1165"/>
      </w:tblGrid>
      <w:tr w:rsidR="00000000">
        <w:tblPrEx>
          <w:tblCellMar>
            <w:top w:w="0" w:type="dxa"/>
            <w:bottom w:w="0" w:type="dxa"/>
          </w:tblCellMar>
        </w:tblPrEx>
        <w:trPr>
          <w:gridAfter w:val="2"/>
          <w:wAfter w:w="1418" w:type="dxa"/>
          <w:cantSplit/>
          <w:trHeight w:val="247"/>
        </w:trPr>
        <w:tc>
          <w:tcPr>
            <w:tcW w:w="1276" w:type="dxa"/>
          </w:tcPr>
          <w:p w:rsidR="00000000" w:rsidRDefault="00000000">
            <w:pPr>
              <w:jc w:val="center"/>
              <w:rPr>
                <w:rFonts w:ascii="Arial" w:hAnsi="Arial"/>
                <w:snapToGrid w:val="0"/>
                <w:color w:val="000000"/>
                <w:sz w:val="16"/>
                <w:lang w:eastAsia="es-ES"/>
              </w:rPr>
            </w:pPr>
          </w:p>
          <w:p w:rsidR="00000000" w:rsidRDefault="00000000">
            <w:pPr>
              <w:rPr>
                <w:rFonts w:ascii="Arial" w:hAnsi="Arial"/>
                <w:snapToGrid w:val="0"/>
                <w:color w:val="000000"/>
                <w:sz w:val="16"/>
                <w:lang w:eastAsia="es-ES"/>
              </w:rPr>
            </w:pPr>
          </w:p>
        </w:tc>
        <w:tc>
          <w:tcPr>
            <w:tcW w:w="141" w:type="dxa"/>
            <w:gridSpan w:val="2"/>
          </w:tcPr>
          <w:p w:rsidR="00000000" w:rsidRDefault="00000000">
            <w:pPr>
              <w:jc w:val="center"/>
              <w:rPr>
                <w:rFonts w:ascii="Arial" w:hAnsi="Arial"/>
                <w:b/>
                <w:snapToGrid w:val="0"/>
                <w:color w:val="000000"/>
                <w:sz w:val="16"/>
                <w:lang w:eastAsia="es-ES"/>
              </w:rPr>
            </w:pPr>
          </w:p>
        </w:tc>
        <w:tc>
          <w:tcPr>
            <w:tcW w:w="3969" w:type="dxa"/>
            <w:gridSpan w:val="10"/>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xml:space="preserve">    2000</w:t>
            </w:r>
          </w:p>
        </w:tc>
      </w:tr>
      <w:tr w:rsidR="00000000">
        <w:tblPrEx>
          <w:tblCellMar>
            <w:top w:w="0" w:type="dxa"/>
            <w:bottom w:w="0" w:type="dxa"/>
          </w:tblCellMar>
        </w:tblPrEx>
        <w:trPr>
          <w:trHeight w:val="247"/>
        </w:trPr>
        <w:tc>
          <w:tcPr>
            <w:tcW w:w="1276" w:type="dxa"/>
          </w:tcPr>
          <w:p w:rsidR="00000000" w:rsidRDefault="00000000">
            <w:pPr>
              <w:tabs>
                <w:tab w:val="left" w:pos="1844"/>
              </w:tabs>
              <w:jc w:val="both"/>
              <w:rPr>
                <w:rFonts w:ascii="Arial" w:hAnsi="Arial"/>
                <w:snapToGrid w:val="0"/>
                <w:color w:val="000000"/>
                <w:sz w:val="16"/>
                <w:lang w:eastAsia="es-ES"/>
              </w:rPr>
            </w:pPr>
          </w:p>
        </w:tc>
        <w:tc>
          <w:tcPr>
            <w:tcW w:w="1023" w:type="dxa"/>
            <w:gridSpan w:val="3"/>
          </w:tcPr>
          <w:p w:rsidR="00000000" w:rsidRDefault="00000000">
            <w:pPr>
              <w:tabs>
                <w:tab w:val="left" w:pos="1844"/>
              </w:tabs>
              <w:jc w:val="center"/>
              <w:rPr>
                <w:rFonts w:ascii="Arial" w:hAnsi="Arial"/>
                <w:snapToGrid w:val="0"/>
                <w:color w:val="000000"/>
                <w:sz w:val="16"/>
                <w:lang w:eastAsia="es-ES"/>
              </w:rPr>
            </w:pPr>
          </w:p>
        </w:tc>
        <w:tc>
          <w:tcPr>
            <w:tcW w:w="992" w:type="dxa"/>
            <w:gridSpan w:val="3"/>
          </w:tcPr>
          <w:p w:rsidR="00000000" w:rsidRDefault="00000000">
            <w:pPr>
              <w:tabs>
                <w:tab w:val="left" w:pos="1844"/>
              </w:tabs>
              <w:jc w:val="center"/>
              <w:rPr>
                <w:rFonts w:ascii="Arial" w:hAnsi="Arial"/>
                <w:snapToGrid w:val="0"/>
                <w:color w:val="000000"/>
                <w:sz w:val="16"/>
                <w:lang w:eastAsia="es-ES"/>
              </w:rPr>
            </w:pPr>
          </w:p>
        </w:tc>
        <w:tc>
          <w:tcPr>
            <w:tcW w:w="80" w:type="dxa"/>
          </w:tcPr>
          <w:p w:rsidR="00000000" w:rsidRDefault="00000000">
            <w:pPr>
              <w:jc w:val="center"/>
              <w:rPr>
                <w:rFonts w:ascii="Arial" w:hAnsi="Arial"/>
                <w:snapToGrid w:val="0"/>
                <w:color w:val="000000"/>
                <w:sz w:val="16"/>
                <w:lang w:eastAsia="es-ES"/>
              </w:rPr>
            </w:pPr>
          </w:p>
        </w:tc>
        <w:tc>
          <w:tcPr>
            <w:tcW w:w="992" w:type="dxa"/>
          </w:tcPr>
          <w:p w:rsidR="00000000" w:rsidRDefault="00000000">
            <w:pPr>
              <w:jc w:val="center"/>
              <w:rPr>
                <w:rFonts w:ascii="Arial" w:hAnsi="Arial"/>
                <w:snapToGrid w:val="0"/>
                <w:color w:val="000000"/>
                <w:sz w:val="16"/>
                <w:lang w:eastAsia="es-ES"/>
              </w:rPr>
            </w:pPr>
          </w:p>
        </w:tc>
        <w:tc>
          <w:tcPr>
            <w:tcW w:w="992" w:type="dxa"/>
            <w:gridSpan w:val="3"/>
          </w:tcPr>
          <w:p w:rsidR="00000000" w:rsidRDefault="00000000">
            <w:pPr>
              <w:jc w:val="center"/>
              <w:rPr>
                <w:rFonts w:ascii="Arial" w:hAnsi="Arial"/>
                <w:snapToGrid w:val="0"/>
                <w:color w:val="000000"/>
                <w:sz w:val="16"/>
                <w:lang w:eastAsia="es-ES"/>
              </w:rPr>
            </w:pPr>
          </w:p>
        </w:tc>
        <w:tc>
          <w:tcPr>
            <w:tcW w:w="1449" w:type="dxa"/>
            <w:gridSpan w:val="3"/>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gridAfter w:val="1"/>
          <w:wAfter w:w="1165" w:type="dxa"/>
          <w:trHeight w:val="247"/>
        </w:trPr>
        <w:tc>
          <w:tcPr>
            <w:tcW w:w="1276" w:type="dxa"/>
          </w:tcPr>
          <w:p w:rsidR="00000000" w:rsidRDefault="00000000">
            <w:pPr>
              <w:tabs>
                <w:tab w:val="left" w:pos="1844"/>
              </w:tabs>
              <w:jc w:val="both"/>
              <w:rPr>
                <w:rFonts w:ascii="Arial" w:hAnsi="Arial"/>
                <w:snapToGrid w:val="0"/>
                <w:color w:val="000000"/>
                <w:sz w:val="16"/>
                <w:lang w:eastAsia="es-ES"/>
              </w:rPr>
            </w:pPr>
          </w:p>
        </w:tc>
        <w:tc>
          <w:tcPr>
            <w:tcW w:w="80" w:type="dxa"/>
            <w:tcBorders>
              <w:bottom w:val="double" w:sz="4" w:space="0" w:color="auto"/>
            </w:tcBorders>
          </w:tcPr>
          <w:p w:rsidR="00000000" w:rsidRDefault="00000000">
            <w:pPr>
              <w:jc w:val="center"/>
              <w:rPr>
                <w:rFonts w:ascii="Arial" w:hAnsi="Arial"/>
                <w:snapToGrid w:val="0"/>
                <w:color w:val="000000"/>
                <w:sz w:val="16"/>
                <w:lang w:eastAsia="es-ES"/>
              </w:rPr>
            </w:pPr>
          </w:p>
        </w:tc>
        <w:tc>
          <w:tcPr>
            <w:tcW w:w="1448" w:type="dxa"/>
            <w:gridSpan w:val="4"/>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1701" w:type="dxa"/>
            <w:gridSpan w:val="5"/>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1134" w:type="dxa"/>
            <w:gridSpan w:val="3"/>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M/H</w:t>
            </w:r>
          </w:p>
        </w:tc>
      </w:tr>
      <w:tr w:rsidR="00000000">
        <w:tblPrEx>
          <w:tblCellMar>
            <w:top w:w="0" w:type="dxa"/>
            <w:bottom w:w="0" w:type="dxa"/>
          </w:tblCellMar>
        </w:tblPrEx>
        <w:trPr>
          <w:trHeight w:val="247"/>
        </w:trPr>
        <w:tc>
          <w:tcPr>
            <w:tcW w:w="1276" w:type="dxa"/>
          </w:tcPr>
          <w:p w:rsidR="00000000" w:rsidRDefault="00000000">
            <w:pPr>
              <w:tabs>
                <w:tab w:val="left" w:pos="1844"/>
              </w:tabs>
              <w:jc w:val="both"/>
              <w:rPr>
                <w:rFonts w:ascii="Arial" w:hAnsi="Arial"/>
                <w:snapToGrid w:val="0"/>
                <w:color w:val="000000"/>
                <w:sz w:val="16"/>
                <w:lang w:eastAsia="es-ES"/>
              </w:rPr>
            </w:pPr>
          </w:p>
        </w:tc>
        <w:tc>
          <w:tcPr>
            <w:tcW w:w="1417" w:type="dxa"/>
            <w:gridSpan w:val="4"/>
          </w:tcPr>
          <w:p w:rsidR="00000000" w:rsidRDefault="00000000">
            <w:pPr>
              <w:tabs>
                <w:tab w:val="left" w:pos="1844"/>
              </w:tabs>
              <w:jc w:val="center"/>
              <w:rPr>
                <w:rFonts w:ascii="Arial" w:hAnsi="Arial"/>
                <w:snapToGrid w:val="0"/>
                <w:color w:val="000000"/>
                <w:sz w:val="16"/>
                <w:lang w:eastAsia="es-ES"/>
              </w:rPr>
            </w:pPr>
          </w:p>
        </w:tc>
        <w:tc>
          <w:tcPr>
            <w:tcW w:w="598" w:type="dxa"/>
            <w:gridSpan w:val="2"/>
          </w:tcPr>
          <w:p w:rsidR="00000000" w:rsidRDefault="00000000">
            <w:pPr>
              <w:tabs>
                <w:tab w:val="left" w:pos="1844"/>
              </w:tabs>
              <w:jc w:val="center"/>
              <w:rPr>
                <w:rFonts w:ascii="Arial" w:hAnsi="Arial"/>
                <w:snapToGrid w:val="0"/>
                <w:color w:val="000000"/>
                <w:sz w:val="16"/>
                <w:lang w:eastAsia="es-ES"/>
              </w:rPr>
            </w:pPr>
          </w:p>
        </w:tc>
        <w:tc>
          <w:tcPr>
            <w:tcW w:w="80" w:type="dxa"/>
          </w:tcPr>
          <w:p w:rsidR="00000000" w:rsidRDefault="00000000">
            <w:pPr>
              <w:jc w:val="center"/>
              <w:rPr>
                <w:rFonts w:ascii="Arial" w:hAnsi="Arial"/>
                <w:snapToGrid w:val="0"/>
                <w:color w:val="000000"/>
                <w:sz w:val="16"/>
                <w:lang w:eastAsia="es-ES"/>
              </w:rPr>
            </w:pPr>
          </w:p>
        </w:tc>
        <w:tc>
          <w:tcPr>
            <w:tcW w:w="1023" w:type="dxa"/>
            <w:gridSpan w:val="2"/>
          </w:tcPr>
          <w:p w:rsidR="00000000" w:rsidRDefault="00000000">
            <w:pPr>
              <w:jc w:val="center"/>
              <w:rPr>
                <w:rFonts w:ascii="Arial" w:hAnsi="Arial"/>
                <w:snapToGrid w:val="0"/>
                <w:color w:val="000000"/>
                <w:sz w:val="16"/>
                <w:lang w:eastAsia="es-ES"/>
              </w:rPr>
            </w:pPr>
          </w:p>
        </w:tc>
        <w:tc>
          <w:tcPr>
            <w:tcW w:w="961" w:type="dxa"/>
            <w:gridSpan w:val="2"/>
          </w:tcPr>
          <w:p w:rsidR="00000000" w:rsidRDefault="00000000">
            <w:pPr>
              <w:jc w:val="center"/>
              <w:rPr>
                <w:rFonts w:ascii="Arial" w:hAnsi="Arial"/>
                <w:snapToGrid w:val="0"/>
                <w:color w:val="000000"/>
                <w:sz w:val="16"/>
                <w:lang w:eastAsia="es-ES"/>
              </w:rPr>
            </w:pPr>
          </w:p>
        </w:tc>
        <w:tc>
          <w:tcPr>
            <w:tcW w:w="1449" w:type="dxa"/>
            <w:gridSpan w:val="3"/>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gridAfter w:val="1"/>
          <w:wAfter w:w="1165" w:type="dxa"/>
          <w:trHeight w:val="247"/>
        </w:trPr>
        <w:tc>
          <w:tcPr>
            <w:tcW w:w="1276" w:type="dxa"/>
          </w:tcPr>
          <w:p w:rsidR="00000000" w:rsidRDefault="00000000">
            <w:pPr>
              <w:tabs>
                <w:tab w:val="left" w:pos="1844"/>
              </w:tabs>
              <w:jc w:val="both"/>
              <w:rPr>
                <w:rFonts w:ascii="Arial" w:hAnsi="Arial"/>
                <w:snapToGrid w:val="0"/>
                <w:color w:val="000000"/>
                <w:sz w:val="16"/>
                <w:lang w:eastAsia="es-ES"/>
              </w:rPr>
            </w:pPr>
            <w:r>
              <w:rPr>
                <w:rFonts w:ascii="Arial" w:hAnsi="Arial"/>
                <w:snapToGrid w:val="0"/>
                <w:color w:val="000000"/>
                <w:sz w:val="16"/>
                <w:lang w:eastAsia="es-ES"/>
              </w:rPr>
              <w:t>Total sectores</w:t>
            </w:r>
          </w:p>
        </w:tc>
        <w:tc>
          <w:tcPr>
            <w:tcW w:w="80" w:type="dxa"/>
          </w:tcPr>
          <w:p w:rsidR="00000000" w:rsidRDefault="00000000">
            <w:pPr>
              <w:jc w:val="center"/>
              <w:rPr>
                <w:rFonts w:ascii="Arial" w:hAnsi="Arial"/>
                <w:snapToGrid w:val="0"/>
                <w:color w:val="000000"/>
                <w:sz w:val="16"/>
                <w:lang w:eastAsia="es-ES"/>
              </w:rPr>
            </w:pPr>
          </w:p>
        </w:tc>
        <w:tc>
          <w:tcPr>
            <w:tcW w:w="1448" w:type="dxa"/>
            <w:gridSpan w:val="4"/>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2770.330</w:t>
            </w:r>
          </w:p>
        </w:tc>
        <w:tc>
          <w:tcPr>
            <w:tcW w:w="1701" w:type="dxa"/>
            <w:gridSpan w:val="5"/>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194.103</w:t>
            </w:r>
          </w:p>
        </w:tc>
        <w:tc>
          <w:tcPr>
            <w:tcW w:w="1134" w:type="dxa"/>
            <w:gridSpan w:val="3"/>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69,99</w:t>
            </w:r>
          </w:p>
        </w:tc>
      </w:tr>
      <w:tr w:rsidR="00000000">
        <w:tblPrEx>
          <w:tblCellMar>
            <w:top w:w="0" w:type="dxa"/>
            <w:bottom w:w="0" w:type="dxa"/>
          </w:tblCellMar>
        </w:tblPrEx>
        <w:trPr>
          <w:gridAfter w:val="1"/>
          <w:wAfter w:w="1165" w:type="dxa"/>
          <w:trHeight w:val="247"/>
        </w:trPr>
        <w:tc>
          <w:tcPr>
            <w:tcW w:w="1276" w:type="dxa"/>
          </w:tcPr>
          <w:p w:rsidR="00000000" w:rsidRDefault="00000000">
            <w:pPr>
              <w:tabs>
                <w:tab w:val="left" w:pos="1844"/>
              </w:tabs>
              <w:jc w:val="both"/>
              <w:rPr>
                <w:rFonts w:ascii="Arial" w:hAnsi="Arial"/>
                <w:snapToGrid w:val="0"/>
                <w:color w:val="000000"/>
                <w:sz w:val="16"/>
                <w:lang w:eastAsia="es-ES"/>
              </w:rPr>
            </w:pPr>
          </w:p>
        </w:tc>
        <w:tc>
          <w:tcPr>
            <w:tcW w:w="80" w:type="dxa"/>
          </w:tcPr>
          <w:p w:rsidR="00000000" w:rsidRDefault="00000000">
            <w:pPr>
              <w:jc w:val="center"/>
              <w:rPr>
                <w:rFonts w:ascii="Arial" w:hAnsi="Arial"/>
                <w:snapToGrid w:val="0"/>
                <w:color w:val="000000"/>
                <w:sz w:val="16"/>
                <w:lang w:eastAsia="es-ES"/>
              </w:rPr>
            </w:pPr>
          </w:p>
        </w:tc>
        <w:tc>
          <w:tcPr>
            <w:tcW w:w="1448" w:type="dxa"/>
            <w:gridSpan w:val="4"/>
          </w:tcPr>
          <w:p w:rsidR="00000000" w:rsidRDefault="00000000">
            <w:pPr>
              <w:jc w:val="center"/>
              <w:rPr>
                <w:rFonts w:ascii="Arial" w:hAnsi="Arial"/>
                <w:snapToGrid w:val="0"/>
                <w:color w:val="000000"/>
                <w:sz w:val="16"/>
                <w:lang w:eastAsia="es-ES"/>
              </w:rPr>
            </w:pPr>
          </w:p>
        </w:tc>
        <w:tc>
          <w:tcPr>
            <w:tcW w:w="1701" w:type="dxa"/>
            <w:gridSpan w:val="5"/>
          </w:tcPr>
          <w:p w:rsidR="00000000" w:rsidRDefault="00000000">
            <w:pPr>
              <w:jc w:val="center"/>
              <w:rPr>
                <w:rFonts w:ascii="Arial" w:hAnsi="Arial"/>
                <w:snapToGrid w:val="0"/>
                <w:color w:val="000000"/>
                <w:sz w:val="16"/>
                <w:lang w:eastAsia="es-ES"/>
              </w:rPr>
            </w:pPr>
          </w:p>
        </w:tc>
        <w:tc>
          <w:tcPr>
            <w:tcW w:w="1134" w:type="dxa"/>
            <w:gridSpan w:val="3"/>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gridAfter w:val="1"/>
          <w:wAfter w:w="1165" w:type="dxa"/>
          <w:trHeight w:val="247"/>
        </w:trPr>
        <w:tc>
          <w:tcPr>
            <w:tcW w:w="1276" w:type="dxa"/>
          </w:tcPr>
          <w:p w:rsidR="00000000" w:rsidRDefault="00000000">
            <w:pPr>
              <w:tabs>
                <w:tab w:val="left" w:pos="1844"/>
              </w:tabs>
              <w:jc w:val="both"/>
              <w:rPr>
                <w:rFonts w:ascii="Arial" w:hAnsi="Arial"/>
                <w:snapToGrid w:val="0"/>
                <w:color w:val="000000"/>
                <w:sz w:val="16"/>
                <w:lang w:eastAsia="es-ES"/>
              </w:rPr>
            </w:pPr>
            <w:r>
              <w:rPr>
                <w:rFonts w:ascii="Arial" w:hAnsi="Arial"/>
                <w:snapToGrid w:val="0"/>
                <w:color w:val="000000"/>
                <w:sz w:val="16"/>
                <w:lang w:eastAsia="es-ES"/>
              </w:rPr>
              <w:t>Industria</w:t>
            </w:r>
          </w:p>
        </w:tc>
        <w:tc>
          <w:tcPr>
            <w:tcW w:w="80" w:type="dxa"/>
          </w:tcPr>
          <w:p w:rsidR="00000000" w:rsidRDefault="00000000">
            <w:pPr>
              <w:jc w:val="center"/>
              <w:rPr>
                <w:rFonts w:ascii="Arial" w:hAnsi="Arial"/>
                <w:snapToGrid w:val="0"/>
                <w:color w:val="000000"/>
                <w:sz w:val="16"/>
                <w:lang w:eastAsia="es-ES"/>
              </w:rPr>
            </w:pPr>
          </w:p>
        </w:tc>
        <w:tc>
          <w:tcPr>
            <w:tcW w:w="1448" w:type="dxa"/>
            <w:gridSpan w:val="4"/>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294.977</w:t>
            </w:r>
          </w:p>
        </w:tc>
        <w:tc>
          <w:tcPr>
            <w:tcW w:w="1701" w:type="dxa"/>
            <w:gridSpan w:val="5"/>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205.740</w:t>
            </w:r>
          </w:p>
        </w:tc>
        <w:tc>
          <w:tcPr>
            <w:tcW w:w="1134" w:type="dxa"/>
            <w:gridSpan w:val="3"/>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69,75</w:t>
            </w:r>
          </w:p>
        </w:tc>
      </w:tr>
      <w:tr w:rsidR="00000000">
        <w:tblPrEx>
          <w:tblCellMar>
            <w:top w:w="0" w:type="dxa"/>
            <w:bottom w:w="0" w:type="dxa"/>
          </w:tblCellMar>
        </w:tblPrEx>
        <w:trPr>
          <w:gridAfter w:val="1"/>
          <w:wAfter w:w="1165" w:type="dxa"/>
          <w:trHeight w:val="247"/>
        </w:trPr>
        <w:tc>
          <w:tcPr>
            <w:tcW w:w="1276"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Construcción</w:t>
            </w:r>
          </w:p>
        </w:tc>
        <w:tc>
          <w:tcPr>
            <w:tcW w:w="80" w:type="dxa"/>
          </w:tcPr>
          <w:p w:rsidR="00000000" w:rsidRDefault="00000000">
            <w:pPr>
              <w:jc w:val="center"/>
              <w:rPr>
                <w:rFonts w:ascii="Arial" w:hAnsi="Arial"/>
                <w:snapToGrid w:val="0"/>
                <w:color w:val="000000"/>
                <w:sz w:val="16"/>
                <w:lang w:eastAsia="es-ES"/>
              </w:rPr>
            </w:pPr>
          </w:p>
        </w:tc>
        <w:tc>
          <w:tcPr>
            <w:tcW w:w="1448" w:type="dxa"/>
            <w:gridSpan w:val="4"/>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224.371</w:t>
            </w:r>
          </w:p>
        </w:tc>
        <w:tc>
          <w:tcPr>
            <w:tcW w:w="1701" w:type="dxa"/>
            <w:gridSpan w:val="5"/>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209.915</w:t>
            </w:r>
          </w:p>
        </w:tc>
        <w:tc>
          <w:tcPr>
            <w:tcW w:w="1134" w:type="dxa"/>
            <w:gridSpan w:val="3"/>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93,56</w:t>
            </w:r>
          </w:p>
        </w:tc>
      </w:tr>
      <w:tr w:rsidR="00000000">
        <w:tblPrEx>
          <w:tblCellMar>
            <w:top w:w="0" w:type="dxa"/>
            <w:bottom w:w="0" w:type="dxa"/>
          </w:tblCellMar>
        </w:tblPrEx>
        <w:trPr>
          <w:gridAfter w:val="1"/>
          <w:wAfter w:w="1165" w:type="dxa"/>
          <w:trHeight w:val="247"/>
        </w:trPr>
        <w:tc>
          <w:tcPr>
            <w:tcW w:w="1276" w:type="dxa"/>
            <w:tcBorders>
              <w:bottom w:val="single" w:sz="4" w:space="0" w:color="auto"/>
            </w:tcBorders>
          </w:tcPr>
          <w:p w:rsidR="00000000" w:rsidRDefault="00000000">
            <w:pPr>
              <w:tabs>
                <w:tab w:val="left" w:pos="1844"/>
              </w:tabs>
              <w:jc w:val="both"/>
              <w:rPr>
                <w:rFonts w:ascii="Arial" w:hAnsi="Arial"/>
                <w:snapToGrid w:val="0"/>
                <w:color w:val="000000"/>
                <w:sz w:val="16"/>
                <w:lang w:eastAsia="es-ES"/>
              </w:rPr>
            </w:pPr>
            <w:r>
              <w:rPr>
                <w:rFonts w:ascii="Arial" w:hAnsi="Arial"/>
                <w:snapToGrid w:val="0"/>
                <w:color w:val="000000"/>
                <w:sz w:val="16"/>
                <w:lang w:eastAsia="es-ES"/>
              </w:rPr>
              <w:t>Servicios</w:t>
            </w:r>
          </w:p>
        </w:tc>
        <w:tc>
          <w:tcPr>
            <w:tcW w:w="80" w:type="dxa"/>
            <w:tcBorders>
              <w:bottom w:val="single" w:sz="4" w:space="0" w:color="auto"/>
            </w:tcBorders>
          </w:tcPr>
          <w:p w:rsidR="00000000" w:rsidRDefault="00000000">
            <w:pPr>
              <w:jc w:val="center"/>
              <w:rPr>
                <w:rFonts w:ascii="Arial" w:hAnsi="Arial"/>
                <w:snapToGrid w:val="0"/>
                <w:color w:val="000000"/>
                <w:sz w:val="16"/>
                <w:lang w:eastAsia="es-ES"/>
              </w:rPr>
            </w:pPr>
          </w:p>
        </w:tc>
        <w:tc>
          <w:tcPr>
            <w:tcW w:w="1448" w:type="dxa"/>
            <w:gridSpan w:val="4"/>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285.886</w:t>
            </w:r>
          </w:p>
        </w:tc>
        <w:tc>
          <w:tcPr>
            <w:tcW w:w="1701" w:type="dxa"/>
            <w:gridSpan w:val="5"/>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188.866</w:t>
            </w:r>
          </w:p>
        </w:tc>
        <w:tc>
          <w:tcPr>
            <w:tcW w:w="1134" w:type="dxa"/>
            <w:gridSpan w:val="3"/>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66,06</w:t>
            </w:r>
          </w:p>
        </w:tc>
      </w:tr>
    </w:tbl>
    <w:p w:rsidR="00000000" w:rsidRDefault="00000000">
      <w:pPr>
        <w:ind w:left="1980"/>
        <w:jc w:val="both"/>
        <w:rPr>
          <w:rFonts w:ascii="Arial" w:hAnsi="Arial"/>
          <w:snapToGrid w:val="0"/>
          <w:color w:val="000000"/>
          <w:sz w:val="16"/>
          <w:lang w:eastAsia="es-ES"/>
        </w:rPr>
      </w:pPr>
      <w:r>
        <w:rPr>
          <w:rFonts w:ascii="Arial" w:hAnsi="Arial"/>
          <w:snapToGrid w:val="0"/>
          <w:color w:val="000000"/>
          <w:sz w:val="16"/>
          <w:lang w:eastAsia="es-ES"/>
        </w:rPr>
        <w:t>Fuente: Elaboración propia a partir de los datos de la Encuesta de Salarios en</w:t>
      </w:r>
    </w:p>
    <w:p w:rsidR="00000000" w:rsidRDefault="00000000">
      <w:pPr>
        <w:ind w:left="1980"/>
        <w:jc w:val="both"/>
        <w:rPr>
          <w:rFonts w:ascii="Arial" w:hAnsi="Arial"/>
          <w:sz w:val="16"/>
        </w:rPr>
      </w:pPr>
      <w:r>
        <w:rPr>
          <w:rFonts w:ascii="Arial" w:hAnsi="Arial"/>
          <w:snapToGrid w:val="0"/>
          <w:color w:val="000000"/>
          <w:sz w:val="16"/>
          <w:lang w:eastAsia="es-ES"/>
        </w:rPr>
        <w:t>la Industria y los Servicios, IV Trimestre . INE</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Como se puede apreciar por los datos del cuadro adjunto, sigue aumentando el número de </w:t>
      </w:r>
      <w:r>
        <w:rPr>
          <w:rFonts w:ascii="Arial" w:hAnsi="Arial"/>
          <w:b/>
        </w:rPr>
        <w:t>contratos</w:t>
      </w:r>
      <w:r>
        <w:rPr>
          <w:rFonts w:ascii="Arial" w:hAnsi="Arial"/>
        </w:rPr>
        <w:t xml:space="preserve"> a mujeres en todos los tramos de edad, si bien en ninguno de ellos alcanza el 50%.</w:t>
      </w:r>
    </w:p>
    <w:p w:rsidR="00000000" w:rsidRDefault="00000000">
      <w:pPr>
        <w:jc w:val="both"/>
        <w:rPr>
          <w:rFonts w:ascii="Arial" w:hAnsi="Arial"/>
        </w:rPr>
      </w:pPr>
    </w:p>
    <w:p w:rsidR="00000000" w:rsidRDefault="00000000">
      <w:pPr>
        <w:pStyle w:val="Heading3"/>
        <w:suppressAutoHyphens/>
        <w:ind w:left="0"/>
        <w:rPr>
          <w:sz w:val="16"/>
        </w:rPr>
      </w:pPr>
    </w:p>
    <w:p w:rsidR="00000000" w:rsidRDefault="00000000">
      <w:pPr>
        <w:pStyle w:val="Heading3"/>
        <w:suppressAutoHyphens/>
        <w:ind w:left="0"/>
        <w:rPr>
          <w:sz w:val="16"/>
        </w:rPr>
      </w:pPr>
      <w:r>
        <w:rPr>
          <w:sz w:val="16"/>
        </w:rPr>
        <w:t>Contratos registrados(*)por sexo y edad</w:t>
      </w:r>
    </w:p>
    <w:p w:rsidR="00000000" w:rsidRDefault="00000000">
      <w:pPr>
        <w:pStyle w:val="Header"/>
        <w:suppressAutoHyphens/>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1646"/>
        <w:gridCol w:w="973"/>
        <w:gridCol w:w="846"/>
        <w:gridCol w:w="909"/>
        <w:gridCol w:w="828"/>
        <w:gridCol w:w="963"/>
        <w:gridCol w:w="900"/>
        <w:gridCol w:w="945"/>
        <w:gridCol w:w="863"/>
      </w:tblGrid>
      <w:tr w:rsidR="00000000">
        <w:tblPrEx>
          <w:tblCellMar>
            <w:top w:w="0" w:type="dxa"/>
            <w:bottom w:w="0" w:type="dxa"/>
          </w:tblCellMar>
        </w:tblPrEx>
        <w:trPr>
          <w:cantSplit/>
          <w:trHeight w:val="338"/>
          <w:jc w:val="center"/>
        </w:trPr>
        <w:tc>
          <w:tcPr>
            <w:tcW w:w="1646" w:type="dxa"/>
            <w:shd w:val="clear" w:color="auto" w:fill="FFFFFF"/>
          </w:tcPr>
          <w:p w:rsidR="00000000" w:rsidRDefault="00000000">
            <w:pPr>
              <w:jc w:val="center"/>
              <w:rPr>
                <w:rFonts w:ascii="Arial" w:hAnsi="Arial"/>
                <w:snapToGrid w:val="0"/>
                <w:sz w:val="16"/>
                <w:lang w:eastAsia="es-ES"/>
              </w:rPr>
            </w:pPr>
          </w:p>
        </w:tc>
        <w:tc>
          <w:tcPr>
            <w:tcW w:w="3556" w:type="dxa"/>
            <w:gridSpan w:val="4"/>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AÑO: 1999</w:t>
            </w:r>
          </w:p>
        </w:tc>
        <w:tc>
          <w:tcPr>
            <w:tcW w:w="3671" w:type="dxa"/>
            <w:gridSpan w:val="4"/>
          </w:tcPr>
          <w:p w:rsidR="00000000" w:rsidRDefault="00000000">
            <w:pPr>
              <w:jc w:val="center"/>
              <w:rPr>
                <w:rFonts w:ascii="Arial" w:hAnsi="Arial"/>
                <w:b/>
                <w:snapToGrid w:val="0"/>
                <w:color w:val="000000"/>
                <w:sz w:val="16"/>
                <w:lang w:eastAsia="es-ES"/>
              </w:rPr>
            </w:pPr>
            <w:r>
              <w:rPr>
                <w:rFonts w:ascii="Arial" w:hAnsi="Arial"/>
                <w:b/>
                <w:snapToGrid w:val="0"/>
                <w:color w:val="FFFFFF"/>
                <w:sz w:val="16"/>
                <w:lang w:eastAsia="es-ES"/>
              </w:rPr>
              <w:t>AÑ</w:t>
            </w:r>
            <w:r>
              <w:rPr>
                <w:rFonts w:ascii="Arial" w:hAnsi="Arial"/>
                <w:b/>
                <w:snapToGrid w:val="0"/>
                <w:sz w:val="16"/>
                <w:lang w:eastAsia="es-ES"/>
              </w:rPr>
              <w:t>AÑO 2001</w:t>
            </w:r>
          </w:p>
        </w:tc>
      </w:tr>
      <w:tr w:rsidR="00000000">
        <w:tblPrEx>
          <w:tblCellMar>
            <w:top w:w="0" w:type="dxa"/>
            <w:bottom w:w="0" w:type="dxa"/>
          </w:tblCellMar>
        </w:tblPrEx>
        <w:trPr>
          <w:trHeight w:val="322"/>
          <w:jc w:val="center"/>
        </w:trPr>
        <w:tc>
          <w:tcPr>
            <w:tcW w:w="1646" w:type="dxa"/>
            <w:shd w:val="clear" w:color="auto" w:fill="FFFFFF"/>
          </w:tcPr>
          <w:p w:rsidR="00000000" w:rsidRDefault="00000000">
            <w:pPr>
              <w:jc w:val="both"/>
              <w:rPr>
                <w:rFonts w:ascii="Arial" w:hAnsi="Arial"/>
                <w:snapToGrid w:val="0"/>
                <w:sz w:val="16"/>
                <w:lang w:eastAsia="es-ES"/>
              </w:rPr>
            </w:pPr>
          </w:p>
        </w:tc>
        <w:tc>
          <w:tcPr>
            <w:tcW w:w="973" w:type="dxa"/>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Total</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Mujeres</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Hombres</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%Mujeres</w:t>
            </w:r>
          </w:p>
        </w:tc>
        <w:tc>
          <w:tcPr>
            <w:tcW w:w="963"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Total</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r>
      <w:tr w:rsidR="00000000">
        <w:tblPrEx>
          <w:tblCellMar>
            <w:top w:w="0" w:type="dxa"/>
            <w:bottom w:w="0" w:type="dxa"/>
          </w:tblCellMar>
        </w:tblPrEx>
        <w:trPr>
          <w:trHeight w:val="322"/>
          <w:jc w:val="center"/>
        </w:trPr>
        <w:tc>
          <w:tcPr>
            <w:tcW w:w="1646" w:type="dxa"/>
            <w:shd w:val="clear" w:color="auto" w:fill="FFFFFF"/>
          </w:tcPr>
          <w:p w:rsidR="00000000" w:rsidRDefault="00000000">
            <w:pPr>
              <w:jc w:val="both"/>
              <w:rPr>
                <w:rFonts w:ascii="Arial" w:hAnsi="Arial"/>
                <w:b/>
                <w:snapToGrid w:val="0"/>
                <w:sz w:val="16"/>
                <w:lang w:eastAsia="es-ES"/>
              </w:rPr>
            </w:pPr>
          </w:p>
        </w:tc>
        <w:tc>
          <w:tcPr>
            <w:tcW w:w="973" w:type="dxa"/>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13.235.327</w:t>
            </w:r>
          </w:p>
        </w:tc>
        <w:tc>
          <w:tcPr>
            <w:tcW w:w="846" w:type="dxa"/>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5.438.070</w:t>
            </w:r>
          </w:p>
        </w:tc>
        <w:tc>
          <w:tcPr>
            <w:tcW w:w="909" w:type="dxa"/>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7.797.257</w:t>
            </w:r>
          </w:p>
        </w:tc>
        <w:tc>
          <w:tcPr>
            <w:tcW w:w="828" w:type="dxa"/>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41.09</w:t>
            </w:r>
          </w:p>
        </w:tc>
        <w:tc>
          <w:tcPr>
            <w:tcW w:w="963"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14.056.484</w:t>
            </w:r>
          </w:p>
        </w:tc>
        <w:tc>
          <w:tcPr>
            <w:tcW w:w="90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6.043.999</w:t>
            </w:r>
          </w:p>
        </w:tc>
        <w:tc>
          <w:tcPr>
            <w:tcW w:w="945"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8.012.485</w:t>
            </w:r>
          </w:p>
        </w:tc>
        <w:tc>
          <w:tcPr>
            <w:tcW w:w="863"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43.00</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p>
        </w:tc>
        <w:tc>
          <w:tcPr>
            <w:tcW w:w="973" w:type="dxa"/>
            <w:shd w:val="clear" w:color="auto" w:fill="FFFFFF"/>
          </w:tcPr>
          <w:p w:rsidR="00000000" w:rsidRDefault="00000000">
            <w:pPr>
              <w:jc w:val="center"/>
              <w:rPr>
                <w:rFonts w:ascii="Arial" w:hAnsi="Arial"/>
                <w:snapToGrid w:val="0"/>
                <w:sz w:val="16"/>
                <w:lang w:eastAsia="es-ES"/>
              </w:rPr>
            </w:pPr>
          </w:p>
        </w:tc>
        <w:tc>
          <w:tcPr>
            <w:tcW w:w="846" w:type="dxa"/>
            <w:shd w:val="clear" w:color="auto" w:fill="FFFFFF"/>
          </w:tcPr>
          <w:p w:rsidR="00000000" w:rsidRDefault="00000000">
            <w:pPr>
              <w:jc w:val="center"/>
              <w:rPr>
                <w:rFonts w:ascii="Arial" w:hAnsi="Arial"/>
                <w:snapToGrid w:val="0"/>
                <w:sz w:val="16"/>
                <w:lang w:eastAsia="es-ES"/>
              </w:rPr>
            </w:pPr>
          </w:p>
        </w:tc>
        <w:tc>
          <w:tcPr>
            <w:tcW w:w="909" w:type="dxa"/>
            <w:shd w:val="clear" w:color="auto" w:fill="FFFFFF"/>
          </w:tcPr>
          <w:p w:rsidR="00000000" w:rsidRDefault="00000000">
            <w:pPr>
              <w:jc w:val="center"/>
              <w:rPr>
                <w:rFonts w:ascii="Arial" w:hAnsi="Arial"/>
                <w:snapToGrid w:val="0"/>
                <w:sz w:val="16"/>
                <w:lang w:eastAsia="es-ES"/>
              </w:rPr>
            </w:pPr>
          </w:p>
        </w:tc>
        <w:tc>
          <w:tcPr>
            <w:tcW w:w="828" w:type="dxa"/>
            <w:shd w:val="clear" w:color="auto" w:fill="FFFFFF"/>
          </w:tcPr>
          <w:p w:rsidR="00000000" w:rsidRDefault="00000000">
            <w:pPr>
              <w:jc w:val="center"/>
              <w:rPr>
                <w:rFonts w:ascii="Arial" w:hAnsi="Arial"/>
                <w:snapToGrid w:val="0"/>
                <w:sz w:val="16"/>
                <w:lang w:eastAsia="es-ES"/>
              </w:rPr>
            </w:pPr>
          </w:p>
        </w:tc>
        <w:tc>
          <w:tcPr>
            <w:tcW w:w="963" w:type="dxa"/>
          </w:tcPr>
          <w:p w:rsidR="00000000" w:rsidRDefault="00000000">
            <w:pPr>
              <w:jc w:val="center"/>
              <w:rPr>
                <w:rFonts w:ascii="Arial" w:hAnsi="Arial"/>
                <w:snapToGrid w:val="0"/>
                <w:color w:val="000000"/>
                <w:sz w:val="16"/>
                <w:lang w:eastAsia="es-ES"/>
              </w:rPr>
            </w:pPr>
          </w:p>
        </w:tc>
        <w:tc>
          <w:tcPr>
            <w:tcW w:w="900" w:type="dxa"/>
          </w:tcPr>
          <w:p w:rsidR="00000000" w:rsidRDefault="00000000">
            <w:pPr>
              <w:jc w:val="center"/>
              <w:rPr>
                <w:rFonts w:ascii="Arial" w:hAnsi="Arial"/>
                <w:snapToGrid w:val="0"/>
                <w:color w:val="000000"/>
                <w:sz w:val="16"/>
                <w:lang w:eastAsia="es-ES"/>
              </w:rPr>
            </w:pPr>
          </w:p>
        </w:tc>
        <w:tc>
          <w:tcPr>
            <w:tcW w:w="945" w:type="dxa"/>
          </w:tcPr>
          <w:p w:rsidR="00000000" w:rsidRDefault="00000000">
            <w:pPr>
              <w:jc w:val="center"/>
              <w:rPr>
                <w:rFonts w:ascii="Arial" w:hAnsi="Arial"/>
                <w:snapToGrid w:val="0"/>
                <w:color w:val="000000"/>
                <w:sz w:val="16"/>
                <w:lang w:eastAsia="es-ES"/>
              </w:rPr>
            </w:pPr>
          </w:p>
        </w:tc>
        <w:tc>
          <w:tcPr>
            <w:tcW w:w="863"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16 a 19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1.246.625</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456.979</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789.646</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36,66</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1.269.849</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483.408</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786.441</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38,07</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20 a 24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3.457.011</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1.500.826</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1.956.185</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43,41</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3.502.291</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1.579.159</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1.923.132</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45,09</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25 a 29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2.810.885</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1.228.936</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1.581.949</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43,72</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2.973.007</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1.336.395</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1.636.612</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44,95</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De 30 a 34 años</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1.859.997</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747.964</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1.112.033</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40,21</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1.983.178</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832.317</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1.150.861</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41,97</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35 a 39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1.362509</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554.797</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807.712</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40,72</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1.511.135</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648.712</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862.423</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42,93</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40 a 44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984.932</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406.934</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577.998</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41,32</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1.142.656</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508.640</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634.016</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44,51</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45 a 49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677.599</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259.219</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418.380</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38,26</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771.846</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325.363</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446.483</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42,15</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50 a 54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475.688</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165.673</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310.015</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34,83</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495.269</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191.083</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304.186</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38,58</w:t>
            </w:r>
          </w:p>
        </w:tc>
      </w:tr>
      <w:tr w:rsidR="00000000">
        <w:tblPrEx>
          <w:tblCellMar>
            <w:top w:w="0" w:type="dxa"/>
            <w:bottom w:w="0" w:type="dxa"/>
          </w:tblCellMar>
        </w:tblPrEx>
        <w:trPr>
          <w:trHeight w:val="307"/>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De 55 a 59 años</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253.010</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78.465</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174.545</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31,01</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284.273</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95.966</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188.307</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33,76</w:t>
            </w:r>
          </w:p>
        </w:tc>
      </w:tr>
      <w:tr w:rsidR="00000000">
        <w:tblPrEx>
          <w:tblCellMar>
            <w:top w:w="0" w:type="dxa"/>
            <w:bottom w:w="0" w:type="dxa"/>
          </w:tblCellMar>
        </w:tblPrEx>
        <w:trPr>
          <w:trHeight w:val="322"/>
          <w:jc w:val="center"/>
        </w:trPr>
        <w:tc>
          <w:tcPr>
            <w:tcW w:w="1646" w:type="dxa"/>
            <w:shd w:val="clear" w:color="auto" w:fill="FFFFFF"/>
          </w:tcPr>
          <w:p w:rsidR="00000000" w:rsidRDefault="00000000">
            <w:pPr>
              <w:rPr>
                <w:rFonts w:ascii="Arial" w:hAnsi="Arial"/>
                <w:snapToGrid w:val="0"/>
                <w:sz w:val="16"/>
                <w:lang w:eastAsia="es-ES"/>
              </w:rPr>
            </w:pPr>
            <w:r>
              <w:rPr>
                <w:rFonts w:ascii="Arial" w:hAnsi="Arial"/>
                <w:snapToGrid w:val="0"/>
                <w:sz w:val="16"/>
                <w:lang w:eastAsia="es-ES"/>
              </w:rPr>
              <w:t xml:space="preserve">De 60 y más años </w:t>
            </w:r>
          </w:p>
        </w:tc>
        <w:tc>
          <w:tcPr>
            <w:tcW w:w="973"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107.071</w:t>
            </w:r>
          </w:p>
        </w:tc>
        <w:tc>
          <w:tcPr>
            <w:tcW w:w="846"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38.277</w:t>
            </w:r>
          </w:p>
        </w:tc>
        <w:tc>
          <w:tcPr>
            <w:tcW w:w="909"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68.794</w:t>
            </w:r>
          </w:p>
        </w:tc>
        <w:tc>
          <w:tcPr>
            <w:tcW w:w="828" w:type="dxa"/>
            <w:shd w:val="clear" w:color="auto" w:fill="FFFFFF"/>
          </w:tcPr>
          <w:p w:rsidR="00000000" w:rsidRDefault="00000000">
            <w:pPr>
              <w:jc w:val="center"/>
              <w:rPr>
                <w:rFonts w:ascii="Arial" w:hAnsi="Arial"/>
                <w:snapToGrid w:val="0"/>
                <w:sz w:val="16"/>
                <w:lang w:eastAsia="es-ES"/>
              </w:rPr>
            </w:pPr>
            <w:r>
              <w:rPr>
                <w:rFonts w:ascii="Arial" w:hAnsi="Arial"/>
                <w:snapToGrid w:val="0"/>
                <w:sz w:val="16"/>
                <w:lang w:eastAsia="es-ES"/>
              </w:rPr>
              <w:t>35,75</w:t>
            </w:r>
          </w:p>
        </w:tc>
        <w:tc>
          <w:tcPr>
            <w:tcW w:w="9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122.980</w:t>
            </w:r>
          </w:p>
        </w:tc>
        <w:tc>
          <w:tcPr>
            <w:tcW w:w="90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42.956</w:t>
            </w:r>
          </w:p>
        </w:tc>
        <w:tc>
          <w:tcPr>
            <w:tcW w:w="94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80.024</w:t>
            </w:r>
          </w:p>
        </w:tc>
        <w:tc>
          <w:tcPr>
            <w:tcW w:w="86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34,93</w:t>
            </w:r>
          </w:p>
        </w:tc>
      </w:tr>
    </w:tbl>
    <w:p w:rsidR="00000000" w:rsidRDefault="00000000">
      <w:pPr>
        <w:ind w:left="747"/>
        <w:jc w:val="both"/>
        <w:rPr>
          <w:rFonts w:ascii="Arial" w:hAnsi="Arial"/>
          <w:sz w:val="16"/>
        </w:rPr>
      </w:pPr>
      <w:r>
        <w:rPr>
          <w:rFonts w:ascii="Arial" w:hAnsi="Arial"/>
          <w:snapToGrid w:val="0"/>
          <w:color w:val="000000"/>
          <w:sz w:val="16"/>
          <w:lang w:eastAsia="es-ES"/>
        </w:rPr>
        <w:t>Fuente: Elaboración propia a partir de datos del Ministerio de Trabajo y Asuntos Sociales</w:t>
      </w:r>
    </w:p>
    <w:p w:rsidR="00000000" w:rsidRDefault="00000000">
      <w:pPr>
        <w:ind w:left="747"/>
        <w:jc w:val="both"/>
        <w:rPr>
          <w:rFonts w:ascii="Arial" w:hAnsi="Arial"/>
          <w:sz w:val="16"/>
        </w:rPr>
      </w:pPr>
      <w:r>
        <w:rPr>
          <w:rFonts w:ascii="Arial" w:hAnsi="Arial"/>
          <w:snapToGrid w:val="0"/>
          <w:color w:val="000000"/>
          <w:sz w:val="16"/>
          <w:lang w:eastAsia="es-ES"/>
        </w:rPr>
        <w:t>Anuario de Estadísticas Laborales y de Asuntos Sociales.  Movimiento Laboral Registrado</w:t>
      </w:r>
    </w:p>
    <w:p w:rsidR="00000000" w:rsidRDefault="00000000">
      <w:pPr>
        <w:ind w:left="747"/>
        <w:jc w:val="both"/>
        <w:rPr>
          <w:rFonts w:ascii="Arial" w:hAnsi="Arial"/>
          <w:sz w:val="16"/>
        </w:rPr>
      </w:pPr>
      <w:r>
        <w:rPr>
          <w:rFonts w:ascii="Arial" w:hAnsi="Arial"/>
          <w:snapToGrid w:val="0"/>
          <w:color w:val="000000"/>
          <w:sz w:val="16"/>
          <w:lang w:eastAsia="es-ES"/>
        </w:rPr>
        <w:t>(*) En el INEM, Instituto Social de la Marina y Servicios de Empleo de CCAA</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3"/>
        <w:ind w:left="0"/>
        <w:jc w:val="both"/>
        <w:rPr>
          <w:b/>
        </w:rPr>
      </w:pPr>
      <w:r>
        <w:rPr>
          <w:b/>
        </w:rPr>
        <w:t>II.- Modificaciones del ordenamiento jurídico</w:t>
      </w:r>
    </w:p>
    <w:p w:rsidR="00000000" w:rsidRDefault="00000000">
      <w:pPr>
        <w:jc w:val="both"/>
        <w:rPr>
          <w:rFonts w:ascii="Arial" w:hAnsi="Arial"/>
          <w:color w:val="000000"/>
        </w:rPr>
      </w:pPr>
    </w:p>
    <w:p w:rsidR="00000000" w:rsidRDefault="00000000">
      <w:pPr>
        <w:tabs>
          <w:tab w:val="left" w:pos="5954"/>
        </w:tabs>
        <w:jc w:val="both"/>
        <w:rPr>
          <w:rFonts w:ascii="Arial" w:hAnsi="Arial"/>
        </w:rPr>
      </w:pPr>
      <w:r>
        <w:rPr>
          <w:rFonts w:ascii="Arial" w:hAnsi="Arial"/>
        </w:rPr>
        <w:t>Durante este período, las modificaciones más importantes se han introducido mediante las siguientes normas:</w:t>
      </w:r>
    </w:p>
    <w:p w:rsidR="00000000" w:rsidRDefault="00000000">
      <w:pPr>
        <w:tabs>
          <w:tab w:val="left" w:pos="5954"/>
        </w:tabs>
        <w:jc w:val="both"/>
        <w:rPr>
          <w:rFonts w:ascii="Arial" w:hAnsi="Arial"/>
        </w:rPr>
      </w:pPr>
    </w:p>
    <w:p w:rsidR="00000000" w:rsidRDefault="00000000">
      <w:pPr>
        <w:tabs>
          <w:tab w:val="left" w:pos="5954"/>
        </w:tabs>
        <w:jc w:val="both"/>
        <w:rPr>
          <w:rFonts w:ascii="Arial" w:hAnsi="Arial"/>
        </w:rPr>
      </w:pPr>
      <w:r>
        <w:rPr>
          <w:rFonts w:ascii="Arial" w:hAnsi="Arial"/>
          <w:b/>
        </w:rPr>
        <w:t>La Ley 55/1999,de 29 de diciembre, de Medidas Fiscales, Administrativas y de Orden Social</w:t>
      </w:r>
      <w:r>
        <w:rPr>
          <w:rFonts w:ascii="Arial" w:hAnsi="Arial"/>
        </w:rPr>
        <w:t xml:space="preserve">,  así como la Ley 12/2001, establecen el </w:t>
      </w:r>
      <w:r>
        <w:rPr>
          <w:rFonts w:ascii="Arial" w:hAnsi="Arial"/>
          <w:b/>
        </w:rPr>
        <w:t xml:space="preserve">Programa de fomento de empleo </w:t>
      </w:r>
      <w:r>
        <w:rPr>
          <w:rFonts w:ascii="Arial" w:hAnsi="Arial"/>
        </w:rPr>
        <w:t xml:space="preserve">vigente para los años 2000 y 2001, aprobando nuevas </w:t>
      </w:r>
      <w:r>
        <w:rPr>
          <w:rFonts w:ascii="Arial" w:hAnsi="Arial"/>
          <w:b/>
        </w:rPr>
        <w:t>bonificaciones</w:t>
      </w:r>
      <w:r>
        <w:rPr>
          <w:rFonts w:ascii="Arial" w:hAnsi="Arial"/>
        </w:rPr>
        <w:t xml:space="preserve"> en las cuotas empresariales a la Seguridad Social para fomentar la contratación de mujeres y otros colectivos con especiales dificultades de inserción laboral. Las bonificaciones van dirigidas a la contratación indefinida, ya sea a tiempo completo o a tiempo parcial.</w:t>
      </w:r>
    </w:p>
    <w:p w:rsidR="00000000" w:rsidRDefault="00000000">
      <w:pPr>
        <w:tabs>
          <w:tab w:val="left" w:pos="5954"/>
        </w:tabs>
        <w:jc w:val="both"/>
        <w:rPr>
          <w:rFonts w:ascii="Arial" w:hAnsi="Arial"/>
        </w:rPr>
      </w:pPr>
    </w:p>
    <w:p w:rsidR="00000000" w:rsidRDefault="00000000">
      <w:pPr>
        <w:pStyle w:val="Heading8"/>
        <w:ind w:right="0"/>
        <w:jc w:val="center"/>
      </w:pPr>
      <w:r>
        <w:t>Bonificaciones en la contratación de mujeres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701"/>
        <w:gridCol w:w="1134"/>
        <w:gridCol w:w="1276"/>
        <w:gridCol w:w="1842"/>
      </w:tblGrid>
      <w:tr w:rsidR="00000000">
        <w:tblPrEx>
          <w:tblCellMar>
            <w:top w:w="0" w:type="dxa"/>
            <w:bottom w:w="0" w:type="dxa"/>
          </w:tblCellMar>
        </w:tblPrEx>
        <w:trPr>
          <w:cantSplit/>
          <w:trHeight w:val="105"/>
          <w:jc w:val="center"/>
        </w:trPr>
        <w:tc>
          <w:tcPr>
            <w:tcW w:w="4253" w:type="dxa"/>
            <w:gridSpan w:val="2"/>
            <w:vMerge w:val="restart"/>
          </w:tcPr>
          <w:p w:rsidR="00000000" w:rsidRDefault="00000000">
            <w:pPr>
              <w:rPr>
                <w:rFonts w:ascii="Arial" w:hAnsi="Arial"/>
                <w:sz w:val="16"/>
              </w:rPr>
            </w:pPr>
            <w:r>
              <w:rPr>
                <w:rFonts w:ascii="Arial" w:hAnsi="Arial"/>
                <w:sz w:val="16"/>
              </w:rPr>
              <w:t>Colectivo de desempleados</w:t>
            </w:r>
          </w:p>
        </w:tc>
        <w:tc>
          <w:tcPr>
            <w:tcW w:w="2410" w:type="dxa"/>
            <w:gridSpan w:val="2"/>
          </w:tcPr>
          <w:p w:rsidR="00000000" w:rsidRDefault="00000000">
            <w:pPr>
              <w:jc w:val="center"/>
              <w:rPr>
                <w:rFonts w:ascii="Arial" w:hAnsi="Arial"/>
                <w:sz w:val="16"/>
              </w:rPr>
            </w:pPr>
            <w:r>
              <w:rPr>
                <w:rFonts w:ascii="Arial" w:hAnsi="Arial"/>
                <w:sz w:val="16"/>
              </w:rPr>
              <w:t>% Bonificación cuota empresarial a la S. Social</w:t>
            </w:r>
          </w:p>
        </w:tc>
        <w:tc>
          <w:tcPr>
            <w:tcW w:w="1842" w:type="dxa"/>
            <w:vMerge w:val="restart"/>
          </w:tcPr>
          <w:p w:rsidR="00000000" w:rsidRDefault="00000000">
            <w:pPr>
              <w:jc w:val="center"/>
              <w:rPr>
                <w:rFonts w:ascii="Arial" w:hAnsi="Arial"/>
                <w:sz w:val="16"/>
              </w:rPr>
            </w:pPr>
            <w:r>
              <w:rPr>
                <w:rFonts w:ascii="Arial" w:hAnsi="Arial"/>
                <w:sz w:val="16"/>
              </w:rPr>
              <w:t>Duración de la bonificación</w:t>
            </w:r>
          </w:p>
          <w:p w:rsidR="00000000" w:rsidRDefault="00000000">
            <w:pPr>
              <w:jc w:val="center"/>
              <w:rPr>
                <w:rFonts w:ascii="Arial" w:hAnsi="Arial"/>
                <w:sz w:val="16"/>
              </w:rPr>
            </w:pPr>
            <w:r>
              <w:rPr>
                <w:rFonts w:ascii="Arial" w:hAnsi="Arial"/>
                <w:sz w:val="16"/>
              </w:rPr>
              <w:t>(meses)</w:t>
            </w:r>
          </w:p>
        </w:tc>
      </w:tr>
      <w:tr w:rsidR="00000000">
        <w:tblPrEx>
          <w:tblCellMar>
            <w:top w:w="0" w:type="dxa"/>
            <w:bottom w:w="0" w:type="dxa"/>
          </w:tblCellMar>
        </w:tblPrEx>
        <w:trPr>
          <w:cantSplit/>
          <w:trHeight w:val="105"/>
          <w:jc w:val="center"/>
        </w:trPr>
        <w:tc>
          <w:tcPr>
            <w:tcW w:w="4253" w:type="dxa"/>
            <w:gridSpan w:val="2"/>
            <w:vMerge/>
          </w:tcPr>
          <w:p w:rsidR="00000000" w:rsidRDefault="00000000">
            <w:pPr>
              <w:rPr>
                <w:rFonts w:ascii="Arial" w:hAnsi="Arial"/>
                <w:sz w:val="16"/>
              </w:rPr>
            </w:pPr>
          </w:p>
        </w:tc>
        <w:tc>
          <w:tcPr>
            <w:tcW w:w="1134" w:type="dxa"/>
          </w:tcPr>
          <w:p w:rsidR="00000000" w:rsidRDefault="00000000">
            <w:pPr>
              <w:jc w:val="center"/>
              <w:rPr>
                <w:rFonts w:ascii="Arial" w:hAnsi="Arial"/>
                <w:sz w:val="16"/>
              </w:rPr>
            </w:pPr>
            <w:r>
              <w:rPr>
                <w:rFonts w:ascii="Arial" w:hAnsi="Arial"/>
                <w:sz w:val="16"/>
              </w:rPr>
              <w:t>hombres</w:t>
            </w:r>
          </w:p>
        </w:tc>
        <w:tc>
          <w:tcPr>
            <w:tcW w:w="1276" w:type="dxa"/>
          </w:tcPr>
          <w:p w:rsidR="00000000" w:rsidRDefault="00000000">
            <w:pPr>
              <w:jc w:val="center"/>
              <w:rPr>
                <w:rFonts w:ascii="Arial" w:hAnsi="Arial"/>
                <w:sz w:val="16"/>
              </w:rPr>
            </w:pPr>
            <w:r>
              <w:rPr>
                <w:rFonts w:ascii="Arial" w:hAnsi="Arial"/>
                <w:sz w:val="16"/>
              </w:rPr>
              <w:t>Mujeres</w:t>
            </w:r>
          </w:p>
        </w:tc>
        <w:tc>
          <w:tcPr>
            <w:tcW w:w="1842" w:type="dxa"/>
            <w:vMerge/>
          </w:tcPr>
          <w:p w:rsidR="00000000" w:rsidRDefault="00000000">
            <w:pPr>
              <w:jc w:val="center"/>
              <w:rPr>
                <w:rFonts w:ascii="Arial" w:hAnsi="Arial"/>
                <w:sz w:val="16"/>
              </w:rPr>
            </w:pPr>
          </w:p>
        </w:tc>
      </w:tr>
      <w:tr w:rsidR="00000000">
        <w:tblPrEx>
          <w:tblCellMar>
            <w:top w:w="0" w:type="dxa"/>
            <w:bottom w:w="0" w:type="dxa"/>
          </w:tblCellMar>
        </w:tblPrEx>
        <w:trPr>
          <w:cantSplit/>
          <w:jc w:val="center"/>
        </w:trPr>
        <w:tc>
          <w:tcPr>
            <w:tcW w:w="4253" w:type="dxa"/>
            <w:gridSpan w:val="2"/>
          </w:tcPr>
          <w:p w:rsidR="00000000" w:rsidRDefault="00000000">
            <w:pPr>
              <w:rPr>
                <w:rFonts w:ascii="Arial" w:hAnsi="Arial"/>
                <w:sz w:val="16"/>
              </w:rPr>
            </w:pPr>
            <w:r>
              <w:rPr>
                <w:rFonts w:ascii="Arial" w:hAnsi="Arial"/>
                <w:sz w:val="16"/>
              </w:rPr>
              <w:t>Parados durante + de 6 meses</w:t>
            </w:r>
          </w:p>
        </w:tc>
        <w:tc>
          <w:tcPr>
            <w:tcW w:w="1134" w:type="dxa"/>
          </w:tcPr>
          <w:p w:rsidR="00000000" w:rsidRDefault="00000000">
            <w:pPr>
              <w:jc w:val="center"/>
              <w:rPr>
                <w:rFonts w:ascii="Arial" w:hAnsi="Arial"/>
                <w:sz w:val="16"/>
              </w:rPr>
            </w:pPr>
            <w:r>
              <w:rPr>
                <w:rFonts w:ascii="Arial" w:hAnsi="Arial"/>
                <w:sz w:val="16"/>
              </w:rPr>
              <w:t>20 + 5</w:t>
            </w:r>
            <w:r>
              <w:rPr>
                <w:rStyle w:val="FootnoteReference"/>
                <w:rFonts w:ascii="Arial" w:hAnsi="Arial"/>
                <w:sz w:val="16"/>
              </w:rPr>
              <w:footnoteReference w:customMarkFollows="1" w:id="2"/>
              <w:t>1</w:t>
            </w:r>
            <w:r>
              <w:rPr>
                <w:rStyle w:val="FootnoteReference"/>
                <w:rFonts w:ascii="Arial" w:hAnsi="Arial"/>
                <w:sz w:val="16"/>
              </w:rPr>
              <w:footnoteReference w:customMarkFollows="1" w:id="3"/>
              <w:t>2</w:t>
            </w:r>
          </w:p>
        </w:tc>
        <w:tc>
          <w:tcPr>
            <w:tcW w:w="1276" w:type="dxa"/>
          </w:tcPr>
          <w:p w:rsidR="00000000" w:rsidRDefault="00000000">
            <w:pPr>
              <w:jc w:val="center"/>
              <w:rPr>
                <w:rFonts w:ascii="Arial" w:hAnsi="Arial"/>
                <w:sz w:val="16"/>
              </w:rPr>
            </w:pPr>
            <w:r>
              <w:rPr>
                <w:rFonts w:ascii="Arial" w:hAnsi="Arial"/>
                <w:sz w:val="16"/>
              </w:rPr>
              <w:t>30 + 5</w:t>
            </w:r>
            <w:r>
              <w:rPr>
                <w:rStyle w:val="FootnoteReference"/>
                <w:rFonts w:ascii="Arial" w:hAnsi="Arial"/>
                <w:sz w:val="16"/>
              </w:rPr>
              <w:footnoteReference w:customMarkFollows="1" w:id="4"/>
              <w:t>3</w:t>
            </w:r>
          </w:p>
        </w:tc>
        <w:tc>
          <w:tcPr>
            <w:tcW w:w="1842" w:type="dxa"/>
          </w:tcPr>
          <w:p w:rsidR="00000000" w:rsidRDefault="00000000">
            <w:pPr>
              <w:jc w:val="center"/>
              <w:rPr>
                <w:rFonts w:ascii="Arial" w:hAnsi="Arial"/>
                <w:sz w:val="16"/>
              </w:rPr>
            </w:pPr>
            <w:r>
              <w:rPr>
                <w:rFonts w:ascii="Arial" w:hAnsi="Arial"/>
                <w:sz w:val="16"/>
              </w:rPr>
              <w:t>24</w:t>
            </w:r>
          </w:p>
        </w:tc>
      </w:tr>
      <w:tr w:rsidR="00000000">
        <w:tblPrEx>
          <w:tblCellMar>
            <w:top w:w="0" w:type="dxa"/>
            <w:bottom w:w="0" w:type="dxa"/>
          </w:tblCellMar>
        </w:tblPrEx>
        <w:trPr>
          <w:cantSplit/>
          <w:trHeight w:val="105"/>
          <w:jc w:val="center"/>
        </w:trPr>
        <w:tc>
          <w:tcPr>
            <w:tcW w:w="4253" w:type="dxa"/>
            <w:gridSpan w:val="2"/>
            <w:vMerge w:val="restart"/>
          </w:tcPr>
          <w:p w:rsidR="00000000" w:rsidRDefault="00000000">
            <w:pPr>
              <w:rPr>
                <w:rFonts w:ascii="Arial" w:hAnsi="Arial"/>
                <w:sz w:val="16"/>
              </w:rPr>
            </w:pPr>
            <w:r>
              <w:rPr>
                <w:rFonts w:ascii="Arial" w:hAnsi="Arial"/>
                <w:sz w:val="16"/>
              </w:rPr>
              <w:t>&gt; 45 años – 55</w:t>
            </w:r>
          </w:p>
        </w:tc>
        <w:tc>
          <w:tcPr>
            <w:tcW w:w="1134" w:type="dxa"/>
          </w:tcPr>
          <w:p w:rsidR="00000000" w:rsidRDefault="00000000">
            <w:pPr>
              <w:jc w:val="center"/>
              <w:rPr>
                <w:rFonts w:ascii="Arial" w:hAnsi="Arial"/>
                <w:sz w:val="16"/>
              </w:rPr>
            </w:pPr>
            <w:r>
              <w:rPr>
                <w:rFonts w:ascii="Arial" w:hAnsi="Arial"/>
                <w:sz w:val="16"/>
              </w:rPr>
              <w:t>50</w:t>
            </w:r>
          </w:p>
        </w:tc>
        <w:tc>
          <w:tcPr>
            <w:tcW w:w="1276" w:type="dxa"/>
          </w:tcPr>
          <w:p w:rsidR="00000000" w:rsidRDefault="00000000">
            <w:pPr>
              <w:jc w:val="center"/>
              <w:rPr>
                <w:rFonts w:ascii="Arial" w:hAnsi="Arial"/>
                <w:sz w:val="16"/>
              </w:rPr>
            </w:pPr>
            <w:r>
              <w:rPr>
                <w:rFonts w:ascii="Arial" w:hAnsi="Arial"/>
                <w:sz w:val="16"/>
              </w:rPr>
              <w:t>60</w:t>
            </w:r>
          </w:p>
        </w:tc>
        <w:tc>
          <w:tcPr>
            <w:tcW w:w="1842" w:type="dxa"/>
            <w:vMerge w:val="restart"/>
          </w:tcPr>
          <w:p w:rsidR="00000000" w:rsidRDefault="00000000">
            <w:pPr>
              <w:jc w:val="center"/>
              <w:rPr>
                <w:rFonts w:ascii="Arial" w:hAnsi="Arial"/>
                <w:sz w:val="16"/>
              </w:rPr>
            </w:pPr>
            <w:r>
              <w:rPr>
                <w:rFonts w:ascii="Arial" w:hAnsi="Arial"/>
                <w:sz w:val="16"/>
              </w:rPr>
              <w:t>12 primeros</w:t>
            </w:r>
          </w:p>
          <w:p w:rsidR="00000000" w:rsidRDefault="00000000">
            <w:pPr>
              <w:jc w:val="center"/>
              <w:rPr>
                <w:rFonts w:ascii="Arial" w:hAnsi="Arial"/>
                <w:sz w:val="16"/>
              </w:rPr>
            </w:pPr>
            <w:r>
              <w:rPr>
                <w:rFonts w:ascii="Arial" w:hAnsi="Arial"/>
                <w:sz w:val="16"/>
              </w:rPr>
              <w:t>Resto vigencia</w:t>
            </w:r>
          </w:p>
        </w:tc>
      </w:tr>
      <w:tr w:rsidR="00000000">
        <w:tblPrEx>
          <w:tblCellMar>
            <w:top w:w="0" w:type="dxa"/>
            <w:bottom w:w="0" w:type="dxa"/>
          </w:tblCellMar>
        </w:tblPrEx>
        <w:trPr>
          <w:cantSplit/>
          <w:trHeight w:val="105"/>
          <w:jc w:val="center"/>
        </w:trPr>
        <w:tc>
          <w:tcPr>
            <w:tcW w:w="4253" w:type="dxa"/>
            <w:gridSpan w:val="2"/>
            <w:vMerge/>
          </w:tcPr>
          <w:p w:rsidR="00000000" w:rsidRDefault="00000000">
            <w:pPr>
              <w:rPr>
                <w:rFonts w:ascii="Arial" w:hAnsi="Arial"/>
                <w:sz w:val="16"/>
              </w:rPr>
            </w:pPr>
          </w:p>
        </w:tc>
        <w:tc>
          <w:tcPr>
            <w:tcW w:w="1134" w:type="dxa"/>
          </w:tcPr>
          <w:p w:rsidR="00000000" w:rsidRDefault="00000000">
            <w:pPr>
              <w:jc w:val="center"/>
              <w:rPr>
                <w:rFonts w:ascii="Arial" w:hAnsi="Arial"/>
                <w:sz w:val="16"/>
              </w:rPr>
            </w:pPr>
            <w:r>
              <w:rPr>
                <w:rFonts w:ascii="Arial" w:hAnsi="Arial"/>
                <w:sz w:val="16"/>
              </w:rPr>
              <w:t>45</w:t>
            </w:r>
          </w:p>
        </w:tc>
        <w:tc>
          <w:tcPr>
            <w:tcW w:w="1276" w:type="dxa"/>
          </w:tcPr>
          <w:p w:rsidR="00000000" w:rsidRDefault="00000000">
            <w:pPr>
              <w:jc w:val="center"/>
              <w:rPr>
                <w:rFonts w:ascii="Arial" w:hAnsi="Arial"/>
                <w:sz w:val="16"/>
              </w:rPr>
            </w:pPr>
            <w:r>
              <w:rPr>
                <w:rFonts w:ascii="Arial" w:hAnsi="Arial"/>
                <w:sz w:val="16"/>
              </w:rPr>
              <w:t>55</w:t>
            </w:r>
          </w:p>
        </w:tc>
        <w:tc>
          <w:tcPr>
            <w:tcW w:w="1842" w:type="dxa"/>
            <w:vMerge/>
          </w:tcPr>
          <w:p w:rsidR="00000000" w:rsidRDefault="00000000">
            <w:pPr>
              <w:jc w:val="center"/>
              <w:rPr>
                <w:rFonts w:ascii="Arial" w:hAnsi="Arial"/>
                <w:sz w:val="16"/>
              </w:rPr>
            </w:pPr>
          </w:p>
        </w:tc>
      </w:tr>
      <w:tr w:rsidR="00000000">
        <w:tblPrEx>
          <w:tblCellMar>
            <w:top w:w="0" w:type="dxa"/>
            <w:bottom w:w="0" w:type="dxa"/>
          </w:tblCellMar>
        </w:tblPrEx>
        <w:trPr>
          <w:cantSplit/>
          <w:trHeight w:val="105"/>
          <w:jc w:val="center"/>
        </w:trPr>
        <w:tc>
          <w:tcPr>
            <w:tcW w:w="4253" w:type="dxa"/>
            <w:gridSpan w:val="2"/>
            <w:vMerge w:val="restart"/>
          </w:tcPr>
          <w:p w:rsidR="00000000" w:rsidRDefault="00000000">
            <w:pPr>
              <w:rPr>
                <w:rFonts w:ascii="Arial" w:hAnsi="Arial"/>
                <w:sz w:val="16"/>
              </w:rPr>
            </w:pPr>
            <w:r>
              <w:rPr>
                <w:rFonts w:ascii="Arial" w:hAnsi="Arial"/>
                <w:sz w:val="16"/>
              </w:rPr>
              <w:t>&gt; 55 años – 65</w:t>
            </w:r>
          </w:p>
        </w:tc>
        <w:tc>
          <w:tcPr>
            <w:tcW w:w="1134" w:type="dxa"/>
          </w:tcPr>
          <w:p w:rsidR="00000000" w:rsidRDefault="00000000">
            <w:pPr>
              <w:jc w:val="center"/>
              <w:rPr>
                <w:rFonts w:ascii="Arial" w:hAnsi="Arial"/>
                <w:sz w:val="16"/>
              </w:rPr>
            </w:pPr>
            <w:r>
              <w:rPr>
                <w:rFonts w:ascii="Arial" w:hAnsi="Arial"/>
                <w:sz w:val="16"/>
              </w:rPr>
              <w:t>55</w:t>
            </w:r>
          </w:p>
        </w:tc>
        <w:tc>
          <w:tcPr>
            <w:tcW w:w="1276" w:type="dxa"/>
          </w:tcPr>
          <w:p w:rsidR="00000000" w:rsidRDefault="00000000">
            <w:pPr>
              <w:jc w:val="center"/>
              <w:rPr>
                <w:rFonts w:ascii="Arial" w:hAnsi="Arial"/>
                <w:sz w:val="16"/>
              </w:rPr>
            </w:pPr>
            <w:r>
              <w:rPr>
                <w:rFonts w:ascii="Arial" w:hAnsi="Arial"/>
                <w:sz w:val="16"/>
              </w:rPr>
              <w:t>65</w:t>
            </w:r>
          </w:p>
        </w:tc>
        <w:tc>
          <w:tcPr>
            <w:tcW w:w="1842" w:type="dxa"/>
            <w:vMerge w:val="restart"/>
          </w:tcPr>
          <w:p w:rsidR="00000000" w:rsidRDefault="00000000">
            <w:pPr>
              <w:jc w:val="center"/>
              <w:rPr>
                <w:rFonts w:ascii="Arial" w:hAnsi="Arial"/>
                <w:sz w:val="16"/>
              </w:rPr>
            </w:pPr>
            <w:r>
              <w:rPr>
                <w:rFonts w:ascii="Arial" w:hAnsi="Arial"/>
                <w:sz w:val="16"/>
              </w:rPr>
              <w:t>12 primeros</w:t>
            </w:r>
          </w:p>
          <w:p w:rsidR="00000000" w:rsidRDefault="00000000">
            <w:pPr>
              <w:jc w:val="center"/>
              <w:rPr>
                <w:rFonts w:ascii="Arial" w:hAnsi="Arial"/>
                <w:sz w:val="16"/>
              </w:rPr>
            </w:pPr>
            <w:r>
              <w:rPr>
                <w:rFonts w:ascii="Arial" w:hAnsi="Arial"/>
                <w:sz w:val="16"/>
              </w:rPr>
              <w:t>Resto vigencia</w:t>
            </w:r>
          </w:p>
        </w:tc>
      </w:tr>
      <w:tr w:rsidR="00000000">
        <w:tblPrEx>
          <w:tblCellMar>
            <w:top w:w="0" w:type="dxa"/>
            <w:bottom w:w="0" w:type="dxa"/>
          </w:tblCellMar>
        </w:tblPrEx>
        <w:trPr>
          <w:cantSplit/>
          <w:trHeight w:val="105"/>
          <w:jc w:val="center"/>
        </w:trPr>
        <w:tc>
          <w:tcPr>
            <w:tcW w:w="4253" w:type="dxa"/>
            <w:gridSpan w:val="2"/>
            <w:vMerge/>
          </w:tcPr>
          <w:p w:rsidR="00000000" w:rsidRDefault="00000000">
            <w:pPr>
              <w:rPr>
                <w:rFonts w:ascii="Arial" w:hAnsi="Arial"/>
                <w:sz w:val="16"/>
              </w:rPr>
            </w:pPr>
          </w:p>
        </w:tc>
        <w:tc>
          <w:tcPr>
            <w:tcW w:w="1134" w:type="dxa"/>
          </w:tcPr>
          <w:p w:rsidR="00000000" w:rsidRDefault="00000000">
            <w:pPr>
              <w:jc w:val="center"/>
              <w:rPr>
                <w:rFonts w:ascii="Arial" w:hAnsi="Arial"/>
                <w:sz w:val="16"/>
              </w:rPr>
            </w:pPr>
            <w:r>
              <w:rPr>
                <w:rFonts w:ascii="Arial" w:hAnsi="Arial"/>
                <w:sz w:val="16"/>
              </w:rPr>
              <w:t>50</w:t>
            </w:r>
          </w:p>
        </w:tc>
        <w:tc>
          <w:tcPr>
            <w:tcW w:w="1276" w:type="dxa"/>
          </w:tcPr>
          <w:p w:rsidR="00000000" w:rsidRDefault="00000000">
            <w:pPr>
              <w:jc w:val="center"/>
              <w:rPr>
                <w:rFonts w:ascii="Arial" w:hAnsi="Arial"/>
                <w:sz w:val="16"/>
              </w:rPr>
            </w:pPr>
            <w:r>
              <w:rPr>
                <w:rFonts w:ascii="Arial" w:hAnsi="Arial"/>
                <w:sz w:val="16"/>
              </w:rPr>
              <w:t>60</w:t>
            </w:r>
          </w:p>
        </w:tc>
        <w:tc>
          <w:tcPr>
            <w:tcW w:w="1842" w:type="dxa"/>
            <w:vMerge/>
          </w:tcPr>
          <w:p w:rsidR="00000000" w:rsidRDefault="00000000">
            <w:pPr>
              <w:jc w:val="center"/>
              <w:rPr>
                <w:rFonts w:ascii="Arial" w:hAnsi="Arial"/>
                <w:sz w:val="16"/>
              </w:rPr>
            </w:pPr>
          </w:p>
        </w:tc>
      </w:tr>
      <w:tr w:rsidR="00000000">
        <w:tblPrEx>
          <w:tblCellMar>
            <w:top w:w="0" w:type="dxa"/>
            <w:bottom w:w="0" w:type="dxa"/>
          </w:tblCellMar>
        </w:tblPrEx>
        <w:trPr>
          <w:cantSplit/>
          <w:jc w:val="center"/>
        </w:trPr>
        <w:tc>
          <w:tcPr>
            <w:tcW w:w="4253" w:type="dxa"/>
            <w:gridSpan w:val="2"/>
          </w:tcPr>
          <w:p w:rsidR="00000000" w:rsidRDefault="00000000">
            <w:pPr>
              <w:rPr>
                <w:rFonts w:ascii="Arial" w:hAnsi="Arial"/>
                <w:sz w:val="16"/>
              </w:rPr>
            </w:pPr>
            <w:r>
              <w:rPr>
                <w:rFonts w:ascii="Arial" w:hAnsi="Arial"/>
                <w:sz w:val="16"/>
              </w:rPr>
              <w:t>Perceptores de prestaciones/subsidios de desempleo a los que les reste un año o más</w:t>
            </w:r>
          </w:p>
        </w:tc>
        <w:tc>
          <w:tcPr>
            <w:tcW w:w="1134" w:type="dxa"/>
          </w:tcPr>
          <w:p w:rsidR="00000000" w:rsidRDefault="00000000">
            <w:pPr>
              <w:jc w:val="center"/>
              <w:rPr>
                <w:rFonts w:ascii="Arial" w:hAnsi="Arial"/>
                <w:sz w:val="16"/>
              </w:rPr>
            </w:pPr>
            <w:r>
              <w:rPr>
                <w:rFonts w:ascii="Arial" w:hAnsi="Arial"/>
                <w:sz w:val="16"/>
              </w:rPr>
              <w:t>50</w:t>
            </w:r>
          </w:p>
          <w:p w:rsidR="00000000" w:rsidRDefault="00000000">
            <w:pPr>
              <w:jc w:val="center"/>
              <w:rPr>
                <w:rFonts w:ascii="Arial" w:hAnsi="Arial"/>
                <w:sz w:val="16"/>
              </w:rPr>
            </w:pPr>
            <w:r>
              <w:rPr>
                <w:rFonts w:ascii="Arial" w:hAnsi="Arial"/>
                <w:sz w:val="16"/>
              </w:rPr>
              <w:t>45</w:t>
            </w:r>
          </w:p>
        </w:tc>
        <w:tc>
          <w:tcPr>
            <w:tcW w:w="1276" w:type="dxa"/>
          </w:tcPr>
          <w:p w:rsidR="00000000" w:rsidRDefault="00000000">
            <w:pPr>
              <w:jc w:val="center"/>
              <w:rPr>
                <w:rFonts w:ascii="Arial" w:hAnsi="Arial"/>
                <w:sz w:val="16"/>
              </w:rPr>
            </w:pPr>
            <w:r>
              <w:rPr>
                <w:rFonts w:ascii="Arial" w:hAnsi="Arial"/>
                <w:sz w:val="16"/>
              </w:rPr>
              <w:t>60</w:t>
            </w:r>
          </w:p>
          <w:p w:rsidR="00000000" w:rsidRDefault="00000000">
            <w:pPr>
              <w:jc w:val="center"/>
              <w:rPr>
                <w:rFonts w:ascii="Arial" w:hAnsi="Arial"/>
                <w:sz w:val="16"/>
              </w:rPr>
            </w:pPr>
            <w:r>
              <w:rPr>
                <w:rFonts w:ascii="Arial" w:hAnsi="Arial"/>
                <w:sz w:val="16"/>
              </w:rPr>
              <w:t>55</w:t>
            </w:r>
          </w:p>
        </w:tc>
        <w:tc>
          <w:tcPr>
            <w:tcW w:w="1842" w:type="dxa"/>
          </w:tcPr>
          <w:p w:rsidR="00000000" w:rsidRDefault="00000000">
            <w:pPr>
              <w:jc w:val="center"/>
              <w:rPr>
                <w:rFonts w:ascii="Arial" w:hAnsi="Arial"/>
                <w:sz w:val="16"/>
              </w:rPr>
            </w:pPr>
            <w:r>
              <w:rPr>
                <w:rFonts w:ascii="Arial" w:hAnsi="Arial"/>
                <w:sz w:val="16"/>
              </w:rPr>
              <w:t>12 primeros</w:t>
            </w:r>
          </w:p>
          <w:p w:rsidR="00000000" w:rsidRDefault="00000000">
            <w:pPr>
              <w:jc w:val="center"/>
              <w:rPr>
                <w:rFonts w:ascii="Arial" w:hAnsi="Arial"/>
                <w:sz w:val="16"/>
              </w:rPr>
            </w:pPr>
            <w:r>
              <w:rPr>
                <w:rFonts w:ascii="Arial" w:hAnsi="Arial"/>
                <w:sz w:val="16"/>
              </w:rPr>
              <w:t>De 13º a 24ª</w:t>
            </w:r>
          </w:p>
        </w:tc>
      </w:tr>
      <w:tr w:rsidR="00000000">
        <w:tblPrEx>
          <w:tblCellMar>
            <w:top w:w="0" w:type="dxa"/>
            <w:bottom w:w="0" w:type="dxa"/>
          </w:tblCellMar>
        </w:tblPrEx>
        <w:trPr>
          <w:jc w:val="center"/>
        </w:trPr>
        <w:tc>
          <w:tcPr>
            <w:tcW w:w="4253" w:type="dxa"/>
            <w:gridSpan w:val="2"/>
          </w:tcPr>
          <w:p w:rsidR="00000000" w:rsidRDefault="00000000">
            <w:pPr>
              <w:rPr>
                <w:rFonts w:ascii="Arial" w:hAnsi="Arial"/>
                <w:sz w:val="16"/>
              </w:rPr>
            </w:pPr>
            <w:r>
              <w:rPr>
                <w:rFonts w:ascii="Arial" w:hAnsi="Arial"/>
                <w:sz w:val="16"/>
              </w:rPr>
              <w:t xml:space="preserve">Desempleados participantes en </w:t>
            </w:r>
          </w:p>
          <w:p w:rsidR="00000000" w:rsidRDefault="00000000">
            <w:pPr>
              <w:rPr>
                <w:rFonts w:ascii="Arial" w:hAnsi="Arial"/>
                <w:sz w:val="16"/>
              </w:rPr>
            </w:pPr>
            <w:r>
              <w:rPr>
                <w:rFonts w:ascii="Arial" w:hAnsi="Arial"/>
                <w:sz w:val="16"/>
              </w:rPr>
              <w:t>Renta activa de inserción</w:t>
            </w:r>
          </w:p>
        </w:tc>
        <w:tc>
          <w:tcPr>
            <w:tcW w:w="1134" w:type="dxa"/>
          </w:tcPr>
          <w:p w:rsidR="00000000" w:rsidRDefault="00000000">
            <w:pPr>
              <w:jc w:val="center"/>
              <w:rPr>
                <w:rFonts w:ascii="Arial" w:hAnsi="Arial"/>
                <w:sz w:val="16"/>
              </w:rPr>
            </w:pPr>
            <w:r>
              <w:rPr>
                <w:rFonts w:ascii="Arial" w:hAnsi="Arial"/>
                <w:sz w:val="16"/>
              </w:rPr>
              <w:t>65</w:t>
            </w:r>
          </w:p>
        </w:tc>
        <w:tc>
          <w:tcPr>
            <w:tcW w:w="1276" w:type="dxa"/>
          </w:tcPr>
          <w:p w:rsidR="00000000" w:rsidRDefault="00000000">
            <w:pPr>
              <w:jc w:val="center"/>
              <w:rPr>
                <w:rFonts w:ascii="Arial" w:hAnsi="Arial"/>
                <w:sz w:val="16"/>
              </w:rPr>
            </w:pPr>
            <w:r>
              <w:rPr>
                <w:rFonts w:ascii="Arial" w:hAnsi="Arial"/>
                <w:sz w:val="16"/>
              </w:rPr>
              <w:t>75</w:t>
            </w:r>
          </w:p>
        </w:tc>
        <w:tc>
          <w:tcPr>
            <w:tcW w:w="1842" w:type="dxa"/>
          </w:tcPr>
          <w:p w:rsidR="00000000" w:rsidRDefault="00000000">
            <w:pPr>
              <w:jc w:val="center"/>
              <w:rPr>
                <w:rFonts w:ascii="Arial" w:hAnsi="Arial"/>
                <w:sz w:val="16"/>
              </w:rPr>
            </w:pPr>
            <w:r>
              <w:rPr>
                <w:rFonts w:ascii="Arial" w:hAnsi="Arial"/>
                <w:sz w:val="16"/>
              </w:rPr>
              <w:t>24</w:t>
            </w:r>
          </w:p>
        </w:tc>
      </w:tr>
      <w:tr w:rsidR="00000000">
        <w:tblPrEx>
          <w:tblCellMar>
            <w:top w:w="0" w:type="dxa"/>
            <w:bottom w:w="0" w:type="dxa"/>
          </w:tblCellMar>
        </w:tblPrEx>
        <w:trPr>
          <w:jc w:val="center"/>
        </w:trPr>
        <w:tc>
          <w:tcPr>
            <w:tcW w:w="4253" w:type="dxa"/>
            <w:gridSpan w:val="2"/>
          </w:tcPr>
          <w:p w:rsidR="00000000" w:rsidRDefault="00000000">
            <w:pPr>
              <w:rPr>
                <w:rFonts w:ascii="Arial" w:hAnsi="Arial"/>
                <w:sz w:val="16"/>
              </w:rPr>
            </w:pPr>
            <w:r>
              <w:rPr>
                <w:rFonts w:ascii="Arial" w:hAnsi="Arial"/>
                <w:sz w:val="16"/>
              </w:rPr>
              <w:t>Mujeres &gt;16 – 45 años</w:t>
            </w:r>
          </w:p>
        </w:tc>
        <w:tc>
          <w:tcPr>
            <w:tcW w:w="2410" w:type="dxa"/>
            <w:gridSpan w:val="2"/>
          </w:tcPr>
          <w:p w:rsidR="00000000" w:rsidRDefault="00000000">
            <w:pPr>
              <w:jc w:val="center"/>
              <w:rPr>
                <w:rFonts w:ascii="Arial" w:hAnsi="Arial"/>
                <w:sz w:val="16"/>
              </w:rPr>
            </w:pPr>
            <w:r>
              <w:rPr>
                <w:rFonts w:ascii="Arial" w:hAnsi="Arial"/>
                <w:sz w:val="16"/>
              </w:rPr>
              <w:t>25</w:t>
            </w:r>
          </w:p>
        </w:tc>
        <w:tc>
          <w:tcPr>
            <w:tcW w:w="1842" w:type="dxa"/>
          </w:tcPr>
          <w:p w:rsidR="00000000" w:rsidRDefault="00000000">
            <w:pPr>
              <w:jc w:val="center"/>
              <w:rPr>
                <w:rFonts w:ascii="Arial" w:hAnsi="Arial"/>
                <w:sz w:val="16"/>
              </w:rPr>
            </w:pPr>
            <w:r>
              <w:rPr>
                <w:rFonts w:ascii="Arial" w:hAnsi="Arial"/>
                <w:sz w:val="16"/>
              </w:rPr>
              <w:t>24</w:t>
            </w:r>
          </w:p>
        </w:tc>
      </w:tr>
      <w:tr w:rsidR="00000000">
        <w:tblPrEx>
          <w:tblCellMar>
            <w:top w:w="0" w:type="dxa"/>
            <w:bottom w:w="0" w:type="dxa"/>
          </w:tblCellMar>
        </w:tblPrEx>
        <w:trPr>
          <w:cantSplit/>
          <w:trHeight w:val="105"/>
          <w:jc w:val="center"/>
        </w:trPr>
        <w:tc>
          <w:tcPr>
            <w:tcW w:w="2552" w:type="dxa"/>
            <w:vMerge w:val="restart"/>
          </w:tcPr>
          <w:p w:rsidR="00000000" w:rsidRDefault="00000000">
            <w:pPr>
              <w:rPr>
                <w:rFonts w:ascii="Arial" w:hAnsi="Arial"/>
                <w:sz w:val="16"/>
              </w:rPr>
            </w:pPr>
          </w:p>
          <w:p w:rsidR="00000000" w:rsidRDefault="00000000">
            <w:pPr>
              <w:rPr>
                <w:rFonts w:ascii="Arial" w:hAnsi="Arial"/>
                <w:sz w:val="16"/>
              </w:rPr>
            </w:pPr>
            <w:r>
              <w:rPr>
                <w:rFonts w:ascii="Arial" w:hAnsi="Arial"/>
                <w:sz w:val="16"/>
              </w:rPr>
              <w:t>En profesiones en las que esté infrarrepresentada</w:t>
            </w:r>
          </w:p>
        </w:tc>
        <w:tc>
          <w:tcPr>
            <w:tcW w:w="1701" w:type="dxa"/>
          </w:tcPr>
          <w:p w:rsidR="00000000" w:rsidRDefault="00000000">
            <w:pPr>
              <w:rPr>
                <w:rFonts w:ascii="Arial" w:hAnsi="Arial"/>
                <w:sz w:val="16"/>
              </w:rPr>
            </w:pPr>
            <w:r>
              <w:rPr>
                <w:rFonts w:ascii="Arial" w:hAnsi="Arial"/>
                <w:sz w:val="16"/>
              </w:rPr>
              <w:t>&gt; 45 años o paradas &gt; 6 meses</w:t>
            </w:r>
          </w:p>
        </w:tc>
        <w:tc>
          <w:tcPr>
            <w:tcW w:w="2410" w:type="dxa"/>
            <w:gridSpan w:val="2"/>
          </w:tcPr>
          <w:p w:rsidR="00000000" w:rsidRDefault="00000000">
            <w:pPr>
              <w:jc w:val="center"/>
              <w:rPr>
                <w:rFonts w:ascii="Arial" w:hAnsi="Arial"/>
                <w:sz w:val="16"/>
              </w:rPr>
            </w:pPr>
            <w:r>
              <w:rPr>
                <w:rFonts w:ascii="Arial" w:hAnsi="Arial"/>
                <w:sz w:val="16"/>
              </w:rPr>
              <w:t>70</w:t>
            </w:r>
          </w:p>
          <w:p w:rsidR="00000000" w:rsidRDefault="00000000">
            <w:pPr>
              <w:jc w:val="center"/>
              <w:rPr>
                <w:rFonts w:ascii="Arial" w:hAnsi="Arial"/>
                <w:sz w:val="16"/>
              </w:rPr>
            </w:pPr>
            <w:r>
              <w:rPr>
                <w:rFonts w:ascii="Arial" w:hAnsi="Arial"/>
                <w:sz w:val="16"/>
              </w:rPr>
              <w:t>60</w:t>
            </w:r>
          </w:p>
        </w:tc>
        <w:tc>
          <w:tcPr>
            <w:tcW w:w="1842" w:type="dxa"/>
          </w:tcPr>
          <w:p w:rsidR="00000000" w:rsidRDefault="00000000">
            <w:pPr>
              <w:jc w:val="center"/>
              <w:rPr>
                <w:rFonts w:ascii="Arial" w:hAnsi="Arial"/>
                <w:sz w:val="16"/>
              </w:rPr>
            </w:pPr>
            <w:r>
              <w:rPr>
                <w:rFonts w:ascii="Arial" w:hAnsi="Arial"/>
                <w:sz w:val="16"/>
              </w:rPr>
              <w:t>12 primeros</w:t>
            </w:r>
          </w:p>
          <w:p w:rsidR="00000000" w:rsidRDefault="00000000">
            <w:pPr>
              <w:jc w:val="center"/>
              <w:rPr>
                <w:rFonts w:ascii="Arial" w:hAnsi="Arial"/>
                <w:sz w:val="16"/>
              </w:rPr>
            </w:pPr>
            <w:r>
              <w:rPr>
                <w:rFonts w:ascii="Arial" w:hAnsi="Arial"/>
                <w:sz w:val="16"/>
              </w:rPr>
              <w:t>De 13º a 24</w:t>
            </w:r>
          </w:p>
        </w:tc>
      </w:tr>
      <w:tr w:rsidR="00000000">
        <w:tblPrEx>
          <w:tblCellMar>
            <w:top w:w="0" w:type="dxa"/>
            <w:bottom w:w="0" w:type="dxa"/>
          </w:tblCellMar>
        </w:tblPrEx>
        <w:trPr>
          <w:cantSplit/>
          <w:trHeight w:val="105"/>
          <w:jc w:val="center"/>
        </w:trPr>
        <w:tc>
          <w:tcPr>
            <w:tcW w:w="2552" w:type="dxa"/>
            <w:vMerge/>
          </w:tcPr>
          <w:p w:rsidR="00000000" w:rsidRDefault="00000000">
            <w:pPr>
              <w:rPr>
                <w:rFonts w:ascii="Arial" w:hAnsi="Arial"/>
                <w:sz w:val="16"/>
              </w:rPr>
            </w:pPr>
          </w:p>
        </w:tc>
        <w:tc>
          <w:tcPr>
            <w:tcW w:w="1701" w:type="dxa"/>
          </w:tcPr>
          <w:p w:rsidR="00000000" w:rsidRDefault="00000000">
            <w:pPr>
              <w:rPr>
                <w:rFonts w:ascii="Arial" w:hAnsi="Arial"/>
                <w:sz w:val="16"/>
              </w:rPr>
            </w:pPr>
            <w:r>
              <w:rPr>
                <w:rFonts w:ascii="Arial" w:hAnsi="Arial"/>
                <w:sz w:val="16"/>
              </w:rPr>
              <w:t>&lt; 45 años en paro &lt; de 6 meses</w:t>
            </w:r>
          </w:p>
        </w:tc>
        <w:tc>
          <w:tcPr>
            <w:tcW w:w="2410" w:type="dxa"/>
            <w:gridSpan w:val="2"/>
          </w:tcPr>
          <w:p w:rsidR="00000000" w:rsidRDefault="00000000">
            <w:pPr>
              <w:jc w:val="center"/>
              <w:rPr>
                <w:rFonts w:ascii="Arial" w:hAnsi="Arial"/>
                <w:sz w:val="16"/>
              </w:rPr>
            </w:pPr>
            <w:r>
              <w:rPr>
                <w:rFonts w:ascii="Arial" w:hAnsi="Arial"/>
                <w:sz w:val="16"/>
              </w:rPr>
              <w:t>35</w:t>
            </w:r>
          </w:p>
        </w:tc>
        <w:tc>
          <w:tcPr>
            <w:tcW w:w="1842" w:type="dxa"/>
          </w:tcPr>
          <w:p w:rsidR="00000000" w:rsidRDefault="00000000">
            <w:pPr>
              <w:jc w:val="center"/>
              <w:rPr>
                <w:rFonts w:ascii="Arial" w:hAnsi="Arial"/>
                <w:sz w:val="16"/>
              </w:rPr>
            </w:pPr>
            <w:r>
              <w:rPr>
                <w:rFonts w:ascii="Arial" w:hAnsi="Arial"/>
                <w:sz w:val="16"/>
              </w:rPr>
              <w:t>24</w:t>
            </w:r>
          </w:p>
        </w:tc>
      </w:tr>
      <w:tr w:rsidR="00000000">
        <w:tblPrEx>
          <w:tblCellMar>
            <w:top w:w="0" w:type="dxa"/>
            <w:bottom w:w="0" w:type="dxa"/>
          </w:tblCellMar>
        </w:tblPrEx>
        <w:trPr>
          <w:jc w:val="center"/>
        </w:trPr>
        <w:tc>
          <w:tcPr>
            <w:tcW w:w="4253" w:type="dxa"/>
            <w:gridSpan w:val="2"/>
          </w:tcPr>
          <w:p w:rsidR="00000000" w:rsidRDefault="00000000">
            <w:pPr>
              <w:rPr>
                <w:rFonts w:ascii="Arial" w:hAnsi="Arial"/>
                <w:sz w:val="16"/>
              </w:rPr>
            </w:pPr>
            <w:r>
              <w:rPr>
                <w:rFonts w:ascii="Arial" w:hAnsi="Arial"/>
                <w:sz w:val="16"/>
              </w:rPr>
              <w:t>Paradas durante 12 o más meses, contratadas en los 24 meses siguientes de tener un hijo</w:t>
            </w:r>
          </w:p>
        </w:tc>
        <w:tc>
          <w:tcPr>
            <w:tcW w:w="2410" w:type="dxa"/>
            <w:gridSpan w:val="2"/>
          </w:tcPr>
          <w:p w:rsidR="00000000" w:rsidRDefault="00000000">
            <w:pPr>
              <w:jc w:val="center"/>
              <w:rPr>
                <w:rFonts w:ascii="Arial" w:hAnsi="Arial"/>
                <w:sz w:val="16"/>
              </w:rPr>
            </w:pPr>
          </w:p>
          <w:p w:rsidR="00000000" w:rsidRDefault="00000000">
            <w:pPr>
              <w:jc w:val="center"/>
              <w:rPr>
                <w:rFonts w:ascii="Arial" w:hAnsi="Arial"/>
                <w:sz w:val="16"/>
              </w:rPr>
            </w:pPr>
            <w:r>
              <w:rPr>
                <w:rFonts w:ascii="Arial" w:hAnsi="Arial"/>
                <w:sz w:val="16"/>
              </w:rPr>
              <w:t>100</w:t>
            </w:r>
          </w:p>
        </w:tc>
        <w:tc>
          <w:tcPr>
            <w:tcW w:w="1842" w:type="dxa"/>
          </w:tcPr>
          <w:p w:rsidR="00000000" w:rsidRDefault="00000000">
            <w:pPr>
              <w:jc w:val="center"/>
              <w:rPr>
                <w:rFonts w:ascii="Arial" w:hAnsi="Arial"/>
                <w:sz w:val="16"/>
              </w:rPr>
            </w:pPr>
          </w:p>
          <w:p w:rsidR="00000000" w:rsidRDefault="00000000">
            <w:pPr>
              <w:jc w:val="center"/>
              <w:rPr>
                <w:rFonts w:ascii="Arial" w:hAnsi="Arial"/>
                <w:sz w:val="16"/>
              </w:rPr>
            </w:pPr>
            <w:r>
              <w:rPr>
                <w:rFonts w:ascii="Arial" w:hAnsi="Arial"/>
                <w:sz w:val="16"/>
              </w:rPr>
              <w:t>12</w:t>
            </w:r>
          </w:p>
        </w:tc>
      </w:tr>
      <w:tr w:rsidR="00000000">
        <w:tblPrEx>
          <w:tblCellMar>
            <w:top w:w="0" w:type="dxa"/>
            <w:bottom w:w="0" w:type="dxa"/>
          </w:tblCellMar>
        </w:tblPrEx>
        <w:trPr>
          <w:jc w:val="center"/>
        </w:trPr>
        <w:tc>
          <w:tcPr>
            <w:tcW w:w="4253" w:type="dxa"/>
            <w:gridSpan w:val="2"/>
          </w:tcPr>
          <w:p w:rsidR="00000000" w:rsidRDefault="00000000">
            <w:pPr>
              <w:rPr>
                <w:rFonts w:ascii="Arial" w:hAnsi="Arial"/>
                <w:sz w:val="16"/>
              </w:rPr>
            </w:pPr>
            <w:r>
              <w:rPr>
                <w:rFonts w:ascii="Arial" w:hAnsi="Arial"/>
                <w:sz w:val="16"/>
              </w:rPr>
              <w:t>Perceptoras del subsidio por desempleo en favor de trabajadoras incluidas en el R.E. Agrario</w:t>
            </w:r>
          </w:p>
        </w:tc>
        <w:tc>
          <w:tcPr>
            <w:tcW w:w="2410" w:type="dxa"/>
            <w:gridSpan w:val="2"/>
          </w:tcPr>
          <w:p w:rsidR="00000000" w:rsidRDefault="00000000">
            <w:pPr>
              <w:jc w:val="center"/>
              <w:rPr>
                <w:rFonts w:ascii="Arial" w:hAnsi="Arial"/>
                <w:sz w:val="16"/>
              </w:rPr>
            </w:pPr>
            <w:r>
              <w:rPr>
                <w:rFonts w:ascii="Arial" w:hAnsi="Arial"/>
                <w:sz w:val="16"/>
              </w:rPr>
              <w:t>90</w:t>
            </w:r>
          </w:p>
          <w:p w:rsidR="00000000" w:rsidRDefault="00000000">
            <w:pPr>
              <w:jc w:val="center"/>
              <w:rPr>
                <w:rFonts w:ascii="Arial" w:hAnsi="Arial"/>
                <w:sz w:val="16"/>
              </w:rPr>
            </w:pPr>
            <w:r>
              <w:rPr>
                <w:rFonts w:ascii="Arial" w:hAnsi="Arial"/>
                <w:sz w:val="16"/>
              </w:rPr>
              <w:t>85</w:t>
            </w:r>
          </w:p>
        </w:tc>
        <w:tc>
          <w:tcPr>
            <w:tcW w:w="1842" w:type="dxa"/>
          </w:tcPr>
          <w:p w:rsidR="00000000" w:rsidRDefault="00000000">
            <w:pPr>
              <w:jc w:val="center"/>
              <w:rPr>
                <w:rFonts w:ascii="Arial" w:hAnsi="Arial"/>
                <w:sz w:val="16"/>
              </w:rPr>
            </w:pPr>
            <w:r>
              <w:rPr>
                <w:rFonts w:ascii="Arial" w:hAnsi="Arial"/>
                <w:sz w:val="16"/>
              </w:rPr>
              <w:t>12 primeros</w:t>
            </w:r>
          </w:p>
          <w:p w:rsidR="00000000" w:rsidRDefault="00000000">
            <w:pPr>
              <w:jc w:val="center"/>
              <w:rPr>
                <w:rFonts w:ascii="Arial" w:hAnsi="Arial"/>
                <w:sz w:val="16"/>
              </w:rPr>
            </w:pPr>
            <w:r>
              <w:rPr>
                <w:rFonts w:ascii="Arial" w:hAnsi="Arial"/>
                <w:sz w:val="16"/>
              </w:rPr>
              <w:t>De 13º a 24</w:t>
            </w:r>
          </w:p>
        </w:tc>
      </w:tr>
    </w:tbl>
    <w:p w:rsidR="00000000" w:rsidRDefault="00000000">
      <w:pPr>
        <w:pStyle w:val="BlockText"/>
        <w:ind w:left="0" w:right="0"/>
      </w:pPr>
    </w:p>
    <w:p w:rsidR="00000000" w:rsidRDefault="00000000">
      <w:pPr>
        <w:pStyle w:val="BlockText"/>
        <w:ind w:left="0" w:right="0"/>
      </w:pPr>
    </w:p>
    <w:p w:rsidR="00000000" w:rsidRDefault="00000000">
      <w:pPr>
        <w:pStyle w:val="BlockText"/>
        <w:ind w:left="0" w:right="0"/>
      </w:pPr>
    </w:p>
    <w:p w:rsidR="00000000" w:rsidRDefault="00000000">
      <w:pPr>
        <w:pStyle w:val="BlockText"/>
        <w:suppressAutoHyphens/>
        <w:ind w:left="0" w:right="0"/>
        <w:rPr>
          <w:sz w:val="20"/>
        </w:rPr>
      </w:pPr>
      <w:r>
        <w:rPr>
          <w:b/>
          <w:sz w:val="20"/>
        </w:rPr>
        <w:t>La Ley 39/1999, de 5 de noviembre, para promover la conciliación de la vida familiar y laboral de las personas trabajadoras</w:t>
      </w:r>
      <w:r>
        <w:rPr>
          <w:sz w:val="20"/>
        </w:rPr>
        <w:t xml:space="preserve">, introduce cambios en el Estatuto de los Trabajadores, Ley de Seguridad Social, Ley de Procedimiento Laboral y Ley de Función Pública, dando un nuevo paso en el camino de la igualdad de oportunidades entre mujeres y hombres, al  tratar de guardar un equilibrio para favorecer los </w:t>
      </w:r>
      <w:r>
        <w:rPr>
          <w:b/>
          <w:sz w:val="20"/>
        </w:rPr>
        <w:t>permisos por maternidad y paternidad</w:t>
      </w:r>
      <w:r>
        <w:rPr>
          <w:sz w:val="20"/>
        </w:rPr>
        <w:t xml:space="preserve"> sin que afecte negativamente a las posibilidades de acceso al empleo, a las condiciones del trabajo y al acceso a puestos de especial responsabilidad de las mujeres. Al mismo tiempo se facilita que los hombres puedan ser copartícipes del cuidado de sus hijos desde el mismo momento del nacimiento o de su incorporación a la familia.</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Las modificaciones más importantes son:</w:t>
      </w:r>
    </w:p>
    <w:p w:rsidR="00000000" w:rsidRDefault="00000000">
      <w:pPr>
        <w:pStyle w:val="BlockText"/>
        <w:suppressAutoHyphens/>
        <w:ind w:left="0" w:right="0"/>
        <w:rPr>
          <w:sz w:val="20"/>
        </w:rPr>
      </w:pPr>
    </w:p>
    <w:p w:rsidR="00000000" w:rsidRDefault="00000000">
      <w:pPr>
        <w:pStyle w:val="BlockText"/>
        <w:numPr>
          <w:ilvl w:val="0"/>
          <w:numId w:val="1403"/>
        </w:numPr>
        <w:tabs>
          <w:tab w:val="clear" w:pos="720"/>
        </w:tabs>
        <w:suppressAutoHyphens/>
        <w:ind w:left="216" w:right="0" w:hanging="207"/>
        <w:rPr>
          <w:sz w:val="20"/>
        </w:rPr>
      </w:pPr>
      <w:r>
        <w:rPr>
          <w:sz w:val="20"/>
        </w:rPr>
        <w:t>Dieciséis semanas ampliables en el supuesto de parto múltiple en dos semanas más por cada hijo a partir del segundo.</w:t>
      </w:r>
    </w:p>
    <w:p w:rsidR="00000000" w:rsidRDefault="00000000">
      <w:pPr>
        <w:pStyle w:val="BlockText"/>
        <w:numPr>
          <w:ilvl w:val="0"/>
          <w:numId w:val="1403"/>
        </w:numPr>
        <w:tabs>
          <w:tab w:val="clear" w:pos="720"/>
        </w:tabs>
        <w:suppressAutoHyphens/>
        <w:ind w:left="216" w:right="0" w:hanging="207"/>
        <w:rPr>
          <w:sz w:val="20"/>
        </w:rPr>
      </w:pPr>
      <w:r>
        <w:rPr>
          <w:sz w:val="20"/>
        </w:rPr>
        <w:t>En caso de fallecimiento de la madre, el padre podrá disfrutar del permiso que reste.</w:t>
      </w:r>
    </w:p>
    <w:p w:rsidR="00000000" w:rsidRDefault="00000000">
      <w:pPr>
        <w:pStyle w:val="BlockText"/>
        <w:numPr>
          <w:ilvl w:val="0"/>
          <w:numId w:val="1403"/>
        </w:numPr>
        <w:tabs>
          <w:tab w:val="clear" w:pos="720"/>
        </w:tabs>
        <w:suppressAutoHyphens/>
        <w:ind w:left="216" w:right="0" w:hanging="207"/>
        <w:rPr>
          <w:sz w:val="20"/>
        </w:rPr>
      </w:pPr>
      <w:r>
        <w:rPr>
          <w:sz w:val="20"/>
        </w:rPr>
        <w:t xml:space="preserve">Si ambos progenitores trabajan la madre podrá optar por que el padre disfrute de hasta un máximo de 10 semanas, salvo que la incorporación al trabajo de la madre suponga un riesgo para su salud. </w:t>
      </w:r>
    </w:p>
    <w:p w:rsidR="00000000" w:rsidRDefault="00000000">
      <w:pPr>
        <w:pStyle w:val="BlockText"/>
        <w:numPr>
          <w:ilvl w:val="0"/>
          <w:numId w:val="1403"/>
        </w:numPr>
        <w:tabs>
          <w:tab w:val="clear" w:pos="720"/>
        </w:tabs>
        <w:suppressAutoHyphens/>
        <w:ind w:left="216" w:right="0" w:hanging="207"/>
        <w:rPr>
          <w:sz w:val="20"/>
        </w:rPr>
      </w:pPr>
      <w:r>
        <w:rPr>
          <w:sz w:val="20"/>
        </w:rPr>
        <w:t>Se regula de idéntica manera la suspensión en los supuestos de adopción y acogimiento, tanto preadoptivo como permanente, de menores de hasta seis años o menores discapacitados o minusválidos. En caso de que la madre y el padre trabajen, el período de suspensión se distribuirá a opción de los interesados, que podrán disfrutarlo de forma simultánea o sucesiva, siempre con p</w:t>
      </w:r>
      <w:r>
        <w:rPr>
          <w:sz w:val="20"/>
        </w:rPr>
        <w:t>e</w:t>
      </w:r>
      <w:r>
        <w:rPr>
          <w:sz w:val="20"/>
        </w:rPr>
        <w:t xml:space="preserve">ríodos ininterrumpidos. </w:t>
      </w:r>
    </w:p>
    <w:p w:rsidR="00000000" w:rsidRDefault="00000000">
      <w:pPr>
        <w:pStyle w:val="BlockText"/>
        <w:numPr>
          <w:ilvl w:val="0"/>
          <w:numId w:val="1403"/>
        </w:numPr>
        <w:tabs>
          <w:tab w:val="clear" w:pos="720"/>
        </w:tabs>
        <w:suppressAutoHyphens/>
        <w:ind w:left="216" w:right="0" w:hanging="207"/>
        <w:rPr>
          <w:sz w:val="20"/>
        </w:rPr>
      </w:pPr>
      <w:r>
        <w:rPr>
          <w:sz w:val="20"/>
        </w:rPr>
        <w:t>En los supuestos de adopción internacional, cuando sea necesario el desplazamiento previo de los padres al país de origen del adoptado, el período de suspensión podrá iniciarse hasta cuatro semanas antes de la resolución por la que se constituye la adopción.</w:t>
      </w:r>
    </w:p>
    <w:p w:rsidR="00000000" w:rsidRDefault="00000000">
      <w:pPr>
        <w:pStyle w:val="BlockText"/>
        <w:numPr>
          <w:ilvl w:val="0"/>
          <w:numId w:val="1403"/>
        </w:numPr>
        <w:tabs>
          <w:tab w:val="clear" w:pos="720"/>
        </w:tabs>
        <w:suppressAutoHyphens/>
        <w:ind w:left="216" w:right="0" w:hanging="207"/>
        <w:rPr>
          <w:sz w:val="20"/>
        </w:rPr>
      </w:pPr>
      <w:r>
        <w:rPr>
          <w:sz w:val="20"/>
        </w:rPr>
        <w:t>Posibilidad de disfrutar el permiso, salvo las seis semanas de descanso obligatorias para la madre, en régimen de jornada completa o a tiempo parcial, previo acuerdo entre el empresario y la trabajadora.</w:t>
      </w:r>
    </w:p>
    <w:p w:rsidR="00000000" w:rsidRDefault="00000000">
      <w:pPr>
        <w:pStyle w:val="BlockText"/>
        <w:numPr>
          <w:ilvl w:val="0"/>
          <w:numId w:val="1403"/>
        </w:numPr>
        <w:tabs>
          <w:tab w:val="clear" w:pos="720"/>
        </w:tabs>
        <w:suppressAutoHyphens/>
        <w:ind w:left="216" w:right="0" w:hanging="207"/>
        <w:rPr>
          <w:sz w:val="20"/>
        </w:rPr>
      </w:pPr>
      <w:r>
        <w:rPr>
          <w:sz w:val="20"/>
        </w:rPr>
        <w:t>Permiso retribuido de dos días, cuatro en el caso de ser necesario el desplazamiento de trabajador/a, por accidente u hospitalización de parientes hasta el segundo grado de consanguinidad o afinidad.</w:t>
      </w:r>
    </w:p>
    <w:p w:rsidR="00000000" w:rsidRDefault="00000000">
      <w:pPr>
        <w:pStyle w:val="BlockText"/>
        <w:numPr>
          <w:ilvl w:val="0"/>
          <w:numId w:val="1403"/>
        </w:numPr>
        <w:tabs>
          <w:tab w:val="clear" w:pos="720"/>
        </w:tabs>
        <w:suppressAutoHyphens/>
        <w:ind w:left="216" w:right="0" w:hanging="207"/>
        <w:rPr>
          <w:sz w:val="20"/>
        </w:rPr>
      </w:pPr>
      <w:r>
        <w:rPr>
          <w:sz w:val="20"/>
        </w:rPr>
        <w:t>Reducción de jornada con la disminución proporcional de salario, para el cuidado directo de un familiar, hasta el segundo grado de consanguinidad o afinidad, que por razones de edad, accidente o enfermedad no pueda valerse por sí mismo, y que no desempeñe actividad retribuida.</w:t>
      </w:r>
    </w:p>
    <w:p w:rsidR="00000000" w:rsidRDefault="00000000">
      <w:pPr>
        <w:pStyle w:val="BlockText"/>
        <w:numPr>
          <w:ilvl w:val="0"/>
          <w:numId w:val="1403"/>
        </w:numPr>
        <w:tabs>
          <w:tab w:val="clear" w:pos="720"/>
        </w:tabs>
        <w:suppressAutoHyphens/>
        <w:ind w:left="216" w:right="0" w:hanging="207"/>
        <w:rPr>
          <w:sz w:val="20"/>
        </w:rPr>
      </w:pPr>
      <w:r>
        <w:rPr>
          <w:sz w:val="20"/>
        </w:rPr>
        <w:t>Las discrepancias surgidas entre empresario y trabajador serán resueltas por un procedimiento urgente y de tramitación preferente.</w:t>
      </w:r>
    </w:p>
    <w:p w:rsidR="00000000" w:rsidRDefault="00000000">
      <w:pPr>
        <w:pStyle w:val="BlockText"/>
        <w:tabs>
          <w:tab w:val="num" w:pos="644"/>
        </w:tabs>
        <w:suppressAutoHyphens/>
        <w:ind w:left="0" w:right="0"/>
        <w:rPr>
          <w:sz w:val="20"/>
        </w:rPr>
      </w:pPr>
    </w:p>
    <w:p w:rsidR="00000000" w:rsidRDefault="00000000">
      <w:pPr>
        <w:pStyle w:val="BlockText"/>
        <w:tabs>
          <w:tab w:val="num" w:pos="644"/>
        </w:tabs>
        <w:suppressAutoHyphens/>
        <w:ind w:left="0" w:right="0"/>
        <w:rPr>
          <w:sz w:val="20"/>
        </w:rPr>
      </w:pPr>
    </w:p>
    <w:p w:rsidR="00000000" w:rsidRDefault="00000000">
      <w:pPr>
        <w:pStyle w:val="BlockText"/>
        <w:suppressAutoHyphens/>
        <w:ind w:left="0" w:right="0"/>
        <w:rPr>
          <w:sz w:val="20"/>
        </w:rPr>
      </w:pPr>
      <w:r>
        <w:rPr>
          <w:b/>
          <w:sz w:val="20"/>
        </w:rPr>
        <w:t>La Ley 12/2001, de 9 de julio, de medidas urgentes de reforma del mercado de trabajo para el</w:t>
      </w:r>
      <w:r>
        <w:rPr>
          <w:sz w:val="20"/>
        </w:rPr>
        <w:t xml:space="preserve"> </w:t>
      </w:r>
      <w:r>
        <w:rPr>
          <w:b/>
          <w:sz w:val="20"/>
        </w:rPr>
        <w:t>incremento del empleo y la mejora de su calidad</w:t>
      </w:r>
      <w:r>
        <w:rPr>
          <w:sz w:val="20"/>
        </w:rPr>
        <w:t xml:space="preserve"> establece que, en los casos de hospitalización de niños tras el parto, el padre o la madre podrán ausentarse del trabajo durante una hora, permitiendo también una reducción de jornada hasta un máximo de dos horas, con la disminución proporcional del salario y posibilitando que, con la excepción de las seis semanas de descanso obligatorio para la madre, las diez semanas restantes puedan disfrutarse a partir del alta hospitalaria.</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 xml:space="preserve">El desarrollo reglamentario del </w:t>
      </w:r>
      <w:r>
        <w:rPr>
          <w:b/>
          <w:sz w:val="20"/>
        </w:rPr>
        <w:t>disfrute a tiempo parcial</w:t>
      </w:r>
      <w:r>
        <w:rPr>
          <w:sz w:val="20"/>
        </w:rPr>
        <w:t xml:space="preserve"> de las diez semanas de descanso por maternidad o las dieciséis por adopción o acogimiento preadoptivo o permanente se realiza a través del </w:t>
      </w:r>
      <w:r>
        <w:rPr>
          <w:b/>
          <w:sz w:val="20"/>
        </w:rPr>
        <w:t>Real Decreto 1251/2001</w:t>
      </w:r>
      <w:r>
        <w:rPr>
          <w:b/>
          <w:i/>
          <w:sz w:val="20"/>
        </w:rPr>
        <w:t xml:space="preserve">, </w:t>
      </w:r>
      <w:r>
        <w:rPr>
          <w:b/>
          <w:sz w:val="20"/>
        </w:rPr>
        <w:t>de 16 de noviembre, por el que se regulan las prestaciones</w:t>
      </w:r>
      <w:r>
        <w:rPr>
          <w:sz w:val="20"/>
        </w:rPr>
        <w:t xml:space="preserve"> </w:t>
      </w:r>
      <w:r>
        <w:rPr>
          <w:b/>
          <w:sz w:val="20"/>
        </w:rPr>
        <w:t>económicas del sistema de la Seguridad Social por maternidad y riesgo durante</w:t>
      </w:r>
      <w:r>
        <w:rPr>
          <w:sz w:val="20"/>
        </w:rPr>
        <w:t xml:space="preserve"> </w:t>
      </w:r>
      <w:r>
        <w:rPr>
          <w:b/>
          <w:sz w:val="20"/>
        </w:rPr>
        <w:t>el embarazo</w:t>
      </w:r>
      <w:r>
        <w:rPr>
          <w:sz w:val="20"/>
        </w:rPr>
        <w:t>, presentando las siguientes peculiaridades:</w:t>
      </w:r>
    </w:p>
    <w:p w:rsidR="00000000" w:rsidRDefault="00000000">
      <w:pPr>
        <w:pStyle w:val="BlockText"/>
        <w:suppressAutoHyphens/>
        <w:ind w:left="0" w:right="0"/>
        <w:rPr>
          <w:sz w:val="20"/>
        </w:rPr>
      </w:pPr>
    </w:p>
    <w:p w:rsidR="00000000" w:rsidRDefault="00000000">
      <w:pPr>
        <w:pStyle w:val="BlockText"/>
        <w:numPr>
          <w:ilvl w:val="0"/>
          <w:numId w:val="1403"/>
        </w:numPr>
        <w:tabs>
          <w:tab w:val="clear" w:pos="720"/>
        </w:tabs>
        <w:suppressAutoHyphens/>
        <w:ind w:left="216" w:right="0" w:hanging="207"/>
        <w:rPr>
          <w:sz w:val="20"/>
        </w:rPr>
      </w:pPr>
      <w:r>
        <w:rPr>
          <w:sz w:val="20"/>
        </w:rPr>
        <w:t>Puede ser ejercido por cualquiera de los progenitores siempre que ambos trabajen.</w:t>
      </w:r>
    </w:p>
    <w:p w:rsidR="00000000" w:rsidRDefault="00000000">
      <w:pPr>
        <w:pStyle w:val="BlockText"/>
        <w:numPr>
          <w:ilvl w:val="0"/>
          <w:numId w:val="1403"/>
        </w:numPr>
        <w:tabs>
          <w:tab w:val="clear" w:pos="720"/>
        </w:tabs>
        <w:suppressAutoHyphens/>
        <w:ind w:left="216" w:right="0" w:hanging="207"/>
        <w:rPr>
          <w:sz w:val="20"/>
        </w:rPr>
      </w:pPr>
      <w:r>
        <w:rPr>
          <w:sz w:val="20"/>
        </w:rPr>
        <w:t>Puede disfrutarse en cualquiera de los supuestos de disfrute simultáneo o sucesivo.</w:t>
      </w:r>
    </w:p>
    <w:p w:rsidR="00000000" w:rsidRDefault="00000000">
      <w:pPr>
        <w:pStyle w:val="BlockText"/>
        <w:numPr>
          <w:ilvl w:val="0"/>
          <w:numId w:val="1403"/>
        </w:numPr>
        <w:tabs>
          <w:tab w:val="clear" w:pos="720"/>
        </w:tabs>
        <w:suppressAutoHyphens/>
        <w:ind w:left="216" w:right="0" w:hanging="207"/>
        <w:rPr>
          <w:sz w:val="20"/>
        </w:rPr>
      </w:pPr>
      <w:r>
        <w:rPr>
          <w:sz w:val="20"/>
        </w:rPr>
        <w:t>Se disfrutará de forma ininterrumpida.</w:t>
      </w:r>
    </w:p>
    <w:p w:rsidR="00000000" w:rsidRDefault="00000000">
      <w:pPr>
        <w:pStyle w:val="BlockText"/>
        <w:numPr>
          <w:ilvl w:val="0"/>
          <w:numId w:val="1403"/>
        </w:numPr>
        <w:tabs>
          <w:tab w:val="clear" w:pos="720"/>
        </w:tabs>
        <w:suppressAutoHyphens/>
        <w:ind w:left="216" w:right="0" w:hanging="207"/>
        <w:rPr>
          <w:sz w:val="20"/>
        </w:rPr>
      </w:pPr>
      <w:r>
        <w:rPr>
          <w:sz w:val="20"/>
        </w:rPr>
        <w:t>El período se amplía proporcionalmente en función de la jornada de trabajo que se realice.</w:t>
      </w:r>
    </w:p>
    <w:p w:rsidR="00000000" w:rsidRDefault="00000000">
      <w:pPr>
        <w:pStyle w:val="BlockText"/>
        <w:numPr>
          <w:ilvl w:val="0"/>
          <w:numId w:val="1403"/>
        </w:numPr>
        <w:tabs>
          <w:tab w:val="clear" w:pos="720"/>
        </w:tabs>
        <w:suppressAutoHyphens/>
        <w:ind w:left="216" w:right="0" w:hanging="207"/>
        <w:rPr>
          <w:sz w:val="20"/>
        </w:rPr>
      </w:pPr>
      <w:r>
        <w:rPr>
          <w:sz w:val="20"/>
        </w:rPr>
        <w:t>Es incompatible con el disfrute simultáneo por el mismo trabajador de la lactancia,  la reducción de jornada por guarda legal o atención a familiares, así como con la excedencia por cuidado de fam</w:t>
      </w:r>
      <w:r>
        <w:rPr>
          <w:sz w:val="20"/>
        </w:rPr>
        <w:t>i</w:t>
      </w:r>
      <w:r>
        <w:rPr>
          <w:sz w:val="20"/>
        </w:rPr>
        <w:t>liares.</w:t>
      </w:r>
    </w:p>
    <w:p w:rsidR="00000000" w:rsidRDefault="00000000">
      <w:pPr>
        <w:pStyle w:val="BlockText"/>
        <w:suppressAutoHyphens/>
        <w:ind w:left="0" w:right="0"/>
        <w:rPr>
          <w:b/>
          <w:sz w:val="20"/>
        </w:rPr>
      </w:pPr>
    </w:p>
    <w:p w:rsidR="00000000" w:rsidRDefault="00000000">
      <w:pPr>
        <w:pStyle w:val="BlockText"/>
        <w:suppressAutoHyphens/>
        <w:ind w:left="0" w:right="0"/>
        <w:rPr>
          <w:b/>
          <w:sz w:val="20"/>
        </w:rPr>
      </w:pPr>
    </w:p>
    <w:p w:rsidR="00000000" w:rsidRDefault="00000000">
      <w:pPr>
        <w:pStyle w:val="BlockText"/>
        <w:keepNext/>
        <w:keepLines/>
        <w:suppressAutoHyphens/>
        <w:ind w:left="0" w:right="0"/>
        <w:rPr>
          <w:b/>
          <w:sz w:val="20"/>
        </w:rPr>
      </w:pPr>
      <w:r>
        <w:rPr>
          <w:b/>
          <w:sz w:val="20"/>
        </w:rPr>
        <w:t>Prohibición de despido</w:t>
      </w:r>
    </w:p>
    <w:p w:rsidR="00000000" w:rsidRDefault="00000000">
      <w:pPr>
        <w:pStyle w:val="BlockText"/>
        <w:keepNext/>
        <w:keepLines/>
        <w:suppressAutoHyphens/>
        <w:ind w:left="0" w:right="0"/>
        <w:rPr>
          <w:sz w:val="20"/>
        </w:rPr>
      </w:pPr>
    </w:p>
    <w:p w:rsidR="00000000" w:rsidRDefault="00000000">
      <w:pPr>
        <w:pStyle w:val="BlockText"/>
        <w:keepNext/>
        <w:keepLines/>
        <w:suppressAutoHyphens/>
        <w:ind w:left="0" w:right="0"/>
        <w:rPr>
          <w:sz w:val="20"/>
        </w:rPr>
      </w:pPr>
      <w:r>
        <w:rPr>
          <w:sz w:val="20"/>
        </w:rPr>
        <w:t xml:space="preserve">La </w:t>
      </w:r>
      <w:r>
        <w:rPr>
          <w:b/>
          <w:sz w:val="20"/>
        </w:rPr>
        <w:t>Ley de Conciliación</w:t>
      </w:r>
      <w:r>
        <w:rPr>
          <w:sz w:val="20"/>
        </w:rPr>
        <w:t xml:space="preserve">, ya indicada, prohibe el despido motivado, entre otros, por el embarazo, la solicitud o disfrute de los permisos por maternidad, paternidad, o cuidado de familiares, salvo que el despido sea ajeno a la discriminación, estableciendo, además, que no supone absentismo laboral las faltas de asistencia ocasionadas por situaciones de riesgo durante el embarazo, las enfermedades causadas por el embarazo y el parto así como la lactancia. </w:t>
      </w:r>
    </w:p>
    <w:p w:rsidR="00000000" w:rsidRDefault="00000000">
      <w:pPr>
        <w:pStyle w:val="BlockText"/>
        <w:suppressAutoHyphens/>
        <w:ind w:left="0" w:right="0"/>
        <w:rPr>
          <w:b/>
          <w:sz w:val="20"/>
        </w:rPr>
      </w:pPr>
    </w:p>
    <w:p w:rsidR="00000000" w:rsidRDefault="00000000">
      <w:pPr>
        <w:pStyle w:val="BlockText"/>
        <w:suppressAutoHyphens/>
        <w:ind w:left="0" w:right="0"/>
        <w:rPr>
          <w:b/>
          <w:sz w:val="20"/>
        </w:rPr>
      </w:pPr>
      <w:r>
        <w:rPr>
          <w:b/>
          <w:sz w:val="20"/>
        </w:rPr>
        <w:t>Protección social durante el embarazo</w:t>
      </w:r>
    </w:p>
    <w:p w:rsidR="00000000" w:rsidRDefault="00000000">
      <w:pPr>
        <w:pStyle w:val="BlockText"/>
        <w:suppressAutoHyphens/>
        <w:ind w:left="0" w:right="0"/>
        <w:rPr>
          <w:sz w:val="20"/>
        </w:rPr>
      </w:pPr>
    </w:p>
    <w:p w:rsidR="00000000" w:rsidRDefault="00000000">
      <w:pPr>
        <w:pStyle w:val="BlockText"/>
        <w:suppressAutoHyphens/>
        <w:ind w:left="0" w:right="0"/>
        <w:rPr>
          <w:b/>
          <w:sz w:val="20"/>
        </w:rPr>
      </w:pPr>
      <w:r>
        <w:rPr>
          <w:sz w:val="20"/>
        </w:rPr>
        <w:t xml:space="preserve">La Ley de Conciliación modifica la </w:t>
      </w:r>
      <w:r>
        <w:rPr>
          <w:b/>
          <w:sz w:val="20"/>
        </w:rPr>
        <w:t>Ley 31/1995, de Prevención de Riesgos Laborales</w:t>
      </w:r>
      <w:r>
        <w:rPr>
          <w:sz w:val="20"/>
        </w:rPr>
        <w:t xml:space="preserve">, y cubre una laguna hasta entonces existente, previendo que en los supuestos de maternidad en los que, por motivos de salud de la madre o del feto, se hace necesario un cambio de puesto de trabajo o función y este cambio no sea posible, se declare a la interesada en situación de </w:t>
      </w:r>
      <w:r>
        <w:rPr>
          <w:b/>
          <w:sz w:val="20"/>
        </w:rPr>
        <w:t>riesgo durante el embarazo</w:t>
      </w:r>
      <w:r>
        <w:rPr>
          <w:sz w:val="20"/>
        </w:rPr>
        <w:t xml:space="preserve"> con protección de la Seguridad Social, creando una nueva prestación similar a la de incapacidad temporal por enfermedad común con ciertas particularidades. La prestación económica, cuyo pago corresponderá a la Seguridad Social, consiste en un subsidio equivalente al 75% de la base reguladora correspondiente y su regulación se ha realizado a través del </w:t>
      </w:r>
      <w:r>
        <w:rPr>
          <w:b/>
          <w:sz w:val="20"/>
        </w:rPr>
        <w:t>Real Decreto 1251/2001, de 16 de noviembre, por el que se regulan las prestaciones económicas del si</w:t>
      </w:r>
      <w:r>
        <w:rPr>
          <w:b/>
          <w:sz w:val="20"/>
        </w:rPr>
        <w:t>s</w:t>
      </w:r>
      <w:r>
        <w:rPr>
          <w:b/>
          <w:sz w:val="20"/>
        </w:rPr>
        <w:t xml:space="preserve">tema de la Seguridad Social por maternidad y riesgo durante el embarazo. </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Para causar derecho a la prestación por riesgo se exige:</w:t>
      </w:r>
    </w:p>
    <w:p w:rsidR="00000000" w:rsidRDefault="00000000">
      <w:pPr>
        <w:pStyle w:val="BlockText"/>
        <w:suppressAutoHyphens/>
        <w:ind w:left="0" w:right="0"/>
        <w:rPr>
          <w:sz w:val="20"/>
        </w:rPr>
      </w:pPr>
    </w:p>
    <w:p w:rsidR="00000000" w:rsidRDefault="00000000">
      <w:pPr>
        <w:pStyle w:val="BlockText"/>
        <w:numPr>
          <w:ilvl w:val="0"/>
          <w:numId w:val="1403"/>
        </w:numPr>
        <w:tabs>
          <w:tab w:val="clear" w:pos="720"/>
        </w:tabs>
        <w:ind w:left="216" w:right="0" w:hanging="207"/>
        <w:rPr>
          <w:sz w:val="20"/>
        </w:rPr>
      </w:pPr>
      <w:r>
        <w:rPr>
          <w:sz w:val="20"/>
        </w:rPr>
        <w:t>Afiliación y alta en la Seguridad Social y acreditar un período mínimo de cotización de ciento ochenta días, dentro de los cinco últimos años.</w:t>
      </w:r>
    </w:p>
    <w:p w:rsidR="00000000" w:rsidRDefault="00000000">
      <w:pPr>
        <w:pStyle w:val="BlockText"/>
        <w:suppressAutoHyphens/>
        <w:ind w:left="0" w:right="0" w:hanging="284"/>
        <w:rPr>
          <w:sz w:val="20"/>
        </w:rPr>
      </w:pPr>
    </w:p>
    <w:p w:rsidR="00000000" w:rsidRDefault="00000000">
      <w:pPr>
        <w:pStyle w:val="BlockText"/>
        <w:numPr>
          <w:ilvl w:val="0"/>
          <w:numId w:val="1403"/>
        </w:numPr>
        <w:tabs>
          <w:tab w:val="clear" w:pos="720"/>
        </w:tabs>
        <w:ind w:left="216" w:right="0" w:hanging="207"/>
        <w:rPr>
          <w:sz w:val="20"/>
        </w:rPr>
      </w:pPr>
      <w:r>
        <w:rPr>
          <w:sz w:val="20"/>
        </w:rPr>
        <w:t>Este Real Decreto, asimismo, regula la prestación por maternidad, adopción o acogimiento con las siguie</w:t>
      </w:r>
      <w:r>
        <w:rPr>
          <w:sz w:val="20"/>
        </w:rPr>
        <w:t>n</w:t>
      </w:r>
      <w:r>
        <w:rPr>
          <w:sz w:val="20"/>
        </w:rPr>
        <w:t xml:space="preserve">tes particularidades: </w:t>
      </w:r>
    </w:p>
    <w:p w:rsidR="00000000" w:rsidRDefault="00000000">
      <w:pPr>
        <w:pStyle w:val="BlockText"/>
        <w:suppressAutoHyphens/>
        <w:ind w:left="0" w:right="0" w:hanging="284"/>
        <w:rPr>
          <w:sz w:val="20"/>
        </w:rPr>
      </w:pPr>
    </w:p>
    <w:p w:rsidR="00000000" w:rsidRDefault="00000000">
      <w:pPr>
        <w:pStyle w:val="BlockText"/>
        <w:numPr>
          <w:ilvl w:val="0"/>
          <w:numId w:val="1403"/>
        </w:numPr>
        <w:tabs>
          <w:tab w:val="clear" w:pos="720"/>
        </w:tabs>
        <w:ind w:left="216" w:right="0" w:hanging="207"/>
        <w:rPr>
          <w:sz w:val="20"/>
        </w:rPr>
      </w:pPr>
      <w:r>
        <w:rPr>
          <w:sz w:val="20"/>
        </w:rPr>
        <w:t>En el caso de disfrute por el padre y la madre, ambos deberán reunir los requisitos exigidos. En el supuesto de parto, si la madre no reuniese el período mínimo de cotización, el padre, a opción de la madre, podrá percibir el subsidio con la excepción del correspondiente a las seis semanas obligatorias.</w:t>
      </w:r>
    </w:p>
    <w:p w:rsidR="00000000" w:rsidRDefault="00000000">
      <w:pPr>
        <w:pStyle w:val="BlockText"/>
        <w:numPr>
          <w:ilvl w:val="0"/>
          <w:numId w:val="1403"/>
        </w:numPr>
        <w:tabs>
          <w:tab w:val="clear" w:pos="720"/>
        </w:tabs>
        <w:ind w:left="216" w:right="0" w:hanging="207"/>
        <w:rPr>
          <w:sz w:val="20"/>
        </w:rPr>
      </w:pPr>
      <w:r>
        <w:rPr>
          <w:sz w:val="20"/>
        </w:rPr>
        <w:t>En el supuesto de fallecimiento del hijo antes de las seis semanas, la trabajadora tendrá derecho a percibir el subsidio durante todo el período que le reste de disfrutar del permiso obligatorio. Tendrá el mismo der</w:t>
      </w:r>
      <w:r>
        <w:rPr>
          <w:sz w:val="20"/>
        </w:rPr>
        <w:t>e</w:t>
      </w:r>
      <w:r>
        <w:rPr>
          <w:sz w:val="20"/>
        </w:rPr>
        <w:t>cho en el supuesto de aborto, siempre y cuando el feto haya permanecido en el seno materno al menos ciento ochenta días.</w:t>
      </w:r>
    </w:p>
    <w:p w:rsidR="00000000" w:rsidRDefault="00000000">
      <w:pPr>
        <w:pStyle w:val="BlockText"/>
        <w:numPr>
          <w:ilvl w:val="0"/>
          <w:numId w:val="1403"/>
        </w:numPr>
        <w:tabs>
          <w:tab w:val="clear" w:pos="720"/>
        </w:tabs>
        <w:ind w:left="216" w:right="0" w:hanging="207"/>
        <w:rPr>
          <w:sz w:val="20"/>
        </w:rPr>
      </w:pPr>
      <w:r>
        <w:rPr>
          <w:sz w:val="20"/>
        </w:rPr>
        <w:t xml:space="preserve">En el supuesto de fallecimiento del padre mientras disfruta del permiso, la madre podrá beneficiarse del subsidio que reste. </w:t>
      </w:r>
    </w:p>
    <w:p w:rsidR="00000000" w:rsidRDefault="00000000">
      <w:pPr>
        <w:pStyle w:val="BlockText"/>
        <w:numPr>
          <w:ilvl w:val="0"/>
          <w:numId w:val="1403"/>
        </w:numPr>
        <w:tabs>
          <w:tab w:val="clear" w:pos="720"/>
        </w:tabs>
        <w:ind w:left="216" w:right="0" w:hanging="207"/>
        <w:rPr>
          <w:sz w:val="20"/>
        </w:rPr>
      </w:pPr>
      <w:r>
        <w:rPr>
          <w:sz w:val="20"/>
        </w:rPr>
        <w:t xml:space="preserve">En los casos de ausencia, enfermedad o accidente, abandono de familia u otras causas análogas por </w:t>
      </w:r>
      <w:r>
        <w:t>parte</w:t>
      </w:r>
      <w:r>
        <w:rPr>
          <w:sz w:val="20"/>
        </w:rPr>
        <w:t xml:space="preserve"> del padre, la madre  podrá revocar la cesión  del permiso.</w:t>
      </w:r>
    </w:p>
    <w:p w:rsidR="00000000" w:rsidRDefault="00000000">
      <w:pPr>
        <w:pStyle w:val="BlockText"/>
        <w:numPr>
          <w:ilvl w:val="0"/>
          <w:numId w:val="1403"/>
        </w:numPr>
        <w:tabs>
          <w:tab w:val="clear" w:pos="720"/>
        </w:tabs>
        <w:ind w:left="216" w:right="0" w:hanging="207"/>
        <w:rPr>
          <w:sz w:val="20"/>
        </w:rPr>
      </w:pPr>
      <w:r>
        <w:rPr>
          <w:sz w:val="20"/>
        </w:rPr>
        <w:t xml:space="preserve">Si percibiendo el subsidio de maternidad a tiempo parcial, se iniciara un proceso de incapacidad </w:t>
      </w:r>
      <w:r>
        <w:t>temporal</w:t>
      </w:r>
      <w:r>
        <w:rPr>
          <w:sz w:val="20"/>
        </w:rPr>
        <w:t>, se tendrá derecho simultáneamente del que corresponda a esta situación calculando la base reguladora s</w:t>
      </w:r>
      <w:r>
        <w:rPr>
          <w:sz w:val="20"/>
        </w:rPr>
        <w:t>o</w:t>
      </w:r>
      <w:r>
        <w:rPr>
          <w:sz w:val="20"/>
        </w:rPr>
        <w:t>bre la base de cotización de la jornada a tiempo parcial que se viniere compatibilizando con  el subsidio de maternidad.</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 xml:space="preserve">A través de la </w:t>
      </w:r>
      <w:r>
        <w:rPr>
          <w:b/>
          <w:sz w:val="20"/>
        </w:rPr>
        <w:t>Ley 24/2001, de 27 de diciembre, de Medidas Fiscales, Administrativas y de</w:t>
      </w:r>
      <w:r>
        <w:rPr>
          <w:sz w:val="20"/>
        </w:rPr>
        <w:t xml:space="preserve">l </w:t>
      </w:r>
      <w:r>
        <w:rPr>
          <w:b/>
          <w:sz w:val="20"/>
        </w:rPr>
        <w:t>Orden Social</w:t>
      </w:r>
      <w:r>
        <w:rPr>
          <w:sz w:val="20"/>
        </w:rPr>
        <w:t xml:space="preserve"> se modifica el artículo 222 del texto Refundido de la Ley General de Seguridad Social, de forma que si durante la situación de maternidad se produce la extinción del contrato, el trabajador/a seguirá percibiendo la prestación por maternidad hasta que se extinga dicha situación, pasando entonces a la situación legal de desempleo y a percibir, si reúne los requisitos necesarios, la c</w:t>
      </w:r>
      <w:r>
        <w:rPr>
          <w:sz w:val="20"/>
        </w:rPr>
        <w:t>o</w:t>
      </w:r>
      <w:r>
        <w:rPr>
          <w:sz w:val="20"/>
        </w:rPr>
        <w:t xml:space="preserve">rrespondiente prestación. </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 xml:space="preserve">Por </w:t>
      </w:r>
      <w:r>
        <w:rPr>
          <w:b/>
          <w:sz w:val="20"/>
        </w:rPr>
        <w:t>Orden, de 9 de enero de 2001, de regulación del Convenio Especial de la Seguridad Social</w:t>
      </w:r>
      <w:r>
        <w:rPr>
          <w:sz w:val="20"/>
        </w:rPr>
        <w:t xml:space="preserve">,  se aprueba otra medida de protección consistente en la posibilidad de que aquellos trabajadores, que tengan reducida su jornada por el cuidado directo de un familiar, hasta el segundo grado de consanguinidad o afinidad, puedan celebrar un </w:t>
      </w:r>
      <w:r>
        <w:rPr>
          <w:b/>
          <w:sz w:val="20"/>
        </w:rPr>
        <w:t>convenio especial con la Seguridad Social</w:t>
      </w:r>
      <w:r>
        <w:rPr>
          <w:sz w:val="20"/>
        </w:rPr>
        <w:t>, sin necesidad de período previo de cotización, con el fin de mantener las bases de cotización en las cuantías por las que cotizara con anterioridad a la reducción. Esta medida que ya existía desde 1991 para la guarda legal de un menor de seis años, minusválido físico o psíquico se amplía por esta Orden para este supuesto y para la guarda de un minusválido sensorial.</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 xml:space="preserve">En 1998 se había aprobado una bonificación del 100% en las cuotas empresariales, incluidas las de accidentes de trabajo y enfermedades profesionales a la Seguridad Social de los </w:t>
      </w:r>
      <w:r>
        <w:rPr>
          <w:b/>
          <w:sz w:val="20"/>
        </w:rPr>
        <w:t>contratos de interinidad</w:t>
      </w:r>
      <w:r>
        <w:rPr>
          <w:sz w:val="20"/>
        </w:rPr>
        <w:t xml:space="preserve"> celebrados con personas desempleadas para sustituir a las trabajadoras durante los períodos de descanso por matern</w:t>
      </w:r>
      <w:r>
        <w:rPr>
          <w:sz w:val="20"/>
        </w:rPr>
        <w:t>i</w:t>
      </w:r>
      <w:r>
        <w:rPr>
          <w:sz w:val="20"/>
        </w:rPr>
        <w:t xml:space="preserve">dad, adopción y acogimiento. </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La Ley de Conciliación de 1999 amplía la bonificación para la contratación interina de  trabajadoras con contrato suspendido por riesgo durante el embarazo y la Ley 12/2001, ya indicada, aprueba, durante un año, la misma bonificación en la contratación de mujeres desempleadas, inscritas durante un período de 12 o más meses en la oficina de empleo y que hayan dado a luz en los 24 meses a</w:t>
      </w:r>
      <w:r>
        <w:rPr>
          <w:sz w:val="20"/>
        </w:rPr>
        <w:t>n</w:t>
      </w:r>
      <w:r>
        <w:rPr>
          <w:sz w:val="20"/>
        </w:rPr>
        <w:t>teriores.</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 xml:space="preserve">La Ley 24/2001,a la que ya se ha hecho referencia, modifica diversos artículos de la Ley General de la Seguridad Social, referidos a la </w:t>
      </w:r>
      <w:r>
        <w:rPr>
          <w:b/>
          <w:sz w:val="20"/>
        </w:rPr>
        <w:t>pensión de viudedad y orfandad</w:t>
      </w:r>
      <w:r>
        <w:rPr>
          <w:sz w:val="20"/>
        </w:rPr>
        <w:t xml:space="preserve">, respectivamente. </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sz w:val="20"/>
        </w:rPr>
        <w:t>Prevé, por una parte, el desarrollo reglamentario de la compatibilidad de la pensión de viudedad con nuevo matrimonio y, por otra, amplia los límites de edad e ingresos del hijo preceptor de la pensión de orfandad: menor de 22 años o de 24 en el caso de orfandad absoluta y que en el supuesto de estar trabajando, los ingresos no superen el 75% del salario mínimo interprofesional.</w:t>
      </w:r>
    </w:p>
    <w:p w:rsidR="00000000" w:rsidRDefault="00000000">
      <w:pPr>
        <w:pStyle w:val="BlockText"/>
        <w:suppressAutoHyphens/>
        <w:ind w:left="0" w:right="0"/>
        <w:rPr>
          <w:sz w:val="20"/>
        </w:rPr>
      </w:pPr>
      <w:r>
        <w:rPr>
          <w:sz w:val="20"/>
        </w:rPr>
        <w:t xml:space="preserve"> </w:t>
      </w:r>
    </w:p>
    <w:p w:rsidR="00000000" w:rsidRDefault="00000000">
      <w:pPr>
        <w:pStyle w:val="BlockText"/>
        <w:suppressAutoHyphens/>
        <w:ind w:left="0" w:right="0"/>
        <w:rPr>
          <w:sz w:val="20"/>
        </w:rPr>
      </w:pPr>
      <w:r>
        <w:rPr>
          <w:sz w:val="20"/>
        </w:rPr>
        <w:t>La pensión de viudedad, pasa a ser el 46% de su base reguladora, si bien, en supuestos de hijos ingresos y cargas familiares, el porcentaje se sitúa en el 70%.</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b/>
          <w:sz w:val="20"/>
        </w:rPr>
        <w:t>El Real Decreto 1465/2001, de 27 de diciembre, de modificación parcial del régimen jurídico de</w:t>
      </w:r>
      <w:r>
        <w:rPr>
          <w:sz w:val="20"/>
        </w:rPr>
        <w:t xml:space="preserve"> </w:t>
      </w:r>
      <w:r>
        <w:rPr>
          <w:b/>
          <w:sz w:val="20"/>
        </w:rPr>
        <w:t>las prestaciones de muerte y supervivencia</w:t>
      </w:r>
      <w:r>
        <w:rPr>
          <w:sz w:val="20"/>
        </w:rPr>
        <w:t xml:space="preserve"> mantiene la extinción de la </w:t>
      </w:r>
      <w:r>
        <w:rPr>
          <w:b/>
          <w:sz w:val="20"/>
        </w:rPr>
        <w:t>pensión de viudedad</w:t>
      </w:r>
      <w:r>
        <w:rPr>
          <w:sz w:val="20"/>
        </w:rPr>
        <w:t xml:space="preserve"> por nuevo matrim</w:t>
      </w:r>
      <w:r>
        <w:rPr>
          <w:sz w:val="20"/>
        </w:rPr>
        <w:t>o</w:t>
      </w:r>
      <w:r>
        <w:rPr>
          <w:sz w:val="20"/>
        </w:rPr>
        <w:t xml:space="preserve">nio, pero se declara compatible en determinados supuestos: </w:t>
      </w:r>
    </w:p>
    <w:p w:rsidR="00000000" w:rsidRDefault="00000000">
      <w:pPr>
        <w:pStyle w:val="BlockText"/>
        <w:suppressAutoHyphens/>
        <w:ind w:left="0" w:right="0"/>
        <w:rPr>
          <w:sz w:val="20"/>
        </w:rPr>
      </w:pPr>
    </w:p>
    <w:p w:rsidR="00000000" w:rsidRDefault="00000000">
      <w:pPr>
        <w:pStyle w:val="BlockText"/>
        <w:numPr>
          <w:ilvl w:val="0"/>
          <w:numId w:val="1403"/>
        </w:numPr>
        <w:tabs>
          <w:tab w:val="clear" w:pos="720"/>
        </w:tabs>
        <w:ind w:left="216" w:right="0" w:hanging="207"/>
        <w:rPr>
          <w:sz w:val="20"/>
        </w:rPr>
      </w:pPr>
      <w:r>
        <w:rPr>
          <w:sz w:val="20"/>
        </w:rPr>
        <w:t>Ser mayor de 61 años o menor de dicha edad con derecho a pensión de incapacidad absoluta o gran inval</w:t>
      </w:r>
      <w:r>
        <w:rPr>
          <w:sz w:val="20"/>
        </w:rPr>
        <w:t>i</w:t>
      </w:r>
      <w:r>
        <w:rPr>
          <w:sz w:val="20"/>
        </w:rPr>
        <w:t>dez, o acreditar una minusvalía igual o superior al 65%</w:t>
      </w:r>
    </w:p>
    <w:p w:rsidR="00000000" w:rsidRDefault="00000000">
      <w:pPr>
        <w:pStyle w:val="BlockText"/>
        <w:numPr>
          <w:ilvl w:val="0"/>
          <w:numId w:val="1403"/>
        </w:numPr>
        <w:tabs>
          <w:tab w:val="clear" w:pos="720"/>
        </w:tabs>
        <w:ind w:left="216" w:right="0" w:hanging="207"/>
        <w:rPr>
          <w:sz w:val="20"/>
        </w:rPr>
      </w:pPr>
      <w:r>
        <w:rPr>
          <w:sz w:val="20"/>
        </w:rPr>
        <w:t>Que la pensión de viudedad sea la principal fuente de rendimientos, representando al menos el 75% del t</w:t>
      </w:r>
      <w:r>
        <w:rPr>
          <w:sz w:val="20"/>
        </w:rPr>
        <w:t>o</w:t>
      </w:r>
      <w:r>
        <w:rPr>
          <w:sz w:val="20"/>
        </w:rPr>
        <w:t>tal de ingresos.</w:t>
      </w:r>
    </w:p>
    <w:p w:rsidR="00000000" w:rsidRDefault="00000000">
      <w:pPr>
        <w:pStyle w:val="BlockText"/>
        <w:numPr>
          <w:ilvl w:val="0"/>
          <w:numId w:val="1403"/>
        </w:numPr>
        <w:tabs>
          <w:tab w:val="clear" w:pos="720"/>
        </w:tabs>
        <w:ind w:left="216" w:right="0" w:hanging="207"/>
        <w:rPr>
          <w:sz w:val="20"/>
        </w:rPr>
      </w:pPr>
      <w:r>
        <w:rPr>
          <w:sz w:val="20"/>
        </w:rPr>
        <w:t>Que los ingresos del matrimonio no superen dos veces el importe del salario mínimo inte</w:t>
      </w:r>
      <w:r>
        <w:rPr>
          <w:sz w:val="20"/>
        </w:rPr>
        <w:t>r</w:t>
      </w:r>
      <w:r>
        <w:rPr>
          <w:sz w:val="20"/>
        </w:rPr>
        <w:t>profesional</w:t>
      </w:r>
    </w:p>
    <w:p w:rsidR="00000000" w:rsidRDefault="00000000">
      <w:pPr>
        <w:pStyle w:val="BlockText"/>
        <w:suppressAutoHyphens/>
        <w:ind w:left="0" w:right="0"/>
        <w:rPr>
          <w:sz w:val="20"/>
        </w:rPr>
      </w:pPr>
    </w:p>
    <w:p w:rsidR="00000000" w:rsidRDefault="00000000">
      <w:pPr>
        <w:pStyle w:val="BlockText"/>
        <w:suppressAutoHyphens/>
        <w:ind w:left="0" w:right="0"/>
        <w:rPr>
          <w:sz w:val="20"/>
        </w:rPr>
      </w:pPr>
      <w:r>
        <w:rPr>
          <w:b/>
          <w:sz w:val="20"/>
        </w:rPr>
        <w:t>Con la aprobación del Real Decreto-Ley 1/2000, de 14 de enero, sobre determinadas medidas de mejora de la protección familiar de la Seguridad Social</w:t>
      </w:r>
      <w:r>
        <w:rPr>
          <w:sz w:val="20"/>
        </w:rPr>
        <w:t xml:space="preserve"> se establecen dos nuevas prestaciones de pago único: por nacimiento del tercer o posterior hijo/a y por parto múltiple. Además, se aumentan las cuantías de las “prestaciones por hijo a cargo” que desde su establecimiento, en 1991, habían permanecido inalteradas. Se conc</w:t>
      </w:r>
      <w:r>
        <w:rPr>
          <w:sz w:val="20"/>
        </w:rPr>
        <w:t>e</w:t>
      </w:r>
      <w:r>
        <w:rPr>
          <w:sz w:val="20"/>
        </w:rPr>
        <w:t>den, tanto en la modalidad contributiva, como en la no contributiva.</w:t>
      </w:r>
    </w:p>
    <w:p w:rsidR="00000000" w:rsidRDefault="00000000">
      <w:pPr>
        <w:pStyle w:val="BlockText"/>
        <w:suppressAutoHyphens/>
        <w:ind w:left="0" w:right="0"/>
        <w:rPr>
          <w:sz w:val="20"/>
        </w:rPr>
      </w:pPr>
    </w:p>
    <w:p w:rsidR="00000000" w:rsidRDefault="00000000">
      <w:pPr>
        <w:pStyle w:val="BlockText"/>
        <w:suppressAutoHyphens/>
        <w:ind w:left="0" w:right="0"/>
        <w:rPr>
          <w:color w:val="FF0000"/>
          <w:sz w:val="20"/>
        </w:rPr>
      </w:pPr>
      <w:r>
        <w:rPr>
          <w:sz w:val="20"/>
        </w:rPr>
        <w:t>La primera de ellas consiste en un único pago de 450,76 €. por nacimientos producidos en España o en el extranjero siempre y cuando el nacido se integre de manera inmediata en un núcleo familiar residente en España, la concesión depende de los ingresos familiares.</w:t>
      </w:r>
    </w:p>
    <w:p w:rsidR="00000000" w:rsidRDefault="00000000">
      <w:pPr>
        <w:pStyle w:val="BlockText"/>
        <w:suppressAutoHyphens/>
        <w:ind w:left="0" w:right="0"/>
        <w:rPr>
          <w:color w:val="FF0000"/>
          <w:sz w:val="20"/>
        </w:rPr>
      </w:pPr>
    </w:p>
    <w:p w:rsidR="00000000" w:rsidRDefault="00000000">
      <w:pPr>
        <w:pStyle w:val="BlockText"/>
        <w:suppressAutoHyphens/>
        <w:ind w:left="0" w:right="0"/>
        <w:rPr>
          <w:sz w:val="20"/>
        </w:rPr>
      </w:pPr>
      <w:r>
        <w:rPr>
          <w:sz w:val="20"/>
        </w:rPr>
        <w:t xml:space="preserve">La cuantía de la prestación por parto múltiple, de pago único y por nacimientos producidos en España o en el extranjero pero con integración inmediata en una familia residente en España. depende del número de hijos nacidos y, en cualquier caso, se concede en todos los supuestos de parto múltiple con independencia de los ingresos familiares.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materia de </w:t>
      </w:r>
      <w:r>
        <w:rPr>
          <w:rFonts w:ascii="Arial" w:hAnsi="Arial"/>
          <w:b/>
        </w:rPr>
        <w:t>igualdad de retribuciones</w:t>
      </w:r>
      <w:r>
        <w:rPr>
          <w:rFonts w:ascii="Arial" w:hAnsi="Arial"/>
        </w:rPr>
        <w:t xml:space="preserve">, ha sido modificado el artículo 28 del Estatuto de los Trabajadores, a través de la </w:t>
      </w:r>
      <w:r>
        <w:rPr>
          <w:rFonts w:ascii="Arial" w:hAnsi="Arial"/>
          <w:b/>
        </w:rPr>
        <w:t>Ley 33/2002, de 5 de julio</w:t>
      </w:r>
      <w:r>
        <w:rPr>
          <w:rFonts w:ascii="Arial" w:hAnsi="Arial"/>
        </w:rPr>
        <w:t>, con la siguiente redacción: “el empresario está obligado a pagar por la prestación de un trabajo de igual valor la misma retribución, satisfecha directa o indirectamente, y cualquiera que sea la naturaleza de la misma, salarial o extrasalarial, sin que pueda producirse discriminación alguna por razón de sexo en ninguno de los elementos o condiciones de aquélla”.</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3"/>
        <w:suppressAutoHyphens/>
        <w:ind w:left="0"/>
        <w:jc w:val="both"/>
        <w:rPr>
          <w:rFonts w:ascii="Arial" w:hAnsi="Arial"/>
          <w:b/>
          <w:sz w:val="20"/>
        </w:rPr>
      </w:pPr>
      <w:r>
        <w:rPr>
          <w:rFonts w:ascii="Arial" w:hAnsi="Arial"/>
          <w:b/>
          <w:sz w:val="20"/>
        </w:rPr>
        <w:t>III. Políticas y programas</w:t>
      </w:r>
    </w:p>
    <w:p w:rsidR="00000000" w:rsidRDefault="00000000">
      <w:pPr>
        <w:tabs>
          <w:tab w:val="left" w:pos="5954"/>
        </w:tabs>
        <w:jc w:val="both"/>
        <w:rPr>
          <w:rFonts w:ascii="Arial" w:hAnsi="Arial"/>
        </w:rPr>
      </w:pPr>
    </w:p>
    <w:p w:rsidR="00000000" w:rsidRDefault="00000000">
      <w:pPr>
        <w:tabs>
          <w:tab w:val="left" w:pos="5954"/>
        </w:tabs>
        <w:jc w:val="both"/>
        <w:rPr>
          <w:rFonts w:ascii="Arial" w:hAnsi="Arial"/>
          <w:b/>
        </w:rPr>
      </w:pPr>
      <w:r>
        <w:rPr>
          <w:rFonts w:ascii="Arial" w:hAnsi="Arial"/>
        </w:rPr>
        <w:t>Durante el período analizado, 1999-2002, se han aprobado diferentes Planes: los Planes Nacionales de Empleo de carácter anual, el III PIOM, el Plan de Formación Profesional, el Plan Integral de apoyo a la familia, el Plan de Inclusión social… que desarrollan políticas de empleo.</w:t>
      </w:r>
    </w:p>
    <w:p w:rsidR="00000000" w:rsidRDefault="00000000">
      <w:pPr>
        <w:pStyle w:val="BlockText"/>
        <w:suppressAutoHyphens/>
        <w:ind w:left="0" w:right="0"/>
        <w:rPr>
          <w:sz w:val="20"/>
        </w:rPr>
      </w:pPr>
    </w:p>
    <w:p w:rsidR="00000000" w:rsidRDefault="00000000">
      <w:pPr>
        <w:pStyle w:val="BlockText"/>
        <w:suppressAutoHyphens/>
        <w:ind w:left="0" w:right="0"/>
        <w:rPr>
          <w:b/>
          <w:sz w:val="20"/>
        </w:rPr>
      </w:pPr>
      <w:r>
        <w:rPr>
          <w:sz w:val="20"/>
        </w:rPr>
        <w:t xml:space="preserve">La finalidad primordial de los Planes de Empleo – en la actualidad, se lleva a cabo el quinto y último de los previstos en la Estrategia Europea para el Empleo -, es la creación de más empleo y que éste sea de mayor calidad. Para ello se fijan unos objetivos generales entre los que cabe destacar la </w:t>
      </w:r>
      <w:r>
        <w:rPr>
          <w:b/>
          <w:sz w:val="20"/>
        </w:rPr>
        <w:t>igualdad de oportunidades</w:t>
      </w:r>
      <w:r>
        <w:rPr>
          <w:sz w:val="20"/>
        </w:rPr>
        <w:t xml:space="preserve">, tanto como eje transversal, inspirando cada una de las actuaciones, pero también, como IV Pilar específico bajo el título de </w:t>
      </w:r>
      <w:r>
        <w:rPr>
          <w:b/>
          <w:sz w:val="20"/>
        </w:rPr>
        <w:t>Reforzar la política de igualdad de oportunidades entre hombres y mujeres.</w:t>
      </w:r>
    </w:p>
    <w:p w:rsidR="00000000" w:rsidRDefault="00000000">
      <w:pPr>
        <w:jc w:val="both"/>
        <w:rPr>
          <w:rFonts w:ascii="Arial" w:hAnsi="Arial"/>
        </w:rPr>
      </w:pPr>
    </w:p>
    <w:p w:rsidR="00000000" w:rsidRDefault="00000000">
      <w:pPr>
        <w:pStyle w:val="BlockText"/>
        <w:suppressAutoHyphens/>
        <w:ind w:left="0" w:right="0"/>
        <w:rPr>
          <w:sz w:val="20"/>
        </w:rPr>
      </w:pPr>
      <w:r>
        <w:rPr>
          <w:sz w:val="20"/>
        </w:rPr>
        <w:t>El objetivo principal de este IV Pilar se ha dirigido a conocer la situación de la mujer y su evolución en el mercado de trabajo, a evitar las formas de discriminación, tanto directas como indirectas y, así como,  a conciliar la vida laboral con la vida familiar.</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Las medidas puestas en marcha han tenido como fines: elevar y </w:t>
      </w:r>
      <w:r>
        <w:rPr>
          <w:rFonts w:ascii="Arial" w:hAnsi="Arial"/>
          <w:b/>
        </w:rPr>
        <w:t>mejorar la empleabilidad</w:t>
      </w:r>
      <w:r>
        <w:rPr>
          <w:rFonts w:ascii="Arial" w:hAnsi="Arial"/>
        </w:rPr>
        <w:t xml:space="preserve"> de las mujeres; incrementar sus tasas de empleo y su diversificación profesional; reducir los costes no salariales por contratación a través de bonificaciones fiscales;  reducir la desigualdad en las tasas de desempleo de hombres y mujeres; desarrollar la capacidad y el espíritu empresarial de las mujeres y adecuar su formación a las exigencias del mercado de trabajo.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 acuerdo con el II Plan de Formación Profesional, la </w:t>
      </w:r>
      <w:r>
        <w:rPr>
          <w:rFonts w:ascii="Arial" w:hAnsi="Arial"/>
          <w:b/>
        </w:rPr>
        <w:t xml:space="preserve">formación </w:t>
      </w:r>
      <w:r>
        <w:rPr>
          <w:rFonts w:ascii="Arial" w:hAnsi="Arial"/>
        </w:rPr>
        <w:t xml:space="preserve">se constituye como una pieza clave de las políticas activas de empleo. </w:t>
      </w:r>
    </w:p>
    <w:p w:rsidR="00000000" w:rsidRDefault="00000000">
      <w:pPr>
        <w:jc w:val="both"/>
        <w:rPr>
          <w:rFonts w:ascii="Arial" w:hAnsi="Arial"/>
          <w:b/>
        </w:rPr>
      </w:pPr>
    </w:p>
    <w:p w:rsidR="00000000" w:rsidRDefault="00000000">
      <w:pPr>
        <w:pStyle w:val="BodyText3"/>
        <w:suppressAutoHyphens/>
        <w:ind w:right="0"/>
        <w:rPr>
          <w:sz w:val="20"/>
        </w:rPr>
      </w:pPr>
      <w:r>
        <w:rPr>
          <w:sz w:val="20"/>
        </w:rPr>
        <w:t>La novedad más importante es que se ha dado prioridad a la financiación de formación dirigida a mujeres, trabajadores no cualificados y trabajadores mayores de 45 años, así como la formación en nuevas tecnologías.</w:t>
      </w:r>
    </w:p>
    <w:p w:rsidR="00000000" w:rsidRDefault="00000000">
      <w:pPr>
        <w:jc w:val="both"/>
        <w:rPr>
          <w:rFonts w:ascii="Arial" w:hAnsi="Arial"/>
          <w:b/>
        </w:rPr>
      </w:pPr>
    </w:p>
    <w:p w:rsidR="00000000" w:rsidRDefault="00000000">
      <w:pPr>
        <w:pStyle w:val="BodyText3"/>
        <w:suppressAutoHyphens/>
        <w:ind w:right="0"/>
        <w:rPr>
          <w:sz w:val="20"/>
        </w:rPr>
      </w:pPr>
      <w:r>
        <w:rPr>
          <w:sz w:val="20"/>
        </w:rPr>
        <w:t>Durante el 2001, se ha procedido a dotar de una nueva regulación al programa de Escuelas Taller y Casas de Oficio y  al Programa de Talleres de Empleo. Con la nueva normativa, todos los participantes en estos proyectos acceden, además, a la formación en las nuevas tecnologías de la info</w:t>
      </w:r>
      <w:r>
        <w:rPr>
          <w:sz w:val="20"/>
        </w:rPr>
        <w:t>r</w:t>
      </w:r>
      <w:r>
        <w:rPr>
          <w:sz w:val="20"/>
        </w:rPr>
        <w:t>mación y la comunicación</w:t>
      </w:r>
    </w:p>
    <w:p w:rsidR="00000000" w:rsidRDefault="00000000">
      <w:pPr>
        <w:jc w:val="both"/>
        <w:rPr>
          <w:rFonts w:ascii="Arial" w:hAnsi="Arial"/>
          <w:b/>
          <w:i/>
        </w:rPr>
      </w:pPr>
    </w:p>
    <w:p w:rsidR="00000000" w:rsidRDefault="00000000">
      <w:pPr>
        <w:jc w:val="both"/>
        <w:rPr>
          <w:rFonts w:ascii="Arial" w:hAnsi="Arial"/>
        </w:rPr>
      </w:pPr>
      <w:r>
        <w:rPr>
          <w:rFonts w:ascii="Arial" w:hAnsi="Arial"/>
        </w:rPr>
        <w:t>La evaluación de los Planes Nacionales de Acción para el Empleo, muestra que en estos años  90.000 mujeres se han formado en nuevas tecnologías, y para este año está previsto que 170.000 desempleados/as participen en estas acciones formativas.</w:t>
      </w:r>
    </w:p>
    <w:p w:rsidR="00000000" w:rsidRDefault="00000000">
      <w:pPr>
        <w:tabs>
          <w:tab w:val="left" w:pos="5954"/>
        </w:tabs>
        <w:jc w:val="both"/>
        <w:rPr>
          <w:rFonts w:ascii="Arial" w:hAnsi="Arial"/>
        </w:rPr>
      </w:pPr>
    </w:p>
    <w:p w:rsidR="00000000" w:rsidRDefault="00000000">
      <w:pPr>
        <w:tabs>
          <w:tab w:val="left" w:pos="5954"/>
        </w:tabs>
        <w:jc w:val="both"/>
        <w:rPr>
          <w:rFonts w:ascii="Arial" w:hAnsi="Arial"/>
        </w:rPr>
      </w:pPr>
      <w:r>
        <w:rPr>
          <w:rFonts w:ascii="Arial" w:hAnsi="Arial"/>
        </w:rPr>
        <w:t xml:space="preserve">Entre los objetivos básicos de </w:t>
      </w:r>
      <w:r>
        <w:rPr>
          <w:rFonts w:ascii="Arial" w:hAnsi="Arial"/>
          <w:b/>
        </w:rPr>
        <w:t>II Plan de Formación Profesional 1998-2002</w:t>
      </w:r>
      <w:r>
        <w:rPr>
          <w:rFonts w:ascii="Arial" w:hAnsi="Arial"/>
        </w:rPr>
        <w:t xml:space="preserve"> se encuentra la consolidación de un sistema integrador de los tres subsistemas existentes: Formación Profesional reglada, ocupacional y continua. Para ello, se potencian los centros de formación con servicios complementarios relacionados con la orientación e inserción laboral, se optimiza la aplicación de los Fondos Estructurales y se favorece la movilidad de los alumnos/trabajadores y formadores. </w:t>
      </w:r>
    </w:p>
    <w:p w:rsidR="00000000" w:rsidRDefault="00000000">
      <w:pPr>
        <w:tabs>
          <w:tab w:val="left" w:pos="5954"/>
        </w:tabs>
        <w:jc w:val="both"/>
        <w:rPr>
          <w:rFonts w:ascii="Arial" w:hAnsi="Arial"/>
        </w:rPr>
      </w:pPr>
      <w:r>
        <w:rPr>
          <w:rFonts w:ascii="Arial" w:hAnsi="Arial"/>
        </w:rPr>
        <w:t>Igualmente conviene destacar la conexión empresa-escuela, la ampliación de la modalidad de formación a distancia, la programación flexible de la oferta formativa para determinados colectivos y la potenciación de planes y acciones de garantía social, estrechando la interrelación entre las políticas de formación y de empleo.</w:t>
      </w:r>
    </w:p>
    <w:p w:rsidR="00000000" w:rsidRDefault="00000000">
      <w:pPr>
        <w:jc w:val="both"/>
        <w:rPr>
          <w:rFonts w:ascii="Arial" w:hAnsi="Arial"/>
        </w:rPr>
      </w:pPr>
    </w:p>
    <w:p w:rsidR="00000000" w:rsidRDefault="00000000">
      <w:pPr>
        <w:tabs>
          <w:tab w:val="left" w:pos="5954"/>
        </w:tabs>
        <w:jc w:val="both"/>
        <w:rPr>
          <w:rFonts w:ascii="Arial" w:hAnsi="Arial"/>
        </w:rPr>
      </w:pPr>
      <w:r>
        <w:rPr>
          <w:rFonts w:ascii="Arial" w:hAnsi="Arial"/>
        </w:rPr>
        <w:t>También se potencia la formación para el empleo autónomo, el desarrollo de la economía social, los nuevos yacimientos de empleo, la prevención de riesgos laborales y la conservación del medio ambiente. Estas acciones de formación están concebidas en conexión con medidas dirigidas la orientación de los desempleados, respetando siempre el principio de igualdad de oportunidades.</w:t>
      </w:r>
    </w:p>
    <w:p w:rsidR="00000000" w:rsidRDefault="00000000">
      <w:pPr>
        <w:tabs>
          <w:tab w:val="left" w:pos="5954"/>
        </w:tabs>
        <w:jc w:val="both"/>
        <w:rPr>
          <w:rFonts w:ascii="Arial" w:hAnsi="Arial"/>
        </w:rPr>
      </w:pPr>
    </w:p>
    <w:p w:rsidR="00000000" w:rsidRDefault="00000000">
      <w:pPr>
        <w:jc w:val="both"/>
        <w:rPr>
          <w:rFonts w:ascii="Arial" w:hAnsi="Arial"/>
        </w:rPr>
      </w:pPr>
      <w:r>
        <w:rPr>
          <w:rFonts w:ascii="Arial" w:hAnsi="Arial"/>
        </w:rPr>
        <w:t xml:space="preserve">Como ya hemos visto, el III Plan para la Igualdad de Oportunidades entre Mujeres y Hombres, tuvo como propósito promover la igualdad entre mujeres y hombres en todas las actividades y políticas a todos los niveles, es decir la promoción del </w:t>
      </w:r>
      <w:r>
        <w:rPr>
          <w:rFonts w:ascii="Arial" w:hAnsi="Arial"/>
          <w:b/>
        </w:rPr>
        <w:t xml:space="preserve">mainstreaming </w:t>
      </w:r>
      <w:r>
        <w:rPr>
          <w:rFonts w:ascii="Arial" w:hAnsi="Arial"/>
        </w:rPr>
        <w:t>de género y con este fin, el Instituto de la Mujer, participa en la elaboración anual del Plan Nacional de Acción para el Empleo del Reino de España.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Instituto de la Mujer se ha incorporado como miembro permanente y de pleno derecho en los </w:t>
      </w:r>
      <w:r>
        <w:rPr>
          <w:rFonts w:ascii="Arial" w:hAnsi="Arial"/>
          <w:b/>
        </w:rPr>
        <w:t>Comités de Seguimiento de los Programas Operativos de los Fondos Estructurales (FEDER, FEOGA, FSE e IFOP</w:t>
      </w:r>
      <w:r>
        <w:rPr>
          <w:rFonts w:ascii="Arial" w:hAnsi="Arial"/>
        </w:rPr>
        <w:t>). Su labor se dirige a garantizar la igualdad de oportunidades entre mujeres y hombres en los proyectos sostenidos por estos fondos y que constituyen un instrumento de financiación de los Planes de Empleo.</w:t>
      </w:r>
    </w:p>
    <w:p w:rsidR="00000000" w:rsidRDefault="00000000">
      <w:pPr>
        <w:jc w:val="both"/>
        <w:rPr>
          <w:rFonts w:ascii="Arial" w:hAnsi="Arial"/>
        </w:rPr>
      </w:pPr>
    </w:p>
    <w:p w:rsidR="00000000" w:rsidRDefault="00000000">
      <w:pPr>
        <w:jc w:val="both"/>
        <w:rPr>
          <w:rFonts w:ascii="Arial" w:hAnsi="Arial"/>
          <w:b/>
        </w:rPr>
      </w:pPr>
      <w:r>
        <w:rPr>
          <w:rFonts w:ascii="Arial" w:hAnsi="Arial"/>
        </w:rPr>
        <w:t xml:space="preserve">De acuerdo con todo ello, el Instituto de la Mujer realiza, con la cofinanciación del Fondo Social Europeo a través de los Marcos Comunitarios de Apoyo, las siguientes actuaciones para </w:t>
      </w:r>
      <w:r>
        <w:rPr>
          <w:rFonts w:ascii="Arial" w:hAnsi="Arial"/>
          <w:b/>
        </w:rPr>
        <w:t>mejorar la empleabilidad de las mujeres:</w:t>
      </w:r>
    </w:p>
    <w:p w:rsidR="00000000" w:rsidRDefault="00000000">
      <w:pPr>
        <w:jc w:val="both"/>
        <w:rPr>
          <w:rFonts w:ascii="Arial" w:hAnsi="Arial"/>
        </w:rPr>
      </w:pPr>
    </w:p>
    <w:p w:rsidR="00000000" w:rsidRDefault="00000000">
      <w:pPr>
        <w:tabs>
          <w:tab w:val="left" w:pos="426"/>
        </w:tabs>
        <w:jc w:val="both"/>
        <w:rPr>
          <w:rFonts w:ascii="Arial" w:hAnsi="Arial"/>
        </w:rPr>
      </w:pPr>
      <w:r>
        <w:rPr>
          <w:rFonts w:ascii="Arial" w:hAnsi="Arial"/>
          <w:b/>
        </w:rPr>
        <w:t>El Programa de Formación Innovadora para Mujeres “Nova”,</w:t>
      </w:r>
      <w:r>
        <w:rPr>
          <w:rFonts w:ascii="Arial" w:hAnsi="Arial"/>
        </w:rPr>
        <w:t xml:space="preserve"> una oferta formativa en colaboración con los Organismos de Igualdad de cada Comunidad Autónoma, con el fin potenciar una acción coordinada que complemente sus acciones formativas y adaptarla a las necesidades del mercado de trabajo local.</w:t>
      </w:r>
    </w:p>
    <w:p w:rsidR="00000000" w:rsidRDefault="00000000">
      <w:pPr>
        <w:ind w:hanging="644"/>
        <w:jc w:val="both"/>
        <w:rPr>
          <w:rFonts w:ascii="Arial" w:hAnsi="Arial"/>
        </w:rPr>
      </w:pPr>
    </w:p>
    <w:p w:rsidR="00000000" w:rsidRDefault="00000000">
      <w:pPr>
        <w:jc w:val="both"/>
        <w:rPr>
          <w:rFonts w:ascii="Arial" w:hAnsi="Arial"/>
          <w:snapToGrid w:val="0"/>
          <w:color w:val="000000"/>
          <w:lang w:eastAsia="es-ES"/>
        </w:rPr>
      </w:pPr>
      <w:r>
        <w:rPr>
          <w:rFonts w:ascii="Arial" w:hAnsi="Arial"/>
        </w:rPr>
        <w:t xml:space="preserve">Como muestra la siguiente tabla, entre 1999 y el 2001 se han llevado a cabo un total de 198 cursos, en los cuáles han participado 4.658 mujeres, invirtiéndose un total de  </w:t>
      </w:r>
      <w:r>
        <w:rPr>
          <w:rFonts w:ascii="Arial" w:hAnsi="Arial"/>
          <w:snapToGrid w:val="0"/>
          <w:color w:val="000000"/>
          <w:lang w:eastAsia="es-ES"/>
        </w:rPr>
        <w:t>3.955.237,22 euros.</w:t>
      </w:r>
    </w:p>
    <w:p w:rsidR="00000000" w:rsidRDefault="00000000">
      <w:pPr>
        <w:jc w:val="both"/>
        <w:rPr>
          <w:rFonts w:ascii="Arial" w:hAnsi="Arial"/>
          <w:snapToGrid w:val="0"/>
          <w:color w:val="000000"/>
          <w:lang w:eastAsia="es-ES"/>
        </w:rPr>
      </w:pPr>
    </w:p>
    <w:p w:rsidR="00000000" w:rsidRDefault="00000000">
      <w:pPr>
        <w:jc w:val="both"/>
        <w:rPr>
          <w:rFonts w:ascii="Arial" w:hAnsi="Arial"/>
          <w:snapToGrid w:val="0"/>
          <w:color w:val="000000"/>
          <w:lang w:eastAsia="es-ES"/>
        </w:rPr>
      </w:pPr>
    </w:p>
    <w:tbl>
      <w:tblPr>
        <w:tblW w:w="0" w:type="auto"/>
        <w:jc w:val="center"/>
        <w:tblLayout w:type="fixed"/>
        <w:tblCellMar>
          <w:left w:w="30" w:type="dxa"/>
          <w:right w:w="30" w:type="dxa"/>
        </w:tblCellMar>
        <w:tblLook w:val="0000" w:firstRow="0" w:lastRow="0" w:firstColumn="0" w:lastColumn="0" w:noHBand="0" w:noVBand="0"/>
      </w:tblPr>
      <w:tblGrid>
        <w:gridCol w:w="1985"/>
        <w:gridCol w:w="1559"/>
        <w:gridCol w:w="1843"/>
        <w:gridCol w:w="1842"/>
      </w:tblGrid>
      <w:tr w:rsidR="00000000">
        <w:tblPrEx>
          <w:tblCellMar>
            <w:top w:w="0" w:type="dxa"/>
            <w:bottom w:w="0" w:type="dxa"/>
          </w:tblCellMar>
        </w:tblPrEx>
        <w:trPr>
          <w:trHeight w:val="247"/>
          <w:jc w:val="center"/>
        </w:trPr>
        <w:tc>
          <w:tcPr>
            <w:tcW w:w="1985" w:type="dxa"/>
          </w:tcPr>
          <w:p w:rsidR="00000000" w:rsidRDefault="00000000">
            <w:pPr>
              <w:jc w:val="center"/>
              <w:rPr>
                <w:rFonts w:ascii="Arial" w:hAnsi="Arial"/>
                <w:snapToGrid w:val="0"/>
                <w:color w:val="000000"/>
                <w:sz w:val="16"/>
                <w:lang w:eastAsia="es-ES"/>
              </w:rPr>
            </w:pPr>
          </w:p>
        </w:tc>
        <w:tc>
          <w:tcPr>
            <w:tcW w:w="1559"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de Cursos</w:t>
            </w: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Participantes</w:t>
            </w:r>
          </w:p>
        </w:tc>
        <w:tc>
          <w:tcPr>
            <w:tcW w:w="1842"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Inversión</w:t>
            </w:r>
          </w:p>
        </w:tc>
      </w:tr>
      <w:tr w:rsidR="00000000">
        <w:tblPrEx>
          <w:tblCellMar>
            <w:top w:w="0" w:type="dxa"/>
            <w:bottom w:w="0" w:type="dxa"/>
          </w:tblCellMar>
        </w:tblPrEx>
        <w:trPr>
          <w:trHeight w:val="247"/>
          <w:jc w:val="center"/>
        </w:trPr>
        <w:tc>
          <w:tcPr>
            <w:tcW w:w="198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1.538</w:t>
            </w:r>
          </w:p>
        </w:tc>
        <w:tc>
          <w:tcPr>
            <w:tcW w:w="184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1.375.203,44</w:t>
            </w:r>
          </w:p>
        </w:tc>
      </w:tr>
      <w:tr w:rsidR="00000000">
        <w:tblPrEx>
          <w:tblCellMar>
            <w:top w:w="0" w:type="dxa"/>
            <w:bottom w:w="0" w:type="dxa"/>
          </w:tblCellMar>
        </w:tblPrEx>
        <w:trPr>
          <w:trHeight w:val="247"/>
          <w:jc w:val="center"/>
        </w:trPr>
        <w:tc>
          <w:tcPr>
            <w:tcW w:w="1985"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1.320</w:t>
            </w:r>
          </w:p>
        </w:tc>
        <w:tc>
          <w:tcPr>
            <w:tcW w:w="184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1.239.446,23</w:t>
            </w:r>
          </w:p>
        </w:tc>
      </w:tr>
      <w:tr w:rsidR="00000000">
        <w:tblPrEx>
          <w:tblCellMar>
            <w:top w:w="0" w:type="dxa"/>
            <w:bottom w:w="0" w:type="dxa"/>
          </w:tblCellMar>
        </w:tblPrEx>
        <w:trPr>
          <w:trHeight w:val="247"/>
          <w:jc w:val="center"/>
        </w:trPr>
        <w:tc>
          <w:tcPr>
            <w:tcW w:w="1985"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1559"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72</w:t>
            </w:r>
          </w:p>
        </w:tc>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1.800</w:t>
            </w:r>
          </w:p>
        </w:tc>
        <w:tc>
          <w:tcPr>
            <w:tcW w:w="1842"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1.340.587,55</w:t>
            </w:r>
          </w:p>
        </w:tc>
      </w:tr>
    </w:tbl>
    <w:p w:rsidR="00000000" w:rsidRDefault="00000000">
      <w:pPr>
        <w:ind w:left="1305"/>
        <w:jc w:val="both"/>
        <w:rPr>
          <w:rFonts w:ascii="Arial" w:hAnsi="Arial"/>
          <w:sz w:val="16"/>
        </w:rPr>
      </w:pPr>
      <w:r>
        <w:rPr>
          <w:rFonts w:ascii="Arial" w:hAnsi="Arial"/>
          <w:sz w:val="16"/>
        </w:rPr>
        <w:t>Fuente: Instituto de la Mujer</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colaboración con diversos organismos públicos (Ayuntamientos, Diputaciones, etc), realiza cursos de formación profesional ocupacional en función de las necesidades de cada localidad y enmarcados en los nuevos yacimientos de empleo. La formación impartida en dichos cursos es variable ya que su objetivo fundamental es su adaptación a las necesidades del mercado local. </w:t>
      </w:r>
    </w:p>
    <w:p w:rsidR="00000000" w:rsidRDefault="00000000">
      <w:pPr>
        <w:pStyle w:val="BodyText"/>
        <w:tabs>
          <w:tab w:val="left" w:pos="0"/>
        </w:tabs>
      </w:pPr>
    </w:p>
    <w:p w:rsidR="00000000" w:rsidRDefault="00000000">
      <w:pPr>
        <w:pStyle w:val="BodyText"/>
        <w:tabs>
          <w:tab w:val="left" w:pos="0"/>
        </w:tabs>
        <w:rPr>
          <w:sz w:val="20"/>
        </w:rPr>
      </w:pPr>
      <w:r>
        <w:rPr>
          <w:sz w:val="20"/>
        </w:rPr>
        <w:t xml:space="preserve">En los años que abarca este informe se han invertido un total de </w:t>
      </w:r>
      <w:r>
        <w:rPr>
          <w:snapToGrid w:val="0"/>
          <w:color w:val="000000"/>
          <w:sz w:val="20"/>
          <w:lang w:eastAsia="es-ES"/>
        </w:rPr>
        <w:t>518.553,24</w:t>
      </w:r>
      <w:r>
        <w:rPr>
          <w:sz w:val="20"/>
        </w:rPr>
        <w:t xml:space="preserve"> euros para la realización de 53 cursos, al que han asistido 997 mujeres. </w:t>
      </w:r>
    </w:p>
    <w:p w:rsidR="00000000" w:rsidRDefault="00000000">
      <w:pPr>
        <w:pStyle w:val="BodyText"/>
        <w:tabs>
          <w:tab w:val="left" w:pos="0"/>
        </w:tabs>
        <w:rPr>
          <w:sz w:val="20"/>
        </w:rPr>
      </w:pPr>
    </w:p>
    <w:p w:rsidR="00000000" w:rsidRDefault="00000000">
      <w:pPr>
        <w:pStyle w:val="BodyText"/>
        <w:tabs>
          <w:tab w:val="left" w:pos="0"/>
        </w:tabs>
        <w:rPr>
          <w:sz w:val="20"/>
        </w:rPr>
      </w:pPr>
      <w:r>
        <w:rPr>
          <w:sz w:val="20"/>
        </w:rPr>
        <w:t>El Proyecto C-TEST: Centro Virtual de Teleservicios, iniciado en 1998, tiene como objetivo la formación en nuevas tecnologías y el fomento del empleo femenino a través del teletrabajo, como nueva modalidad de e</w:t>
      </w:r>
      <w:r>
        <w:rPr>
          <w:sz w:val="20"/>
        </w:rPr>
        <w:t>m</w:t>
      </w:r>
      <w:r>
        <w:rPr>
          <w:sz w:val="20"/>
        </w:rPr>
        <w:t>pleo que favorezca la inserción laboral de las mujeres. Está dirigido a mujeres con conocimientos de ofimática y una actividad profesional o un proyecto empresarial susceptible de desarrollarse mediante el uso de las nu</w:t>
      </w:r>
      <w:r>
        <w:rPr>
          <w:sz w:val="20"/>
        </w:rPr>
        <w:t>e</w:t>
      </w:r>
      <w:r>
        <w:rPr>
          <w:sz w:val="20"/>
        </w:rPr>
        <w:t>vas tecnologías.</w:t>
      </w:r>
    </w:p>
    <w:p w:rsidR="00000000" w:rsidRDefault="00000000">
      <w:pPr>
        <w:pStyle w:val="BodyText"/>
        <w:tabs>
          <w:tab w:val="left" w:pos="0"/>
        </w:tabs>
        <w:rPr>
          <w:sz w:val="20"/>
        </w:rPr>
      </w:pPr>
    </w:p>
    <w:p w:rsidR="00000000" w:rsidRDefault="00000000">
      <w:pPr>
        <w:tabs>
          <w:tab w:val="left" w:pos="567"/>
        </w:tabs>
        <w:jc w:val="both"/>
        <w:rPr>
          <w:rFonts w:ascii="Arial" w:hAnsi="Arial"/>
        </w:rPr>
      </w:pPr>
      <w:r>
        <w:rPr>
          <w:rFonts w:ascii="Arial" w:hAnsi="Arial"/>
        </w:rPr>
        <w:t xml:space="preserve">Desde el año 2001, se ofrece formación on-line, lo cuál ha permitido, como muestra el cuadro adjunto, aumentar considerablemente  tanto el número de cursos como el de usuarias. </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1843"/>
        <w:gridCol w:w="2268"/>
        <w:gridCol w:w="2126"/>
      </w:tblGrid>
      <w:tr w:rsidR="00000000">
        <w:tblPrEx>
          <w:tblCellMar>
            <w:top w:w="0" w:type="dxa"/>
            <w:bottom w:w="0" w:type="dxa"/>
          </w:tblCellMar>
        </w:tblPrEx>
        <w:trPr>
          <w:trHeight w:val="247"/>
          <w:jc w:val="center"/>
        </w:trPr>
        <w:tc>
          <w:tcPr>
            <w:tcW w:w="1843" w:type="dxa"/>
          </w:tcPr>
          <w:p w:rsidR="00000000" w:rsidRDefault="00000000">
            <w:pPr>
              <w:jc w:val="center"/>
              <w:rPr>
                <w:rFonts w:ascii="Arial" w:hAnsi="Arial"/>
                <w:snapToGrid w:val="0"/>
                <w:color w:val="000000"/>
                <w:sz w:val="16"/>
                <w:lang w:eastAsia="es-ES"/>
              </w:rPr>
            </w:pPr>
          </w:p>
        </w:tc>
        <w:tc>
          <w:tcPr>
            <w:tcW w:w="2268"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Cursos</w:t>
            </w:r>
          </w:p>
        </w:tc>
        <w:tc>
          <w:tcPr>
            <w:tcW w:w="2126"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destinatarias</w:t>
            </w:r>
          </w:p>
        </w:tc>
      </w:tr>
      <w:tr w:rsidR="00000000">
        <w:tblPrEx>
          <w:tblCellMar>
            <w:top w:w="0" w:type="dxa"/>
            <w:bottom w:w="0" w:type="dxa"/>
          </w:tblCellMar>
        </w:tblPrEx>
        <w:trPr>
          <w:trHeight w:val="247"/>
          <w:jc w:val="center"/>
        </w:trPr>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226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w:t>
            </w:r>
          </w:p>
        </w:tc>
        <w:tc>
          <w:tcPr>
            <w:tcW w:w="212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w:t>
            </w:r>
          </w:p>
        </w:tc>
      </w:tr>
      <w:tr w:rsidR="00000000">
        <w:tblPrEx>
          <w:tblCellMar>
            <w:top w:w="0" w:type="dxa"/>
            <w:bottom w:w="0" w:type="dxa"/>
          </w:tblCellMar>
        </w:tblPrEx>
        <w:trPr>
          <w:trHeight w:val="247"/>
          <w:jc w:val="center"/>
        </w:trPr>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226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w:t>
            </w:r>
          </w:p>
        </w:tc>
        <w:tc>
          <w:tcPr>
            <w:tcW w:w="212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w:t>
            </w:r>
          </w:p>
        </w:tc>
      </w:tr>
      <w:tr w:rsidR="00000000">
        <w:tblPrEx>
          <w:tblCellMar>
            <w:top w:w="0" w:type="dxa"/>
            <w:bottom w:w="0" w:type="dxa"/>
          </w:tblCellMar>
        </w:tblPrEx>
        <w:trPr>
          <w:trHeight w:val="247"/>
          <w:jc w:val="center"/>
        </w:trPr>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2268"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w:t>
            </w:r>
          </w:p>
        </w:tc>
        <w:tc>
          <w:tcPr>
            <w:tcW w:w="2126"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1600</w:t>
            </w:r>
          </w:p>
        </w:tc>
      </w:tr>
    </w:tbl>
    <w:p w:rsidR="00000000" w:rsidRDefault="00000000">
      <w:pPr>
        <w:ind w:left="1809"/>
        <w:jc w:val="both"/>
        <w:rPr>
          <w:rFonts w:ascii="Arial" w:hAnsi="Arial"/>
          <w:sz w:val="16"/>
        </w:rPr>
      </w:pPr>
      <w:r>
        <w:rPr>
          <w:rFonts w:ascii="Arial" w:hAnsi="Arial"/>
          <w:sz w:val="16"/>
        </w:rPr>
        <w:t>Fuente: Instituto de la Mujer</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A través de este Centro virtual, además, se facilita información, orientación y asesoramiento en relación con el teletrabajo, así como la posibilidad de que las usuarias inserten en este espacio sus propias páginas web.</w:t>
      </w:r>
    </w:p>
    <w:p w:rsidR="00000000" w:rsidRDefault="00000000">
      <w:pPr>
        <w:pStyle w:val="BodyText"/>
        <w:tabs>
          <w:tab w:val="left" w:pos="0"/>
        </w:tabs>
        <w:rPr>
          <w:b/>
          <w:sz w:val="20"/>
        </w:rPr>
      </w:pPr>
    </w:p>
    <w:p w:rsidR="00000000" w:rsidRDefault="00000000">
      <w:pPr>
        <w:pStyle w:val="BodyText"/>
        <w:tabs>
          <w:tab w:val="left" w:pos="0"/>
        </w:tabs>
        <w:rPr>
          <w:sz w:val="20"/>
        </w:rPr>
      </w:pPr>
      <w:r>
        <w:rPr>
          <w:sz w:val="20"/>
        </w:rPr>
        <w:t>Programas dirigidos a la integración social y laboral de mujeres en situación de riesgo de exclusión entre los que se encuentran el Programa CLARA dirigido a mujeres de alguno de los siguientes grupos: víctimas de violencia de género, responsables de núcleos familiares, mayores de 45 años sin titulación, pertenecientes a minorías étnicas, inmigrantes, discapacitadas o reclusas.</w:t>
      </w:r>
    </w:p>
    <w:p w:rsidR="00000000" w:rsidRDefault="00000000">
      <w:pPr>
        <w:pStyle w:val="BodyText"/>
        <w:tabs>
          <w:tab w:val="left" w:pos="0"/>
        </w:tabs>
        <w:rPr>
          <w:sz w:val="20"/>
        </w:rPr>
      </w:pPr>
    </w:p>
    <w:p w:rsidR="00000000" w:rsidRDefault="00000000">
      <w:pPr>
        <w:pStyle w:val="BodyText"/>
        <w:tabs>
          <w:tab w:val="left" w:pos="0"/>
        </w:tabs>
        <w:rPr>
          <w:sz w:val="20"/>
        </w:rPr>
      </w:pPr>
      <w:r>
        <w:rPr>
          <w:sz w:val="20"/>
        </w:rPr>
        <w:t>Durante el año  2002, se ha puesto en marcha un programa de inserción laboral, dirigido a las mujeres víct</w:t>
      </w:r>
      <w:r>
        <w:rPr>
          <w:sz w:val="20"/>
        </w:rPr>
        <w:t>i</w:t>
      </w:r>
      <w:r>
        <w:rPr>
          <w:sz w:val="20"/>
        </w:rPr>
        <w:t>mas de malos tratos, a través de un Convenio de Colaboración suscrito con el Instituto Nacional de Empleo y el grupo de empresas VIPS, que oferta puestos de trabajos con características especiales en cuanto a flexib</w:t>
      </w:r>
      <w:r>
        <w:rPr>
          <w:sz w:val="20"/>
        </w:rPr>
        <w:t>i</w:t>
      </w:r>
      <w:r>
        <w:rPr>
          <w:sz w:val="20"/>
        </w:rPr>
        <w:t>lidad de horarios, proximidad al domicilio y formación inicial para el puesto ofertado.</w:t>
      </w:r>
    </w:p>
    <w:p w:rsidR="00000000" w:rsidRDefault="00000000">
      <w:pPr>
        <w:pStyle w:val="BodyText"/>
        <w:tabs>
          <w:tab w:val="left" w:pos="0"/>
        </w:tabs>
        <w:rPr>
          <w:b/>
          <w:sz w:val="20"/>
        </w:rPr>
      </w:pPr>
    </w:p>
    <w:p w:rsidR="00000000" w:rsidRDefault="00000000">
      <w:pPr>
        <w:pStyle w:val="BodyText"/>
        <w:tabs>
          <w:tab w:val="left" w:pos="0"/>
        </w:tabs>
        <w:rPr>
          <w:sz w:val="20"/>
        </w:rPr>
      </w:pPr>
      <w:r>
        <w:rPr>
          <w:sz w:val="20"/>
        </w:rPr>
        <w:t>Finalmente, los Seminarios de Orientación Laboral y Técnicas de Búsqueda de Empleo, dirigidos a mujeres desempleadas de larga duración, tienen como objetivo proporcionarles las herramientas necesarias para p</w:t>
      </w:r>
      <w:r>
        <w:rPr>
          <w:sz w:val="20"/>
        </w:rPr>
        <w:t>o</w:t>
      </w:r>
      <w:r>
        <w:rPr>
          <w:sz w:val="20"/>
        </w:rPr>
        <w:t>der realizar la búsqueda de empleo con conocimiento de los nuevos canales de acceso al merc</w:t>
      </w:r>
      <w:r>
        <w:rPr>
          <w:sz w:val="20"/>
        </w:rPr>
        <w:t>a</w:t>
      </w:r>
      <w:r>
        <w:rPr>
          <w:sz w:val="20"/>
        </w:rPr>
        <w:t>do laboral.</w:t>
      </w:r>
    </w:p>
    <w:p w:rsidR="00000000" w:rsidRDefault="00000000">
      <w:pPr>
        <w:pStyle w:val="BodyText"/>
        <w:tabs>
          <w:tab w:val="left" w:pos="0"/>
        </w:tabs>
        <w:rPr>
          <w:sz w:val="20"/>
        </w:rPr>
      </w:pPr>
    </w:p>
    <w:p w:rsidR="00000000" w:rsidRDefault="00000000">
      <w:pPr>
        <w:pStyle w:val="BodyText"/>
        <w:rPr>
          <w:sz w:val="20"/>
        </w:rPr>
      </w:pPr>
      <w:r>
        <w:rPr>
          <w:sz w:val="20"/>
        </w:rPr>
        <w:t>Estos Seminarios se organizan en colaboración con diversos Ayuntamientos, Diputaciones Provinciales y O</w:t>
      </w:r>
      <w:r>
        <w:rPr>
          <w:sz w:val="20"/>
        </w:rPr>
        <w:t>r</w:t>
      </w:r>
      <w:r>
        <w:rPr>
          <w:sz w:val="20"/>
        </w:rPr>
        <w:t>ganismos de Igualdad de las Comunidades Autónomas, y en ellos intervinieron responsables de los depart</w:t>
      </w:r>
      <w:r>
        <w:rPr>
          <w:sz w:val="20"/>
        </w:rPr>
        <w:t>a</w:t>
      </w:r>
      <w:r>
        <w:rPr>
          <w:sz w:val="20"/>
        </w:rPr>
        <w:t>mentos de recursos humanos de empresas del ámbito territorial correspondiente.</w:t>
      </w:r>
    </w:p>
    <w:p w:rsidR="00000000" w:rsidRDefault="00000000">
      <w:pPr>
        <w:pStyle w:val="BodyText"/>
        <w:rPr>
          <w:sz w:val="20"/>
        </w:rPr>
      </w:pPr>
    </w:p>
    <w:p w:rsidR="00000000" w:rsidRDefault="00000000">
      <w:pPr>
        <w:pStyle w:val="BodyText"/>
        <w:rPr>
          <w:sz w:val="20"/>
        </w:rPr>
      </w:pPr>
      <w:r>
        <w:rPr>
          <w:sz w:val="20"/>
        </w:rPr>
        <w:t>Entre 1999 y 2001, se han llevado a cabo 52 seminarios, han participado 1.051 mujeres y el  coste total ha s</w:t>
      </w:r>
      <w:r>
        <w:rPr>
          <w:sz w:val="20"/>
        </w:rPr>
        <w:t>i</w:t>
      </w:r>
      <w:r>
        <w:rPr>
          <w:sz w:val="20"/>
        </w:rPr>
        <w:t>do de 226.171,63 euros.</w:t>
      </w:r>
    </w:p>
    <w:p w:rsidR="00000000" w:rsidRDefault="00000000">
      <w:pPr>
        <w:pStyle w:val="BodyText"/>
        <w:rPr>
          <w:sz w:val="20"/>
        </w:rPr>
      </w:pPr>
      <w:r>
        <w:rPr>
          <w:sz w:val="20"/>
        </w:rPr>
        <w:t xml:space="preserve">El </w:t>
      </w:r>
      <w:r>
        <w:rPr>
          <w:b/>
          <w:sz w:val="20"/>
        </w:rPr>
        <w:t>fomento del empresariado femenino</w:t>
      </w:r>
      <w:r>
        <w:rPr>
          <w:sz w:val="20"/>
        </w:rPr>
        <w:t xml:space="preserve"> es una de las principales líneas de actuación del Instituto de la M</w:t>
      </w:r>
      <w:r>
        <w:rPr>
          <w:sz w:val="20"/>
        </w:rPr>
        <w:t>u</w:t>
      </w:r>
      <w:r>
        <w:rPr>
          <w:sz w:val="20"/>
        </w:rPr>
        <w:t>jer, pues el autoempleo de las mujeres las inserta en la economía incrementando el bajo porcentaje de muj</w:t>
      </w:r>
      <w:r>
        <w:rPr>
          <w:sz w:val="20"/>
        </w:rPr>
        <w:t>e</w:t>
      </w:r>
      <w:r>
        <w:rPr>
          <w:sz w:val="20"/>
        </w:rPr>
        <w:t>res en el tejido empresarial. Para ello se realizan los siguientes programas:</w:t>
      </w:r>
    </w:p>
    <w:p w:rsidR="00000000" w:rsidRDefault="00000000">
      <w:pPr>
        <w:pStyle w:val="BodyText3"/>
        <w:ind w:right="0"/>
        <w:rPr>
          <w:sz w:val="20"/>
        </w:rPr>
      </w:pPr>
    </w:p>
    <w:p w:rsidR="00000000" w:rsidRDefault="00000000">
      <w:pPr>
        <w:pStyle w:val="BodyText"/>
        <w:rPr>
          <w:sz w:val="20"/>
        </w:rPr>
      </w:pPr>
      <w:r>
        <w:rPr>
          <w:b/>
          <w:sz w:val="20"/>
        </w:rPr>
        <w:t xml:space="preserve">Programa “De Emprendedora a Empresaria”. </w:t>
      </w:r>
      <w:r>
        <w:rPr>
          <w:sz w:val="20"/>
        </w:rPr>
        <w:t>Este programa, dentro de la Iniciativa Comunitaria NOW, fin</w:t>
      </w:r>
      <w:r>
        <w:rPr>
          <w:sz w:val="20"/>
        </w:rPr>
        <w:t>a</w:t>
      </w:r>
      <w:r>
        <w:rPr>
          <w:sz w:val="20"/>
        </w:rPr>
        <w:t>lizado en el año 1999, desarrolló un esquema integrado de fomento y reforzamiento de las iniciativas empres</w:t>
      </w:r>
      <w:r>
        <w:rPr>
          <w:sz w:val="20"/>
        </w:rPr>
        <w:t>a</w:t>
      </w:r>
      <w:r>
        <w:rPr>
          <w:sz w:val="20"/>
        </w:rPr>
        <w:t>riales femeninas, a través del cual se crearon los Gabinetes de asistencia técnica en las Cámaras de Come</w:t>
      </w:r>
      <w:r>
        <w:rPr>
          <w:sz w:val="20"/>
        </w:rPr>
        <w:t>r</w:t>
      </w:r>
      <w:r>
        <w:rPr>
          <w:sz w:val="20"/>
        </w:rPr>
        <w:t>cio, ofreciendo servicios de información, formación y asesoramiento a mujeres que querían iniciar una activ</w:t>
      </w:r>
      <w:r>
        <w:rPr>
          <w:sz w:val="20"/>
        </w:rPr>
        <w:t>i</w:t>
      </w:r>
      <w:r>
        <w:rPr>
          <w:sz w:val="20"/>
        </w:rPr>
        <w:t>dad como autónomas o empresarias, o bien ampliar su negocio, así como acciones de autodiágnostico y ge</w:t>
      </w:r>
      <w:r>
        <w:rPr>
          <w:sz w:val="20"/>
        </w:rPr>
        <w:t>s</w:t>
      </w:r>
      <w:r>
        <w:rPr>
          <w:sz w:val="20"/>
        </w:rPr>
        <w:t>tión dirigida</w:t>
      </w:r>
    </w:p>
    <w:p w:rsidR="00000000" w:rsidRDefault="00000000">
      <w:pPr>
        <w:pStyle w:val="BodyText"/>
        <w:rPr>
          <w:sz w:val="20"/>
        </w:rPr>
      </w:pPr>
    </w:p>
    <w:p w:rsidR="00000000" w:rsidRDefault="00000000">
      <w:pPr>
        <w:pStyle w:val="BodyText"/>
        <w:rPr>
          <w:sz w:val="20"/>
        </w:rPr>
      </w:pPr>
      <w:r>
        <w:rPr>
          <w:sz w:val="20"/>
        </w:rPr>
        <w:t>Como resultado de este Programa se informó a 12.528 mujeres, recibieron formación 3.725, asesoramiento 44.462, y se crearon 1.134 empresas, que han proporcionado más de 2.000 puestos de trabajo.</w:t>
      </w:r>
    </w:p>
    <w:p w:rsidR="00000000" w:rsidRDefault="00000000">
      <w:pPr>
        <w:pStyle w:val="BodyText3"/>
        <w:ind w:right="0"/>
        <w:rPr>
          <w:sz w:val="20"/>
        </w:rPr>
      </w:pPr>
    </w:p>
    <w:p w:rsidR="00000000" w:rsidRDefault="00000000">
      <w:pPr>
        <w:pStyle w:val="BodyText"/>
        <w:rPr>
          <w:sz w:val="20"/>
        </w:rPr>
      </w:pPr>
      <w:r>
        <w:rPr>
          <w:sz w:val="20"/>
        </w:rPr>
        <w:t xml:space="preserve">Como continuación del anterior, el </w:t>
      </w:r>
      <w:r>
        <w:rPr>
          <w:b/>
          <w:sz w:val="20"/>
        </w:rPr>
        <w:t>Programa de Apoyo Empresarial a Mujeres</w:t>
      </w:r>
      <w:r>
        <w:rPr>
          <w:sz w:val="20"/>
        </w:rPr>
        <w:t xml:space="preserve">, desarrollado en colaboración con el Consejo Superior de Cámaras Oficiales de Comercio Industria y Navegación de España y Cámaras de Comercio de distintas localidades ofrece información, orientación y asesoramiento a mujeres emprendedoras y empresarias sobre cualquier aspecto relacionado con la creación y la gestión empresarial. Estos servicios se prestan a través de los 58 gabinetes ubicados en las Cámaras de Comercio que colaboran con el Instituto, así como a través de un servicio on-line, creado en el año 2001, cuya dirección de acceso es </w:t>
      </w:r>
      <w:hyperlink r:id="rId33" w:history="1">
        <w:r>
          <w:rPr>
            <w:sz w:val="20"/>
          </w:rPr>
          <w:t>www.e-empresarias.net</w:t>
        </w:r>
      </w:hyperlink>
      <w:r>
        <w:rPr>
          <w:sz w:val="20"/>
        </w:rPr>
        <w:t>.</w:t>
      </w:r>
    </w:p>
    <w:p w:rsidR="00000000" w:rsidRDefault="00000000">
      <w:pPr>
        <w:jc w:val="both"/>
        <w:rPr>
          <w:rFonts w:ascii="Arial" w:hAnsi="Arial"/>
          <w:i/>
        </w:rPr>
      </w:pPr>
    </w:p>
    <w:p w:rsidR="00000000" w:rsidRDefault="00000000">
      <w:pPr>
        <w:pStyle w:val="BodyText"/>
        <w:rPr>
          <w:sz w:val="20"/>
        </w:rPr>
      </w:pPr>
      <w:r>
        <w:rPr>
          <w:sz w:val="20"/>
        </w:rPr>
        <w:t>De esta manera, las mujeres pueden realizar vía Internet cualquier consulta relacionada con la creación (tr</w:t>
      </w:r>
      <w:r>
        <w:rPr>
          <w:sz w:val="20"/>
        </w:rPr>
        <w:t>á</w:t>
      </w:r>
      <w:r>
        <w:rPr>
          <w:sz w:val="20"/>
        </w:rPr>
        <w:t>mites, formas jurídicas…) y la gestión empresarial. Además este servicio ofrece información necesaria a fin de facilitar a las usuarias la realización del autodiagnóstico del proyecto o actividad empresarial. A 15 de novie</w:t>
      </w:r>
      <w:r>
        <w:rPr>
          <w:sz w:val="20"/>
        </w:rPr>
        <w:t>m</w:t>
      </w:r>
      <w:r>
        <w:rPr>
          <w:sz w:val="20"/>
        </w:rPr>
        <w:t>bre de 2002 el número de consultas realizadas ha sido de 6.819.</w:t>
      </w:r>
    </w:p>
    <w:p w:rsidR="00000000" w:rsidRDefault="00000000">
      <w:pPr>
        <w:pStyle w:val="BodyText"/>
        <w:rPr>
          <w:b/>
          <w:sz w:val="20"/>
        </w:rPr>
      </w:pPr>
      <w:r>
        <w:rPr>
          <w:b/>
          <w:sz w:val="20"/>
        </w:rPr>
        <w:t xml:space="preserve"> </w:t>
      </w:r>
    </w:p>
    <w:p w:rsidR="00000000" w:rsidRDefault="00000000">
      <w:pPr>
        <w:pStyle w:val="BodyText"/>
        <w:rPr>
          <w:sz w:val="20"/>
        </w:rPr>
      </w:pPr>
      <w:r>
        <w:rPr>
          <w:sz w:val="20"/>
        </w:rPr>
        <w:t>Asimismo, se edita un Boletín que proporciona todo tipo de información de interés para el ámbito empresarial, así como otros espacios web vinculados al tema.</w:t>
      </w:r>
    </w:p>
    <w:p w:rsidR="00000000" w:rsidRDefault="00000000">
      <w:pPr>
        <w:pStyle w:val="BodyText"/>
        <w:rPr>
          <w:sz w:val="20"/>
        </w:rPr>
      </w:pPr>
    </w:p>
    <w:p w:rsidR="00000000" w:rsidRDefault="00000000">
      <w:pPr>
        <w:pStyle w:val="BodyText"/>
        <w:rPr>
          <w:sz w:val="20"/>
        </w:rPr>
      </w:pPr>
      <w:r>
        <w:rPr>
          <w:sz w:val="20"/>
        </w:rPr>
        <w:t>Durante los dos años de desarrollo del programa, se han creado un total de 1580 empresas que han generado 602 empleos asalariados</w:t>
      </w: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948"/>
        <w:gridCol w:w="1180"/>
        <w:gridCol w:w="1124"/>
        <w:gridCol w:w="998"/>
        <w:gridCol w:w="1067"/>
        <w:gridCol w:w="1241"/>
      </w:tblGrid>
      <w:tr w:rsidR="00000000">
        <w:tblPrEx>
          <w:tblCellMar>
            <w:top w:w="0" w:type="dxa"/>
            <w:bottom w:w="0" w:type="dxa"/>
          </w:tblCellMar>
        </w:tblPrEx>
        <w:trPr>
          <w:trHeight w:val="247"/>
          <w:jc w:val="center"/>
        </w:trPr>
        <w:tc>
          <w:tcPr>
            <w:tcW w:w="948" w:type="dxa"/>
          </w:tcPr>
          <w:p w:rsidR="00000000" w:rsidRDefault="00000000">
            <w:pPr>
              <w:jc w:val="center"/>
              <w:rPr>
                <w:rFonts w:ascii="Arial" w:hAnsi="Arial"/>
                <w:snapToGrid w:val="0"/>
                <w:color w:val="000000"/>
                <w:sz w:val="16"/>
                <w:lang w:eastAsia="es-ES"/>
              </w:rPr>
            </w:pPr>
          </w:p>
        </w:tc>
        <w:tc>
          <w:tcPr>
            <w:tcW w:w="1180" w:type="dxa"/>
            <w:tcBorders>
              <w:bottom w:val="double" w:sz="4" w:space="0" w:color="auto"/>
            </w:tcBorders>
          </w:tcPr>
          <w:p w:rsidR="00000000" w:rsidRDefault="00000000">
            <w:pPr>
              <w:jc w:val="center"/>
              <w:rPr>
                <w:rFonts w:ascii="Arial" w:hAnsi="Arial"/>
                <w:b/>
                <w:snapToGrid w:val="0"/>
                <w:sz w:val="16"/>
                <w:lang w:eastAsia="es-ES"/>
              </w:rPr>
            </w:pPr>
            <w:r>
              <w:rPr>
                <w:rFonts w:ascii="Arial" w:hAnsi="Arial"/>
                <w:b/>
                <w:snapToGrid w:val="0"/>
                <w:sz w:val="16"/>
                <w:lang w:eastAsia="es-ES"/>
              </w:rPr>
              <w:t>Nº mujeres informadas</w:t>
            </w:r>
          </w:p>
        </w:tc>
        <w:tc>
          <w:tcPr>
            <w:tcW w:w="1124" w:type="dxa"/>
            <w:tcBorders>
              <w:bottom w:val="double" w:sz="4" w:space="0" w:color="auto"/>
            </w:tcBorders>
          </w:tcPr>
          <w:p w:rsidR="00000000" w:rsidRDefault="00000000">
            <w:pPr>
              <w:jc w:val="center"/>
              <w:rPr>
                <w:rFonts w:ascii="Arial" w:hAnsi="Arial"/>
                <w:b/>
                <w:snapToGrid w:val="0"/>
                <w:sz w:val="16"/>
                <w:lang w:eastAsia="es-ES"/>
              </w:rPr>
            </w:pPr>
            <w:r>
              <w:rPr>
                <w:rFonts w:ascii="Arial" w:hAnsi="Arial"/>
                <w:b/>
                <w:snapToGrid w:val="0"/>
                <w:sz w:val="16"/>
                <w:lang w:eastAsia="es-ES"/>
              </w:rPr>
              <w:t>Nº mujeres asesoradas</w:t>
            </w:r>
          </w:p>
        </w:tc>
        <w:tc>
          <w:tcPr>
            <w:tcW w:w="998" w:type="dxa"/>
            <w:tcBorders>
              <w:bottom w:val="double" w:sz="4" w:space="0" w:color="auto"/>
            </w:tcBorders>
          </w:tcPr>
          <w:p w:rsidR="00000000" w:rsidRDefault="00000000">
            <w:pPr>
              <w:jc w:val="center"/>
              <w:rPr>
                <w:rFonts w:ascii="Arial" w:hAnsi="Arial"/>
                <w:b/>
                <w:snapToGrid w:val="0"/>
                <w:sz w:val="16"/>
                <w:lang w:eastAsia="es-ES"/>
              </w:rPr>
            </w:pPr>
            <w:r>
              <w:rPr>
                <w:rFonts w:ascii="Arial" w:hAnsi="Arial"/>
                <w:b/>
                <w:snapToGrid w:val="0"/>
                <w:sz w:val="16"/>
                <w:lang w:eastAsia="es-ES"/>
              </w:rPr>
              <w:t>Empresas creadas</w:t>
            </w:r>
          </w:p>
        </w:tc>
        <w:tc>
          <w:tcPr>
            <w:tcW w:w="1067" w:type="dxa"/>
            <w:tcBorders>
              <w:bottom w:val="double" w:sz="4" w:space="0" w:color="auto"/>
            </w:tcBorders>
          </w:tcPr>
          <w:p w:rsidR="00000000" w:rsidRDefault="00000000">
            <w:pPr>
              <w:jc w:val="center"/>
              <w:rPr>
                <w:rFonts w:ascii="Arial" w:hAnsi="Arial"/>
                <w:b/>
                <w:snapToGrid w:val="0"/>
                <w:sz w:val="16"/>
                <w:lang w:eastAsia="es-ES"/>
              </w:rPr>
            </w:pPr>
            <w:r>
              <w:rPr>
                <w:rFonts w:ascii="Arial" w:hAnsi="Arial"/>
                <w:b/>
                <w:snapToGrid w:val="0"/>
                <w:sz w:val="16"/>
                <w:lang w:eastAsia="es-ES"/>
              </w:rPr>
              <w:t>Empleo asalariado generado</w:t>
            </w:r>
          </w:p>
        </w:tc>
        <w:tc>
          <w:tcPr>
            <w:tcW w:w="1241" w:type="dxa"/>
            <w:tcBorders>
              <w:bottom w:val="double" w:sz="4" w:space="0" w:color="auto"/>
            </w:tcBorders>
          </w:tcPr>
          <w:p w:rsidR="00000000" w:rsidRDefault="00000000">
            <w:pPr>
              <w:jc w:val="center"/>
              <w:rPr>
                <w:rFonts w:ascii="Arial" w:hAnsi="Arial"/>
                <w:b/>
                <w:snapToGrid w:val="0"/>
                <w:sz w:val="16"/>
                <w:lang w:eastAsia="es-ES"/>
              </w:rPr>
            </w:pPr>
            <w:r>
              <w:rPr>
                <w:rFonts w:ascii="Arial" w:hAnsi="Arial"/>
                <w:b/>
                <w:snapToGrid w:val="0"/>
                <w:sz w:val="16"/>
                <w:lang w:eastAsia="es-ES"/>
              </w:rPr>
              <w:t>Inversión en €</w:t>
            </w:r>
          </w:p>
        </w:tc>
      </w:tr>
      <w:tr w:rsidR="00000000">
        <w:tblPrEx>
          <w:tblCellMar>
            <w:top w:w="0" w:type="dxa"/>
            <w:bottom w:w="0" w:type="dxa"/>
          </w:tblCellMar>
        </w:tblPrEx>
        <w:trPr>
          <w:trHeight w:val="247"/>
          <w:jc w:val="center"/>
        </w:trPr>
        <w:tc>
          <w:tcPr>
            <w:tcW w:w="948" w:type="dxa"/>
          </w:tcPr>
          <w:p w:rsidR="00000000" w:rsidRDefault="00000000">
            <w:pPr>
              <w:jc w:val="center"/>
              <w:rPr>
                <w:rFonts w:ascii="Arial" w:hAnsi="Arial"/>
                <w:snapToGrid w:val="0"/>
                <w:color w:val="000000"/>
                <w:sz w:val="16"/>
                <w:lang w:eastAsia="es-ES"/>
              </w:rPr>
            </w:pPr>
          </w:p>
        </w:tc>
        <w:tc>
          <w:tcPr>
            <w:tcW w:w="1180" w:type="dxa"/>
          </w:tcPr>
          <w:p w:rsidR="00000000" w:rsidRDefault="00000000">
            <w:pPr>
              <w:jc w:val="center"/>
              <w:rPr>
                <w:rFonts w:ascii="Arial" w:hAnsi="Arial"/>
                <w:snapToGrid w:val="0"/>
                <w:color w:val="000000"/>
                <w:sz w:val="16"/>
                <w:lang w:eastAsia="es-ES"/>
              </w:rPr>
            </w:pPr>
          </w:p>
        </w:tc>
        <w:tc>
          <w:tcPr>
            <w:tcW w:w="1124" w:type="dxa"/>
          </w:tcPr>
          <w:p w:rsidR="00000000" w:rsidRDefault="00000000">
            <w:pPr>
              <w:jc w:val="center"/>
              <w:rPr>
                <w:rFonts w:ascii="Arial" w:hAnsi="Arial"/>
                <w:snapToGrid w:val="0"/>
                <w:color w:val="000000"/>
                <w:sz w:val="16"/>
                <w:lang w:eastAsia="es-ES"/>
              </w:rPr>
            </w:pPr>
          </w:p>
        </w:tc>
        <w:tc>
          <w:tcPr>
            <w:tcW w:w="998" w:type="dxa"/>
          </w:tcPr>
          <w:p w:rsidR="00000000" w:rsidRDefault="00000000">
            <w:pPr>
              <w:jc w:val="center"/>
              <w:rPr>
                <w:rFonts w:ascii="Arial" w:hAnsi="Arial"/>
                <w:snapToGrid w:val="0"/>
                <w:color w:val="000000"/>
                <w:sz w:val="16"/>
                <w:lang w:eastAsia="es-ES"/>
              </w:rPr>
            </w:pPr>
          </w:p>
        </w:tc>
        <w:tc>
          <w:tcPr>
            <w:tcW w:w="1067" w:type="dxa"/>
          </w:tcPr>
          <w:p w:rsidR="00000000" w:rsidRDefault="00000000">
            <w:pPr>
              <w:jc w:val="center"/>
              <w:rPr>
                <w:rFonts w:ascii="Arial" w:hAnsi="Arial"/>
                <w:snapToGrid w:val="0"/>
                <w:color w:val="000000"/>
                <w:sz w:val="16"/>
                <w:lang w:eastAsia="es-ES"/>
              </w:rPr>
            </w:pPr>
          </w:p>
        </w:tc>
        <w:tc>
          <w:tcPr>
            <w:tcW w:w="1241"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94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118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5328</w:t>
            </w:r>
          </w:p>
        </w:tc>
        <w:tc>
          <w:tcPr>
            <w:tcW w:w="112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6765</w:t>
            </w:r>
          </w:p>
        </w:tc>
        <w:tc>
          <w:tcPr>
            <w:tcW w:w="99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708</w:t>
            </w:r>
          </w:p>
        </w:tc>
        <w:tc>
          <w:tcPr>
            <w:tcW w:w="10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287</w:t>
            </w:r>
          </w:p>
        </w:tc>
        <w:tc>
          <w:tcPr>
            <w:tcW w:w="124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811.366,34</w:t>
            </w:r>
          </w:p>
        </w:tc>
      </w:tr>
      <w:tr w:rsidR="00000000">
        <w:tblPrEx>
          <w:tblCellMar>
            <w:top w:w="0" w:type="dxa"/>
            <w:bottom w:w="0" w:type="dxa"/>
          </w:tblCellMar>
        </w:tblPrEx>
        <w:trPr>
          <w:trHeight w:val="247"/>
          <w:jc w:val="center"/>
        </w:trPr>
        <w:tc>
          <w:tcPr>
            <w:tcW w:w="94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1180"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5531</w:t>
            </w:r>
          </w:p>
        </w:tc>
        <w:tc>
          <w:tcPr>
            <w:tcW w:w="112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6710</w:t>
            </w:r>
          </w:p>
        </w:tc>
        <w:tc>
          <w:tcPr>
            <w:tcW w:w="998"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872</w:t>
            </w:r>
          </w:p>
        </w:tc>
        <w:tc>
          <w:tcPr>
            <w:tcW w:w="1067"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315</w:t>
            </w:r>
          </w:p>
        </w:tc>
        <w:tc>
          <w:tcPr>
            <w:tcW w:w="1241"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1.014.718,79</w:t>
            </w:r>
          </w:p>
        </w:tc>
      </w:tr>
    </w:tbl>
    <w:p w:rsidR="00000000" w:rsidRDefault="00000000">
      <w:pPr>
        <w:ind w:left="2583"/>
        <w:jc w:val="both"/>
        <w:rPr>
          <w:rFonts w:ascii="Arial" w:hAnsi="Arial"/>
          <w:sz w:val="16"/>
        </w:rPr>
      </w:pPr>
      <w:r>
        <w:rPr>
          <w:rFonts w:ascii="Arial" w:hAnsi="Arial"/>
          <w:sz w:val="16"/>
        </w:rPr>
        <w:t>Fuente: Instituto de la Mujer</w:t>
      </w:r>
    </w:p>
    <w:p w:rsidR="00000000" w:rsidRDefault="00000000">
      <w:pPr>
        <w:jc w:val="both"/>
        <w:rPr>
          <w:rFonts w:ascii="Arial" w:hAnsi="Arial"/>
          <w:b/>
        </w:rPr>
      </w:pPr>
    </w:p>
    <w:p w:rsidR="00000000" w:rsidRDefault="00000000">
      <w:pPr>
        <w:jc w:val="both"/>
        <w:rPr>
          <w:rFonts w:ascii="Arial" w:hAnsi="Arial"/>
        </w:rPr>
      </w:pPr>
      <w:r>
        <w:rPr>
          <w:rFonts w:ascii="Arial" w:hAnsi="Arial"/>
        </w:rPr>
        <w:t>También dentro del marco del programa se han realizado varias Jornadas, una de ellas formativa orientada a valorar y reflexionar sobre lo que significa ser empresaria y la innovación en las Pymes, y otra técnica, sobre temas de actualidad que afectan a las empresarias.</w:t>
      </w:r>
    </w:p>
    <w:p w:rsidR="00000000" w:rsidRDefault="00000000">
      <w:pPr>
        <w:jc w:val="both"/>
        <w:rPr>
          <w:rFonts w:ascii="Arial" w:hAnsi="Arial"/>
          <w:b/>
        </w:rPr>
      </w:pPr>
    </w:p>
    <w:p w:rsidR="00000000" w:rsidRDefault="00000000">
      <w:pPr>
        <w:pStyle w:val="BodyText"/>
        <w:rPr>
          <w:sz w:val="20"/>
        </w:rPr>
      </w:pPr>
      <w:r>
        <w:rPr>
          <w:sz w:val="20"/>
        </w:rPr>
        <w:t xml:space="preserve">En relación con la </w:t>
      </w:r>
      <w:r>
        <w:rPr>
          <w:b/>
          <w:sz w:val="20"/>
        </w:rPr>
        <w:t>formación en gestión empresarial</w:t>
      </w:r>
      <w:r>
        <w:rPr>
          <w:sz w:val="20"/>
        </w:rPr>
        <w:t>, el Instituto de la Mujer, en colaboración con otras in</w:t>
      </w:r>
      <w:r>
        <w:rPr>
          <w:sz w:val="20"/>
        </w:rPr>
        <w:t>s</w:t>
      </w:r>
      <w:r>
        <w:rPr>
          <w:sz w:val="20"/>
        </w:rPr>
        <w:t>tituciones, lleva a cabo cursos dirigidos a emprendedoras que, contando con un proyecto, quieran realizar un plan de mejora en sus empresas y a promover el espíritu empresarial.</w:t>
      </w:r>
    </w:p>
    <w:p w:rsidR="00000000" w:rsidRDefault="00000000">
      <w:pPr>
        <w:pStyle w:val="BodyText"/>
        <w:rPr>
          <w:b/>
          <w:sz w:val="20"/>
        </w:rPr>
      </w:pPr>
    </w:p>
    <w:p w:rsidR="00000000" w:rsidRDefault="00000000">
      <w:pPr>
        <w:jc w:val="both"/>
        <w:rPr>
          <w:rFonts w:ascii="Arial" w:hAnsi="Arial"/>
        </w:rPr>
      </w:pPr>
      <w:r>
        <w:rPr>
          <w:rFonts w:ascii="Arial" w:hAnsi="Arial"/>
        </w:rPr>
        <w:t>De este modo, a través de un Convenio de colaboración del Instituto de la Mujer con la Fundación del Instituto Cameral para la Creación y Desarrollo de la Empresa (INCYDE) se presta asistencia técnica a las mujeres empresarias a través de tutorías individualizadas.</w:t>
      </w:r>
    </w:p>
    <w:p w:rsidR="00000000" w:rsidRDefault="00000000">
      <w:pPr>
        <w:jc w:val="both"/>
        <w:rPr>
          <w:rFonts w:ascii="Arial" w:hAnsi="Arial"/>
        </w:rPr>
      </w:pPr>
    </w:p>
    <w:p w:rsidR="00000000" w:rsidRDefault="00000000">
      <w:pPr>
        <w:jc w:val="both"/>
        <w:rPr>
          <w:rFonts w:ascii="Arial" w:hAnsi="Arial"/>
        </w:rPr>
      </w:pPr>
      <w:r>
        <w:rPr>
          <w:rFonts w:ascii="Arial" w:hAnsi="Arial"/>
        </w:rPr>
        <w:t>Los resultados son:</w:t>
      </w:r>
    </w:p>
    <w:p w:rsidR="00000000" w:rsidRDefault="00000000">
      <w:pPr>
        <w:jc w:val="both"/>
        <w:rPr>
          <w:rFonts w:ascii="Arial" w:hAnsi="Arial"/>
          <w:b/>
          <w:i/>
        </w:rPr>
      </w:pPr>
    </w:p>
    <w:tbl>
      <w:tblPr>
        <w:tblW w:w="0" w:type="auto"/>
        <w:jc w:val="center"/>
        <w:tblLayout w:type="fixed"/>
        <w:tblCellMar>
          <w:left w:w="30" w:type="dxa"/>
          <w:right w:w="30" w:type="dxa"/>
        </w:tblCellMar>
        <w:tblLook w:val="0000" w:firstRow="0" w:lastRow="0" w:firstColumn="0" w:lastColumn="0" w:noHBand="0" w:noVBand="0"/>
      </w:tblPr>
      <w:tblGrid>
        <w:gridCol w:w="992"/>
        <w:gridCol w:w="993"/>
        <w:gridCol w:w="1559"/>
        <w:gridCol w:w="2126"/>
        <w:gridCol w:w="1843"/>
      </w:tblGrid>
      <w:tr w:rsidR="00000000">
        <w:tblPrEx>
          <w:tblCellMar>
            <w:top w:w="0" w:type="dxa"/>
            <w:bottom w:w="0" w:type="dxa"/>
          </w:tblCellMar>
        </w:tblPrEx>
        <w:trPr>
          <w:trHeight w:val="247"/>
          <w:jc w:val="center"/>
        </w:trPr>
        <w:tc>
          <w:tcPr>
            <w:tcW w:w="992" w:type="dxa"/>
          </w:tcPr>
          <w:p w:rsidR="00000000" w:rsidRDefault="00000000">
            <w:pPr>
              <w:jc w:val="center"/>
              <w:rPr>
                <w:rFonts w:ascii="Arial" w:hAnsi="Arial"/>
                <w:b/>
                <w:snapToGrid w:val="0"/>
                <w:color w:val="000000"/>
                <w:sz w:val="16"/>
                <w:lang w:eastAsia="es-ES"/>
              </w:rPr>
            </w:pPr>
          </w:p>
        </w:tc>
        <w:tc>
          <w:tcPr>
            <w:tcW w:w="99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Cursos</w:t>
            </w:r>
          </w:p>
        </w:tc>
        <w:tc>
          <w:tcPr>
            <w:tcW w:w="1559"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destinatarias</w:t>
            </w:r>
          </w:p>
        </w:tc>
        <w:tc>
          <w:tcPr>
            <w:tcW w:w="2126"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proyectos de empresa</w:t>
            </w: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Importe en €uros</w:t>
            </w:r>
          </w:p>
        </w:tc>
      </w:tr>
      <w:tr w:rsidR="00000000">
        <w:tblPrEx>
          <w:tblCellMar>
            <w:top w:w="0" w:type="dxa"/>
            <w:bottom w:w="0" w:type="dxa"/>
          </w:tblCellMar>
        </w:tblPrEx>
        <w:trPr>
          <w:trHeight w:val="247"/>
          <w:jc w:val="center"/>
        </w:trPr>
        <w:tc>
          <w:tcPr>
            <w:tcW w:w="992" w:type="dxa"/>
          </w:tcPr>
          <w:p w:rsidR="00000000" w:rsidRDefault="00000000">
            <w:pPr>
              <w:jc w:val="center"/>
              <w:rPr>
                <w:rFonts w:ascii="Arial" w:hAnsi="Arial"/>
                <w:snapToGrid w:val="0"/>
                <w:color w:val="000000"/>
                <w:sz w:val="16"/>
                <w:lang w:eastAsia="es-ES"/>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993" w:type="dxa"/>
          </w:tcPr>
          <w:p w:rsidR="00000000" w:rsidRDefault="00000000">
            <w:pPr>
              <w:jc w:val="center"/>
              <w:rPr>
                <w:rFonts w:ascii="Arial" w:hAnsi="Arial"/>
                <w:snapToGrid w:val="0"/>
                <w:color w:val="000000"/>
                <w:sz w:val="16"/>
                <w:lang w:eastAsia="es-ES"/>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w:t>
            </w: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w:t>
            </w:r>
          </w:p>
        </w:tc>
        <w:tc>
          <w:tcPr>
            <w:tcW w:w="1559" w:type="dxa"/>
          </w:tcPr>
          <w:p w:rsidR="00000000" w:rsidRDefault="00000000">
            <w:pPr>
              <w:jc w:val="center"/>
              <w:rPr>
                <w:rFonts w:ascii="Arial" w:hAnsi="Arial"/>
                <w:snapToGrid w:val="0"/>
                <w:color w:val="000000"/>
                <w:sz w:val="16"/>
                <w:lang w:eastAsia="es-ES"/>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w:t>
            </w: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93</w:t>
            </w:r>
          </w:p>
        </w:tc>
        <w:tc>
          <w:tcPr>
            <w:tcW w:w="2126" w:type="dxa"/>
          </w:tcPr>
          <w:p w:rsidR="00000000" w:rsidRDefault="00000000">
            <w:pPr>
              <w:jc w:val="center"/>
              <w:rPr>
                <w:rFonts w:ascii="Arial" w:hAnsi="Arial"/>
                <w:snapToGrid w:val="0"/>
                <w:color w:val="000000"/>
                <w:sz w:val="16"/>
                <w:lang w:eastAsia="es-ES"/>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w:t>
            </w: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79</w:t>
            </w:r>
          </w:p>
        </w:tc>
        <w:tc>
          <w:tcPr>
            <w:tcW w:w="1843" w:type="dxa"/>
          </w:tcPr>
          <w:p w:rsidR="00000000" w:rsidRDefault="00000000">
            <w:pPr>
              <w:jc w:val="center"/>
              <w:rPr>
                <w:rFonts w:ascii="Arial" w:hAnsi="Arial"/>
                <w:snapToGrid w:val="0"/>
                <w:color w:val="000000"/>
                <w:sz w:val="16"/>
                <w:lang w:eastAsia="es-ES"/>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150.353,03</w:t>
            </w: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192.323,87</w:t>
            </w:r>
          </w:p>
        </w:tc>
      </w:tr>
      <w:tr w:rsidR="00000000">
        <w:tblPrEx>
          <w:tblCellMar>
            <w:top w:w="0" w:type="dxa"/>
            <w:bottom w:w="0" w:type="dxa"/>
          </w:tblCellMar>
        </w:tblPrEx>
        <w:trPr>
          <w:trHeight w:val="247"/>
          <w:jc w:val="center"/>
        </w:trPr>
        <w:tc>
          <w:tcPr>
            <w:tcW w:w="9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99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w:t>
            </w:r>
          </w:p>
        </w:tc>
        <w:tc>
          <w:tcPr>
            <w:tcW w:w="1559"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171</w:t>
            </w:r>
          </w:p>
        </w:tc>
        <w:tc>
          <w:tcPr>
            <w:tcW w:w="2126"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138,00</w:t>
            </w:r>
          </w:p>
        </w:tc>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359.995,25</w:t>
            </w:r>
          </w:p>
        </w:tc>
      </w:tr>
    </w:tbl>
    <w:p w:rsidR="00000000" w:rsidRDefault="00000000">
      <w:pPr>
        <w:ind w:left="2160"/>
        <w:jc w:val="both"/>
        <w:rPr>
          <w:rFonts w:ascii="Arial" w:hAnsi="Arial"/>
          <w:sz w:val="16"/>
        </w:rPr>
      </w:pPr>
      <w:r>
        <w:rPr>
          <w:rFonts w:ascii="Arial" w:hAnsi="Arial"/>
          <w:sz w:val="16"/>
        </w:rPr>
        <w:t>Fuente: Instituto de la Mujer</w:t>
      </w:r>
    </w:p>
    <w:p w:rsidR="00000000" w:rsidRDefault="00000000">
      <w:pPr>
        <w:jc w:val="both"/>
        <w:rPr>
          <w:rFonts w:ascii="Arial" w:hAnsi="Arial"/>
        </w:rPr>
      </w:pPr>
      <w:r>
        <w:rPr>
          <w:rFonts w:ascii="Arial" w:hAnsi="Arial"/>
        </w:rPr>
        <w:t xml:space="preserve">Asimismo, el Instituto de la Mujer y la Fundación Escuela de Organización Industrial (EOI), está realizan un programa dirigido a mujeres que, bien tienen un proyecto de empresa y quieren adquirir formación para el desarrollo del mismo, o ya han creado su propia empresa y necesitan ampliar la formación para su gestión.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este Programa han participado un total de 843 mujeres en 37 cursos, y se han invertido 901.518,16 euros. </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843"/>
        <w:gridCol w:w="2126"/>
        <w:gridCol w:w="1843"/>
      </w:tblGrid>
      <w:tr w:rsidR="00000000">
        <w:tblPrEx>
          <w:tblCellMar>
            <w:top w:w="0" w:type="dxa"/>
            <w:bottom w:w="0" w:type="dxa"/>
          </w:tblCellMar>
        </w:tblPrEx>
        <w:trPr>
          <w:trHeight w:val="247"/>
          <w:jc w:val="center"/>
        </w:trPr>
        <w:tc>
          <w:tcPr>
            <w:tcW w:w="1701" w:type="dxa"/>
          </w:tcPr>
          <w:p w:rsidR="00000000" w:rsidRDefault="00000000">
            <w:pPr>
              <w:jc w:val="center"/>
              <w:rPr>
                <w:rFonts w:ascii="Arial" w:hAnsi="Arial"/>
                <w:snapToGrid w:val="0"/>
                <w:color w:val="000000"/>
                <w:sz w:val="16"/>
                <w:lang w:eastAsia="es-ES"/>
              </w:rPr>
            </w:pP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Nº de Cursos</w:t>
            </w:r>
          </w:p>
        </w:tc>
        <w:tc>
          <w:tcPr>
            <w:tcW w:w="2126"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Participantes</w:t>
            </w: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Inversión</w:t>
            </w:r>
          </w:p>
        </w:tc>
      </w:tr>
      <w:tr w:rsidR="00000000">
        <w:tblPrEx>
          <w:tblCellMar>
            <w:top w:w="0" w:type="dxa"/>
            <w:bottom w:w="0" w:type="dxa"/>
          </w:tblCellMar>
        </w:tblPrEx>
        <w:trPr>
          <w:trHeight w:val="247"/>
          <w:jc w:val="center"/>
        </w:trPr>
        <w:tc>
          <w:tcPr>
            <w:tcW w:w="170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w:t>
            </w:r>
          </w:p>
        </w:tc>
        <w:tc>
          <w:tcPr>
            <w:tcW w:w="212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250</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300.506,05</w:t>
            </w:r>
          </w:p>
        </w:tc>
      </w:tr>
      <w:tr w:rsidR="00000000">
        <w:tblPrEx>
          <w:tblCellMar>
            <w:top w:w="0" w:type="dxa"/>
            <w:bottom w:w="0" w:type="dxa"/>
          </w:tblCellMar>
        </w:tblPrEx>
        <w:trPr>
          <w:trHeight w:val="247"/>
          <w:jc w:val="center"/>
        </w:trPr>
        <w:tc>
          <w:tcPr>
            <w:tcW w:w="170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w:t>
            </w:r>
          </w:p>
        </w:tc>
        <w:tc>
          <w:tcPr>
            <w:tcW w:w="212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250</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300.506,05</w:t>
            </w:r>
          </w:p>
        </w:tc>
      </w:tr>
      <w:tr w:rsidR="00000000">
        <w:tblPrEx>
          <w:tblCellMar>
            <w:top w:w="0" w:type="dxa"/>
            <w:bottom w:w="0" w:type="dxa"/>
          </w:tblCellMar>
        </w:tblPrEx>
        <w:trPr>
          <w:trHeight w:val="247"/>
          <w:jc w:val="center"/>
        </w:trPr>
        <w:tc>
          <w:tcPr>
            <w:tcW w:w="1701"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w:t>
            </w:r>
          </w:p>
        </w:tc>
        <w:tc>
          <w:tcPr>
            <w:tcW w:w="2126"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343</w:t>
            </w:r>
          </w:p>
        </w:tc>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300.506,05</w:t>
            </w:r>
          </w:p>
        </w:tc>
      </w:tr>
    </w:tbl>
    <w:p w:rsidR="00000000" w:rsidRDefault="00000000">
      <w:pPr>
        <w:ind w:left="1170"/>
        <w:jc w:val="both"/>
        <w:rPr>
          <w:rFonts w:ascii="Arial" w:hAnsi="Arial"/>
          <w:sz w:val="16"/>
        </w:rPr>
      </w:pPr>
      <w:r>
        <w:rPr>
          <w:rFonts w:ascii="Arial" w:hAnsi="Arial"/>
          <w:sz w:val="16"/>
        </w:rPr>
        <w:t>Fuente: Instituto de la Mujer</w:t>
      </w:r>
    </w:p>
    <w:p w:rsidR="00000000" w:rsidRDefault="00000000">
      <w:pPr>
        <w:pStyle w:val="BodyText"/>
        <w:rPr>
          <w:b/>
          <w:sz w:val="20"/>
        </w:rPr>
      </w:pPr>
    </w:p>
    <w:p w:rsidR="00000000" w:rsidRDefault="00000000">
      <w:pPr>
        <w:pStyle w:val="BodyText"/>
        <w:tabs>
          <w:tab w:val="left" w:pos="0"/>
        </w:tabs>
        <w:rPr>
          <w:sz w:val="20"/>
        </w:rPr>
      </w:pPr>
    </w:p>
    <w:p w:rsidR="00000000" w:rsidRDefault="00000000">
      <w:pPr>
        <w:pStyle w:val="BodyText3"/>
        <w:ind w:right="0"/>
        <w:rPr>
          <w:sz w:val="20"/>
        </w:rPr>
      </w:pPr>
      <w:r>
        <w:rPr>
          <w:sz w:val="20"/>
        </w:rPr>
        <w:t xml:space="preserve">Dadas las mayores dificultades con las que las mujeres se encuentran para obtener </w:t>
      </w:r>
      <w:r>
        <w:rPr>
          <w:b/>
          <w:sz w:val="20"/>
        </w:rPr>
        <w:t>financiación para el ejercicio de una actividad empresarial</w:t>
      </w:r>
      <w:r>
        <w:rPr>
          <w:sz w:val="20"/>
        </w:rPr>
        <w:t>, El Instituto de la Mujer apoya económicamente iniciativas empres</w:t>
      </w:r>
      <w:r>
        <w:rPr>
          <w:sz w:val="20"/>
        </w:rPr>
        <w:t>a</w:t>
      </w:r>
      <w:r>
        <w:rPr>
          <w:sz w:val="20"/>
        </w:rPr>
        <w:t>riales de las mujeres a través de:</w:t>
      </w:r>
    </w:p>
    <w:p w:rsidR="00000000" w:rsidRDefault="00000000">
      <w:pPr>
        <w:pStyle w:val="BodyText3"/>
        <w:ind w:right="0"/>
        <w:rPr>
          <w:sz w:val="20"/>
        </w:rPr>
      </w:pPr>
    </w:p>
    <w:p w:rsidR="00000000" w:rsidRDefault="00000000">
      <w:pPr>
        <w:jc w:val="both"/>
        <w:rPr>
          <w:rFonts w:ascii="Arial" w:hAnsi="Arial"/>
        </w:rPr>
      </w:pPr>
      <w:r>
        <w:rPr>
          <w:rFonts w:ascii="Arial" w:hAnsi="Arial"/>
          <w:b/>
        </w:rPr>
        <w:t>Subvenciones</w:t>
      </w:r>
      <w:r>
        <w:rPr>
          <w:rFonts w:ascii="Arial" w:hAnsi="Arial"/>
        </w:rPr>
        <w:t xml:space="preserve"> del régimen general </w:t>
      </w:r>
      <w:r>
        <w:rPr>
          <w:rFonts w:ascii="Arial" w:hAnsi="Arial"/>
          <w:b/>
        </w:rPr>
        <w:t>para la realización de programas</w:t>
      </w:r>
      <w:r>
        <w:rPr>
          <w:rFonts w:ascii="Arial" w:hAnsi="Arial"/>
        </w:rPr>
        <w:t>. Anualmente concede subvenciones a entidades y organizaciones sin ánimo de lucro, legalmente constituidas para la realización de diferentes proyectos dirigidos a fomentar el autoempleo y la creación de empresas entre las mujeres. En este sentido, entre 1999 y el 2001 se ha destinado un total de 184.811,22 euros para la realización de 14 proyectos de asociaciones.</w:t>
      </w:r>
    </w:p>
    <w:p w:rsidR="00000000" w:rsidRDefault="00000000">
      <w:pPr>
        <w:jc w:val="both"/>
        <w:rPr>
          <w:rFonts w:ascii="Arial" w:hAnsi="Arial"/>
        </w:rPr>
      </w:pPr>
    </w:p>
    <w:p w:rsidR="00000000" w:rsidRDefault="00000000">
      <w:pPr>
        <w:jc w:val="both"/>
        <w:rPr>
          <w:rFonts w:ascii="Arial" w:hAnsi="Arial"/>
        </w:rPr>
      </w:pPr>
      <w:r>
        <w:rPr>
          <w:rFonts w:ascii="Arial" w:hAnsi="Arial"/>
          <w:b/>
        </w:rPr>
        <w:t>Ayudas al empleo “Emprender en femenino</w:t>
      </w:r>
      <w:r>
        <w:rPr>
          <w:rFonts w:ascii="Arial" w:hAnsi="Arial"/>
        </w:rPr>
        <w:t xml:space="preserve">”, Con el fin de fomentar la inserción laboral por cuenta propia de las mujeres y estimular su actividad emprendedora, el Instituto de la Mujer ha convocado en estos años la IV, V y VI edición de estas ayudas. </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Estas subvenciones están dirigidas a mujeres que hayan creado su propia empresa en el ámbito de los nuevos yacimientos de empleo, o aquellas que realicen una actividad en ocupaciones dónde la mujer está subrepresentada. La ayuda económica puede ser de hasta </w:t>
      </w:r>
      <w:r>
        <w:rPr>
          <w:rFonts w:ascii="Arial" w:hAnsi="Arial"/>
          <w:snapToGrid w:val="0"/>
          <w:color w:val="000000"/>
          <w:lang w:eastAsia="es-ES"/>
        </w:rPr>
        <w:t>6.010,12 euros.</w:t>
      </w:r>
      <w:r>
        <w:rPr>
          <w:rFonts w:ascii="Arial" w:hAnsi="Arial"/>
        </w:rPr>
        <w:t xml:space="preserve"> </w:t>
      </w:r>
    </w:p>
    <w:p w:rsidR="00000000" w:rsidRDefault="00000000">
      <w:pPr>
        <w:jc w:val="both"/>
        <w:rPr>
          <w:rFonts w:ascii="Arial" w:hAnsi="Arial"/>
        </w:rPr>
      </w:pPr>
    </w:p>
    <w:p w:rsidR="00000000" w:rsidRDefault="00000000">
      <w:pPr>
        <w:jc w:val="both"/>
        <w:rPr>
          <w:rFonts w:ascii="Arial" w:hAnsi="Arial"/>
        </w:rPr>
      </w:pPr>
      <w:r>
        <w:rPr>
          <w:rFonts w:ascii="Arial" w:hAnsi="Arial"/>
        </w:rPr>
        <w:t>El siguiente cuadro muestra que en total 355 empresarias se han beneficiado de un total de 1.636.889,48 euros.</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927"/>
        <w:gridCol w:w="1190"/>
        <w:gridCol w:w="1843"/>
        <w:gridCol w:w="1662"/>
      </w:tblGrid>
      <w:tr w:rsidR="00000000">
        <w:tblPrEx>
          <w:tblCellMar>
            <w:top w:w="0" w:type="dxa"/>
            <w:bottom w:w="0" w:type="dxa"/>
          </w:tblCellMar>
        </w:tblPrEx>
        <w:trPr>
          <w:trHeight w:val="247"/>
          <w:jc w:val="center"/>
        </w:trPr>
        <w:tc>
          <w:tcPr>
            <w:tcW w:w="927" w:type="dxa"/>
            <w:tcBorders>
              <w:bottom w:val="double" w:sz="4" w:space="0" w:color="auto"/>
            </w:tcBorders>
          </w:tcPr>
          <w:p w:rsidR="00000000" w:rsidRDefault="00000000">
            <w:pPr>
              <w:jc w:val="center"/>
              <w:rPr>
                <w:rFonts w:ascii="Arial" w:hAnsi="Arial"/>
                <w:snapToGrid w:val="0"/>
                <w:color w:val="000000"/>
                <w:sz w:val="16"/>
                <w:lang w:eastAsia="es-ES"/>
              </w:rPr>
            </w:pPr>
          </w:p>
        </w:tc>
        <w:tc>
          <w:tcPr>
            <w:tcW w:w="1190" w:type="dxa"/>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Nº solicitudes recibidas</w:t>
            </w:r>
          </w:p>
        </w:tc>
        <w:tc>
          <w:tcPr>
            <w:tcW w:w="1843" w:type="dxa"/>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Nº ayudas concedidas</w:t>
            </w:r>
          </w:p>
        </w:tc>
        <w:tc>
          <w:tcPr>
            <w:tcW w:w="1662" w:type="dxa"/>
            <w:tcBorders>
              <w:bottom w:val="doub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Importe en €</w:t>
            </w:r>
          </w:p>
        </w:tc>
      </w:tr>
      <w:tr w:rsidR="00000000">
        <w:tblPrEx>
          <w:tblCellMar>
            <w:top w:w="0" w:type="dxa"/>
            <w:bottom w:w="0" w:type="dxa"/>
          </w:tblCellMar>
        </w:tblPrEx>
        <w:trPr>
          <w:trHeight w:val="247"/>
          <w:jc w:val="center"/>
        </w:trPr>
        <w:tc>
          <w:tcPr>
            <w:tcW w:w="92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119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626</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w:t>
            </w:r>
          </w:p>
        </w:tc>
        <w:tc>
          <w:tcPr>
            <w:tcW w:w="166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450.759,08</w:t>
            </w:r>
          </w:p>
        </w:tc>
      </w:tr>
      <w:tr w:rsidR="00000000">
        <w:tblPrEx>
          <w:tblCellMar>
            <w:top w:w="0" w:type="dxa"/>
            <w:bottom w:w="0" w:type="dxa"/>
          </w:tblCellMar>
        </w:tblPrEx>
        <w:trPr>
          <w:trHeight w:val="247"/>
          <w:jc w:val="center"/>
        </w:trPr>
        <w:tc>
          <w:tcPr>
            <w:tcW w:w="92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119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827</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131</w:t>
            </w:r>
          </w:p>
        </w:tc>
        <w:tc>
          <w:tcPr>
            <w:tcW w:w="166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600.642,30</w:t>
            </w:r>
          </w:p>
        </w:tc>
      </w:tr>
      <w:tr w:rsidR="00000000">
        <w:tblPrEx>
          <w:tblCellMar>
            <w:top w:w="0" w:type="dxa"/>
            <w:bottom w:w="0" w:type="dxa"/>
          </w:tblCellMar>
        </w:tblPrEx>
        <w:trPr>
          <w:trHeight w:val="247"/>
          <w:jc w:val="center"/>
        </w:trPr>
        <w:tc>
          <w:tcPr>
            <w:tcW w:w="927" w:type="dxa"/>
            <w:tcBorders>
              <w:bottom w:val="single" w:sz="4" w:space="0" w:color="auto"/>
            </w:tcBorders>
          </w:tcPr>
          <w:p w:rsidR="00000000" w:rsidRDefault="00000000">
            <w:pPr>
              <w:tabs>
                <w:tab w:val="left" w:pos="867"/>
              </w:tabs>
              <w:jc w:val="center"/>
              <w:rPr>
                <w:rFonts w:ascii="Arial" w:hAnsi="Arial"/>
                <w:snapToGrid w:val="0"/>
                <w:color w:val="000000"/>
                <w:sz w:val="16"/>
                <w:lang w:eastAsia="es-ES"/>
              </w:rPr>
            </w:pPr>
            <w:r>
              <w:rPr>
                <w:rFonts w:ascii="Arial" w:hAnsi="Arial"/>
                <w:snapToGrid w:val="0"/>
                <w:color w:val="000000"/>
                <w:sz w:val="16"/>
                <w:lang w:eastAsia="es-ES"/>
              </w:rPr>
              <w:t>2001</w:t>
            </w:r>
          </w:p>
        </w:tc>
        <w:tc>
          <w:tcPr>
            <w:tcW w:w="1190"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949</w:t>
            </w:r>
          </w:p>
        </w:tc>
        <w:tc>
          <w:tcPr>
            <w:tcW w:w="1843"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w:t>
            </w:r>
          </w:p>
        </w:tc>
        <w:tc>
          <w:tcPr>
            <w:tcW w:w="1662"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585.488,10</w:t>
            </w:r>
          </w:p>
        </w:tc>
      </w:tr>
    </w:tbl>
    <w:p w:rsidR="00000000" w:rsidRDefault="00000000">
      <w:pPr>
        <w:ind w:left="2124"/>
        <w:jc w:val="both"/>
        <w:rPr>
          <w:rFonts w:ascii="Arial" w:hAnsi="Arial"/>
          <w:sz w:val="16"/>
        </w:rPr>
      </w:pPr>
      <w:r>
        <w:rPr>
          <w:rFonts w:ascii="Arial" w:hAnsi="Arial"/>
          <w:sz w:val="16"/>
        </w:rPr>
        <w:t>Fuente: Instituto de la Mujer</w:t>
      </w:r>
    </w:p>
    <w:p w:rsidR="00000000" w:rsidRDefault="00000000">
      <w:pPr>
        <w:jc w:val="both"/>
        <w:rPr>
          <w:rFonts w:ascii="Arial" w:hAnsi="Arial"/>
          <w:b/>
        </w:rPr>
      </w:pPr>
    </w:p>
    <w:p w:rsidR="00000000" w:rsidRDefault="00000000">
      <w:pPr>
        <w:jc w:val="both"/>
        <w:rPr>
          <w:rFonts w:ascii="Arial" w:hAnsi="Arial"/>
          <w:b/>
        </w:rPr>
      </w:pPr>
      <w:r>
        <w:rPr>
          <w:rFonts w:ascii="Arial" w:hAnsi="Arial"/>
        </w:rPr>
        <w:t xml:space="preserve">Durante el año 2001 el Instituto de la Mujer ha puesto en marcha con las entidades La Caixa, la Caja de Ahorros y Pensiones de Barcelona, la Fundación La Caixa, la Fundación Internacional de la Mujer Emprendedora (FIDEM) y la Dirección General de Política para las Pequeñas y Medianas Empresas del Ministerio de Economía, la concesión de </w:t>
      </w:r>
      <w:r>
        <w:rPr>
          <w:rFonts w:ascii="Arial" w:hAnsi="Arial"/>
          <w:b/>
        </w:rPr>
        <w:t>microcréditos</w:t>
      </w:r>
      <w:r>
        <w:rPr>
          <w:rFonts w:ascii="Arial" w:hAnsi="Arial"/>
        </w:rPr>
        <w:t xml:space="preserve"> sin necesidad de que las mujeres tengan que presentar aval. A través de este programa se ha establecido una línea de crédito de </w:t>
      </w:r>
      <w:r>
        <w:rPr>
          <w:rFonts w:ascii="Arial" w:hAnsi="Arial"/>
          <w:snapToGrid w:val="0"/>
          <w:color w:val="000000"/>
          <w:lang w:eastAsia="es-ES"/>
        </w:rPr>
        <w:t>6.010.121,04 euros</w:t>
      </w:r>
      <w:r>
        <w:rPr>
          <w:rFonts w:ascii="Arial" w:hAnsi="Arial"/>
        </w:rPr>
        <w:t xml:space="preserve">, siendo el importe máximo de cada crédito de </w:t>
      </w:r>
      <w:r>
        <w:rPr>
          <w:rFonts w:ascii="Arial" w:hAnsi="Arial"/>
          <w:snapToGrid w:val="0"/>
          <w:color w:val="000000"/>
          <w:lang w:eastAsia="es-ES"/>
        </w:rPr>
        <w:t>12.020,24 euros, y fijándose el tipo de interés en el 5% fijo de toda la operación.</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Se dirige a mujeres que inicien su actividad empresarial o la hayan iniciado en un período inferior a un año, o aquellas mujeres que presenten un plan de empresa según el modelo establecido y un certificado de validación emitido por el FIDEM. Como resultado, en el año 2001 se han otorgado </w:t>
      </w:r>
      <w:r>
        <w:rPr>
          <w:rFonts w:ascii="Arial" w:hAnsi="Arial"/>
          <w:snapToGrid w:val="0"/>
          <w:color w:val="000000"/>
          <w:lang w:eastAsia="es-ES"/>
        </w:rPr>
        <w:t>90.151,82 euros a 32 mujeres emprendedoras o empresarias.</w:t>
      </w:r>
      <w:r>
        <w:rPr>
          <w:rFonts w:ascii="Arial" w:hAnsi="Arial"/>
        </w:rPr>
        <w:t xml:space="preserve">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Durante los años 1999 y 2000, el Ministerio de Trabajo y Asuntos Sociales firmó un Convenio de colaboración con el Banco Santander Central Hispanoamericano, S.A., para la concertación de </w:t>
      </w:r>
      <w:r>
        <w:rPr>
          <w:rFonts w:ascii="Arial" w:hAnsi="Arial"/>
          <w:b/>
        </w:rPr>
        <w:t>créditos a proyectos empresariales de mujeres</w:t>
      </w:r>
      <w:r>
        <w:rPr>
          <w:rFonts w:ascii="Arial" w:hAnsi="Arial"/>
        </w:rPr>
        <w:t>.</w:t>
      </w:r>
    </w:p>
    <w:p w:rsidR="00000000" w:rsidRDefault="00000000">
      <w:pPr>
        <w:jc w:val="both"/>
        <w:rPr>
          <w:rFonts w:ascii="Arial" w:hAnsi="Arial"/>
        </w:rPr>
      </w:pPr>
    </w:p>
    <w:p w:rsidR="00000000" w:rsidRDefault="00000000">
      <w:pPr>
        <w:pStyle w:val="BodyTextIndent3"/>
        <w:suppressAutoHyphens/>
        <w:ind w:left="0"/>
        <w:jc w:val="both"/>
        <w:rPr>
          <w:sz w:val="20"/>
        </w:rPr>
      </w:pPr>
      <w:r>
        <w:rPr>
          <w:sz w:val="20"/>
        </w:rPr>
        <w:t xml:space="preserve">El importe del crédito podía cubrir hasta el 70 % de la inversión prevista. Para informar de estas ventajas financieras, entre 1999 y el año 2000 se editaron 8.200 folletos y durante el 2000 y 2001 se concedieron 98 préstamos y 25 créditos, por un importe total de </w:t>
      </w:r>
      <w:r>
        <w:rPr>
          <w:snapToGrid w:val="0"/>
          <w:color w:val="000000"/>
          <w:sz w:val="20"/>
          <w:lang w:val="es-ES" w:eastAsia="es-ES"/>
        </w:rPr>
        <w:t>2.471.090,49 euros.</w:t>
      </w:r>
    </w:p>
    <w:p w:rsidR="00000000" w:rsidRDefault="00000000">
      <w:pPr>
        <w:pStyle w:val="BodyTextIndent3"/>
        <w:suppressAutoHyphens/>
        <w:ind w:left="0"/>
        <w:jc w:val="both"/>
        <w:rPr>
          <w:sz w:val="20"/>
        </w:rPr>
      </w:pPr>
    </w:p>
    <w:p w:rsidR="00000000" w:rsidRDefault="00000000">
      <w:pPr>
        <w:pStyle w:val="BodyTextIndent3"/>
        <w:suppressAutoHyphens/>
        <w:ind w:left="0"/>
        <w:jc w:val="both"/>
        <w:rPr>
          <w:sz w:val="20"/>
        </w:rPr>
      </w:pPr>
      <w:r>
        <w:rPr>
          <w:sz w:val="20"/>
        </w:rPr>
        <w:t>Por otra parte, el Convenio creó, en el año 2000, un servicio denominado EURO, a través del cual el Banco facilitó asesoramiento en relación con el proceso de adaptación así como asesoramiento financiero para la evaluación y análisis de los proyectos de inversión.</w:t>
      </w:r>
    </w:p>
    <w:p w:rsidR="00000000" w:rsidRDefault="00000000">
      <w:pPr>
        <w:pStyle w:val="BodyTextIndent3"/>
        <w:suppressAutoHyphens/>
        <w:ind w:left="0"/>
        <w:jc w:val="both"/>
        <w:rPr>
          <w:sz w:val="20"/>
        </w:rPr>
      </w:pPr>
    </w:p>
    <w:p w:rsidR="00000000" w:rsidRDefault="00000000">
      <w:pPr>
        <w:pStyle w:val="BodyTextIndent3"/>
        <w:suppressAutoHyphens/>
        <w:ind w:left="0"/>
        <w:jc w:val="both"/>
        <w:rPr>
          <w:b/>
          <w:sz w:val="20"/>
        </w:rPr>
      </w:pPr>
      <w:r>
        <w:rPr>
          <w:b/>
          <w:sz w:val="20"/>
        </w:rPr>
        <w:t xml:space="preserve">Promoción de mujeres en las empresas, </w:t>
      </w:r>
    </w:p>
    <w:p w:rsidR="00000000" w:rsidRDefault="00000000">
      <w:pPr>
        <w:pStyle w:val="BodyText"/>
        <w:suppressAutoHyphens/>
        <w:rPr>
          <w:sz w:val="20"/>
        </w:rPr>
      </w:pPr>
      <w:r>
        <w:rPr>
          <w:sz w:val="20"/>
        </w:rPr>
        <w:t xml:space="preserve">Como ya se comentó en el informe anterior, el </w:t>
      </w:r>
      <w:r>
        <w:rPr>
          <w:b/>
          <w:sz w:val="20"/>
        </w:rPr>
        <w:t>Programa OPTIMA</w:t>
      </w:r>
      <w:r>
        <w:rPr>
          <w:sz w:val="20"/>
        </w:rPr>
        <w:t xml:space="preserve">, que viene desarrollando el Instituto de la Mujer desde 1996, está dirigido a facilitar la incorporación, permanencia y promoción de las mujeres en las empresas, a través de acciones positivas encaminadas a eliminar las desigualdades existentes en su seno. El Programa cofinanciado por el Fondo Social Europeo, ha sido elegido como ejemplo de “Buena Práctica” por la Unión Europea. </w:t>
      </w:r>
    </w:p>
    <w:p w:rsidR="00000000" w:rsidRDefault="00000000">
      <w:pPr>
        <w:pStyle w:val="BodyText"/>
        <w:suppressAutoHyphens/>
        <w:rPr>
          <w:b/>
          <w:sz w:val="20"/>
        </w:rPr>
      </w:pPr>
    </w:p>
    <w:p w:rsidR="00000000" w:rsidRDefault="00000000">
      <w:pPr>
        <w:jc w:val="both"/>
        <w:rPr>
          <w:rFonts w:ascii="Arial" w:hAnsi="Arial"/>
        </w:rPr>
      </w:pPr>
      <w:r>
        <w:rPr>
          <w:rFonts w:ascii="Arial" w:hAnsi="Arial"/>
        </w:rPr>
        <w:t xml:space="preserve">En el marco de este Programa, destaca la creación de la figura </w:t>
      </w:r>
      <w:r>
        <w:rPr>
          <w:rFonts w:ascii="Arial" w:hAnsi="Arial"/>
          <w:b/>
        </w:rPr>
        <w:t>“Entidad colaboradora en</w:t>
      </w:r>
      <w:r>
        <w:rPr>
          <w:rFonts w:ascii="Arial" w:hAnsi="Arial"/>
        </w:rPr>
        <w:t xml:space="preserve"> </w:t>
      </w:r>
      <w:r>
        <w:rPr>
          <w:rFonts w:ascii="Arial" w:hAnsi="Arial"/>
          <w:b/>
        </w:rPr>
        <w:t>Igualdad de Oportunidades entre Mujeres y Hombres</w:t>
      </w:r>
      <w:r>
        <w:rPr>
          <w:rFonts w:ascii="Arial" w:hAnsi="Arial"/>
        </w:rPr>
        <w:t>”, en 1996, y que supone  un reconocimiento a aquellas empresas que trabajan a favor de la igualdad  a través de planes de acción positiva. En la actualidad 59 empresas, con un total de 107.878 trabajadores y trabajadoras, de diferentes sectores económicos están trabajando por la Igualdad de Oportunidades en diferentes fases del Programa. 17 empresas ya han sido reconocidas con el distintivo de ”Entidades Colaboradoras en Igualdad de Oportunidades entre mujeres y hombres”</w:t>
      </w:r>
    </w:p>
    <w:p w:rsidR="00000000" w:rsidRDefault="00000000">
      <w:pPr>
        <w:pStyle w:val="BodyText"/>
        <w:suppressAutoHyphens/>
        <w:rPr>
          <w:sz w:val="20"/>
        </w:rPr>
      </w:pPr>
    </w:p>
    <w:p w:rsidR="00000000" w:rsidRDefault="00000000">
      <w:pPr>
        <w:pStyle w:val="BodyText"/>
        <w:suppressAutoHyphens/>
        <w:rPr>
          <w:sz w:val="20"/>
        </w:rPr>
      </w:pPr>
      <w:r>
        <w:rPr>
          <w:sz w:val="20"/>
        </w:rPr>
        <w:t xml:space="preserve">De las acciones llevadas a cabo entre 1999 y el 2001 podemos destacar, la edición de materiales, la realización de varios encuentros en los que las empresas han intercambiado experiencias y buenas prácticas y la creación de una red. Dentro del programa, en el año 2001, se ha promovido el acceso de mujeres a puestos directivos, a través de becas para la realización de un Master de Desarrollo Directivo. </w:t>
      </w:r>
    </w:p>
    <w:p w:rsidR="00000000" w:rsidRDefault="00000000">
      <w:pPr>
        <w:pStyle w:val="BodyText"/>
        <w:suppressAutoHyphens/>
        <w:rPr>
          <w:b/>
          <w:sz w:val="20"/>
        </w:rPr>
      </w:pPr>
    </w:p>
    <w:p w:rsidR="00000000" w:rsidRDefault="00000000">
      <w:pPr>
        <w:pStyle w:val="BodyText3"/>
        <w:suppressAutoHyphens/>
        <w:ind w:right="0"/>
        <w:rPr>
          <w:sz w:val="20"/>
        </w:rPr>
      </w:pPr>
      <w:r>
        <w:rPr>
          <w:sz w:val="20"/>
        </w:rPr>
        <w:t xml:space="preserve">Por otra parte, el  problema de las </w:t>
      </w:r>
      <w:r>
        <w:rPr>
          <w:b/>
          <w:sz w:val="20"/>
        </w:rPr>
        <w:t>diferencias salariales entre mujeres y hombres</w:t>
      </w:r>
      <w:r>
        <w:rPr>
          <w:sz w:val="20"/>
        </w:rPr>
        <w:t xml:space="preserve"> ha originado que el Instituto de la Mujer haya organizado durante todos estos años Jornadas de formación dirigidas tanto a los sindicatos más representativos, como a los operadores jurídicos: Jueces, Fiscales, Inspectores de Trabajo, etc. con el objetivo de difundir la normativa nacional y comunitaria en esta materia. </w:t>
      </w:r>
    </w:p>
    <w:p w:rsidR="00000000" w:rsidRDefault="00000000">
      <w:pPr>
        <w:jc w:val="both"/>
        <w:rPr>
          <w:rFonts w:ascii="Arial" w:hAnsi="Arial"/>
        </w:rPr>
      </w:pPr>
    </w:p>
    <w:p w:rsidR="00000000" w:rsidRDefault="00000000">
      <w:pPr>
        <w:pStyle w:val="BodyText3"/>
        <w:suppressAutoHyphens/>
        <w:ind w:right="0"/>
        <w:rPr>
          <w:sz w:val="20"/>
        </w:rPr>
      </w:pPr>
      <w:r>
        <w:rPr>
          <w:sz w:val="20"/>
        </w:rPr>
        <w:t xml:space="preserve">El Instituto de la Mujer, editó en el año 2000 dos publicaciones: “Guía de Buenas Prácticas para garantizar la igualdad retributiva” y “Herramientas para eliminar la discriminación retributiva”, ambas resultado del proyecto enmarcado dentro del IV Programa de Acción Comunitario; “La igualdad de oportunidades entre mujeres y hombres en el mercado laboral”. </w:t>
      </w:r>
    </w:p>
    <w:p w:rsidR="00000000" w:rsidRDefault="00000000">
      <w:pPr>
        <w:pStyle w:val="BodyText3"/>
        <w:suppressAutoHyphens/>
        <w:ind w:right="0"/>
        <w:rPr>
          <w:sz w:val="20"/>
        </w:rPr>
      </w:pPr>
    </w:p>
    <w:p w:rsidR="00000000" w:rsidRDefault="00000000">
      <w:pPr>
        <w:pStyle w:val="BodyText3"/>
        <w:suppressAutoHyphens/>
        <w:ind w:right="0"/>
        <w:rPr>
          <w:sz w:val="20"/>
        </w:rPr>
      </w:pPr>
      <w:r>
        <w:rPr>
          <w:sz w:val="20"/>
        </w:rPr>
        <w:t xml:space="preserve">En la actualidad, desde el Instituto de la Mujer se lidera el </w:t>
      </w:r>
      <w:r>
        <w:rPr>
          <w:b/>
          <w:sz w:val="20"/>
        </w:rPr>
        <w:t>Proyecto ISOS</w:t>
      </w:r>
      <w:r>
        <w:rPr>
          <w:sz w:val="20"/>
        </w:rPr>
        <w:t xml:space="preserve"> dentro de la Estrategia Marco Comunitaria sobre igualdad entre hombres y mujeres (2001-2005). Los objetivos del ISOS son: </w:t>
      </w:r>
    </w:p>
    <w:p w:rsidR="00000000" w:rsidRDefault="00000000">
      <w:pPr>
        <w:pStyle w:val="BlockText"/>
        <w:numPr>
          <w:ilvl w:val="0"/>
          <w:numId w:val="1403"/>
        </w:numPr>
        <w:tabs>
          <w:tab w:val="clear" w:pos="720"/>
        </w:tabs>
        <w:ind w:left="216" w:right="0" w:hanging="207"/>
        <w:rPr>
          <w:sz w:val="20"/>
        </w:rPr>
      </w:pPr>
      <w:r>
        <w:rPr>
          <w:sz w:val="20"/>
        </w:rPr>
        <w:t xml:space="preserve">Analizar la relación entre la discriminación salarial por género y las características de los puestos de trabajo </w:t>
      </w:r>
    </w:p>
    <w:p w:rsidR="00000000" w:rsidRDefault="00000000">
      <w:pPr>
        <w:pStyle w:val="BlockText"/>
        <w:numPr>
          <w:ilvl w:val="0"/>
          <w:numId w:val="1403"/>
        </w:numPr>
        <w:tabs>
          <w:tab w:val="clear" w:pos="720"/>
        </w:tabs>
        <w:ind w:left="216" w:right="0" w:hanging="207"/>
        <w:rPr>
          <w:sz w:val="20"/>
        </w:rPr>
      </w:pPr>
      <w:r>
        <w:rPr>
          <w:sz w:val="20"/>
        </w:rPr>
        <w:t>Establecer un sistema de valoración de puestos de trabajo con criterios neutros.</w:t>
      </w:r>
    </w:p>
    <w:p w:rsidR="00000000" w:rsidRDefault="00000000">
      <w:pPr>
        <w:jc w:val="both"/>
        <w:rPr>
          <w:rFonts w:ascii="Arial" w:hAnsi="Arial"/>
        </w:rPr>
      </w:pPr>
    </w:p>
    <w:p w:rsidR="00000000" w:rsidRDefault="00000000">
      <w:pPr>
        <w:jc w:val="both"/>
        <w:rPr>
          <w:rFonts w:ascii="Arial" w:hAnsi="Arial"/>
        </w:rPr>
      </w:pPr>
    </w:p>
    <w:p w:rsidR="00000000" w:rsidRDefault="00000000">
      <w:pPr>
        <w:rPr>
          <w:rFonts w:ascii="Arial" w:hAnsi="Arial"/>
          <w:b/>
        </w:rPr>
      </w:pPr>
      <w:r>
        <w:rPr>
          <w:rFonts w:ascii="Arial" w:hAnsi="Arial"/>
          <w:b/>
        </w:rPr>
        <w:t>Artículo 12:  Salud</w:t>
      </w:r>
    </w:p>
    <w:p w:rsidR="00000000" w:rsidRDefault="00000000">
      <w:pPr>
        <w:jc w:val="both"/>
        <w:rPr>
          <w:rFonts w:ascii="Arial" w:hAnsi="Arial"/>
        </w:rPr>
      </w:pPr>
    </w:p>
    <w:p w:rsidR="00000000" w:rsidRDefault="00000000">
      <w:pPr>
        <w:jc w:val="both"/>
        <w:rPr>
          <w:rFonts w:ascii="Arial" w:hAnsi="Arial"/>
          <w:b/>
        </w:rPr>
      </w:pPr>
      <w:r>
        <w:rPr>
          <w:rFonts w:ascii="Arial" w:hAnsi="Arial"/>
          <w:b/>
        </w:rPr>
        <w:t>I.- Situación actual</w:t>
      </w:r>
    </w:p>
    <w:p w:rsidR="00000000" w:rsidRDefault="00000000">
      <w:pPr>
        <w:jc w:val="both"/>
        <w:rPr>
          <w:rFonts w:ascii="Arial" w:hAnsi="Arial"/>
          <w:i/>
        </w:rPr>
      </w:pPr>
    </w:p>
    <w:p w:rsidR="00000000" w:rsidRDefault="00000000">
      <w:pPr>
        <w:rPr>
          <w:rFonts w:ascii="Arial" w:hAnsi="Arial"/>
          <w:b/>
        </w:rPr>
      </w:pPr>
      <w:r>
        <w:rPr>
          <w:rFonts w:ascii="Arial" w:hAnsi="Arial"/>
          <w:b/>
        </w:rPr>
        <w:t>Esperanza de vida</w:t>
      </w:r>
    </w:p>
    <w:p w:rsidR="00000000" w:rsidRDefault="00000000">
      <w:pPr>
        <w:jc w:val="both"/>
        <w:rPr>
          <w:rFonts w:ascii="Arial" w:hAnsi="Arial"/>
          <w:i/>
        </w:rPr>
      </w:pPr>
    </w:p>
    <w:p w:rsidR="00000000" w:rsidRDefault="00000000">
      <w:pPr>
        <w:jc w:val="both"/>
        <w:rPr>
          <w:rFonts w:ascii="Arial" w:hAnsi="Arial"/>
        </w:rPr>
      </w:pPr>
      <w:r>
        <w:rPr>
          <w:rFonts w:ascii="Arial" w:hAnsi="Arial"/>
        </w:rPr>
        <w:t>Las mujeres en España viven bastante más años  que los hombres. Los datos desde 1998 apenas han variado unas décimas; la esperanza de vida de las mujeres se situaba ya en ese año en 82 años, mientras que la de los hombres era de 75. En el año 2000 la esperanza de vida de las mujeres era de 82,1 años y de los hombres de 75,3.</w:t>
      </w:r>
    </w:p>
    <w:p w:rsidR="00000000" w:rsidRDefault="00000000">
      <w:pPr>
        <w:jc w:val="both"/>
        <w:rPr>
          <w:rFonts w:ascii="Arial" w:hAnsi="Arial"/>
        </w:rPr>
      </w:pPr>
    </w:p>
    <w:p w:rsidR="00000000" w:rsidRDefault="00000000">
      <w:pPr>
        <w:jc w:val="both"/>
        <w:rPr>
          <w:rFonts w:ascii="Arial" w:hAnsi="Arial"/>
        </w:rPr>
      </w:pPr>
    </w:p>
    <w:p w:rsidR="00000000" w:rsidRDefault="00000000">
      <w:pPr>
        <w:rPr>
          <w:rFonts w:ascii="Arial" w:hAnsi="Arial"/>
          <w:b/>
        </w:rPr>
      </w:pPr>
      <w:r>
        <w:rPr>
          <w:rFonts w:ascii="Arial" w:hAnsi="Arial"/>
          <w:b/>
        </w:rPr>
        <w:t>Mortalidad</w:t>
      </w:r>
    </w:p>
    <w:p w:rsidR="00000000" w:rsidRDefault="00000000">
      <w:pPr>
        <w:jc w:val="both"/>
        <w:rPr>
          <w:rFonts w:ascii="Arial" w:hAnsi="Arial"/>
        </w:rPr>
      </w:pPr>
    </w:p>
    <w:p w:rsidR="00000000" w:rsidRDefault="00000000">
      <w:pPr>
        <w:jc w:val="both"/>
        <w:rPr>
          <w:rFonts w:ascii="Arial" w:hAnsi="Arial"/>
        </w:rPr>
      </w:pPr>
      <w:r>
        <w:rPr>
          <w:rFonts w:ascii="Arial" w:hAnsi="Arial"/>
        </w:rPr>
        <w:t>En 2000, último año del que disponemos datos sobre la mortalidad en España, se produjeron 2.123 muertes infantiles. Como muestra el cuadro adjunto, la mayor parte de las muertes infantiles se concentran durante los primeros 12 meses de vida. En todos los tramos de edades considerados, excepto en el de cuatro años de edad, los niños mueren en mayor proporción que las niñas.</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850"/>
        <w:gridCol w:w="1560"/>
        <w:gridCol w:w="1559"/>
        <w:gridCol w:w="1417"/>
        <w:gridCol w:w="1418"/>
      </w:tblGrid>
      <w:tr w:rsidR="00000000">
        <w:tblPrEx>
          <w:tblCellMar>
            <w:top w:w="0" w:type="dxa"/>
            <w:bottom w:w="0" w:type="dxa"/>
          </w:tblCellMar>
        </w:tblPrEx>
        <w:trPr>
          <w:trHeight w:val="305"/>
          <w:jc w:val="center"/>
        </w:trPr>
        <w:tc>
          <w:tcPr>
            <w:tcW w:w="850" w:type="dxa"/>
          </w:tcPr>
          <w:p w:rsidR="00000000" w:rsidRDefault="00000000">
            <w:pPr>
              <w:jc w:val="both"/>
              <w:rPr>
                <w:rFonts w:ascii="Arial" w:hAnsi="Arial"/>
                <w:b/>
                <w:snapToGrid w:val="0"/>
                <w:color w:val="000000"/>
                <w:sz w:val="16"/>
                <w:lang w:eastAsia="es-ES"/>
              </w:rPr>
            </w:pPr>
          </w:p>
        </w:tc>
        <w:tc>
          <w:tcPr>
            <w:tcW w:w="1560" w:type="dxa"/>
            <w:tcBorders>
              <w:bottom w:val="double" w:sz="4" w:space="0" w:color="auto"/>
            </w:tcBorders>
          </w:tcPr>
          <w:p w:rsidR="00000000" w:rsidRDefault="00000000">
            <w:pPr>
              <w:pStyle w:val="Heading2"/>
              <w:jc w:val="center"/>
              <w:rPr>
                <w:rFonts w:ascii="Arial" w:hAnsi="Arial"/>
                <w:sz w:val="16"/>
              </w:rPr>
            </w:pPr>
            <w:r>
              <w:rPr>
                <w:rFonts w:ascii="Arial" w:hAnsi="Arial"/>
                <w:sz w:val="16"/>
              </w:rPr>
              <w:t>Ambos sexos</w:t>
            </w:r>
          </w:p>
        </w:tc>
        <w:tc>
          <w:tcPr>
            <w:tcW w:w="1559" w:type="dxa"/>
            <w:tcBorders>
              <w:bottom w:val="double" w:sz="4" w:space="0" w:color="auto"/>
            </w:tcBorders>
          </w:tcPr>
          <w:p w:rsidR="00000000" w:rsidRDefault="00000000">
            <w:pPr>
              <w:pStyle w:val="Heading2"/>
              <w:jc w:val="center"/>
              <w:rPr>
                <w:rFonts w:ascii="Arial" w:hAnsi="Arial"/>
                <w:sz w:val="16"/>
              </w:rPr>
            </w:pPr>
            <w:r>
              <w:rPr>
                <w:rFonts w:ascii="Arial" w:hAnsi="Arial"/>
                <w:sz w:val="16"/>
              </w:rPr>
              <w:t>Niñas</w:t>
            </w:r>
          </w:p>
        </w:tc>
        <w:tc>
          <w:tcPr>
            <w:tcW w:w="1417" w:type="dxa"/>
            <w:tcBorders>
              <w:bottom w:val="double" w:sz="4" w:space="0" w:color="auto"/>
            </w:tcBorders>
          </w:tcPr>
          <w:p w:rsidR="00000000" w:rsidRDefault="00000000">
            <w:pPr>
              <w:pStyle w:val="Heading2"/>
              <w:jc w:val="center"/>
              <w:rPr>
                <w:rFonts w:ascii="Arial" w:hAnsi="Arial"/>
                <w:sz w:val="16"/>
              </w:rPr>
            </w:pPr>
            <w:r>
              <w:rPr>
                <w:rFonts w:ascii="Arial" w:hAnsi="Arial"/>
                <w:sz w:val="16"/>
              </w:rPr>
              <w:t>Niños</w:t>
            </w:r>
          </w:p>
        </w:tc>
        <w:tc>
          <w:tcPr>
            <w:tcW w:w="1418" w:type="dxa"/>
            <w:tcBorders>
              <w:bottom w:val="double" w:sz="4" w:space="0" w:color="auto"/>
            </w:tcBorders>
          </w:tcPr>
          <w:p w:rsidR="00000000" w:rsidRDefault="00000000">
            <w:pPr>
              <w:pStyle w:val="Heading2"/>
              <w:jc w:val="center"/>
              <w:rPr>
                <w:rFonts w:ascii="Arial" w:hAnsi="Arial"/>
                <w:b w:val="0"/>
                <w:snapToGrid w:val="0"/>
                <w:color w:val="000000"/>
                <w:sz w:val="16"/>
                <w:lang w:val="es-ES" w:eastAsia="es-ES"/>
              </w:rPr>
            </w:pPr>
            <w:r>
              <w:rPr>
                <w:rFonts w:ascii="Arial" w:hAnsi="Arial"/>
                <w:sz w:val="16"/>
              </w:rPr>
              <w:t>% Muj</w:t>
            </w:r>
          </w:p>
        </w:tc>
      </w:tr>
      <w:tr w:rsidR="00000000">
        <w:tblPrEx>
          <w:tblCellMar>
            <w:top w:w="0" w:type="dxa"/>
            <w:bottom w:w="0" w:type="dxa"/>
          </w:tblCellMar>
        </w:tblPrEx>
        <w:trPr>
          <w:trHeight w:val="305"/>
          <w:jc w:val="center"/>
        </w:trPr>
        <w:tc>
          <w:tcPr>
            <w:tcW w:w="850" w:type="dxa"/>
          </w:tcPr>
          <w:p w:rsidR="00000000" w:rsidRDefault="00000000">
            <w:pPr>
              <w:pStyle w:val="Heading5"/>
              <w:ind w:left="0" w:right="0"/>
              <w:jc w:val="center"/>
            </w:pPr>
            <w:r>
              <w:t>TOTAL</w:t>
            </w:r>
          </w:p>
        </w:tc>
        <w:tc>
          <w:tcPr>
            <w:tcW w:w="156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2.123</w:t>
            </w:r>
          </w:p>
        </w:tc>
        <w:tc>
          <w:tcPr>
            <w:tcW w:w="1559"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944</w:t>
            </w:r>
          </w:p>
        </w:tc>
        <w:tc>
          <w:tcPr>
            <w:tcW w:w="1417"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1.179</w:t>
            </w:r>
          </w:p>
        </w:tc>
        <w:tc>
          <w:tcPr>
            <w:tcW w:w="1418"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44,47</w:t>
            </w: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b/>
                <w:snapToGrid w:val="0"/>
                <w:color w:val="000000"/>
                <w:sz w:val="16"/>
                <w:lang w:eastAsia="es-ES"/>
              </w:rPr>
            </w:pPr>
          </w:p>
        </w:tc>
        <w:tc>
          <w:tcPr>
            <w:tcW w:w="1560" w:type="dxa"/>
          </w:tcPr>
          <w:p w:rsidR="00000000" w:rsidRDefault="00000000">
            <w:pPr>
              <w:jc w:val="center"/>
              <w:rPr>
                <w:rFonts w:ascii="Arial" w:hAnsi="Arial"/>
                <w:snapToGrid w:val="0"/>
                <w:color w:val="000000"/>
                <w:sz w:val="16"/>
                <w:lang w:eastAsia="es-ES"/>
              </w:rPr>
            </w:pPr>
          </w:p>
        </w:tc>
        <w:tc>
          <w:tcPr>
            <w:tcW w:w="1559" w:type="dxa"/>
          </w:tcPr>
          <w:p w:rsidR="00000000" w:rsidRDefault="00000000">
            <w:pPr>
              <w:jc w:val="center"/>
              <w:rPr>
                <w:rFonts w:ascii="Arial" w:hAnsi="Arial"/>
                <w:snapToGrid w:val="0"/>
                <w:color w:val="000000"/>
                <w:sz w:val="16"/>
                <w:lang w:eastAsia="es-ES"/>
              </w:rPr>
            </w:pPr>
          </w:p>
        </w:tc>
        <w:tc>
          <w:tcPr>
            <w:tcW w:w="1417" w:type="dxa"/>
          </w:tcPr>
          <w:p w:rsidR="00000000" w:rsidRDefault="00000000">
            <w:pPr>
              <w:jc w:val="center"/>
              <w:rPr>
                <w:rFonts w:ascii="Arial" w:hAnsi="Arial"/>
                <w:snapToGrid w:val="0"/>
                <w:color w:val="000000"/>
                <w:sz w:val="16"/>
                <w:lang w:eastAsia="es-ES"/>
              </w:rPr>
            </w:pPr>
          </w:p>
        </w:tc>
        <w:tc>
          <w:tcPr>
            <w:tcW w:w="1418"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EDAD</w:t>
            </w:r>
          </w:p>
        </w:tc>
        <w:tc>
          <w:tcPr>
            <w:tcW w:w="1560" w:type="dxa"/>
          </w:tcPr>
          <w:p w:rsidR="00000000" w:rsidRDefault="00000000">
            <w:pPr>
              <w:jc w:val="center"/>
              <w:rPr>
                <w:rFonts w:ascii="Arial" w:hAnsi="Arial"/>
                <w:snapToGrid w:val="0"/>
                <w:color w:val="000000"/>
                <w:sz w:val="16"/>
                <w:lang w:eastAsia="es-ES"/>
              </w:rPr>
            </w:pPr>
          </w:p>
        </w:tc>
        <w:tc>
          <w:tcPr>
            <w:tcW w:w="1559" w:type="dxa"/>
          </w:tcPr>
          <w:p w:rsidR="00000000" w:rsidRDefault="00000000">
            <w:pPr>
              <w:jc w:val="center"/>
              <w:rPr>
                <w:rFonts w:ascii="Arial" w:hAnsi="Arial"/>
                <w:snapToGrid w:val="0"/>
                <w:color w:val="000000"/>
                <w:sz w:val="16"/>
                <w:lang w:eastAsia="es-ES"/>
              </w:rPr>
            </w:pPr>
          </w:p>
        </w:tc>
        <w:tc>
          <w:tcPr>
            <w:tcW w:w="1417" w:type="dxa"/>
          </w:tcPr>
          <w:p w:rsidR="00000000" w:rsidRDefault="00000000">
            <w:pPr>
              <w:jc w:val="center"/>
              <w:rPr>
                <w:rFonts w:ascii="Arial" w:hAnsi="Arial"/>
                <w:snapToGrid w:val="0"/>
                <w:color w:val="000000"/>
                <w:sz w:val="16"/>
                <w:lang w:eastAsia="es-ES"/>
              </w:rPr>
            </w:pPr>
          </w:p>
        </w:tc>
        <w:tc>
          <w:tcPr>
            <w:tcW w:w="1418"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&lt; 1</w:t>
            </w:r>
          </w:p>
        </w:tc>
        <w:tc>
          <w:tcPr>
            <w:tcW w:w="156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1.740</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781</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959</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44,89</w:t>
            </w: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w:t>
            </w:r>
          </w:p>
        </w:tc>
        <w:tc>
          <w:tcPr>
            <w:tcW w:w="156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150</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88</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41,33</w:t>
            </w: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w:t>
            </w:r>
          </w:p>
        </w:tc>
        <w:tc>
          <w:tcPr>
            <w:tcW w:w="156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93</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40,86</w:t>
            </w:r>
          </w:p>
        </w:tc>
      </w:tr>
      <w:tr w:rsidR="00000000">
        <w:tblPrEx>
          <w:tblCellMar>
            <w:top w:w="0" w:type="dxa"/>
            <w:bottom w:w="0" w:type="dxa"/>
          </w:tblCellMar>
        </w:tblPrEx>
        <w:trPr>
          <w:trHeight w:val="290"/>
          <w:jc w:val="center"/>
        </w:trPr>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w:t>
            </w:r>
          </w:p>
        </w:tc>
        <w:tc>
          <w:tcPr>
            <w:tcW w:w="156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73</w:t>
            </w:r>
          </w:p>
        </w:tc>
        <w:tc>
          <w:tcPr>
            <w:tcW w:w="1559"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w:t>
            </w:r>
          </w:p>
        </w:tc>
        <w:tc>
          <w:tcPr>
            <w:tcW w:w="141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38,36</w:t>
            </w:r>
          </w:p>
        </w:tc>
      </w:tr>
      <w:tr w:rsidR="00000000">
        <w:tblPrEx>
          <w:tblCellMar>
            <w:top w:w="0" w:type="dxa"/>
            <w:bottom w:w="0" w:type="dxa"/>
          </w:tblCellMar>
        </w:tblPrEx>
        <w:trPr>
          <w:trHeight w:val="303"/>
          <w:jc w:val="center"/>
        </w:trPr>
        <w:tc>
          <w:tcPr>
            <w:tcW w:w="850"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w:t>
            </w:r>
          </w:p>
        </w:tc>
        <w:tc>
          <w:tcPr>
            <w:tcW w:w="1560"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67</w:t>
            </w:r>
          </w:p>
        </w:tc>
        <w:tc>
          <w:tcPr>
            <w:tcW w:w="1559"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w:t>
            </w:r>
          </w:p>
        </w:tc>
        <w:tc>
          <w:tcPr>
            <w:tcW w:w="1417"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w:t>
            </w:r>
          </w:p>
        </w:tc>
        <w:tc>
          <w:tcPr>
            <w:tcW w:w="1418"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52,24</w:t>
            </w:r>
          </w:p>
        </w:tc>
      </w:tr>
    </w:tbl>
    <w:p w:rsidR="00000000" w:rsidRDefault="00000000">
      <w:pPr>
        <w:ind w:left="1521"/>
        <w:jc w:val="both"/>
        <w:rPr>
          <w:rFonts w:ascii="Arial" w:hAnsi="Arial"/>
        </w:rPr>
      </w:pPr>
      <w:r>
        <w:rPr>
          <w:rFonts w:ascii="Arial" w:hAnsi="Arial"/>
          <w:snapToGrid w:val="0"/>
          <w:color w:val="000000"/>
          <w:sz w:val="16"/>
          <w:lang w:eastAsia="es-ES"/>
        </w:rPr>
        <w:t>Fuente: Elaboración propia a partir de datos del Movimiento Natural de la Población . INE, 1999</w:t>
      </w:r>
    </w:p>
    <w:p w:rsidR="00000000" w:rsidRDefault="00000000">
      <w:pPr>
        <w:jc w:val="both"/>
        <w:rPr>
          <w:rFonts w:ascii="Arial" w:hAnsi="Arial"/>
        </w:rPr>
      </w:pPr>
    </w:p>
    <w:p w:rsidR="00000000" w:rsidRDefault="00000000">
      <w:pPr>
        <w:jc w:val="both"/>
        <w:rPr>
          <w:rFonts w:ascii="Arial" w:hAnsi="Arial"/>
        </w:rPr>
      </w:pPr>
      <w:r>
        <w:rPr>
          <w:rFonts w:ascii="Arial" w:hAnsi="Arial"/>
        </w:rPr>
        <w:t>Por lo que respecta a la mortalidad de la población española en su conjunto, en 1999, murieron 371.102 personas, de las cuáles el 47,39 %  fueron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Al analizar las </w:t>
      </w:r>
      <w:r>
        <w:rPr>
          <w:rFonts w:ascii="Arial" w:hAnsi="Arial"/>
          <w:b/>
        </w:rPr>
        <w:t>causas de fallecimiento</w:t>
      </w:r>
      <w:r>
        <w:rPr>
          <w:rFonts w:ascii="Arial" w:hAnsi="Arial"/>
        </w:rPr>
        <w:t xml:space="preserve"> por sexo se observa que en ambos colectivos, femenino y masculino, la causa más importante de los fallecimientos la constituyen las enfermedades del aparato circulatorio, pero son más mujeres las que mueren por esta causa que hombres. Por otro lado, existen diferencias muy relevantes entre uno y otro sexo respecto a la mortalidad por trastornos mentales, así como enfermedades del sistema osteomuscular y del tejido conjuntivo. Respecto a éstas, también fallecen más mujeres que hombres. Por el contrario, la mortalidad debida a traumatismos y envenenamientos es superior en el sexo masculino.</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3"/>
        <w:ind w:left="0"/>
      </w:pPr>
      <w:r>
        <w:t>Causas de fallecimiento</w:t>
      </w:r>
    </w:p>
    <w:tbl>
      <w:tblPr>
        <w:tblW w:w="0" w:type="auto"/>
        <w:jc w:val="center"/>
        <w:tblLayout w:type="fixed"/>
        <w:tblCellMar>
          <w:left w:w="30" w:type="dxa"/>
          <w:right w:w="30" w:type="dxa"/>
        </w:tblCellMar>
        <w:tblLook w:val="0000" w:firstRow="0" w:lastRow="0" w:firstColumn="0" w:lastColumn="0" w:noHBand="0" w:noVBand="0"/>
      </w:tblPr>
      <w:tblGrid>
        <w:gridCol w:w="4111"/>
        <w:gridCol w:w="851"/>
        <w:gridCol w:w="708"/>
        <w:gridCol w:w="851"/>
        <w:gridCol w:w="567"/>
        <w:gridCol w:w="850"/>
        <w:gridCol w:w="592"/>
      </w:tblGrid>
      <w:tr w:rsidR="00000000">
        <w:tblPrEx>
          <w:tblCellMar>
            <w:top w:w="0" w:type="dxa"/>
            <w:bottom w:w="0" w:type="dxa"/>
          </w:tblCellMar>
        </w:tblPrEx>
        <w:trPr>
          <w:cantSplit/>
          <w:trHeight w:val="305"/>
          <w:jc w:val="center"/>
        </w:trPr>
        <w:tc>
          <w:tcPr>
            <w:tcW w:w="4111" w:type="dxa"/>
          </w:tcPr>
          <w:p w:rsidR="00000000" w:rsidRDefault="00000000">
            <w:pPr>
              <w:rPr>
                <w:rFonts w:ascii="Arial" w:hAnsi="Arial"/>
                <w:snapToGrid w:val="0"/>
                <w:color w:val="000000"/>
                <w:sz w:val="16"/>
                <w:lang w:eastAsia="es-ES"/>
              </w:rPr>
            </w:pPr>
          </w:p>
        </w:tc>
        <w:tc>
          <w:tcPr>
            <w:tcW w:w="1559" w:type="dxa"/>
            <w:gridSpan w:val="2"/>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Total</w:t>
            </w:r>
          </w:p>
        </w:tc>
        <w:tc>
          <w:tcPr>
            <w:tcW w:w="1418" w:type="dxa"/>
            <w:gridSpan w:val="2"/>
          </w:tcPr>
          <w:p w:rsidR="00000000" w:rsidRDefault="00000000">
            <w:pPr>
              <w:pStyle w:val="Heading6"/>
              <w:ind w:left="0" w:right="0"/>
            </w:pPr>
            <w:r>
              <w:t>Mujeres</w:t>
            </w:r>
          </w:p>
        </w:tc>
        <w:tc>
          <w:tcPr>
            <w:tcW w:w="1442" w:type="dxa"/>
            <w:gridSpan w:val="2"/>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snapToGrid w:val="0"/>
                <w:color w:val="000000"/>
                <w:sz w:val="16"/>
                <w:lang w:eastAsia="es-ES"/>
              </w:rPr>
            </w:pPr>
          </w:p>
        </w:tc>
        <w:tc>
          <w:tcPr>
            <w:tcW w:w="851"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Absoluto</w:t>
            </w:r>
          </w:p>
        </w:tc>
        <w:tc>
          <w:tcPr>
            <w:tcW w:w="708"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 Muj</w:t>
            </w:r>
          </w:p>
        </w:tc>
        <w:tc>
          <w:tcPr>
            <w:tcW w:w="851"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Absoluto</w:t>
            </w:r>
          </w:p>
        </w:tc>
        <w:tc>
          <w:tcPr>
            <w:tcW w:w="567"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w:t>
            </w:r>
          </w:p>
        </w:tc>
        <w:tc>
          <w:tcPr>
            <w:tcW w:w="85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Absoluto</w:t>
            </w:r>
          </w:p>
        </w:tc>
        <w:tc>
          <w:tcPr>
            <w:tcW w:w="592"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snapToGrid w:val="0"/>
                <w:color w:val="000000"/>
                <w:sz w:val="16"/>
                <w:lang w:eastAsia="es-ES"/>
              </w:rPr>
            </w:pPr>
          </w:p>
        </w:tc>
        <w:tc>
          <w:tcPr>
            <w:tcW w:w="851" w:type="dxa"/>
          </w:tcPr>
          <w:p w:rsidR="00000000" w:rsidRDefault="00000000">
            <w:pPr>
              <w:jc w:val="center"/>
              <w:rPr>
                <w:rFonts w:ascii="Arial" w:hAnsi="Arial"/>
                <w:snapToGrid w:val="0"/>
                <w:color w:val="000000"/>
                <w:sz w:val="16"/>
                <w:lang w:eastAsia="es-ES"/>
              </w:rPr>
            </w:pPr>
          </w:p>
        </w:tc>
        <w:tc>
          <w:tcPr>
            <w:tcW w:w="708" w:type="dxa"/>
          </w:tcPr>
          <w:p w:rsidR="00000000" w:rsidRDefault="00000000">
            <w:pPr>
              <w:jc w:val="center"/>
              <w:rPr>
                <w:rFonts w:ascii="Arial" w:hAnsi="Arial"/>
                <w:snapToGrid w:val="0"/>
                <w:color w:val="000000"/>
                <w:sz w:val="16"/>
                <w:lang w:eastAsia="es-ES"/>
              </w:rPr>
            </w:pPr>
          </w:p>
        </w:tc>
        <w:tc>
          <w:tcPr>
            <w:tcW w:w="851" w:type="dxa"/>
          </w:tcPr>
          <w:p w:rsidR="00000000" w:rsidRDefault="00000000">
            <w:pPr>
              <w:jc w:val="center"/>
              <w:rPr>
                <w:rFonts w:ascii="Arial" w:hAnsi="Arial"/>
                <w:snapToGrid w:val="0"/>
                <w:color w:val="000000"/>
                <w:sz w:val="16"/>
                <w:lang w:eastAsia="es-ES"/>
              </w:rPr>
            </w:pPr>
          </w:p>
        </w:tc>
        <w:tc>
          <w:tcPr>
            <w:tcW w:w="567" w:type="dxa"/>
          </w:tcPr>
          <w:p w:rsidR="00000000" w:rsidRDefault="00000000">
            <w:pPr>
              <w:jc w:val="center"/>
              <w:rPr>
                <w:rFonts w:ascii="Arial" w:hAnsi="Arial"/>
                <w:snapToGrid w:val="0"/>
                <w:color w:val="000000"/>
                <w:sz w:val="16"/>
                <w:lang w:eastAsia="es-ES"/>
              </w:rPr>
            </w:pPr>
          </w:p>
        </w:tc>
        <w:tc>
          <w:tcPr>
            <w:tcW w:w="850" w:type="dxa"/>
          </w:tcPr>
          <w:p w:rsidR="00000000" w:rsidRDefault="00000000">
            <w:pPr>
              <w:jc w:val="center"/>
              <w:rPr>
                <w:rFonts w:ascii="Arial" w:hAnsi="Arial"/>
                <w:snapToGrid w:val="0"/>
                <w:color w:val="000000"/>
                <w:sz w:val="16"/>
                <w:lang w:eastAsia="es-ES"/>
              </w:rPr>
            </w:pPr>
          </w:p>
        </w:tc>
        <w:tc>
          <w:tcPr>
            <w:tcW w:w="592"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Todas las causas</w:t>
            </w:r>
          </w:p>
        </w:tc>
        <w:tc>
          <w:tcPr>
            <w:tcW w:w="851"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371.102</w:t>
            </w:r>
          </w:p>
        </w:tc>
        <w:tc>
          <w:tcPr>
            <w:tcW w:w="708"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47,39</w:t>
            </w:r>
          </w:p>
        </w:tc>
        <w:tc>
          <w:tcPr>
            <w:tcW w:w="851"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175.847</w:t>
            </w:r>
          </w:p>
        </w:tc>
        <w:tc>
          <w:tcPr>
            <w:tcW w:w="567"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c>
          <w:tcPr>
            <w:tcW w:w="850"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195.255</w:t>
            </w:r>
          </w:p>
        </w:tc>
        <w:tc>
          <w:tcPr>
            <w:tcW w:w="592" w:type="dxa"/>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100</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p>
        </w:tc>
        <w:tc>
          <w:tcPr>
            <w:tcW w:w="851" w:type="dxa"/>
          </w:tcPr>
          <w:p w:rsidR="00000000" w:rsidRDefault="00000000">
            <w:pPr>
              <w:jc w:val="center"/>
              <w:rPr>
                <w:rFonts w:ascii="Arial" w:hAnsi="Arial"/>
                <w:snapToGrid w:val="0"/>
                <w:color w:val="000000"/>
                <w:sz w:val="16"/>
                <w:lang w:eastAsia="es-ES"/>
              </w:rPr>
            </w:pPr>
          </w:p>
        </w:tc>
        <w:tc>
          <w:tcPr>
            <w:tcW w:w="708" w:type="dxa"/>
          </w:tcPr>
          <w:p w:rsidR="00000000" w:rsidRDefault="00000000">
            <w:pPr>
              <w:jc w:val="center"/>
              <w:rPr>
                <w:rFonts w:ascii="Arial" w:hAnsi="Arial"/>
                <w:snapToGrid w:val="0"/>
                <w:color w:val="000000"/>
                <w:sz w:val="16"/>
                <w:lang w:eastAsia="es-ES"/>
              </w:rPr>
            </w:pPr>
          </w:p>
        </w:tc>
        <w:tc>
          <w:tcPr>
            <w:tcW w:w="851" w:type="dxa"/>
          </w:tcPr>
          <w:p w:rsidR="00000000" w:rsidRDefault="00000000">
            <w:pPr>
              <w:jc w:val="center"/>
              <w:rPr>
                <w:rFonts w:ascii="Arial" w:hAnsi="Arial"/>
                <w:snapToGrid w:val="0"/>
                <w:color w:val="000000"/>
                <w:sz w:val="16"/>
                <w:lang w:eastAsia="es-ES"/>
              </w:rPr>
            </w:pPr>
          </w:p>
        </w:tc>
        <w:tc>
          <w:tcPr>
            <w:tcW w:w="567" w:type="dxa"/>
          </w:tcPr>
          <w:p w:rsidR="00000000" w:rsidRDefault="00000000">
            <w:pPr>
              <w:jc w:val="center"/>
              <w:rPr>
                <w:rFonts w:ascii="Arial" w:hAnsi="Arial"/>
                <w:snapToGrid w:val="0"/>
                <w:color w:val="000000"/>
                <w:sz w:val="16"/>
                <w:lang w:eastAsia="es-ES"/>
              </w:rPr>
            </w:pPr>
          </w:p>
        </w:tc>
        <w:tc>
          <w:tcPr>
            <w:tcW w:w="850" w:type="dxa"/>
          </w:tcPr>
          <w:p w:rsidR="00000000" w:rsidRDefault="00000000">
            <w:pPr>
              <w:jc w:val="center"/>
              <w:rPr>
                <w:rFonts w:ascii="Arial" w:hAnsi="Arial"/>
                <w:snapToGrid w:val="0"/>
                <w:color w:val="000000"/>
                <w:sz w:val="16"/>
                <w:lang w:eastAsia="es-ES"/>
              </w:rPr>
            </w:pPr>
          </w:p>
        </w:tc>
        <w:tc>
          <w:tcPr>
            <w:tcW w:w="592"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infecciosas y parasitarias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6.530</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39,65</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2.589</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1,47</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3.941</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2,02</w:t>
            </w:r>
          </w:p>
        </w:tc>
      </w:tr>
      <w:tr w:rsidR="00000000">
        <w:tblPrEx>
          <w:tblCellMar>
            <w:top w:w="0" w:type="dxa"/>
            <w:bottom w:w="0" w:type="dxa"/>
          </w:tblCellMar>
        </w:tblPrEx>
        <w:trPr>
          <w:cantSplit/>
          <w:trHeight w:val="351"/>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Tumores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94.566</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37,37</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35.338</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20,10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59.228</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30,33</w:t>
            </w:r>
          </w:p>
        </w:tc>
      </w:tr>
      <w:tr w:rsidR="00000000">
        <w:tblPrEx>
          <w:tblCellMar>
            <w:top w:w="0" w:type="dxa"/>
            <w:bottom w:w="0" w:type="dxa"/>
          </w:tblCellMar>
        </w:tblPrEx>
        <w:trPr>
          <w:trHeight w:val="305"/>
          <w:jc w:val="center"/>
        </w:trPr>
        <w:tc>
          <w:tcPr>
            <w:tcW w:w="4111" w:type="dxa"/>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Enfermedades de las g. endocrinas, de la nutrición y del metabol.</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11.382</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61,74</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7.027</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4.355</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2,23</w:t>
            </w:r>
          </w:p>
        </w:tc>
      </w:tr>
      <w:tr w:rsidR="00000000">
        <w:tblPrEx>
          <w:tblCellMar>
            <w:top w:w="0" w:type="dxa"/>
            <w:bottom w:w="0" w:type="dxa"/>
          </w:tblCellMar>
        </w:tblPrEx>
        <w:trPr>
          <w:trHeight w:val="305"/>
          <w:jc w:val="center"/>
        </w:trPr>
        <w:tc>
          <w:tcPr>
            <w:tcW w:w="4111" w:type="dxa"/>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Enfermedades de la sangre y de los órganos hematopoyéticos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1.124</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57,21</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643</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0,37</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481</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0,25</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Trastornos mentales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11.520</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65,62</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7.559</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3.961</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2,03</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Enfermedades del s. nervioso y de los órganos de los sentidos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10.303</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56,80</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5.852</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3,33</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4.451</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2,28</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del aparato circulatorio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131.774</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54,48</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71.792</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40,83</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59.982</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30,72</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del aparato respiratorio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45.194</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41,44</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18.727</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10,65</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26.467</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13,56</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del aparato digestivo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18.972</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45,31</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8.596</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4,89</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10.376</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5,31</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del aparato genitourinario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7.713</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50,75</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3.914</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2,23</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3.799</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1,95</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Complicaciones del embarazo, del parto y del puerperio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100,00</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0,01</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0,00</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Enfermedades de la piel y del tejido celular subcutáneo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910</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69,01</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628</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0,36</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282</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0,14</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Enfermedades del sistema ósteomuscular y del tejido conjuntivo</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3.208</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70,23</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2.253</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1,28</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955</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0,49</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Anomalías congénitas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1.142</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46,41</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530</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612</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0,31</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Ciertas afecciones originadas en el periodo perinatal</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788</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43,91</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346</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0,20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442</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0,23</w:t>
            </w:r>
          </w:p>
        </w:tc>
      </w:tr>
      <w:tr w:rsidR="00000000">
        <w:tblPrEx>
          <w:tblCellMar>
            <w:top w:w="0" w:type="dxa"/>
            <w:bottom w:w="0" w:type="dxa"/>
          </w:tblCellMar>
        </w:tblPrEx>
        <w:trPr>
          <w:cantSplit/>
          <w:trHeight w:val="305"/>
          <w:jc w:val="center"/>
        </w:trPr>
        <w:tc>
          <w:tcPr>
            <w:tcW w:w="4111" w:type="dxa"/>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Síntoma y estados morbosos mal definidos</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9.550</w:t>
            </w:r>
          </w:p>
        </w:tc>
        <w:tc>
          <w:tcPr>
            <w:tcW w:w="70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57,10</w:t>
            </w:r>
          </w:p>
        </w:tc>
        <w:tc>
          <w:tcPr>
            <w:tcW w:w="851"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5.453</w:t>
            </w:r>
          </w:p>
        </w:tc>
        <w:tc>
          <w:tcPr>
            <w:tcW w:w="567"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3,10</w:t>
            </w:r>
          </w:p>
        </w:tc>
        <w:tc>
          <w:tcPr>
            <w:tcW w:w="850"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4.097</w:t>
            </w:r>
          </w:p>
        </w:tc>
        <w:tc>
          <w:tcPr>
            <w:tcW w:w="592"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2,10</w:t>
            </w:r>
          </w:p>
        </w:tc>
      </w:tr>
      <w:tr w:rsidR="00000000">
        <w:tblPrEx>
          <w:tblCellMar>
            <w:top w:w="0" w:type="dxa"/>
            <w:bottom w:w="0" w:type="dxa"/>
          </w:tblCellMar>
        </w:tblPrEx>
        <w:trPr>
          <w:cantSplit/>
          <w:trHeight w:val="319"/>
          <w:jc w:val="center"/>
        </w:trPr>
        <w:tc>
          <w:tcPr>
            <w:tcW w:w="4111" w:type="dxa"/>
            <w:tcBorders>
              <w:bottom w:val="single" w:sz="12" w:space="0" w:color="auto"/>
            </w:tcBorders>
          </w:tcPr>
          <w:p w:rsidR="00000000" w:rsidRDefault="00000000">
            <w:pPr>
              <w:rPr>
                <w:rFonts w:ascii="Arial" w:hAnsi="Arial"/>
                <w:b/>
                <w:snapToGrid w:val="0"/>
                <w:color w:val="000000"/>
                <w:sz w:val="16"/>
                <w:lang w:eastAsia="es-ES"/>
              </w:rPr>
            </w:pPr>
            <w:r>
              <w:rPr>
                <w:rFonts w:ascii="Arial" w:hAnsi="Arial"/>
                <w:snapToGrid w:val="0"/>
                <w:color w:val="000000"/>
                <w:sz w:val="16"/>
                <w:lang w:eastAsia="es-ES"/>
              </w:rPr>
              <w:t>Traumatismo y envenenamientos</w:t>
            </w:r>
          </w:p>
        </w:tc>
        <w:tc>
          <w:tcPr>
            <w:tcW w:w="851"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16.411</w:t>
            </w:r>
          </w:p>
        </w:tc>
        <w:tc>
          <w:tcPr>
            <w:tcW w:w="708"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27,94</w:t>
            </w:r>
          </w:p>
        </w:tc>
        <w:tc>
          <w:tcPr>
            <w:tcW w:w="851"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4.585</w:t>
            </w:r>
          </w:p>
        </w:tc>
        <w:tc>
          <w:tcPr>
            <w:tcW w:w="567"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2,61</w:t>
            </w:r>
          </w:p>
        </w:tc>
        <w:tc>
          <w:tcPr>
            <w:tcW w:w="850"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11.826</w:t>
            </w:r>
          </w:p>
        </w:tc>
        <w:tc>
          <w:tcPr>
            <w:tcW w:w="592"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6,06</w:t>
            </w:r>
          </w:p>
        </w:tc>
      </w:tr>
    </w:tbl>
    <w:p w:rsidR="00000000" w:rsidRDefault="00000000">
      <w:pPr>
        <w:ind w:left="666"/>
        <w:jc w:val="both"/>
        <w:rPr>
          <w:rFonts w:ascii="Arial" w:hAnsi="Arial"/>
          <w:sz w:val="16"/>
        </w:rPr>
      </w:pPr>
      <w:r>
        <w:rPr>
          <w:rFonts w:ascii="Arial" w:hAnsi="Arial"/>
          <w:sz w:val="16"/>
        </w:rPr>
        <w:t>Fuente: Elaboración propia a partir de los datos de "Defunciones según causa de muerte" INE. 1999</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Consumo de drogas: tabaco, alcohol y otros productos estupefacientes y psicotrópicos</w:t>
      </w:r>
    </w:p>
    <w:p w:rsidR="00000000" w:rsidRDefault="00000000">
      <w:pPr>
        <w:jc w:val="both"/>
        <w:rPr>
          <w:rFonts w:ascii="Arial" w:hAnsi="Arial"/>
        </w:rPr>
      </w:pPr>
    </w:p>
    <w:p w:rsidR="00000000" w:rsidRDefault="00000000">
      <w:pPr>
        <w:jc w:val="both"/>
        <w:rPr>
          <w:rFonts w:ascii="Arial" w:hAnsi="Arial"/>
        </w:rPr>
      </w:pPr>
      <w:r>
        <w:rPr>
          <w:rFonts w:ascii="Arial" w:hAnsi="Arial"/>
        </w:rPr>
        <w:t>Los datos que se ofrecen a continuación proceden del Informe nº 4 del Observatorio Español sobre Drogas, publicado en marzo de 2001 realizado a partir de tres encuestas llevadas a cabo en los años 1995, 1997 y 1999 y del estudio publicado por el Instituto de la Mujer, realizado por EDIS, 2000.</w:t>
      </w:r>
    </w:p>
    <w:p w:rsidR="00000000" w:rsidRDefault="00000000">
      <w:pPr>
        <w:jc w:val="both"/>
        <w:rPr>
          <w:rFonts w:ascii="Arial" w:hAnsi="Arial"/>
        </w:rPr>
      </w:pPr>
    </w:p>
    <w:p w:rsidR="00000000" w:rsidRDefault="00000000">
      <w:pPr>
        <w:jc w:val="both"/>
        <w:rPr>
          <w:rFonts w:ascii="Arial" w:hAnsi="Arial"/>
          <w:snapToGrid w:val="0"/>
          <w:color w:val="000000"/>
          <w:lang w:eastAsia="es-ES"/>
        </w:rPr>
      </w:pPr>
      <w:r>
        <w:rPr>
          <w:rFonts w:ascii="Arial" w:hAnsi="Arial"/>
          <w:snapToGrid w:val="0"/>
          <w:color w:val="000000"/>
          <w:lang w:eastAsia="es-ES"/>
        </w:rPr>
        <w:t xml:space="preserve">El análisis de la evolución registrada en el consumo de </w:t>
      </w:r>
      <w:r>
        <w:rPr>
          <w:rFonts w:ascii="Arial" w:hAnsi="Arial"/>
          <w:b/>
          <w:snapToGrid w:val="0"/>
          <w:color w:val="000000"/>
          <w:lang w:eastAsia="es-ES"/>
        </w:rPr>
        <w:t>tabaco</w:t>
      </w:r>
      <w:r>
        <w:rPr>
          <w:rFonts w:ascii="Arial" w:hAnsi="Arial"/>
          <w:snapToGrid w:val="0"/>
          <w:color w:val="000000"/>
          <w:lang w:eastAsia="es-ES"/>
        </w:rPr>
        <w:t xml:space="preserve"> confirma la existencia de tendencias contrapuestas en función del sexo. Mientras que en los hombres se observan continuadas reducciones desde 1995 (de 5,5 puntos porcentuales respecto a 1999), en las mujeres, se ha producido un incremento de 2,3 puntos entre 1997 y 1999, rompiendo de este modo la tendencia descendente que se venía observando, con carácter general, en los últimos años en el consumo de tabaco.      </w:t>
      </w:r>
    </w:p>
    <w:p w:rsidR="00000000" w:rsidRDefault="00000000">
      <w:pPr>
        <w:jc w:val="both"/>
        <w:rPr>
          <w:rFonts w:ascii="Arial" w:hAnsi="Arial"/>
          <w:snapToGrid w:val="0"/>
          <w:color w:val="FFFFFF"/>
          <w:lang w:eastAsia="es-ES"/>
        </w:rPr>
      </w:pPr>
      <w:r>
        <w:rPr>
          <w:rFonts w:ascii="Arial" w:hAnsi="Arial"/>
          <w:snapToGrid w:val="0"/>
          <w:color w:val="FFFFFF"/>
          <w:lang w:eastAsia="es-ES"/>
        </w:rPr>
        <w:t>18</w:t>
      </w:r>
    </w:p>
    <w:p w:rsidR="00000000" w:rsidRDefault="00000000">
      <w:pPr>
        <w:jc w:val="both"/>
        <w:rPr>
          <w:rFonts w:ascii="Arial" w:hAnsi="Arial"/>
          <w:snapToGrid w:val="0"/>
          <w:color w:val="000000"/>
          <w:lang w:eastAsia="es-ES"/>
        </w:rPr>
      </w:pPr>
      <w:r>
        <w:rPr>
          <w:rFonts w:ascii="Arial" w:hAnsi="Arial"/>
          <w:snapToGrid w:val="0"/>
          <w:color w:val="000000"/>
          <w:lang w:eastAsia="es-ES"/>
        </w:rPr>
        <w:t>Entre la población general de 15 a 65 años el consumo diario de tabaco es mayor entre los hombres (37.1%) que entre las mujeres (28.1%). No obstante, el porcentaje de mujeres fumadoras es superior al de hombres en los grupos de edad de 15 a 19 años y de 25 a 29 años, siendo en el primero de los intervalos en el que se registran las diferencias más acusadas (hay un 5,5% más de mujeres fumadoras que de hombres). El grupo de edad de las mujeres de mayor prevalencia de uso diario, es el de 25 a 29 años.</w:t>
      </w:r>
    </w:p>
    <w:p w:rsidR="00000000" w:rsidRDefault="00000000">
      <w:pPr>
        <w:jc w:val="both"/>
        <w:rPr>
          <w:rFonts w:ascii="Arial" w:hAnsi="Arial"/>
        </w:rPr>
      </w:pPr>
      <w:r>
        <w:rPr>
          <w:rFonts w:ascii="Arial" w:hAnsi="Arial"/>
          <w:noProof/>
        </w:rPr>
        <w:pict>
          <v:shape id="_x0000_s2065" type="#_x0000_t75" style="position:absolute;left:0;text-align:left;margin-left:18pt;margin-top:20pt;width:436.5pt;height:181.5pt;z-index:6;mso-position-horizontal:absolute;mso-position-horizontal-relative:text;mso-position-vertical:absolute;mso-position-vertical-relative:text" o:preferrelative="f" o:allowincell="f" filled="t">
            <v:fill color2="fill darken(118)" method="linear sigma" focus="100%" type="gradient"/>
            <v:imagedata r:id="rId34" o:title=""/>
            <o:lock v:ext="edit" aspectratio="f"/>
            <w10:wrap type="topAndBottom"/>
          </v:shape>
        </w:pic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al consumo de </w:t>
      </w:r>
      <w:r>
        <w:rPr>
          <w:rFonts w:ascii="Arial" w:hAnsi="Arial"/>
          <w:b/>
        </w:rPr>
        <w:t xml:space="preserve">alcohol, </w:t>
      </w:r>
      <w:r>
        <w:rPr>
          <w:rFonts w:ascii="Arial" w:hAnsi="Arial"/>
        </w:rPr>
        <w:t>en 1995, el grupo mayoritario era el de los hombres de 25 a 29 años y en 1999 también los hombres, pero de 35 a 39 años. Las mujeres entre 20-24 años registran mayores consumos en las tres encuestas. No obstante, debe destacarse el importante crecimiento que el consumo de alcohol ha registrado entre las mujeres más jóvenes (de 15 a 19 años) en el período 1995-1999.</w:t>
      </w:r>
    </w:p>
    <w:p w:rsidR="00000000" w:rsidRDefault="00000000">
      <w:pPr>
        <w:jc w:val="both"/>
        <w:rPr>
          <w:rFonts w:ascii="Arial" w:hAnsi="Arial"/>
        </w:rPr>
      </w:pPr>
    </w:p>
    <w:p w:rsidR="00000000" w:rsidRDefault="00000000">
      <w:pPr>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851"/>
        <w:gridCol w:w="850"/>
        <w:gridCol w:w="1134"/>
        <w:gridCol w:w="1134"/>
        <w:gridCol w:w="1276"/>
        <w:gridCol w:w="1134"/>
      </w:tblGrid>
      <w:tr w:rsidR="00000000">
        <w:tblPrEx>
          <w:tblCellMar>
            <w:top w:w="0" w:type="dxa"/>
            <w:bottom w:w="0" w:type="dxa"/>
          </w:tblCellMar>
        </w:tblPrEx>
        <w:trPr>
          <w:cantSplit/>
          <w:jc w:val="center"/>
        </w:trPr>
        <w:tc>
          <w:tcPr>
            <w:tcW w:w="1559" w:type="dxa"/>
          </w:tcPr>
          <w:p w:rsidR="00000000" w:rsidRDefault="00000000">
            <w:pPr>
              <w:jc w:val="center"/>
              <w:rPr>
                <w:rFonts w:ascii="Arial" w:hAnsi="Arial"/>
                <w:sz w:val="16"/>
              </w:rPr>
            </w:pPr>
          </w:p>
        </w:tc>
        <w:tc>
          <w:tcPr>
            <w:tcW w:w="1701" w:type="dxa"/>
            <w:gridSpan w:val="2"/>
          </w:tcPr>
          <w:p w:rsidR="00000000" w:rsidRDefault="00000000">
            <w:pPr>
              <w:jc w:val="center"/>
              <w:rPr>
                <w:rFonts w:ascii="Arial" w:hAnsi="Arial"/>
                <w:sz w:val="16"/>
              </w:rPr>
            </w:pPr>
            <w:r>
              <w:rPr>
                <w:rFonts w:ascii="Arial" w:hAnsi="Arial"/>
                <w:sz w:val="16"/>
              </w:rPr>
              <w:t>1995</w:t>
            </w:r>
          </w:p>
        </w:tc>
        <w:tc>
          <w:tcPr>
            <w:tcW w:w="2268" w:type="dxa"/>
            <w:gridSpan w:val="2"/>
          </w:tcPr>
          <w:p w:rsidR="00000000" w:rsidRDefault="00000000">
            <w:pPr>
              <w:jc w:val="center"/>
              <w:rPr>
                <w:rFonts w:ascii="Arial" w:hAnsi="Arial"/>
                <w:sz w:val="16"/>
              </w:rPr>
            </w:pPr>
            <w:r>
              <w:rPr>
                <w:rFonts w:ascii="Arial" w:hAnsi="Arial"/>
                <w:sz w:val="16"/>
              </w:rPr>
              <w:t>1997</w:t>
            </w:r>
          </w:p>
        </w:tc>
        <w:tc>
          <w:tcPr>
            <w:tcW w:w="2410" w:type="dxa"/>
            <w:gridSpan w:val="2"/>
          </w:tcPr>
          <w:p w:rsidR="00000000" w:rsidRDefault="00000000">
            <w:pPr>
              <w:jc w:val="center"/>
              <w:rPr>
                <w:rFonts w:ascii="Arial" w:hAnsi="Arial"/>
                <w:sz w:val="16"/>
              </w:rPr>
            </w:pPr>
            <w:r>
              <w:rPr>
                <w:rFonts w:ascii="Arial" w:hAnsi="Arial"/>
                <w:sz w:val="16"/>
              </w:rPr>
              <w:t>1999</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Grupo de edad</w:t>
            </w:r>
          </w:p>
        </w:tc>
        <w:tc>
          <w:tcPr>
            <w:tcW w:w="851" w:type="dxa"/>
          </w:tcPr>
          <w:p w:rsidR="00000000" w:rsidRDefault="00000000">
            <w:pPr>
              <w:jc w:val="center"/>
              <w:rPr>
                <w:rFonts w:ascii="Arial" w:hAnsi="Arial"/>
                <w:sz w:val="16"/>
              </w:rPr>
            </w:pPr>
            <w:r>
              <w:rPr>
                <w:rFonts w:ascii="Arial" w:hAnsi="Arial"/>
                <w:sz w:val="16"/>
              </w:rPr>
              <w:t>Hombres</w:t>
            </w:r>
          </w:p>
        </w:tc>
        <w:tc>
          <w:tcPr>
            <w:tcW w:w="850" w:type="dxa"/>
          </w:tcPr>
          <w:p w:rsidR="00000000" w:rsidRDefault="00000000">
            <w:pPr>
              <w:jc w:val="center"/>
              <w:rPr>
                <w:rFonts w:ascii="Arial" w:hAnsi="Arial"/>
                <w:sz w:val="16"/>
              </w:rPr>
            </w:pPr>
            <w:r>
              <w:rPr>
                <w:rFonts w:ascii="Arial" w:hAnsi="Arial"/>
                <w:sz w:val="16"/>
              </w:rPr>
              <w:t>Mujeres</w:t>
            </w:r>
          </w:p>
        </w:tc>
        <w:tc>
          <w:tcPr>
            <w:tcW w:w="1134" w:type="dxa"/>
          </w:tcPr>
          <w:p w:rsidR="00000000" w:rsidRDefault="00000000">
            <w:pPr>
              <w:jc w:val="center"/>
              <w:rPr>
                <w:rFonts w:ascii="Arial" w:hAnsi="Arial"/>
                <w:sz w:val="16"/>
              </w:rPr>
            </w:pPr>
            <w:r>
              <w:rPr>
                <w:rFonts w:ascii="Arial" w:hAnsi="Arial"/>
                <w:sz w:val="16"/>
              </w:rPr>
              <w:t>Hombres</w:t>
            </w:r>
          </w:p>
        </w:tc>
        <w:tc>
          <w:tcPr>
            <w:tcW w:w="1134" w:type="dxa"/>
          </w:tcPr>
          <w:p w:rsidR="00000000" w:rsidRDefault="00000000">
            <w:pPr>
              <w:jc w:val="center"/>
              <w:rPr>
                <w:rFonts w:ascii="Arial" w:hAnsi="Arial"/>
                <w:sz w:val="16"/>
              </w:rPr>
            </w:pPr>
            <w:r>
              <w:rPr>
                <w:rFonts w:ascii="Arial" w:hAnsi="Arial"/>
                <w:sz w:val="16"/>
              </w:rPr>
              <w:t>Mujeres</w:t>
            </w:r>
          </w:p>
        </w:tc>
        <w:tc>
          <w:tcPr>
            <w:tcW w:w="1276" w:type="dxa"/>
          </w:tcPr>
          <w:p w:rsidR="00000000" w:rsidRDefault="00000000">
            <w:pPr>
              <w:jc w:val="center"/>
              <w:rPr>
                <w:rFonts w:ascii="Arial" w:hAnsi="Arial"/>
                <w:sz w:val="16"/>
              </w:rPr>
            </w:pPr>
            <w:r>
              <w:rPr>
                <w:rFonts w:ascii="Arial" w:hAnsi="Arial"/>
                <w:sz w:val="16"/>
              </w:rPr>
              <w:t>Hombres</w:t>
            </w:r>
          </w:p>
        </w:tc>
        <w:tc>
          <w:tcPr>
            <w:tcW w:w="1134" w:type="dxa"/>
          </w:tcPr>
          <w:p w:rsidR="00000000" w:rsidRDefault="00000000">
            <w:pPr>
              <w:jc w:val="center"/>
              <w:rPr>
                <w:rFonts w:ascii="Arial" w:hAnsi="Arial"/>
                <w:sz w:val="16"/>
              </w:rPr>
            </w:pPr>
            <w:r>
              <w:rPr>
                <w:rFonts w:ascii="Arial" w:hAnsi="Arial"/>
                <w:sz w:val="16"/>
              </w:rPr>
              <w:t>Mujeres</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15-19</w:t>
            </w:r>
          </w:p>
        </w:tc>
        <w:tc>
          <w:tcPr>
            <w:tcW w:w="851" w:type="dxa"/>
          </w:tcPr>
          <w:p w:rsidR="00000000" w:rsidRDefault="00000000">
            <w:pPr>
              <w:jc w:val="center"/>
              <w:rPr>
                <w:rFonts w:ascii="Arial" w:hAnsi="Arial"/>
                <w:sz w:val="16"/>
              </w:rPr>
            </w:pPr>
            <w:r>
              <w:rPr>
                <w:rFonts w:ascii="Arial" w:hAnsi="Arial"/>
                <w:sz w:val="16"/>
              </w:rPr>
              <w:t>56.8</w:t>
            </w:r>
          </w:p>
        </w:tc>
        <w:tc>
          <w:tcPr>
            <w:tcW w:w="850" w:type="dxa"/>
          </w:tcPr>
          <w:p w:rsidR="00000000" w:rsidRDefault="00000000">
            <w:pPr>
              <w:jc w:val="center"/>
              <w:rPr>
                <w:rFonts w:ascii="Arial" w:hAnsi="Arial"/>
                <w:sz w:val="16"/>
              </w:rPr>
            </w:pPr>
            <w:r>
              <w:rPr>
                <w:rFonts w:ascii="Arial" w:hAnsi="Arial"/>
                <w:sz w:val="16"/>
              </w:rPr>
              <w:t>37.7</w:t>
            </w:r>
          </w:p>
        </w:tc>
        <w:tc>
          <w:tcPr>
            <w:tcW w:w="1134" w:type="dxa"/>
          </w:tcPr>
          <w:p w:rsidR="00000000" w:rsidRDefault="00000000">
            <w:pPr>
              <w:jc w:val="center"/>
              <w:rPr>
                <w:rFonts w:ascii="Arial" w:hAnsi="Arial"/>
                <w:sz w:val="16"/>
              </w:rPr>
            </w:pPr>
            <w:r>
              <w:rPr>
                <w:rFonts w:ascii="Arial" w:hAnsi="Arial"/>
                <w:sz w:val="16"/>
              </w:rPr>
              <w:t>53.8</w:t>
            </w:r>
          </w:p>
        </w:tc>
        <w:tc>
          <w:tcPr>
            <w:tcW w:w="1134" w:type="dxa"/>
          </w:tcPr>
          <w:p w:rsidR="00000000" w:rsidRDefault="00000000">
            <w:pPr>
              <w:jc w:val="center"/>
              <w:rPr>
                <w:rFonts w:ascii="Arial" w:hAnsi="Arial"/>
                <w:sz w:val="16"/>
              </w:rPr>
            </w:pPr>
            <w:r>
              <w:rPr>
                <w:rFonts w:ascii="Arial" w:hAnsi="Arial"/>
                <w:sz w:val="16"/>
              </w:rPr>
              <w:t>46.2</w:t>
            </w:r>
          </w:p>
        </w:tc>
        <w:tc>
          <w:tcPr>
            <w:tcW w:w="1276" w:type="dxa"/>
          </w:tcPr>
          <w:p w:rsidR="00000000" w:rsidRDefault="00000000">
            <w:pPr>
              <w:jc w:val="center"/>
              <w:rPr>
                <w:rFonts w:ascii="Arial" w:hAnsi="Arial"/>
                <w:sz w:val="16"/>
              </w:rPr>
            </w:pPr>
            <w:r>
              <w:rPr>
                <w:rFonts w:ascii="Arial" w:hAnsi="Arial"/>
                <w:sz w:val="16"/>
              </w:rPr>
              <w:t>54.9</w:t>
            </w:r>
          </w:p>
        </w:tc>
        <w:tc>
          <w:tcPr>
            <w:tcW w:w="1134" w:type="dxa"/>
          </w:tcPr>
          <w:p w:rsidR="00000000" w:rsidRDefault="00000000">
            <w:pPr>
              <w:jc w:val="center"/>
              <w:rPr>
                <w:rFonts w:ascii="Arial" w:hAnsi="Arial"/>
                <w:sz w:val="16"/>
              </w:rPr>
            </w:pPr>
            <w:r>
              <w:rPr>
                <w:rFonts w:ascii="Arial" w:hAnsi="Arial"/>
                <w:sz w:val="16"/>
              </w:rPr>
              <w:t>50.9</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20-24</w:t>
            </w:r>
          </w:p>
        </w:tc>
        <w:tc>
          <w:tcPr>
            <w:tcW w:w="851" w:type="dxa"/>
          </w:tcPr>
          <w:p w:rsidR="00000000" w:rsidRDefault="00000000">
            <w:pPr>
              <w:jc w:val="center"/>
              <w:rPr>
                <w:rFonts w:ascii="Arial" w:hAnsi="Arial"/>
                <w:sz w:val="16"/>
              </w:rPr>
            </w:pPr>
            <w:r>
              <w:rPr>
                <w:rFonts w:ascii="Arial" w:hAnsi="Arial"/>
                <w:sz w:val="16"/>
              </w:rPr>
              <w:t>75.6</w:t>
            </w:r>
          </w:p>
        </w:tc>
        <w:tc>
          <w:tcPr>
            <w:tcW w:w="850" w:type="dxa"/>
          </w:tcPr>
          <w:p w:rsidR="00000000" w:rsidRDefault="00000000">
            <w:pPr>
              <w:jc w:val="center"/>
              <w:rPr>
                <w:rFonts w:ascii="Arial" w:hAnsi="Arial"/>
                <w:sz w:val="16"/>
              </w:rPr>
            </w:pPr>
            <w:r>
              <w:rPr>
                <w:rFonts w:ascii="Arial" w:hAnsi="Arial"/>
                <w:sz w:val="16"/>
              </w:rPr>
              <w:t>53.2</w:t>
            </w:r>
          </w:p>
        </w:tc>
        <w:tc>
          <w:tcPr>
            <w:tcW w:w="1134" w:type="dxa"/>
          </w:tcPr>
          <w:p w:rsidR="00000000" w:rsidRDefault="00000000">
            <w:pPr>
              <w:jc w:val="center"/>
              <w:rPr>
                <w:rFonts w:ascii="Arial" w:hAnsi="Arial"/>
                <w:sz w:val="16"/>
              </w:rPr>
            </w:pPr>
            <w:r>
              <w:rPr>
                <w:rFonts w:ascii="Arial" w:hAnsi="Arial"/>
                <w:sz w:val="16"/>
              </w:rPr>
              <w:t>79.1</w:t>
            </w:r>
          </w:p>
        </w:tc>
        <w:tc>
          <w:tcPr>
            <w:tcW w:w="1134" w:type="dxa"/>
          </w:tcPr>
          <w:p w:rsidR="00000000" w:rsidRDefault="00000000">
            <w:pPr>
              <w:jc w:val="center"/>
              <w:rPr>
                <w:rFonts w:ascii="Arial" w:hAnsi="Arial"/>
                <w:sz w:val="16"/>
              </w:rPr>
            </w:pPr>
            <w:r>
              <w:rPr>
                <w:rFonts w:ascii="Arial" w:hAnsi="Arial"/>
                <w:sz w:val="16"/>
              </w:rPr>
              <w:t>60.4</w:t>
            </w:r>
          </w:p>
        </w:tc>
        <w:tc>
          <w:tcPr>
            <w:tcW w:w="1276" w:type="dxa"/>
          </w:tcPr>
          <w:p w:rsidR="00000000" w:rsidRDefault="00000000">
            <w:pPr>
              <w:jc w:val="center"/>
              <w:rPr>
                <w:rFonts w:ascii="Arial" w:hAnsi="Arial"/>
                <w:sz w:val="16"/>
              </w:rPr>
            </w:pPr>
            <w:r>
              <w:rPr>
                <w:rFonts w:ascii="Arial" w:hAnsi="Arial"/>
                <w:sz w:val="16"/>
              </w:rPr>
              <w:t>76.5</w:t>
            </w:r>
          </w:p>
        </w:tc>
        <w:tc>
          <w:tcPr>
            <w:tcW w:w="1134" w:type="dxa"/>
          </w:tcPr>
          <w:p w:rsidR="00000000" w:rsidRDefault="00000000">
            <w:pPr>
              <w:jc w:val="center"/>
              <w:rPr>
                <w:rFonts w:ascii="Arial" w:hAnsi="Arial"/>
                <w:sz w:val="16"/>
              </w:rPr>
            </w:pPr>
            <w:r>
              <w:rPr>
                <w:rFonts w:ascii="Arial" w:hAnsi="Arial"/>
                <w:sz w:val="16"/>
              </w:rPr>
              <w:t>65.3</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25-29</w:t>
            </w:r>
          </w:p>
        </w:tc>
        <w:tc>
          <w:tcPr>
            <w:tcW w:w="851" w:type="dxa"/>
          </w:tcPr>
          <w:p w:rsidR="00000000" w:rsidRDefault="00000000">
            <w:pPr>
              <w:jc w:val="center"/>
              <w:rPr>
                <w:rFonts w:ascii="Arial" w:hAnsi="Arial"/>
                <w:sz w:val="16"/>
              </w:rPr>
            </w:pPr>
            <w:r>
              <w:rPr>
                <w:rFonts w:ascii="Arial" w:hAnsi="Arial"/>
                <w:sz w:val="16"/>
              </w:rPr>
              <w:t>77.9</w:t>
            </w:r>
          </w:p>
        </w:tc>
        <w:tc>
          <w:tcPr>
            <w:tcW w:w="850" w:type="dxa"/>
          </w:tcPr>
          <w:p w:rsidR="00000000" w:rsidRDefault="00000000">
            <w:pPr>
              <w:jc w:val="center"/>
              <w:rPr>
                <w:rFonts w:ascii="Arial" w:hAnsi="Arial"/>
                <w:sz w:val="16"/>
              </w:rPr>
            </w:pPr>
            <w:r>
              <w:rPr>
                <w:rFonts w:ascii="Arial" w:hAnsi="Arial"/>
                <w:sz w:val="16"/>
              </w:rPr>
              <w:t>46.0</w:t>
            </w:r>
          </w:p>
        </w:tc>
        <w:tc>
          <w:tcPr>
            <w:tcW w:w="1134" w:type="dxa"/>
          </w:tcPr>
          <w:p w:rsidR="00000000" w:rsidRDefault="00000000">
            <w:pPr>
              <w:jc w:val="center"/>
              <w:rPr>
                <w:rFonts w:ascii="Arial" w:hAnsi="Arial"/>
                <w:sz w:val="16"/>
              </w:rPr>
            </w:pPr>
            <w:r>
              <w:rPr>
                <w:rFonts w:ascii="Arial" w:hAnsi="Arial"/>
                <w:sz w:val="16"/>
              </w:rPr>
              <w:t>76.9</w:t>
            </w:r>
          </w:p>
        </w:tc>
        <w:tc>
          <w:tcPr>
            <w:tcW w:w="1134" w:type="dxa"/>
          </w:tcPr>
          <w:p w:rsidR="00000000" w:rsidRDefault="00000000">
            <w:pPr>
              <w:jc w:val="center"/>
              <w:rPr>
                <w:rFonts w:ascii="Arial" w:hAnsi="Arial"/>
                <w:sz w:val="16"/>
              </w:rPr>
            </w:pPr>
            <w:r>
              <w:rPr>
                <w:rFonts w:ascii="Arial" w:hAnsi="Arial"/>
                <w:sz w:val="16"/>
              </w:rPr>
              <w:t>55.1</w:t>
            </w:r>
          </w:p>
        </w:tc>
        <w:tc>
          <w:tcPr>
            <w:tcW w:w="1276" w:type="dxa"/>
          </w:tcPr>
          <w:p w:rsidR="00000000" w:rsidRDefault="00000000">
            <w:pPr>
              <w:jc w:val="center"/>
              <w:rPr>
                <w:rFonts w:ascii="Arial" w:hAnsi="Arial"/>
                <w:sz w:val="16"/>
              </w:rPr>
            </w:pPr>
            <w:r>
              <w:rPr>
                <w:rFonts w:ascii="Arial" w:hAnsi="Arial"/>
                <w:sz w:val="16"/>
              </w:rPr>
              <w:t>77.6</w:t>
            </w:r>
          </w:p>
        </w:tc>
        <w:tc>
          <w:tcPr>
            <w:tcW w:w="1134" w:type="dxa"/>
          </w:tcPr>
          <w:p w:rsidR="00000000" w:rsidRDefault="00000000">
            <w:pPr>
              <w:jc w:val="center"/>
              <w:rPr>
                <w:rFonts w:ascii="Arial" w:hAnsi="Arial"/>
                <w:sz w:val="16"/>
              </w:rPr>
            </w:pPr>
            <w:r>
              <w:rPr>
                <w:rFonts w:ascii="Arial" w:hAnsi="Arial"/>
                <w:sz w:val="16"/>
              </w:rPr>
              <w:t>62.6</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30-34</w:t>
            </w:r>
          </w:p>
        </w:tc>
        <w:tc>
          <w:tcPr>
            <w:tcW w:w="851" w:type="dxa"/>
          </w:tcPr>
          <w:p w:rsidR="00000000" w:rsidRDefault="00000000">
            <w:pPr>
              <w:jc w:val="center"/>
              <w:rPr>
                <w:rFonts w:ascii="Arial" w:hAnsi="Arial"/>
                <w:sz w:val="16"/>
              </w:rPr>
            </w:pPr>
            <w:r>
              <w:rPr>
                <w:rFonts w:ascii="Arial" w:hAnsi="Arial"/>
                <w:sz w:val="16"/>
              </w:rPr>
              <w:t>70.2</w:t>
            </w:r>
          </w:p>
        </w:tc>
        <w:tc>
          <w:tcPr>
            <w:tcW w:w="850" w:type="dxa"/>
          </w:tcPr>
          <w:p w:rsidR="00000000" w:rsidRDefault="00000000">
            <w:pPr>
              <w:jc w:val="center"/>
              <w:rPr>
                <w:rFonts w:ascii="Arial" w:hAnsi="Arial"/>
                <w:sz w:val="16"/>
              </w:rPr>
            </w:pPr>
            <w:r>
              <w:rPr>
                <w:rFonts w:ascii="Arial" w:hAnsi="Arial"/>
                <w:sz w:val="16"/>
              </w:rPr>
              <w:t>39.8</w:t>
            </w:r>
          </w:p>
        </w:tc>
        <w:tc>
          <w:tcPr>
            <w:tcW w:w="1134" w:type="dxa"/>
          </w:tcPr>
          <w:p w:rsidR="00000000" w:rsidRDefault="00000000">
            <w:pPr>
              <w:jc w:val="center"/>
              <w:rPr>
                <w:rFonts w:ascii="Arial" w:hAnsi="Arial"/>
                <w:sz w:val="16"/>
              </w:rPr>
            </w:pPr>
            <w:r>
              <w:rPr>
                <w:rFonts w:ascii="Arial" w:hAnsi="Arial"/>
                <w:sz w:val="16"/>
              </w:rPr>
              <w:t>80.3</w:t>
            </w:r>
          </w:p>
        </w:tc>
        <w:tc>
          <w:tcPr>
            <w:tcW w:w="1134" w:type="dxa"/>
          </w:tcPr>
          <w:p w:rsidR="00000000" w:rsidRDefault="00000000">
            <w:pPr>
              <w:jc w:val="center"/>
              <w:rPr>
                <w:rFonts w:ascii="Arial" w:hAnsi="Arial"/>
                <w:sz w:val="16"/>
              </w:rPr>
            </w:pPr>
            <w:r>
              <w:rPr>
                <w:rFonts w:ascii="Arial" w:hAnsi="Arial"/>
                <w:sz w:val="16"/>
              </w:rPr>
              <w:t>52.3</w:t>
            </w:r>
          </w:p>
        </w:tc>
        <w:tc>
          <w:tcPr>
            <w:tcW w:w="1276" w:type="dxa"/>
          </w:tcPr>
          <w:p w:rsidR="00000000" w:rsidRDefault="00000000">
            <w:pPr>
              <w:jc w:val="center"/>
              <w:rPr>
                <w:rFonts w:ascii="Arial" w:hAnsi="Arial"/>
                <w:sz w:val="16"/>
              </w:rPr>
            </w:pPr>
            <w:r>
              <w:rPr>
                <w:rFonts w:ascii="Arial" w:hAnsi="Arial"/>
                <w:sz w:val="16"/>
              </w:rPr>
              <w:t>79.2</w:t>
            </w:r>
          </w:p>
        </w:tc>
        <w:tc>
          <w:tcPr>
            <w:tcW w:w="1134" w:type="dxa"/>
          </w:tcPr>
          <w:p w:rsidR="00000000" w:rsidRDefault="00000000">
            <w:pPr>
              <w:jc w:val="center"/>
              <w:rPr>
                <w:rFonts w:ascii="Arial" w:hAnsi="Arial"/>
                <w:sz w:val="16"/>
              </w:rPr>
            </w:pPr>
            <w:r>
              <w:rPr>
                <w:rFonts w:ascii="Arial" w:hAnsi="Arial"/>
                <w:sz w:val="16"/>
              </w:rPr>
              <w:t>55.7</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35-39</w:t>
            </w:r>
          </w:p>
        </w:tc>
        <w:tc>
          <w:tcPr>
            <w:tcW w:w="851" w:type="dxa"/>
          </w:tcPr>
          <w:p w:rsidR="00000000" w:rsidRDefault="00000000">
            <w:pPr>
              <w:jc w:val="center"/>
              <w:rPr>
                <w:rFonts w:ascii="Arial" w:hAnsi="Arial"/>
                <w:sz w:val="16"/>
              </w:rPr>
            </w:pPr>
            <w:r>
              <w:rPr>
                <w:rFonts w:ascii="Arial" w:hAnsi="Arial"/>
                <w:sz w:val="16"/>
              </w:rPr>
              <w:t>73.1</w:t>
            </w:r>
          </w:p>
        </w:tc>
        <w:tc>
          <w:tcPr>
            <w:tcW w:w="850" w:type="dxa"/>
          </w:tcPr>
          <w:p w:rsidR="00000000" w:rsidRDefault="00000000">
            <w:pPr>
              <w:jc w:val="center"/>
              <w:rPr>
                <w:rFonts w:ascii="Arial" w:hAnsi="Arial"/>
                <w:sz w:val="16"/>
              </w:rPr>
            </w:pPr>
            <w:r>
              <w:rPr>
                <w:rFonts w:ascii="Arial" w:hAnsi="Arial"/>
                <w:sz w:val="16"/>
              </w:rPr>
              <w:t>45.1</w:t>
            </w:r>
          </w:p>
        </w:tc>
        <w:tc>
          <w:tcPr>
            <w:tcW w:w="1134" w:type="dxa"/>
          </w:tcPr>
          <w:p w:rsidR="00000000" w:rsidRDefault="00000000">
            <w:pPr>
              <w:jc w:val="center"/>
              <w:rPr>
                <w:rFonts w:ascii="Arial" w:hAnsi="Arial"/>
                <w:sz w:val="16"/>
              </w:rPr>
            </w:pPr>
            <w:r>
              <w:rPr>
                <w:rFonts w:ascii="Arial" w:hAnsi="Arial"/>
                <w:sz w:val="16"/>
              </w:rPr>
              <w:t>80.3</w:t>
            </w:r>
          </w:p>
        </w:tc>
        <w:tc>
          <w:tcPr>
            <w:tcW w:w="1134" w:type="dxa"/>
          </w:tcPr>
          <w:p w:rsidR="00000000" w:rsidRDefault="00000000">
            <w:pPr>
              <w:jc w:val="center"/>
              <w:rPr>
                <w:rFonts w:ascii="Arial" w:hAnsi="Arial"/>
                <w:sz w:val="16"/>
              </w:rPr>
            </w:pPr>
            <w:r>
              <w:rPr>
                <w:rFonts w:ascii="Arial" w:hAnsi="Arial"/>
                <w:sz w:val="16"/>
              </w:rPr>
              <w:t>53.7</w:t>
            </w:r>
          </w:p>
        </w:tc>
        <w:tc>
          <w:tcPr>
            <w:tcW w:w="1276" w:type="dxa"/>
          </w:tcPr>
          <w:p w:rsidR="00000000" w:rsidRDefault="00000000">
            <w:pPr>
              <w:jc w:val="center"/>
              <w:rPr>
                <w:rFonts w:ascii="Arial" w:hAnsi="Arial"/>
                <w:sz w:val="16"/>
              </w:rPr>
            </w:pPr>
            <w:r>
              <w:rPr>
                <w:rFonts w:ascii="Arial" w:hAnsi="Arial"/>
                <w:sz w:val="16"/>
              </w:rPr>
              <w:t>83.0</w:t>
            </w:r>
          </w:p>
        </w:tc>
        <w:tc>
          <w:tcPr>
            <w:tcW w:w="1134" w:type="dxa"/>
          </w:tcPr>
          <w:p w:rsidR="00000000" w:rsidRDefault="00000000">
            <w:pPr>
              <w:jc w:val="center"/>
              <w:rPr>
                <w:rFonts w:ascii="Arial" w:hAnsi="Arial"/>
                <w:sz w:val="16"/>
              </w:rPr>
            </w:pPr>
            <w:r>
              <w:rPr>
                <w:rFonts w:ascii="Arial" w:hAnsi="Arial"/>
                <w:sz w:val="16"/>
              </w:rPr>
              <w:t>52.0</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40-65</w:t>
            </w:r>
          </w:p>
        </w:tc>
        <w:tc>
          <w:tcPr>
            <w:tcW w:w="851" w:type="dxa"/>
          </w:tcPr>
          <w:p w:rsidR="00000000" w:rsidRDefault="00000000">
            <w:pPr>
              <w:jc w:val="center"/>
              <w:rPr>
                <w:rFonts w:ascii="Arial" w:hAnsi="Arial"/>
                <w:sz w:val="16"/>
              </w:rPr>
            </w:pPr>
            <w:r>
              <w:rPr>
                <w:rFonts w:ascii="Arial" w:hAnsi="Arial"/>
                <w:sz w:val="16"/>
              </w:rPr>
              <w:t>65.2</w:t>
            </w:r>
          </w:p>
        </w:tc>
        <w:tc>
          <w:tcPr>
            <w:tcW w:w="850" w:type="dxa"/>
          </w:tcPr>
          <w:p w:rsidR="00000000" w:rsidRDefault="00000000">
            <w:pPr>
              <w:jc w:val="center"/>
              <w:rPr>
                <w:rFonts w:ascii="Arial" w:hAnsi="Arial"/>
                <w:sz w:val="16"/>
              </w:rPr>
            </w:pPr>
            <w:r>
              <w:rPr>
                <w:rFonts w:ascii="Arial" w:hAnsi="Arial"/>
                <w:sz w:val="16"/>
              </w:rPr>
              <w:t>29.6</w:t>
            </w:r>
          </w:p>
        </w:tc>
        <w:tc>
          <w:tcPr>
            <w:tcW w:w="1134" w:type="dxa"/>
          </w:tcPr>
          <w:p w:rsidR="00000000" w:rsidRDefault="00000000">
            <w:pPr>
              <w:jc w:val="center"/>
              <w:rPr>
                <w:rFonts w:ascii="Arial" w:hAnsi="Arial"/>
                <w:sz w:val="16"/>
              </w:rPr>
            </w:pPr>
            <w:r>
              <w:rPr>
                <w:rFonts w:ascii="Arial" w:hAnsi="Arial"/>
                <w:sz w:val="16"/>
              </w:rPr>
              <w:t>73.3</w:t>
            </w:r>
          </w:p>
        </w:tc>
        <w:tc>
          <w:tcPr>
            <w:tcW w:w="1134" w:type="dxa"/>
          </w:tcPr>
          <w:p w:rsidR="00000000" w:rsidRDefault="00000000">
            <w:pPr>
              <w:jc w:val="center"/>
              <w:rPr>
                <w:rFonts w:ascii="Arial" w:hAnsi="Arial"/>
                <w:sz w:val="16"/>
              </w:rPr>
            </w:pPr>
            <w:r>
              <w:rPr>
                <w:rFonts w:ascii="Arial" w:hAnsi="Arial"/>
                <w:sz w:val="16"/>
              </w:rPr>
              <w:t>41.5</w:t>
            </w:r>
          </w:p>
        </w:tc>
        <w:tc>
          <w:tcPr>
            <w:tcW w:w="1276" w:type="dxa"/>
          </w:tcPr>
          <w:p w:rsidR="00000000" w:rsidRDefault="00000000">
            <w:pPr>
              <w:jc w:val="center"/>
              <w:rPr>
                <w:rFonts w:ascii="Arial" w:hAnsi="Arial"/>
                <w:sz w:val="16"/>
              </w:rPr>
            </w:pPr>
            <w:r>
              <w:rPr>
                <w:rFonts w:ascii="Arial" w:hAnsi="Arial"/>
                <w:sz w:val="16"/>
              </w:rPr>
              <w:t>74.5</w:t>
            </w:r>
          </w:p>
        </w:tc>
        <w:tc>
          <w:tcPr>
            <w:tcW w:w="1134" w:type="dxa"/>
          </w:tcPr>
          <w:p w:rsidR="00000000" w:rsidRDefault="00000000">
            <w:pPr>
              <w:jc w:val="center"/>
              <w:rPr>
                <w:rFonts w:ascii="Arial" w:hAnsi="Arial"/>
                <w:sz w:val="16"/>
              </w:rPr>
            </w:pPr>
            <w:r>
              <w:rPr>
                <w:rFonts w:ascii="Arial" w:hAnsi="Arial"/>
                <w:sz w:val="16"/>
              </w:rPr>
              <w:t>42.1</w:t>
            </w:r>
          </w:p>
        </w:tc>
      </w:tr>
      <w:tr w:rsidR="00000000">
        <w:tblPrEx>
          <w:tblCellMar>
            <w:top w:w="0" w:type="dxa"/>
            <w:bottom w:w="0" w:type="dxa"/>
          </w:tblCellMar>
        </w:tblPrEx>
        <w:trPr>
          <w:jc w:val="center"/>
        </w:trPr>
        <w:tc>
          <w:tcPr>
            <w:tcW w:w="1559" w:type="dxa"/>
          </w:tcPr>
          <w:p w:rsidR="00000000" w:rsidRDefault="00000000">
            <w:pPr>
              <w:jc w:val="center"/>
              <w:rPr>
                <w:rFonts w:ascii="Arial" w:hAnsi="Arial"/>
                <w:sz w:val="16"/>
              </w:rPr>
            </w:pPr>
            <w:r>
              <w:rPr>
                <w:rFonts w:ascii="Arial" w:hAnsi="Arial"/>
                <w:sz w:val="16"/>
              </w:rPr>
              <w:t>15-65</w:t>
            </w:r>
          </w:p>
        </w:tc>
        <w:tc>
          <w:tcPr>
            <w:tcW w:w="851" w:type="dxa"/>
          </w:tcPr>
          <w:p w:rsidR="00000000" w:rsidRDefault="00000000">
            <w:pPr>
              <w:jc w:val="center"/>
              <w:rPr>
                <w:rFonts w:ascii="Arial" w:hAnsi="Arial"/>
                <w:sz w:val="16"/>
              </w:rPr>
            </w:pPr>
            <w:r>
              <w:rPr>
                <w:rFonts w:ascii="Arial" w:hAnsi="Arial"/>
                <w:sz w:val="16"/>
              </w:rPr>
              <w:t>68.4</w:t>
            </w:r>
          </w:p>
        </w:tc>
        <w:tc>
          <w:tcPr>
            <w:tcW w:w="850" w:type="dxa"/>
          </w:tcPr>
          <w:p w:rsidR="00000000" w:rsidRDefault="00000000">
            <w:pPr>
              <w:jc w:val="center"/>
              <w:rPr>
                <w:rFonts w:ascii="Arial" w:hAnsi="Arial"/>
                <w:sz w:val="16"/>
              </w:rPr>
            </w:pPr>
            <w:r>
              <w:rPr>
                <w:rFonts w:ascii="Arial" w:hAnsi="Arial"/>
                <w:sz w:val="16"/>
              </w:rPr>
              <w:t>38.0</w:t>
            </w:r>
          </w:p>
        </w:tc>
        <w:tc>
          <w:tcPr>
            <w:tcW w:w="1134" w:type="dxa"/>
          </w:tcPr>
          <w:p w:rsidR="00000000" w:rsidRDefault="00000000">
            <w:pPr>
              <w:jc w:val="center"/>
              <w:rPr>
                <w:rFonts w:ascii="Arial" w:hAnsi="Arial"/>
                <w:sz w:val="16"/>
              </w:rPr>
            </w:pPr>
            <w:r>
              <w:rPr>
                <w:rFonts w:ascii="Arial" w:hAnsi="Arial"/>
                <w:sz w:val="16"/>
              </w:rPr>
              <w:t>73.3</w:t>
            </w:r>
          </w:p>
        </w:tc>
        <w:tc>
          <w:tcPr>
            <w:tcW w:w="1134" w:type="dxa"/>
          </w:tcPr>
          <w:p w:rsidR="00000000" w:rsidRDefault="00000000">
            <w:pPr>
              <w:jc w:val="center"/>
              <w:rPr>
                <w:rFonts w:ascii="Arial" w:hAnsi="Arial"/>
                <w:sz w:val="16"/>
              </w:rPr>
            </w:pPr>
            <w:r>
              <w:rPr>
                <w:rFonts w:ascii="Arial" w:hAnsi="Arial"/>
                <w:sz w:val="16"/>
              </w:rPr>
              <w:t>48.2</w:t>
            </w:r>
          </w:p>
        </w:tc>
        <w:tc>
          <w:tcPr>
            <w:tcW w:w="1276" w:type="dxa"/>
          </w:tcPr>
          <w:p w:rsidR="00000000" w:rsidRDefault="00000000">
            <w:pPr>
              <w:jc w:val="center"/>
              <w:rPr>
                <w:rFonts w:ascii="Arial" w:hAnsi="Arial"/>
                <w:sz w:val="16"/>
              </w:rPr>
            </w:pPr>
            <w:r>
              <w:rPr>
                <w:rFonts w:ascii="Arial" w:hAnsi="Arial"/>
                <w:sz w:val="16"/>
              </w:rPr>
              <w:t>74.7</w:t>
            </w:r>
          </w:p>
        </w:tc>
        <w:tc>
          <w:tcPr>
            <w:tcW w:w="1134" w:type="dxa"/>
          </w:tcPr>
          <w:p w:rsidR="00000000" w:rsidRDefault="00000000">
            <w:pPr>
              <w:jc w:val="center"/>
              <w:rPr>
                <w:rFonts w:ascii="Arial" w:hAnsi="Arial"/>
                <w:sz w:val="16"/>
              </w:rPr>
            </w:pPr>
            <w:r>
              <w:rPr>
                <w:rFonts w:ascii="Arial" w:hAnsi="Arial"/>
                <w:sz w:val="16"/>
              </w:rPr>
              <w:t>50.7</w:t>
            </w:r>
          </w:p>
        </w:tc>
      </w:tr>
      <w:tr w:rsidR="00000000">
        <w:tblPrEx>
          <w:tblCellMar>
            <w:top w:w="0" w:type="dxa"/>
            <w:bottom w:w="0" w:type="dxa"/>
          </w:tblCellMar>
        </w:tblPrEx>
        <w:trPr>
          <w:cantSplit/>
          <w:jc w:val="center"/>
        </w:trPr>
        <w:tc>
          <w:tcPr>
            <w:tcW w:w="1559" w:type="dxa"/>
          </w:tcPr>
          <w:p w:rsidR="00000000" w:rsidRDefault="00000000">
            <w:pPr>
              <w:jc w:val="center"/>
              <w:rPr>
                <w:rFonts w:ascii="Arial" w:hAnsi="Arial"/>
                <w:sz w:val="16"/>
              </w:rPr>
            </w:pPr>
            <w:r>
              <w:rPr>
                <w:rFonts w:ascii="Arial" w:hAnsi="Arial"/>
                <w:sz w:val="16"/>
              </w:rPr>
              <w:t>Total</w:t>
            </w:r>
          </w:p>
        </w:tc>
        <w:tc>
          <w:tcPr>
            <w:tcW w:w="1701" w:type="dxa"/>
            <w:gridSpan w:val="2"/>
          </w:tcPr>
          <w:p w:rsidR="00000000" w:rsidRDefault="00000000">
            <w:pPr>
              <w:jc w:val="center"/>
              <w:rPr>
                <w:rFonts w:ascii="Arial" w:hAnsi="Arial"/>
                <w:sz w:val="16"/>
              </w:rPr>
            </w:pPr>
            <w:r>
              <w:rPr>
                <w:rFonts w:ascii="Arial" w:hAnsi="Arial"/>
                <w:sz w:val="16"/>
              </w:rPr>
              <w:t>53.0</w:t>
            </w:r>
          </w:p>
        </w:tc>
        <w:tc>
          <w:tcPr>
            <w:tcW w:w="2268" w:type="dxa"/>
            <w:gridSpan w:val="2"/>
          </w:tcPr>
          <w:p w:rsidR="00000000" w:rsidRDefault="00000000">
            <w:pPr>
              <w:jc w:val="center"/>
              <w:rPr>
                <w:rFonts w:ascii="Arial" w:hAnsi="Arial"/>
                <w:sz w:val="16"/>
              </w:rPr>
            </w:pPr>
            <w:r>
              <w:rPr>
                <w:rFonts w:ascii="Arial" w:hAnsi="Arial"/>
                <w:sz w:val="16"/>
              </w:rPr>
              <w:t>60.7</w:t>
            </w:r>
          </w:p>
        </w:tc>
        <w:tc>
          <w:tcPr>
            <w:tcW w:w="2410" w:type="dxa"/>
            <w:gridSpan w:val="2"/>
          </w:tcPr>
          <w:p w:rsidR="00000000" w:rsidRDefault="00000000">
            <w:pPr>
              <w:jc w:val="center"/>
              <w:rPr>
                <w:rFonts w:ascii="Arial" w:hAnsi="Arial"/>
                <w:sz w:val="16"/>
              </w:rPr>
            </w:pPr>
            <w:r>
              <w:rPr>
                <w:rFonts w:ascii="Arial" w:hAnsi="Arial"/>
                <w:sz w:val="16"/>
              </w:rPr>
              <w:t>61.7</w:t>
            </w:r>
          </w:p>
        </w:tc>
      </w:tr>
    </w:tbl>
    <w:p w:rsidR="00000000" w:rsidRDefault="00000000">
      <w:pPr>
        <w:ind w:left="927"/>
        <w:jc w:val="both"/>
        <w:rPr>
          <w:rFonts w:ascii="Arial" w:hAnsi="Arial"/>
          <w:sz w:val="16"/>
        </w:rPr>
      </w:pPr>
      <w:r>
        <w:rPr>
          <w:rFonts w:ascii="Arial" w:hAnsi="Arial"/>
          <w:sz w:val="16"/>
        </w:rPr>
        <w:t>Fuente: DGPNSD. Observatorio Español sobre Drogas (OED).</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br w:type="page"/>
      </w:r>
    </w:p>
    <w:p w:rsidR="00000000" w:rsidRDefault="00000000">
      <w:pPr>
        <w:jc w:val="both"/>
        <w:rPr>
          <w:rFonts w:ascii="Arial" w:hAnsi="Arial"/>
        </w:rPr>
      </w:pPr>
      <w:r>
        <w:rPr>
          <w:rFonts w:ascii="Arial" w:hAnsi="Arial"/>
        </w:rPr>
        <w:t xml:space="preserve">Las prevalencias de uso confirman, en la Encuesta de 1999, la clara desproporción existente a favor de los hombres sobre el consumo de </w:t>
      </w:r>
      <w:r>
        <w:rPr>
          <w:rFonts w:ascii="Arial" w:hAnsi="Arial"/>
          <w:b/>
        </w:rPr>
        <w:t>heroína:</w:t>
      </w:r>
      <w:r>
        <w:rPr>
          <w:rFonts w:ascii="Arial" w:hAnsi="Arial"/>
        </w:rPr>
        <w:t xml:space="preserve">  el 0,6%, frente al 0,3% de las mujeres.</w:t>
      </w:r>
    </w:p>
    <w:p w:rsidR="00000000" w:rsidRDefault="00000000">
      <w:pPr>
        <w:rPr>
          <w:rFonts w:ascii="Arial" w:hAnsi="Arial"/>
        </w:rPr>
      </w:pPr>
    </w:p>
    <w:p w:rsidR="00000000" w:rsidRDefault="00000000">
      <w:pPr>
        <w:rPr>
          <w:rFonts w:ascii="Arial" w:hAnsi="Arial"/>
        </w:rPr>
      </w:pPr>
    </w:p>
    <w:p w:rsidR="00000000" w:rsidRDefault="00000000">
      <w:pPr>
        <w:jc w:val="both"/>
        <w:rPr>
          <w:rFonts w:ascii="Arial" w:hAnsi="Arial"/>
        </w:rPr>
      </w:pPr>
      <w:r>
        <w:pict>
          <v:shape id="_x0000_s2066" type="#_x0000_t75" style="position:absolute;left:0;text-align:left;margin-left:58.65pt;margin-top:53.25pt;width:367.75pt;height:136.8pt;z-index:7;mso-position-horizontal:absolute;mso-position-horizontal-relative:text;mso-position-vertical:absolute;mso-position-vertical-relative:text" o:allowincell="f">
            <v:imagedata r:id="rId35" o:title=""/>
            <w10:wrap type="topAndBottom"/>
          </v:shape>
        </w:pict>
      </w:r>
      <w:r>
        <w:rPr>
          <w:rFonts w:ascii="Arial" w:hAnsi="Arial"/>
        </w:rPr>
        <w:t xml:space="preserve">El consumo de </w:t>
      </w:r>
      <w:r>
        <w:rPr>
          <w:rFonts w:ascii="Arial" w:hAnsi="Arial"/>
          <w:b/>
        </w:rPr>
        <w:t>tranquilizantes</w:t>
      </w:r>
      <w:r>
        <w:rPr>
          <w:rFonts w:ascii="Arial" w:hAnsi="Arial"/>
        </w:rPr>
        <w:t xml:space="preserve"> de forma habitual, entre las mujeres, es del 3,5%. La prevalencia de este consumo es tres veces superior entre mujeres que entre hombres.</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70" w:type="dxa"/>
          <w:right w:w="70" w:type="dxa"/>
        </w:tblCellMar>
        <w:tblLook w:val="00AF" w:firstRow="1" w:lastRow="0" w:firstColumn="1" w:lastColumn="0" w:noHBand="0" w:noVBand="0"/>
      </w:tblPr>
      <w:tblGrid>
        <w:gridCol w:w="4252"/>
        <w:gridCol w:w="1701"/>
        <w:gridCol w:w="1559"/>
      </w:tblGrid>
      <w:tr w:rsidR="00000000">
        <w:tblPrEx>
          <w:tblCellMar>
            <w:top w:w="0" w:type="dxa"/>
            <w:bottom w:w="0" w:type="dxa"/>
          </w:tblCellMar>
        </w:tblPrEx>
        <w:trPr>
          <w:cantSplit/>
          <w:jc w:val="center"/>
        </w:trPr>
        <w:tc>
          <w:tcPr>
            <w:tcW w:w="7512" w:type="dxa"/>
            <w:gridSpan w:val="3"/>
          </w:tcPr>
          <w:p w:rsidR="00000000" w:rsidRDefault="00000000">
            <w:pPr>
              <w:jc w:val="center"/>
              <w:rPr>
                <w:rFonts w:ascii="Arial" w:hAnsi="Arial"/>
                <w:b/>
              </w:rPr>
            </w:pPr>
            <w:r>
              <w:rPr>
                <w:rFonts w:ascii="Arial" w:hAnsi="Arial"/>
                <w:b/>
              </w:rPr>
              <w:t>El consumo de tranquilizantes en el colectivo femenino</w:t>
            </w:r>
          </w:p>
        </w:tc>
      </w:tr>
      <w:tr w:rsidR="00000000">
        <w:tblPrEx>
          <w:tblCellMar>
            <w:top w:w="0" w:type="dxa"/>
            <w:bottom w:w="0" w:type="dxa"/>
          </w:tblCellMar>
        </w:tblPrEx>
        <w:trPr>
          <w:jc w:val="center"/>
        </w:trPr>
        <w:tc>
          <w:tcPr>
            <w:tcW w:w="4252" w:type="dxa"/>
          </w:tcPr>
          <w:p w:rsidR="00000000" w:rsidRDefault="00000000">
            <w:pPr>
              <w:jc w:val="center"/>
              <w:rPr>
                <w:rFonts w:ascii="Arial" w:hAnsi="Arial"/>
              </w:rPr>
            </w:pPr>
          </w:p>
        </w:tc>
        <w:tc>
          <w:tcPr>
            <w:tcW w:w="1701" w:type="dxa"/>
          </w:tcPr>
          <w:p w:rsidR="00000000" w:rsidRDefault="00000000">
            <w:pPr>
              <w:jc w:val="center"/>
              <w:rPr>
                <w:rFonts w:ascii="Arial" w:hAnsi="Arial"/>
              </w:rPr>
            </w:pPr>
            <w:r>
              <w:rPr>
                <w:rFonts w:ascii="Arial" w:hAnsi="Arial"/>
              </w:rPr>
              <w:t>General</w:t>
            </w:r>
          </w:p>
        </w:tc>
        <w:tc>
          <w:tcPr>
            <w:tcW w:w="1559" w:type="dxa"/>
          </w:tcPr>
          <w:p w:rsidR="00000000" w:rsidRDefault="00000000">
            <w:pPr>
              <w:jc w:val="center"/>
              <w:rPr>
                <w:rFonts w:ascii="Arial" w:hAnsi="Arial"/>
              </w:rPr>
            </w:pPr>
            <w:r>
              <w:rPr>
                <w:rFonts w:ascii="Arial" w:hAnsi="Arial"/>
              </w:rPr>
              <w:t>Escolares</w:t>
            </w:r>
          </w:p>
        </w:tc>
      </w:tr>
      <w:tr w:rsidR="00000000">
        <w:tblPrEx>
          <w:tblCellMar>
            <w:top w:w="0" w:type="dxa"/>
            <w:bottom w:w="0" w:type="dxa"/>
          </w:tblCellMar>
        </w:tblPrEx>
        <w:trPr>
          <w:jc w:val="center"/>
        </w:trPr>
        <w:tc>
          <w:tcPr>
            <w:tcW w:w="4252" w:type="dxa"/>
          </w:tcPr>
          <w:p w:rsidR="00000000" w:rsidRDefault="00000000">
            <w:pPr>
              <w:rPr>
                <w:rFonts w:ascii="Arial" w:hAnsi="Arial"/>
              </w:rPr>
            </w:pPr>
            <w:r>
              <w:rPr>
                <w:rFonts w:ascii="Arial" w:hAnsi="Arial"/>
              </w:rPr>
              <w:t>Consumió alguna vez</w:t>
            </w:r>
          </w:p>
        </w:tc>
        <w:tc>
          <w:tcPr>
            <w:tcW w:w="1701" w:type="dxa"/>
          </w:tcPr>
          <w:p w:rsidR="00000000" w:rsidRDefault="00000000">
            <w:pPr>
              <w:jc w:val="center"/>
              <w:rPr>
                <w:rFonts w:ascii="Arial" w:hAnsi="Arial"/>
              </w:rPr>
            </w:pPr>
            <w:r>
              <w:rPr>
                <w:rFonts w:ascii="Arial" w:hAnsi="Arial"/>
              </w:rPr>
              <w:t>9,7</w:t>
            </w:r>
          </w:p>
        </w:tc>
        <w:tc>
          <w:tcPr>
            <w:tcW w:w="1559" w:type="dxa"/>
          </w:tcPr>
          <w:p w:rsidR="00000000" w:rsidRDefault="00000000">
            <w:pPr>
              <w:tabs>
                <w:tab w:val="left" w:pos="355"/>
              </w:tabs>
              <w:jc w:val="both"/>
              <w:rPr>
                <w:rFonts w:ascii="Arial" w:hAnsi="Arial"/>
              </w:rPr>
            </w:pPr>
            <w:r>
              <w:rPr>
                <w:rFonts w:ascii="Arial" w:hAnsi="Arial"/>
              </w:rPr>
              <w:tab/>
              <w:t>15,2</w:t>
            </w:r>
          </w:p>
        </w:tc>
      </w:tr>
      <w:tr w:rsidR="00000000">
        <w:tblPrEx>
          <w:tblCellMar>
            <w:top w:w="0" w:type="dxa"/>
            <w:bottom w:w="0" w:type="dxa"/>
          </w:tblCellMar>
        </w:tblPrEx>
        <w:trPr>
          <w:jc w:val="center"/>
        </w:trPr>
        <w:tc>
          <w:tcPr>
            <w:tcW w:w="4252" w:type="dxa"/>
          </w:tcPr>
          <w:p w:rsidR="00000000" w:rsidRDefault="00000000">
            <w:pPr>
              <w:rPr>
                <w:rFonts w:ascii="Arial" w:hAnsi="Arial"/>
              </w:rPr>
            </w:pPr>
            <w:r>
              <w:rPr>
                <w:rFonts w:ascii="Arial" w:hAnsi="Arial"/>
              </w:rPr>
              <w:t>Edad media de inicio en el comsumo (años)</w:t>
            </w:r>
          </w:p>
        </w:tc>
        <w:tc>
          <w:tcPr>
            <w:tcW w:w="1701" w:type="dxa"/>
          </w:tcPr>
          <w:p w:rsidR="00000000" w:rsidRDefault="00000000">
            <w:pPr>
              <w:jc w:val="center"/>
              <w:rPr>
                <w:rFonts w:ascii="Arial" w:hAnsi="Arial"/>
              </w:rPr>
            </w:pPr>
            <w:r>
              <w:rPr>
                <w:rFonts w:ascii="Arial" w:hAnsi="Arial"/>
              </w:rPr>
              <w:t>37,95</w:t>
            </w:r>
          </w:p>
        </w:tc>
        <w:tc>
          <w:tcPr>
            <w:tcW w:w="1559" w:type="dxa"/>
          </w:tcPr>
          <w:p w:rsidR="00000000" w:rsidRDefault="00000000">
            <w:pPr>
              <w:tabs>
                <w:tab w:val="left" w:pos="355"/>
              </w:tabs>
              <w:jc w:val="both"/>
              <w:rPr>
                <w:rFonts w:ascii="Arial" w:hAnsi="Arial"/>
              </w:rPr>
            </w:pPr>
            <w:r>
              <w:rPr>
                <w:rFonts w:ascii="Arial" w:hAnsi="Arial"/>
              </w:rPr>
              <w:tab/>
              <w:t>14,75</w:t>
            </w:r>
          </w:p>
        </w:tc>
      </w:tr>
      <w:tr w:rsidR="00000000">
        <w:tblPrEx>
          <w:tblCellMar>
            <w:top w:w="0" w:type="dxa"/>
            <w:bottom w:w="0" w:type="dxa"/>
          </w:tblCellMar>
        </w:tblPrEx>
        <w:trPr>
          <w:jc w:val="center"/>
        </w:trPr>
        <w:tc>
          <w:tcPr>
            <w:tcW w:w="4252" w:type="dxa"/>
          </w:tcPr>
          <w:p w:rsidR="00000000" w:rsidRDefault="00000000">
            <w:pPr>
              <w:rPr>
                <w:rFonts w:ascii="Arial" w:hAnsi="Arial"/>
              </w:rPr>
            </w:pPr>
            <w:r>
              <w:rPr>
                <w:rFonts w:ascii="Arial" w:hAnsi="Arial"/>
              </w:rPr>
              <w:t>Consumió en los últimos doce meses</w:t>
            </w:r>
          </w:p>
        </w:tc>
        <w:tc>
          <w:tcPr>
            <w:tcW w:w="1701" w:type="dxa"/>
          </w:tcPr>
          <w:p w:rsidR="00000000" w:rsidRDefault="00000000">
            <w:pPr>
              <w:jc w:val="center"/>
              <w:rPr>
                <w:rFonts w:ascii="Arial" w:hAnsi="Arial"/>
              </w:rPr>
            </w:pPr>
            <w:r>
              <w:rPr>
                <w:rFonts w:ascii="Arial" w:hAnsi="Arial"/>
              </w:rPr>
              <w:t>6,7</w:t>
            </w:r>
          </w:p>
        </w:tc>
        <w:tc>
          <w:tcPr>
            <w:tcW w:w="1559" w:type="dxa"/>
          </w:tcPr>
          <w:p w:rsidR="00000000" w:rsidRDefault="00000000">
            <w:pPr>
              <w:tabs>
                <w:tab w:val="left" w:pos="497"/>
              </w:tabs>
              <w:jc w:val="both"/>
              <w:rPr>
                <w:rFonts w:ascii="Arial" w:hAnsi="Arial"/>
              </w:rPr>
            </w:pPr>
            <w:r>
              <w:rPr>
                <w:rFonts w:ascii="Arial" w:hAnsi="Arial"/>
              </w:rPr>
              <w:tab/>
              <w:t>8,1</w:t>
            </w:r>
          </w:p>
        </w:tc>
      </w:tr>
      <w:tr w:rsidR="00000000">
        <w:tblPrEx>
          <w:tblCellMar>
            <w:top w:w="0" w:type="dxa"/>
            <w:bottom w:w="0" w:type="dxa"/>
          </w:tblCellMar>
        </w:tblPrEx>
        <w:trPr>
          <w:jc w:val="center"/>
        </w:trPr>
        <w:tc>
          <w:tcPr>
            <w:tcW w:w="4252" w:type="dxa"/>
          </w:tcPr>
          <w:p w:rsidR="00000000" w:rsidRDefault="00000000">
            <w:pPr>
              <w:rPr>
                <w:rFonts w:ascii="Arial" w:hAnsi="Arial"/>
              </w:rPr>
            </w:pPr>
            <w:r>
              <w:rPr>
                <w:rFonts w:ascii="Arial" w:hAnsi="Arial"/>
              </w:rPr>
              <w:t>Consumió alguna vez</w:t>
            </w:r>
          </w:p>
        </w:tc>
        <w:tc>
          <w:tcPr>
            <w:tcW w:w="1701" w:type="dxa"/>
          </w:tcPr>
          <w:p w:rsidR="00000000" w:rsidRDefault="00000000">
            <w:pPr>
              <w:jc w:val="center"/>
              <w:rPr>
                <w:rFonts w:ascii="Arial" w:hAnsi="Arial"/>
              </w:rPr>
            </w:pPr>
            <w:r>
              <w:rPr>
                <w:rFonts w:ascii="Arial" w:hAnsi="Arial"/>
              </w:rPr>
              <w:t>5,6</w:t>
            </w:r>
          </w:p>
        </w:tc>
        <w:tc>
          <w:tcPr>
            <w:tcW w:w="1559" w:type="dxa"/>
          </w:tcPr>
          <w:p w:rsidR="00000000" w:rsidRDefault="00000000">
            <w:pPr>
              <w:tabs>
                <w:tab w:val="left" w:pos="497"/>
              </w:tabs>
              <w:jc w:val="both"/>
              <w:rPr>
                <w:rFonts w:ascii="Arial" w:hAnsi="Arial"/>
              </w:rPr>
            </w:pPr>
            <w:r>
              <w:rPr>
                <w:rFonts w:ascii="Arial" w:hAnsi="Arial"/>
              </w:rPr>
              <w:tab/>
              <w:t>5</w:t>
            </w:r>
          </w:p>
        </w:tc>
      </w:tr>
      <w:tr w:rsidR="00000000">
        <w:tblPrEx>
          <w:tblCellMar>
            <w:top w:w="0" w:type="dxa"/>
            <w:bottom w:w="0" w:type="dxa"/>
          </w:tblCellMar>
        </w:tblPrEx>
        <w:trPr>
          <w:jc w:val="center"/>
        </w:trPr>
        <w:tc>
          <w:tcPr>
            <w:tcW w:w="4252" w:type="dxa"/>
          </w:tcPr>
          <w:p w:rsidR="00000000" w:rsidRDefault="00000000">
            <w:pPr>
              <w:rPr>
                <w:rFonts w:ascii="Arial" w:hAnsi="Arial"/>
              </w:rPr>
            </w:pPr>
            <w:r>
              <w:rPr>
                <w:rFonts w:ascii="Arial" w:hAnsi="Arial"/>
              </w:rPr>
              <w:t>Frecuencia de consumo en el último mes:</w:t>
            </w:r>
          </w:p>
          <w:p w:rsidR="00000000" w:rsidRDefault="00000000">
            <w:pPr>
              <w:numPr>
                <w:ilvl w:val="0"/>
                <w:numId w:val="1417"/>
              </w:numPr>
              <w:rPr>
                <w:rFonts w:ascii="Arial" w:hAnsi="Arial"/>
              </w:rPr>
            </w:pPr>
            <w:r>
              <w:rPr>
                <w:rFonts w:ascii="Arial" w:hAnsi="Arial"/>
              </w:rPr>
              <w:t>Menos de una vez por semana</w:t>
            </w:r>
          </w:p>
          <w:p w:rsidR="00000000" w:rsidRDefault="00000000">
            <w:pPr>
              <w:numPr>
                <w:ilvl w:val="0"/>
                <w:numId w:val="1417"/>
              </w:numPr>
              <w:rPr>
                <w:rFonts w:ascii="Arial" w:hAnsi="Arial"/>
              </w:rPr>
            </w:pPr>
            <w:r>
              <w:rPr>
                <w:rFonts w:ascii="Arial" w:hAnsi="Arial"/>
              </w:rPr>
              <w:t>Una vez por semana</w:t>
            </w:r>
          </w:p>
          <w:p w:rsidR="00000000" w:rsidRDefault="00000000">
            <w:pPr>
              <w:numPr>
                <w:ilvl w:val="0"/>
                <w:numId w:val="1417"/>
              </w:numPr>
              <w:rPr>
                <w:rFonts w:ascii="Arial" w:hAnsi="Arial"/>
              </w:rPr>
            </w:pPr>
            <w:r>
              <w:rPr>
                <w:rFonts w:ascii="Arial" w:hAnsi="Arial"/>
              </w:rPr>
              <w:t>De dos a seis veces por semana</w:t>
            </w:r>
          </w:p>
          <w:p w:rsidR="00000000" w:rsidRDefault="00000000">
            <w:pPr>
              <w:numPr>
                <w:ilvl w:val="0"/>
                <w:numId w:val="1417"/>
              </w:numPr>
              <w:rPr>
                <w:rFonts w:ascii="Arial" w:hAnsi="Arial"/>
              </w:rPr>
            </w:pPr>
            <w:r>
              <w:rPr>
                <w:rFonts w:ascii="Arial" w:hAnsi="Arial"/>
              </w:rPr>
              <w:t>Diariamente</w:t>
            </w:r>
          </w:p>
        </w:tc>
        <w:tc>
          <w:tcPr>
            <w:tcW w:w="1701" w:type="dxa"/>
          </w:tcPr>
          <w:p w:rsidR="00000000" w:rsidRDefault="00000000">
            <w:pPr>
              <w:jc w:val="center"/>
              <w:rPr>
                <w:rFonts w:ascii="Arial" w:hAnsi="Arial"/>
              </w:rPr>
            </w:pPr>
          </w:p>
          <w:p w:rsidR="00000000" w:rsidRDefault="00000000">
            <w:pPr>
              <w:jc w:val="center"/>
              <w:rPr>
                <w:rFonts w:ascii="Arial" w:hAnsi="Arial"/>
              </w:rPr>
            </w:pPr>
          </w:p>
          <w:p w:rsidR="00000000" w:rsidRDefault="00000000">
            <w:pPr>
              <w:tabs>
                <w:tab w:val="left" w:pos="639"/>
              </w:tabs>
              <w:jc w:val="both"/>
              <w:rPr>
                <w:rFonts w:ascii="Arial" w:hAnsi="Arial"/>
              </w:rPr>
            </w:pPr>
            <w:r>
              <w:rPr>
                <w:rFonts w:ascii="Arial" w:hAnsi="Arial"/>
              </w:rPr>
              <w:tab/>
              <w:t>2</w:t>
            </w:r>
          </w:p>
          <w:p w:rsidR="00000000" w:rsidRDefault="00000000">
            <w:pPr>
              <w:jc w:val="center"/>
              <w:rPr>
                <w:rFonts w:ascii="Arial" w:hAnsi="Arial"/>
              </w:rPr>
            </w:pPr>
            <w:r>
              <w:rPr>
                <w:rFonts w:ascii="Arial" w:hAnsi="Arial"/>
              </w:rPr>
              <w:t>0,1</w:t>
            </w:r>
          </w:p>
          <w:p w:rsidR="00000000" w:rsidRDefault="00000000">
            <w:pPr>
              <w:jc w:val="center"/>
              <w:rPr>
                <w:rFonts w:ascii="Arial" w:hAnsi="Arial"/>
              </w:rPr>
            </w:pPr>
            <w:r>
              <w:rPr>
                <w:rFonts w:ascii="Arial" w:hAnsi="Arial"/>
              </w:rPr>
              <w:t>0,8</w:t>
            </w:r>
          </w:p>
          <w:p w:rsidR="00000000" w:rsidRDefault="00000000">
            <w:pPr>
              <w:jc w:val="center"/>
              <w:rPr>
                <w:rFonts w:ascii="Arial" w:hAnsi="Arial"/>
              </w:rPr>
            </w:pPr>
            <w:r>
              <w:rPr>
                <w:rFonts w:ascii="Arial" w:hAnsi="Arial"/>
              </w:rPr>
              <w:t>2,7</w:t>
            </w:r>
          </w:p>
        </w:tc>
        <w:tc>
          <w:tcPr>
            <w:tcW w:w="1559" w:type="dxa"/>
          </w:tcPr>
          <w:p w:rsidR="00000000" w:rsidRDefault="00000000">
            <w:pPr>
              <w:jc w:val="center"/>
              <w:rPr>
                <w:rFonts w:ascii="Arial" w:hAnsi="Arial"/>
              </w:rPr>
            </w:pPr>
          </w:p>
          <w:p w:rsidR="00000000" w:rsidRDefault="00000000">
            <w:pPr>
              <w:jc w:val="center"/>
              <w:rPr>
                <w:rFonts w:ascii="Arial" w:hAnsi="Arial"/>
              </w:rPr>
            </w:pPr>
          </w:p>
          <w:p w:rsidR="00000000" w:rsidRDefault="00000000">
            <w:pPr>
              <w:jc w:val="center"/>
              <w:rPr>
                <w:rFonts w:ascii="Arial" w:hAnsi="Arial"/>
              </w:rPr>
            </w:pPr>
            <w:r>
              <w:rPr>
                <w:rFonts w:ascii="Arial" w:hAnsi="Arial"/>
              </w:rPr>
              <w:t>2,4</w:t>
            </w:r>
          </w:p>
          <w:p w:rsidR="00000000" w:rsidRDefault="00000000">
            <w:pPr>
              <w:jc w:val="center"/>
              <w:rPr>
                <w:rFonts w:ascii="Arial" w:hAnsi="Arial"/>
              </w:rPr>
            </w:pPr>
            <w:r>
              <w:rPr>
                <w:rFonts w:ascii="Arial" w:hAnsi="Arial"/>
              </w:rPr>
              <w:t>1,2</w:t>
            </w:r>
          </w:p>
          <w:p w:rsidR="00000000" w:rsidRDefault="00000000">
            <w:pPr>
              <w:jc w:val="center"/>
              <w:rPr>
                <w:rFonts w:ascii="Arial" w:hAnsi="Arial"/>
              </w:rPr>
            </w:pPr>
            <w:r>
              <w:rPr>
                <w:rFonts w:ascii="Arial" w:hAnsi="Arial"/>
              </w:rPr>
              <w:t>0,7</w:t>
            </w:r>
          </w:p>
          <w:p w:rsidR="00000000" w:rsidRDefault="00000000">
            <w:pPr>
              <w:jc w:val="center"/>
              <w:rPr>
                <w:rFonts w:ascii="Arial" w:hAnsi="Arial"/>
              </w:rPr>
            </w:pPr>
            <w:r>
              <w:rPr>
                <w:rFonts w:ascii="Arial" w:hAnsi="Arial"/>
              </w:rPr>
              <w:t>0,7</w:t>
            </w:r>
          </w:p>
        </w:tc>
      </w:tr>
    </w:tbl>
    <w:p w:rsidR="00000000" w:rsidRDefault="00000000">
      <w:pPr>
        <w:jc w:val="center"/>
        <w:rPr>
          <w:rFonts w:ascii="Arial" w:hAnsi="Arial"/>
          <w:b/>
          <w:sz w:val="18"/>
        </w:rPr>
      </w:pPr>
    </w:p>
    <w:p w:rsidR="00000000" w:rsidRDefault="00000000">
      <w:pPr>
        <w:ind w:left="1143" w:right="1165"/>
        <w:jc w:val="both"/>
        <w:rPr>
          <w:rFonts w:ascii="Arial" w:hAnsi="Arial"/>
          <w:sz w:val="16"/>
        </w:rPr>
      </w:pPr>
      <w:r>
        <w:rPr>
          <w:rFonts w:ascii="Arial" w:hAnsi="Arial"/>
          <w:sz w:val="16"/>
        </w:rPr>
        <w:t xml:space="preserve">Fuente: Elaborado para el Instituto de la Mujer por EDIS,  </w:t>
      </w:r>
      <w:r>
        <w:rPr>
          <w:rFonts w:ascii="Arial" w:hAnsi="Arial"/>
          <w:i/>
          <w:sz w:val="16"/>
        </w:rPr>
        <w:t>El consumo de Alcohol y otras drogas en el colectivo femenino</w:t>
      </w:r>
      <w:r>
        <w:rPr>
          <w:rFonts w:ascii="Arial" w:hAnsi="Arial"/>
          <w:sz w:val="16"/>
        </w:rPr>
        <w:t>. Instituto de la Mujer, Madrid,  2000.</w:t>
      </w:r>
    </w:p>
    <w:p w:rsidR="00000000" w:rsidRDefault="00000000">
      <w:pPr>
        <w:rPr>
          <w:rFonts w:ascii="Arial" w:hAnsi="Arial"/>
        </w:rPr>
      </w:pPr>
    </w:p>
    <w:p w:rsidR="00000000" w:rsidRDefault="00000000">
      <w:pPr>
        <w:rPr>
          <w:rFonts w:ascii="Arial" w:hAnsi="Arial"/>
        </w:rPr>
      </w:pPr>
    </w:p>
    <w:p w:rsidR="00000000" w:rsidRDefault="00000000">
      <w:pPr>
        <w:jc w:val="both"/>
        <w:rPr>
          <w:rFonts w:ascii="Arial" w:hAnsi="Arial"/>
        </w:rPr>
      </w:pPr>
      <w:r>
        <w:rPr>
          <w:rFonts w:ascii="Arial" w:hAnsi="Arial"/>
        </w:rPr>
        <w:br w:type="page"/>
        <w:t xml:space="preserve">Los </w:t>
      </w:r>
      <w:r>
        <w:rPr>
          <w:rFonts w:ascii="Arial" w:hAnsi="Arial"/>
          <w:b/>
        </w:rPr>
        <w:t>hipnóticos</w:t>
      </w:r>
      <w:r>
        <w:rPr>
          <w:rFonts w:ascii="Arial" w:hAnsi="Arial"/>
        </w:rPr>
        <w:t xml:space="preserve"> son consumidos, de forma habitual, por el 2% de las mujeres, siendo la prevalencia de consumo más alta que entre los hombres.</w:t>
      </w:r>
    </w:p>
    <w:p w:rsidR="00000000" w:rsidRDefault="00000000">
      <w:pPr>
        <w:jc w:val="both"/>
        <w:rPr>
          <w:rFonts w:ascii="Arial" w:hAnsi="Arial"/>
        </w:rPr>
      </w:pPr>
    </w:p>
    <w:tbl>
      <w:tblPr>
        <w:tblW w:w="0" w:type="auto"/>
        <w:jc w:val="center"/>
        <w:tblLayout w:type="fixed"/>
        <w:tblCellMar>
          <w:left w:w="70" w:type="dxa"/>
          <w:right w:w="70" w:type="dxa"/>
        </w:tblCellMar>
        <w:tblLook w:val="00AF" w:firstRow="1" w:lastRow="0" w:firstColumn="1" w:lastColumn="0" w:noHBand="0" w:noVBand="0"/>
      </w:tblPr>
      <w:tblGrid>
        <w:gridCol w:w="4253"/>
        <w:gridCol w:w="1701"/>
      </w:tblGrid>
      <w:tr w:rsidR="00000000">
        <w:tblPrEx>
          <w:tblCellMar>
            <w:top w:w="0" w:type="dxa"/>
            <w:bottom w:w="0" w:type="dxa"/>
          </w:tblCellMar>
        </w:tblPrEx>
        <w:trPr>
          <w:cantSplit/>
          <w:jc w:val="center"/>
        </w:trPr>
        <w:tc>
          <w:tcPr>
            <w:tcW w:w="5954" w:type="dxa"/>
            <w:gridSpan w:val="2"/>
          </w:tcPr>
          <w:p w:rsidR="00000000" w:rsidRDefault="00000000">
            <w:pPr>
              <w:ind w:firstLine="1489"/>
              <w:jc w:val="center"/>
              <w:rPr>
                <w:rFonts w:ascii="Arial" w:hAnsi="Arial"/>
                <w:b/>
              </w:rPr>
            </w:pPr>
            <w:r>
              <w:rPr>
                <w:rFonts w:ascii="Arial" w:hAnsi="Arial"/>
                <w:b/>
              </w:rPr>
              <w:t>El consumo de hipnóticos en el colectivo femenino</w:t>
            </w:r>
          </w:p>
          <w:p w:rsidR="00000000" w:rsidRDefault="00000000">
            <w:pPr>
              <w:ind w:firstLine="1489"/>
              <w:jc w:val="center"/>
              <w:rPr>
                <w:rFonts w:ascii="Arial" w:hAnsi="Arial"/>
                <w:b/>
              </w:rPr>
            </w:pPr>
          </w:p>
        </w:tc>
      </w:tr>
      <w:tr w:rsidR="00000000">
        <w:tblPrEx>
          <w:tblCellMar>
            <w:top w:w="0" w:type="dxa"/>
            <w:bottom w:w="0" w:type="dxa"/>
          </w:tblCellMar>
        </w:tblPrEx>
        <w:trPr>
          <w:cantSplit/>
          <w:jc w:val="center"/>
        </w:trPr>
        <w:tc>
          <w:tcPr>
            <w:tcW w:w="4253" w:type="dxa"/>
          </w:tcPr>
          <w:p w:rsidR="00000000" w:rsidRDefault="00000000">
            <w:pPr>
              <w:jc w:val="center"/>
              <w:rPr>
                <w:rFonts w:ascii="Arial" w:hAnsi="Arial"/>
              </w:rPr>
            </w:pPr>
          </w:p>
        </w:tc>
        <w:tc>
          <w:tcPr>
            <w:tcW w:w="1701" w:type="dxa"/>
          </w:tcPr>
          <w:p w:rsidR="00000000" w:rsidRDefault="00000000">
            <w:pPr>
              <w:jc w:val="center"/>
              <w:rPr>
                <w:rFonts w:ascii="Arial" w:hAnsi="Arial"/>
              </w:rPr>
            </w:pPr>
            <w:r>
              <w:rPr>
                <w:rFonts w:ascii="Arial" w:hAnsi="Arial"/>
              </w:rPr>
              <w:t>General</w:t>
            </w:r>
          </w:p>
        </w:tc>
      </w:tr>
      <w:tr w:rsidR="00000000">
        <w:tblPrEx>
          <w:tblCellMar>
            <w:top w:w="0" w:type="dxa"/>
            <w:bottom w:w="0" w:type="dxa"/>
          </w:tblCellMar>
        </w:tblPrEx>
        <w:trPr>
          <w:cantSplit/>
          <w:jc w:val="center"/>
        </w:trPr>
        <w:tc>
          <w:tcPr>
            <w:tcW w:w="4253" w:type="dxa"/>
          </w:tcPr>
          <w:p w:rsidR="00000000" w:rsidRDefault="00000000">
            <w:pPr>
              <w:rPr>
                <w:rFonts w:ascii="Arial" w:hAnsi="Arial"/>
              </w:rPr>
            </w:pPr>
            <w:r>
              <w:rPr>
                <w:rFonts w:ascii="Arial" w:hAnsi="Arial"/>
              </w:rPr>
              <w:t>Consumió alguna vez</w:t>
            </w:r>
          </w:p>
        </w:tc>
        <w:tc>
          <w:tcPr>
            <w:tcW w:w="1701" w:type="dxa"/>
          </w:tcPr>
          <w:p w:rsidR="00000000" w:rsidRDefault="00000000">
            <w:pPr>
              <w:jc w:val="center"/>
              <w:rPr>
                <w:rFonts w:ascii="Arial" w:hAnsi="Arial"/>
              </w:rPr>
            </w:pPr>
            <w:r>
              <w:rPr>
                <w:rFonts w:ascii="Arial" w:hAnsi="Arial"/>
              </w:rPr>
              <w:t>3,3</w:t>
            </w:r>
          </w:p>
        </w:tc>
      </w:tr>
      <w:tr w:rsidR="00000000">
        <w:tblPrEx>
          <w:tblCellMar>
            <w:top w:w="0" w:type="dxa"/>
            <w:bottom w:w="0" w:type="dxa"/>
          </w:tblCellMar>
        </w:tblPrEx>
        <w:trPr>
          <w:cantSplit/>
          <w:jc w:val="center"/>
        </w:trPr>
        <w:tc>
          <w:tcPr>
            <w:tcW w:w="4253" w:type="dxa"/>
          </w:tcPr>
          <w:p w:rsidR="00000000" w:rsidRDefault="00000000">
            <w:pPr>
              <w:rPr>
                <w:rFonts w:ascii="Arial" w:hAnsi="Arial"/>
              </w:rPr>
            </w:pPr>
            <w:r>
              <w:rPr>
                <w:rFonts w:ascii="Arial" w:hAnsi="Arial"/>
              </w:rPr>
              <w:t>Edad media de inicio en el comsumo (años)</w:t>
            </w:r>
          </w:p>
        </w:tc>
        <w:tc>
          <w:tcPr>
            <w:tcW w:w="1701" w:type="dxa"/>
          </w:tcPr>
          <w:p w:rsidR="00000000" w:rsidRDefault="00000000">
            <w:pPr>
              <w:jc w:val="center"/>
              <w:rPr>
                <w:rFonts w:ascii="Arial" w:hAnsi="Arial"/>
              </w:rPr>
            </w:pPr>
            <w:r>
              <w:rPr>
                <w:rFonts w:ascii="Arial" w:hAnsi="Arial"/>
              </w:rPr>
              <w:t>44,83</w:t>
            </w:r>
          </w:p>
        </w:tc>
      </w:tr>
      <w:tr w:rsidR="00000000">
        <w:tblPrEx>
          <w:tblCellMar>
            <w:top w:w="0" w:type="dxa"/>
            <w:bottom w:w="0" w:type="dxa"/>
          </w:tblCellMar>
        </w:tblPrEx>
        <w:trPr>
          <w:cantSplit/>
          <w:jc w:val="center"/>
        </w:trPr>
        <w:tc>
          <w:tcPr>
            <w:tcW w:w="4253" w:type="dxa"/>
          </w:tcPr>
          <w:p w:rsidR="00000000" w:rsidRDefault="00000000">
            <w:pPr>
              <w:rPr>
                <w:rFonts w:ascii="Arial" w:hAnsi="Arial"/>
              </w:rPr>
            </w:pPr>
            <w:r>
              <w:rPr>
                <w:rFonts w:ascii="Arial" w:hAnsi="Arial"/>
              </w:rPr>
              <w:t>Consumió en los últimos doce meses</w:t>
            </w:r>
          </w:p>
        </w:tc>
        <w:tc>
          <w:tcPr>
            <w:tcW w:w="1701" w:type="dxa"/>
          </w:tcPr>
          <w:p w:rsidR="00000000" w:rsidRDefault="00000000">
            <w:pPr>
              <w:jc w:val="center"/>
              <w:rPr>
                <w:rFonts w:ascii="Arial" w:hAnsi="Arial"/>
              </w:rPr>
            </w:pPr>
            <w:r>
              <w:rPr>
                <w:rFonts w:ascii="Arial" w:hAnsi="Arial"/>
              </w:rPr>
              <w:t>2,9</w:t>
            </w:r>
          </w:p>
        </w:tc>
      </w:tr>
      <w:tr w:rsidR="00000000">
        <w:tblPrEx>
          <w:tblCellMar>
            <w:top w:w="0" w:type="dxa"/>
            <w:bottom w:w="0" w:type="dxa"/>
          </w:tblCellMar>
        </w:tblPrEx>
        <w:trPr>
          <w:cantSplit/>
          <w:jc w:val="center"/>
        </w:trPr>
        <w:tc>
          <w:tcPr>
            <w:tcW w:w="4253" w:type="dxa"/>
          </w:tcPr>
          <w:p w:rsidR="00000000" w:rsidRDefault="00000000">
            <w:pPr>
              <w:rPr>
                <w:rFonts w:ascii="Arial" w:hAnsi="Arial"/>
              </w:rPr>
            </w:pPr>
            <w:r>
              <w:rPr>
                <w:rFonts w:ascii="Arial" w:hAnsi="Arial"/>
              </w:rPr>
              <w:t>Consumió alguna vez</w:t>
            </w:r>
          </w:p>
        </w:tc>
        <w:tc>
          <w:tcPr>
            <w:tcW w:w="1701" w:type="dxa"/>
          </w:tcPr>
          <w:p w:rsidR="00000000" w:rsidRDefault="00000000">
            <w:pPr>
              <w:jc w:val="center"/>
              <w:rPr>
                <w:rFonts w:ascii="Arial" w:hAnsi="Arial"/>
              </w:rPr>
            </w:pPr>
            <w:r>
              <w:rPr>
                <w:rFonts w:ascii="Arial" w:hAnsi="Arial"/>
              </w:rPr>
              <w:t>2,7</w:t>
            </w:r>
          </w:p>
        </w:tc>
      </w:tr>
      <w:tr w:rsidR="00000000">
        <w:tblPrEx>
          <w:tblCellMar>
            <w:top w:w="0" w:type="dxa"/>
            <w:bottom w:w="0" w:type="dxa"/>
          </w:tblCellMar>
        </w:tblPrEx>
        <w:trPr>
          <w:cantSplit/>
          <w:jc w:val="center"/>
        </w:trPr>
        <w:tc>
          <w:tcPr>
            <w:tcW w:w="4253" w:type="dxa"/>
          </w:tcPr>
          <w:p w:rsidR="00000000" w:rsidRDefault="00000000">
            <w:pPr>
              <w:rPr>
                <w:rFonts w:ascii="Arial" w:hAnsi="Arial"/>
              </w:rPr>
            </w:pPr>
            <w:r>
              <w:rPr>
                <w:rFonts w:ascii="Arial" w:hAnsi="Arial"/>
              </w:rPr>
              <w:t>Frecuencia de consumo en el último mes:</w:t>
            </w:r>
          </w:p>
          <w:p w:rsidR="00000000" w:rsidRDefault="00000000">
            <w:pPr>
              <w:numPr>
                <w:ilvl w:val="0"/>
                <w:numId w:val="1417"/>
              </w:numPr>
              <w:rPr>
                <w:rFonts w:ascii="Arial" w:hAnsi="Arial"/>
              </w:rPr>
            </w:pPr>
            <w:r>
              <w:rPr>
                <w:rFonts w:ascii="Arial" w:hAnsi="Arial"/>
              </w:rPr>
              <w:t>Menos de una vez por semana</w:t>
            </w:r>
          </w:p>
          <w:p w:rsidR="00000000" w:rsidRDefault="00000000">
            <w:pPr>
              <w:numPr>
                <w:ilvl w:val="0"/>
                <w:numId w:val="1417"/>
              </w:numPr>
              <w:rPr>
                <w:rFonts w:ascii="Arial" w:hAnsi="Arial"/>
              </w:rPr>
            </w:pPr>
            <w:r>
              <w:rPr>
                <w:rFonts w:ascii="Arial" w:hAnsi="Arial"/>
              </w:rPr>
              <w:t>Una vez por semana</w:t>
            </w:r>
          </w:p>
          <w:p w:rsidR="00000000" w:rsidRDefault="00000000">
            <w:pPr>
              <w:numPr>
                <w:ilvl w:val="0"/>
                <w:numId w:val="1417"/>
              </w:numPr>
              <w:rPr>
                <w:rFonts w:ascii="Arial" w:hAnsi="Arial"/>
              </w:rPr>
            </w:pPr>
            <w:r>
              <w:rPr>
                <w:rFonts w:ascii="Arial" w:hAnsi="Arial"/>
              </w:rPr>
              <w:t>De dos a seis veces por semana</w:t>
            </w:r>
          </w:p>
          <w:p w:rsidR="00000000" w:rsidRDefault="00000000">
            <w:pPr>
              <w:numPr>
                <w:ilvl w:val="0"/>
                <w:numId w:val="1417"/>
              </w:numPr>
              <w:rPr>
                <w:rFonts w:ascii="Arial" w:hAnsi="Arial"/>
              </w:rPr>
            </w:pPr>
            <w:r>
              <w:rPr>
                <w:rFonts w:ascii="Arial" w:hAnsi="Arial"/>
              </w:rPr>
              <w:t>Diariamente</w:t>
            </w:r>
          </w:p>
        </w:tc>
        <w:tc>
          <w:tcPr>
            <w:tcW w:w="1701" w:type="dxa"/>
          </w:tcPr>
          <w:p w:rsidR="00000000" w:rsidRDefault="00000000">
            <w:pPr>
              <w:jc w:val="center"/>
              <w:rPr>
                <w:rFonts w:ascii="Arial" w:hAnsi="Arial"/>
              </w:rPr>
            </w:pPr>
          </w:p>
          <w:p w:rsidR="00000000" w:rsidRDefault="00000000">
            <w:pPr>
              <w:jc w:val="center"/>
              <w:rPr>
                <w:rFonts w:ascii="Arial" w:hAnsi="Arial"/>
              </w:rPr>
            </w:pPr>
          </w:p>
          <w:p w:rsidR="00000000" w:rsidRDefault="00000000">
            <w:pPr>
              <w:jc w:val="center"/>
              <w:rPr>
                <w:rFonts w:ascii="Arial" w:hAnsi="Arial"/>
              </w:rPr>
            </w:pPr>
            <w:r>
              <w:rPr>
                <w:rFonts w:ascii="Arial" w:hAnsi="Arial"/>
              </w:rPr>
              <w:t>0,4</w:t>
            </w:r>
          </w:p>
          <w:p w:rsidR="00000000" w:rsidRDefault="00000000">
            <w:pPr>
              <w:jc w:val="center"/>
              <w:rPr>
                <w:rFonts w:ascii="Arial" w:hAnsi="Arial"/>
              </w:rPr>
            </w:pPr>
            <w:r>
              <w:rPr>
                <w:rFonts w:ascii="Arial" w:hAnsi="Arial"/>
              </w:rPr>
              <w:t>0,3</w:t>
            </w:r>
          </w:p>
          <w:p w:rsidR="00000000" w:rsidRDefault="00000000">
            <w:pPr>
              <w:jc w:val="center"/>
              <w:rPr>
                <w:rFonts w:ascii="Arial" w:hAnsi="Arial"/>
              </w:rPr>
            </w:pPr>
            <w:r>
              <w:rPr>
                <w:rFonts w:ascii="Arial" w:hAnsi="Arial"/>
              </w:rPr>
              <w:t>0,7</w:t>
            </w:r>
          </w:p>
          <w:p w:rsidR="00000000" w:rsidRDefault="00000000">
            <w:pPr>
              <w:jc w:val="center"/>
              <w:rPr>
                <w:rFonts w:ascii="Arial" w:hAnsi="Arial"/>
              </w:rPr>
            </w:pPr>
            <w:r>
              <w:rPr>
                <w:rFonts w:ascii="Arial" w:hAnsi="Arial"/>
              </w:rPr>
              <w:t>1,3</w:t>
            </w:r>
          </w:p>
        </w:tc>
      </w:tr>
      <w:tr w:rsidR="00000000">
        <w:tblPrEx>
          <w:tblCellMar>
            <w:top w:w="0" w:type="dxa"/>
            <w:bottom w:w="0" w:type="dxa"/>
          </w:tblCellMar>
        </w:tblPrEx>
        <w:trPr>
          <w:cantSplit/>
          <w:jc w:val="center"/>
        </w:trPr>
        <w:tc>
          <w:tcPr>
            <w:tcW w:w="5954" w:type="dxa"/>
            <w:gridSpan w:val="2"/>
          </w:tcPr>
          <w:p w:rsidR="00000000" w:rsidRDefault="00000000">
            <w:pPr>
              <w:rPr>
                <w:rFonts w:ascii="Arial" w:hAnsi="Arial"/>
              </w:rPr>
            </w:pPr>
            <w:r>
              <w:rPr>
                <w:rFonts w:ascii="Arial" w:hAnsi="Arial"/>
              </w:rPr>
              <w:t>Estas sustancias se incluyeron en la encuesta de escolares junto a los tranqulizantes.</w:t>
            </w:r>
          </w:p>
        </w:tc>
      </w:tr>
    </w:tbl>
    <w:p w:rsidR="00000000" w:rsidRDefault="00000000">
      <w:pPr>
        <w:ind w:left="1917" w:right="1579"/>
        <w:jc w:val="both"/>
        <w:rPr>
          <w:rFonts w:ascii="Arial" w:hAnsi="Arial"/>
          <w:sz w:val="16"/>
        </w:rPr>
      </w:pPr>
      <w:r>
        <w:rPr>
          <w:rFonts w:ascii="Arial" w:hAnsi="Arial"/>
          <w:sz w:val="16"/>
        </w:rPr>
        <w:t xml:space="preserve">Fuente: Elaborado para el Instituto de la Mujer por EDIS,  </w:t>
      </w:r>
      <w:r>
        <w:rPr>
          <w:rFonts w:ascii="Arial" w:hAnsi="Arial"/>
          <w:i/>
          <w:sz w:val="16"/>
        </w:rPr>
        <w:t>El consumo de Alcohol y otras drogas en el colectivo femenino</w:t>
      </w:r>
      <w:r>
        <w:rPr>
          <w:rFonts w:ascii="Arial" w:hAnsi="Arial"/>
          <w:sz w:val="16"/>
        </w:rPr>
        <w:t>. Instituto de la Mujer, Madrid,  2000.</w:t>
      </w:r>
    </w:p>
    <w:p w:rsidR="00000000" w:rsidRDefault="00000000">
      <w:pPr>
        <w:jc w:val="both"/>
        <w:rPr>
          <w:rFonts w:ascii="Arial" w:hAnsi="Arial"/>
        </w:rPr>
      </w:pPr>
    </w:p>
    <w:p w:rsidR="00000000" w:rsidRDefault="00000000">
      <w:pPr>
        <w:jc w:val="both"/>
        <w:rPr>
          <w:rFonts w:ascii="Arial" w:hAnsi="Arial"/>
        </w:rPr>
      </w:pPr>
      <w:r>
        <w:rPr>
          <w:rFonts w:ascii="Arial" w:hAnsi="Arial"/>
        </w:rPr>
        <w:t>Finalmente, señalar que, los hipnóticos y tranquilizantes son las sustancias, después del alcohol y el tabaco, que las mujeres consumen de forma habitual en mayor porcentaje, afectando este consumo, fundamentalmente, a mujeres adultas.</w:t>
      </w:r>
    </w:p>
    <w:p w:rsidR="00000000" w:rsidRDefault="00000000">
      <w:pPr>
        <w:pStyle w:val="Heading9"/>
        <w:jc w:val="both"/>
        <w:rPr>
          <w:rFonts w:ascii="Arial" w:hAnsi="Arial"/>
        </w:rPr>
      </w:pPr>
    </w:p>
    <w:p w:rsidR="00000000" w:rsidRDefault="00000000">
      <w:pPr>
        <w:pStyle w:val="Heading9"/>
        <w:jc w:val="both"/>
        <w:rPr>
          <w:rFonts w:ascii="Arial" w:hAnsi="Arial"/>
        </w:rPr>
      </w:pPr>
      <w:r>
        <w:rPr>
          <w:rFonts w:ascii="Arial" w:hAnsi="Arial"/>
        </w:rPr>
        <w:t>Métodos anticonceptivos</w:t>
      </w:r>
    </w:p>
    <w:p w:rsidR="00000000" w:rsidRDefault="00000000">
      <w:pPr>
        <w:jc w:val="both"/>
        <w:rPr>
          <w:rFonts w:ascii="Arial" w:hAnsi="Arial"/>
        </w:rPr>
      </w:pPr>
    </w:p>
    <w:p w:rsidR="00000000" w:rsidRDefault="00000000">
      <w:pPr>
        <w:jc w:val="both"/>
        <w:rPr>
          <w:rFonts w:ascii="Arial" w:hAnsi="Arial"/>
        </w:rPr>
      </w:pPr>
      <w:r>
        <w:rPr>
          <w:rFonts w:ascii="Arial" w:hAnsi="Arial"/>
        </w:rPr>
        <w:t>A partir de la Encuesta de Fecundidad dirigida a mujeres en edad fértil (de 15 a 49 años), realizada en 1999, se puede afirmar que los métodos anticonceptivos utilizados con más frecuencia son: el preservativo (50.24%) y la píldora (45.74%), mientras que los menos utilizados han sido el diafragma, tapón o esponja vaginal (0.75%) y la píldora del día siguiente (0.94%).</w:t>
      </w: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3119"/>
        <w:gridCol w:w="31"/>
        <w:gridCol w:w="1386"/>
        <w:gridCol w:w="1418"/>
      </w:tblGrid>
      <w:tr w:rsidR="00000000">
        <w:tblPrEx>
          <w:tblCellMar>
            <w:top w:w="0" w:type="dxa"/>
            <w:bottom w:w="0" w:type="dxa"/>
          </w:tblCellMar>
        </w:tblPrEx>
        <w:trPr>
          <w:trHeight w:val="247"/>
          <w:jc w:val="center"/>
        </w:trPr>
        <w:tc>
          <w:tcPr>
            <w:tcW w:w="3150" w:type="dxa"/>
            <w:gridSpan w:val="2"/>
          </w:tcPr>
          <w:p w:rsidR="00000000" w:rsidRDefault="00000000">
            <w:pPr>
              <w:jc w:val="both"/>
              <w:rPr>
                <w:rFonts w:ascii="Arial" w:hAnsi="Arial"/>
                <w:snapToGrid w:val="0"/>
                <w:color w:val="000000"/>
                <w:sz w:val="16"/>
                <w:lang w:eastAsia="es-ES"/>
              </w:rPr>
            </w:pPr>
          </w:p>
        </w:tc>
        <w:tc>
          <w:tcPr>
            <w:tcW w:w="1386"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Absoluto</w:t>
            </w:r>
          </w:p>
        </w:tc>
        <w:tc>
          <w:tcPr>
            <w:tcW w:w="1418"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w:t>
            </w:r>
          </w:p>
        </w:tc>
      </w:tr>
      <w:tr w:rsidR="00000000">
        <w:tblPrEx>
          <w:tblCellMar>
            <w:top w:w="0" w:type="dxa"/>
            <w:bottom w:w="0" w:type="dxa"/>
          </w:tblCellMar>
        </w:tblPrEx>
        <w:trPr>
          <w:cantSplit/>
          <w:trHeight w:val="247"/>
          <w:jc w:val="center"/>
        </w:trPr>
        <w:tc>
          <w:tcPr>
            <w:tcW w:w="3119" w:type="dxa"/>
          </w:tcPr>
          <w:p w:rsidR="00000000" w:rsidRDefault="00000000">
            <w:pPr>
              <w:jc w:val="center"/>
              <w:rPr>
                <w:rFonts w:ascii="Arial" w:hAnsi="Arial"/>
                <w:snapToGrid w:val="0"/>
                <w:color w:val="000000"/>
                <w:sz w:val="16"/>
                <w:lang w:eastAsia="es-ES"/>
              </w:rPr>
            </w:pPr>
            <w:r>
              <w:rPr>
                <w:rFonts w:ascii="Arial" w:hAnsi="Arial"/>
                <w:sz w:val="16"/>
              </w:rPr>
              <w:t>Métodos utilizados *</w:t>
            </w:r>
          </w:p>
        </w:tc>
        <w:tc>
          <w:tcPr>
            <w:tcW w:w="1417" w:type="dxa"/>
            <w:gridSpan w:val="2"/>
          </w:tcPr>
          <w:p w:rsidR="00000000" w:rsidRDefault="00000000">
            <w:pPr>
              <w:jc w:val="center"/>
              <w:rPr>
                <w:rFonts w:ascii="Arial" w:hAnsi="Arial"/>
                <w:snapToGrid w:val="0"/>
                <w:color w:val="000000"/>
                <w:sz w:val="16"/>
                <w:lang w:eastAsia="es-ES"/>
              </w:rPr>
            </w:pPr>
          </w:p>
        </w:tc>
        <w:tc>
          <w:tcPr>
            <w:tcW w:w="1418"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Píldora</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4,649,576</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45.74</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DIU</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1,090,798</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10.73</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Diafragma, tapón, esponja vaginal </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76,192</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0.75</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Preservativo</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5,106,795</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50.24</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Cremas anticonceptivas</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187,057</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1.84</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Inyección</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121,990</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Píldora del día siguiente</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95,685</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0.94</w:t>
            </w:r>
          </w:p>
        </w:tc>
      </w:tr>
      <w:tr w:rsidR="00000000">
        <w:tblPrEx>
          <w:tblCellMar>
            <w:top w:w="0" w:type="dxa"/>
            <w:bottom w:w="0" w:type="dxa"/>
          </w:tblCellMar>
        </w:tblPrEx>
        <w:trPr>
          <w:trHeight w:val="247"/>
          <w:jc w:val="center"/>
        </w:trPr>
        <w:tc>
          <w:tcPr>
            <w:tcW w:w="3150" w:type="dxa"/>
            <w:gridSpan w:val="2"/>
          </w:tcPr>
          <w:p w:rsidR="00000000" w:rsidRDefault="00000000">
            <w:pPr>
              <w:tabs>
                <w:tab w:val="left" w:pos="254"/>
              </w:tabs>
              <w:jc w:val="both"/>
              <w:rPr>
                <w:rFonts w:ascii="Arial" w:hAnsi="Arial"/>
                <w:snapToGrid w:val="0"/>
                <w:color w:val="000000"/>
                <w:sz w:val="16"/>
                <w:lang w:eastAsia="es-ES"/>
              </w:rPr>
            </w:pPr>
            <w:r>
              <w:rPr>
                <w:rFonts w:ascii="Arial" w:hAnsi="Arial"/>
                <w:snapToGrid w:val="0"/>
                <w:color w:val="000000"/>
                <w:sz w:val="16"/>
                <w:lang w:eastAsia="es-ES"/>
              </w:rPr>
              <w:t xml:space="preserve">   Ligadura de trompas</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636,078</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6.26</w:t>
            </w:r>
          </w:p>
        </w:tc>
      </w:tr>
      <w:tr w:rsidR="00000000">
        <w:tblPrEx>
          <w:tblCellMar>
            <w:top w:w="0" w:type="dxa"/>
            <w:bottom w:w="0" w:type="dxa"/>
          </w:tblCellMar>
        </w:tblPrEx>
        <w:trPr>
          <w:trHeight w:val="247"/>
          <w:jc w:val="center"/>
        </w:trPr>
        <w:tc>
          <w:tcPr>
            <w:tcW w:w="3150" w:type="dxa"/>
            <w:gridSpan w:val="2"/>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Vasectomía</w:t>
            </w:r>
          </w:p>
        </w:tc>
        <w:tc>
          <w:tcPr>
            <w:tcW w:w="138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537,194</w:t>
            </w:r>
          </w:p>
        </w:tc>
        <w:tc>
          <w:tcPr>
            <w:tcW w:w="1418"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5.28</w:t>
            </w:r>
          </w:p>
        </w:tc>
      </w:tr>
      <w:tr w:rsidR="00000000">
        <w:tblPrEx>
          <w:tblCellMar>
            <w:top w:w="0" w:type="dxa"/>
            <w:bottom w:w="0" w:type="dxa"/>
          </w:tblCellMar>
        </w:tblPrEx>
        <w:trPr>
          <w:trHeight w:val="247"/>
          <w:jc w:val="center"/>
        </w:trPr>
        <w:tc>
          <w:tcPr>
            <w:tcW w:w="3150" w:type="dxa"/>
            <w:gridSpan w:val="2"/>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Otros métodos</w:t>
            </w:r>
          </w:p>
        </w:tc>
        <w:tc>
          <w:tcPr>
            <w:tcW w:w="1386"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59,601</w:t>
            </w:r>
          </w:p>
        </w:tc>
        <w:tc>
          <w:tcPr>
            <w:tcW w:w="1418"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0.59</w:t>
            </w:r>
          </w:p>
        </w:tc>
      </w:tr>
    </w:tbl>
    <w:p w:rsidR="00000000" w:rsidRDefault="00000000">
      <w:pPr>
        <w:ind w:left="1917" w:right="1885"/>
        <w:jc w:val="both"/>
        <w:rPr>
          <w:rFonts w:ascii="Arial" w:hAnsi="Arial"/>
          <w:sz w:val="16"/>
        </w:rPr>
      </w:pPr>
      <w:r>
        <w:rPr>
          <w:rFonts w:ascii="Arial" w:hAnsi="Arial"/>
          <w:sz w:val="16"/>
        </w:rPr>
        <w:t>Fuente: Encuesta de Fecundidad. INE Los porcentajes de todos los métodos no son sumatorios. En cada caso, se refieren al porcentaje total de la población que ha utilizado el método en cuestión; y cada persona puede haber hecho uso de varios.</w:t>
      </w:r>
    </w:p>
    <w:p w:rsidR="00000000" w:rsidRDefault="00000000">
      <w:pPr>
        <w:pStyle w:val="Heading8"/>
        <w:ind w:right="0"/>
        <w:jc w:val="both"/>
      </w:pPr>
      <w:r>
        <w:t>Interrupciones Voluntarias del Embarazo</w:t>
      </w:r>
    </w:p>
    <w:p w:rsidR="00000000" w:rsidRDefault="00000000">
      <w:pPr>
        <w:jc w:val="both"/>
        <w:rPr>
          <w:rFonts w:ascii="Arial" w:hAnsi="Arial"/>
          <w:i/>
        </w:rPr>
      </w:pPr>
    </w:p>
    <w:p w:rsidR="00000000" w:rsidRDefault="00000000">
      <w:pPr>
        <w:jc w:val="both"/>
        <w:rPr>
          <w:rFonts w:ascii="Arial" w:hAnsi="Arial"/>
        </w:rPr>
      </w:pPr>
      <w:r>
        <w:rPr>
          <w:rFonts w:ascii="Arial" w:hAnsi="Arial"/>
        </w:rPr>
        <w:t xml:space="preserve">Del período que comprende el informe disponemos de los datos  de IVEs practicadas de los años 1999 y 2000. Las cifras muestran un aumento en 5.375 del número de notificaciones de casos de IVEs en el año 2000. </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2268"/>
        <w:gridCol w:w="1843"/>
        <w:gridCol w:w="1843"/>
      </w:tblGrid>
      <w:tr w:rsidR="00000000">
        <w:tblPrEx>
          <w:tblCellMar>
            <w:top w:w="0" w:type="dxa"/>
            <w:bottom w:w="0" w:type="dxa"/>
          </w:tblCellMar>
        </w:tblPrEx>
        <w:trPr>
          <w:trHeight w:val="247"/>
          <w:jc w:val="center"/>
        </w:trPr>
        <w:tc>
          <w:tcPr>
            <w:tcW w:w="2268" w:type="dxa"/>
          </w:tcPr>
          <w:p w:rsidR="00000000" w:rsidRDefault="00000000">
            <w:pPr>
              <w:jc w:val="both"/>
              <w:rPr>
                <w:rFonts w:ascii="Arial" w:hAnsi="Arial"/>
                <w:snapToGrid w:val="0"/>
                <w:color w:val="000000"/>
                <w:sz w:val="16"/>
                <w:lang w:eastAsia="es-ES"/>
              </w:rPr>
            </w:pP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1999</w:t>
            </w:r>
          </w:p>
        </w:tc>
        <w:tc>
          <w:tcPr>
            <w:tcW w:w="1843" w:type="dxa"/>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2000</w:t>
            </w:r>
          </w:p>
        </w:tc>
      </w:tr>
      <w:tr w:rsidR="00000000">
        <w:tblPrEx>
          <w:tblCellMar>
            <w:top w:w="0" w:type="dxa"/>
            <w:bottom w:w="0" w:type="dxa"/>
          </w:tblCellMar>
        </w:tblPrEx>
        <w:trPr>
          <w:trHeight w:val="247"/>
          <w:jc w:val="center"/>
        </w:trPr>
        <w:tc>
          <w:tcPr>
            <w:tcW w:w="2268" w:type="dxa"/>
          </w:tcPr>
          <w:p w:rsidR="00000000" w:rsidRDefault="00000000">
            <w:pPr>
              <w:jc w:val="both"/>
              <w:rPr>
                <w:rFonts w:ascii="Arial" w:hAnsi="Arial"/>
                <w:snapToGrid w:val="0"/>
                <w:color w:val="000000"/>
                <w:sz w:val="16"/>
                <w:lang w:eastAsia="es-ES"/>
              </w:rPr>
            </w:pPr>
          </w:p>
        </w:tc>
        <w:tc>
          <w:tcPr>
            <w:tcW w:w="1843" w:type="dxa"/>
          </w:tcPr>
          <w:p w:rsidR="00000000" w:rsidRDefault="00000000">
            <w:pPr>
              <w:jc w:val="center"/>
              <w:rPr>
                <w:rFonts w:ascii="Arial" w:hAnsi="Arial"/>
                <w:snapToGrid w:val="0"/>
                <w:color w:val="000000"/>
                <w:sz w:val="16"/>
                <w:lang w:eastAsia="es-ES"/>
              </w:rPr>
            </w:pPr>
          </w:p>
        </w:tc>
        <w:tc>
          <w:tcPr>
            <w:tcW w:w="1843"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2268"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Total IVES</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58,399</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63,756</w:t>
            </w:r>
          </w:p>
        </w:tc>
      </w:tr>
      <w:tr w:rsidR="00000000">
        <w:tblPrEx>
          <w:tblCellMar>
            <w:top w:w="0" w:type="dxa"/>
            <w:bottom w:w="0" w:type="dxa"/>
          </w:tblCellMar>
        </w:tblPrEx>
        <w:trPr>
          <w:trHeight w:val="247"/>
          <w:jc w:val="center"/>
        </w:trPr>
        <w:tc>
          <w:tcPr>
            <w:tcW w:w="2268"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IVES adolescentes</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8,510</w:t>
            </w:r>
          </w:p>
        </w:tc>
        <w:tc>
          <w:tcPr>
            <w:tcW w:w="1843"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9,047</w:t>
            </w:r>
          </w:p>
        </w:tc>
      </w:tr>
      <w:tr w:rsidR="00000000">
        <w:tblPrEx>
          <w:tblCellMar>
            <w:top w:w="0" w:type="dxa"/>
            <w:bottom w:w="0" w:type="dxa"/>
          </w:tblCellMar>
        </w:tblPrEx>
        <w:trPr>
          <w:trHeight w:val="247"/>
          <w:jc w:val="center"/>
        </w:trPr>
        <w:tc>
          <w:tcPr>
            <w:tcW w:w="2268" w:type="dxa"/>
            <w:tcBorders>
              <w:bottom w:val="single" w:sz="12"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 IVES adolescentes</w:t>
            </w:r>
          </w:p>
        </w:tc>
        <w:tc>
          <w:tcPr>
            <w:tcW w:w="1843"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14.57</w:t>
            </w:r>
          </w:p>
        </w:tc>
        <w:tc>
          <w:tcPr>
            <w:tcW w:w="1843" w:type="dxa"/>
            <w:tcBorders>
              <w:bottom w:val="single" w:sz="12"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14.19</w:t>
            </w:r>
          </w:p>
        </w:tc>
      </w:tr>
    </w:tbl>
    <w:p w:rsidR="00000000" w:rsidRDefault="00000000">
      <w:pPr>
        <w:ind w:left="1926" w:right="1903"/>
        <w:jc w:val="both"/>
        <w:rPr>
          <w:rFonts w:ascii="Arial" w:hAnsi="Arial"/>
          <w:sz w:val="16"/>
        </w:rPr>
      </w:pPr>
      <w:r>
        <w:rPr>
          <w:rFonts w:ascii="Arial" w:hAnsi="Arial"/>
          <w:sz w:val="16"/>
        </w:rPr>
        <w:t>Fuente: Elaboración propia a partir de los datos de Interrupción Voluntaria del Embarazo. Ministerio de Sanidad y Consumo.</w:t>
      </w:r>
    </w:p>
    <w:p w:rsidR="00000000" w:rsidRDefault="00000000">
      <w:pPr>
        <w:jc w:val="both"/>
        <w:rPr>
          <w:rFonts w:ascii="Arial" w:hAnsi="Arial"/>
          <w:b/>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VIH/SIDA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Síndrome de Inmuno Deficiencia Adquirida afecta en mucha menos proporción a las mujeres que a los hombres, de forma que el número de casos de SIDA diagnosticados en estos años en el colectivo masculino es de casi 4 veces superior que en el femenino. Además, la edad media de las mujeres con SIDA, en el año de diagnóstico es claramente inferior al masculino. </w:t>
      </w:r>
    </w:p>
    <w:p w:rsidR="00000000" w:rsidRDefault="00000000">
      <w:pPr>
        <w:jc w:val="both"/>
        <w:rPr>
          <w:rFonts w:ascii="Arial" w:hAnsi="Arial"/>
        </w:rPr>
      </w:pPr>
    </w:p>
    <w:p w:rsidR="00000000" w:rsidRDefault="00000000">
      <w:pPr>
        <w:jc w:val="both"/>
        <w:rPr>
          <w:rFonts w:ascii="Arial" w:hAnsi="Arial"/>
        </w:rPr>
      </w:pPr>
      <w:r>
        <w:rPr>
          <w:rFonts w:ascii="Arial" w:hAnsi="Arial"/>
        </w:rPr>
        <w:t>También se aprecia en la tabla que se está produciendo una reducción del número de casos de SIDA, tendencia que comienza ya en el año 1996. Sin embargo los casos de nuevas infecciones por transmisión sexual superan en este momento a las debidas a transmisión parenteral. Este aumento porcentual de la transmisión heterosexual es más acentuado en mujeres y especialmente en los grupos más jóvenes.</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992"/>
        <w:gridCol w:w="1134"/>
        <w:gridCol w:w="1134"/>
        <w:gridCol w:w="1134"/>
        <w:gridCol w:w="1134"/>
        <w:gridCol w:w="1276"/>
        <w:gridCol w:w="1134"/>
      </w:tblGrid>
      <w:tr w:rsidR="00000000">
        <w:tblPrEx>
          <w:tblCellMar>
            <w:top w:w="0" w:type="dxa"/>
            <w:bottom w:w="0" w:type="dxa"/>
          </w:tblCellMar>
        </w:tblPrEx>
        <w:trPr>
          <w:trHeight w:val="305"/>
          <w:jc w:val="center"/>
        </w:trPr>
        <w:tc>
          <w:tcPr>
            <w:tcW w:w="992" w:type="dxa"/>
          </w:tcPr>
          <w:p w:rsidR="00000000" w:rsidRDefault="00000000">
            <w:pPr>
              <w:jc w:val="center"/>
              <w:rPr>
                <w:rFonts w:ascii="Arial" w:hAnsi="Arial"/>
                <w:snapToGrid w:val="0"/>
                <w:color w:val="000000"/>
                <w:sz w:val="16"/>
                <w:lang w:eastAsia="es-ES"/>
              </w:rPr>
            </w:pPr>
          </w:p>
        </w:tc>
        <w:tc>
          <w:tcPr>
            <w:tcW w:w="2268" w:type="dxa"/>
            <w:gridSpan w:val="2"/>
            <w:tcBorders>
              <w:bottom w:val="double" w:sz="4" w:space="0" w:color="auto"/>
            </w:tcBorders>
          </w:tcPr>
          <w:p w:rsidR="00000000" w:rsidRDefault="00000000">
            <w:pPr>
              <w:jc w:val="center"/>
              <w:rPr>
                <w:sz w:val="16"/>
              </w:rPr>
            </w:pPr>
            <w:r>
              <w:rPr>
                <w:rFonts w:ascii="Arial" w:hAnsi="Arial"/>
                <w:b/>
                <w:snapToGrid w:val="0"/>
                <w:color w:val="000000"/>
                <w:sz w:val="16"/>
                <w:lang w:eastAsia="es-ES"/>
              </w:rPr>
              <w:t>AMBOS</w:t>
            </w:r>
            <w:r>
              <w:rPr>
                <w:b/>
                <w:sz w:val="16"/>
              </w:rPr>
              <w:t xml:space="preserve"> SEXOS</w:t>
            </w:r>
          </w:p>
        </w:tc>
        <w:tc>
          <w:tcPr>
            <w:tcW w:w="2268" w:type="dxa"/>
            <w:gridSpan w:val="2"/>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MUJERES</w:t>
            </w:r>
          </w:p>
        </w:tc>
        <w:tc>
          <w:tcPr>
            <w:tcW w:w="2410" w:type="dxa"/>
            <w:gridSpan w:val="2"/>
            <w:tcBorders>
              <w:bottom w:val="doub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HOMBRES</w:t>
            </w:r>
          </w:p>
        </w:tc>
      </w:tr>
      <w:tr w:rsidR="00000000">
        <w:tblPrEx>
          <w:tblCellMar>
            <w:top w:w="0" w:type="dxa"/>
            <w:bottom w:w="0" w:type="dxa"/>
          </w:tblCellMar>
        </w:tblPrEx>
        <w:trPr>
          <w:trHeight w:val="305"/>
          <w:jc w:val="center"/>
        </w:trPr>
        <w:tc>
          <w:tcPr>
            <w:tcW w:w="992" w:type="dxa"/>
          </w:tcPr>
          <w:p w:rsidR="00000000" w:rsidRDefault="00000000">
            <w:pPr>
              <w:jc w:val="both"/>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276"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305"/>
          <w:jc w:val="center"/>
        </w:trPr>
        <w:tc>
          <w:tcPr>
            <w:tcW w:w="992" w:type="dxa"/>
          </w:tcPr>
          <w:p w:rsidR="00000000" w:rsidRDefault="00000000">
            <w:pPr>
              <w:jc w:val="both"/>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Nº de casos</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Edad Media</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Nº de casos</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Edad media</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Nº de casos</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Edad media</w:t>
            </w:r>
          </w:p>
        </w:tc>
      </w:tr>
      <w:tr w:rsidR="00000000">
        <w:tblPrEx>
          <w:tblCellMar>
            <w:top w:w="0" w:type="dxa"/>
            <w:bottom w:w="0" w:type="dxa"/>
          </w:tblCellMar>
        </w:tblPrEx>
        <w:trPr>
          <w:trHeight w:val="290"/>
          <w:jc w:val="center"/>
        </w:trPr>
        <w:tc>
          <w:tcPr>
            <w:tcW w:w="992" w:type="dxa"/>
          </w:tcPr>
          <w:p w:rsidR="00000000" w:rsidRDefault="00000000">
            <w:pPr>
              <w:jc w:val="both"/>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c>
          <w:tcPr>
            <w:tcW w:w="1276"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90"/>
          <w:jc w:val="center"/>
        </w:trPr>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1999</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2.832</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36.5</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578</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35,0</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2.254</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37,9</w:t>
            </w:r>
          </w:p>
        </w:tc>
      </w:tr>
      <w:tr w:rsidR="00000000">
        <w:tblPrEx>
          <w:tblCellMar>
            <w:top w:w="0" w:type="dxa"/>
            <w:bottom w:w="0" w:type="dxa"/>
          </w:tblCellMar>
        </w:tblPrEx>
        <w:trPr>
          <w:trHeight w:val="290"/>
          <w:jc w:val="center"/>
        </w:trPr>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2,326</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36.6</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522</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34,9</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1.804</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38,3</w:t>
            </w:r>
          </w:p>
        </w:tc>
      </w:tr>
      <w:tr w:rsidR="00000000">
        <w:tblPrEx>
          <w:tblCellMar>
            <w:top w:w="0" w:type="dxa"/>
            <w:bottom w:w="0" w:type="dxa"/>
          </w:tblCellMar>
        </w:tblPrEx>
        <w:trPr>
          <w:trHeight w:val="290"/>
          <w:jc w:val="center"/>
        </w:trPr>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2001</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1.980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37,2</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36,2</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1.590</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38,2</w:t>
            </w:r>
          </w:p>
        </w:tc>
      </w:tr>
      <w:tr w:rsidR="00000000">
        <w:tblPrEx>
          <w:tblCellMar>
            <w:top w:w="0" w:type="dxa"/>
            <w:bottom w:w="0" w:type="dxa"/>
          </w:tblCellMar>
        </w:tblPrEx>
        <w:trPr>
          <w:trHeight w:val="290"/>
          <w:jc w:val="center"/>
        </w:trPr>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2002(*)</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572</w:t>
            </w:r>
          </w:p>
        </w:tc>
        <w:tc>
          <w:tcPr>
            <w:tcW w:w="1134" w:type="dxa"/>
          </w:tcPr>
          <w:p w:rsidR="00000000" w:rsidRDefault="00000000">
            <w:pPr>
              <w:jc w:val="center"/>
              <w:rPr>
                <w:rFonts w:ascii="Arial" w:hAnsi="Arial"/>
                <w:snapToGrid w:val="0"/>
                <w:color w:val="000000"/>
                <w:sz w:val="16"/>
                <w:lang w:eastAsia="es-ES"/>
              </w:rPr>
            </w:pP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36,7</w:t>
            </w:r>
          </w:p>
        </w:tc>
        <w:tc>
          <w:tcPr>
            <w:tcW w:w="1276"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461</w:t>
            </w:r>
          </w:p>
        </w:tc>
        <w:tc>
          <w:tcPr>
            <w:tcW w:w="1134" w:type="dxa"/>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39,4</w:t>
            </w:r>
          </w:p>
        </w:tc>
      </w:tr>
      <w:tr w:rsidR="00000000">
        <w:tblPrEx>
          <w:tblCellMar>
            <w:top w:w="0" w:type="dxa"/>
            <w:bottom w:w="0" w:type="dxa"/>
          </w:tblCellMar>
        </w:tblPrEx>
        <w:trPr>
          <w:trHeight w:val="305"/>
          <w:jc w:val="center"/>
        </w:trPr>
        <w:tc>
          <w:tcPr>
            <w:tcW w:w="992" w:type="dxa"/>
            <w:tcBorders>
              <w:bottom w:val="single" w:sz="4" w:space="0" w:color="auto"/>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N.C.</w:t>
            </w:r>
          </w:p>
        </w:tc>
        <w:tc>
          <w:tcPr>
            <w:tcW w:w="113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86</w:t>
            </w:r>
          </w:p>
        </w:tc>
        <w:tc>
          <w:tcPr>
            <w:tcW w:w="113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31.0</w:t>
            </w:r>
          </w:p>
        </w:tc>
        <w:tc>
          <w:tcPr>
            <w:tcW w:w="113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w:t>
            </w:r>
          </w:p>
        </w:tc>
        <w:tc>
          <w:tcPr>
            <w:tcW w:w="113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29.1</w:t>
            </w:r>
          </w:p>
        </w:tc>
        <w:tc>
          <w:tcPr>
            <w:tcW w:w="1276"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71</w:t>
            </w:r>
          </w:p>
        </w:tc>
        <w:tc>
          <w:tcPr>
            <w:tcW w:w="1134" w:type="dxa"/>
            <w:tcBorders>
              <w:bottom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32,8</w:t>
            </w:r>
          </w:p>
        </w:tc>
      </w:tr>
    </w:tbl>
    <w:p w:rsidR="00000000" w:rsidRDefault="00000000">
      <w:pPr>
        <w:ind w:left="963" w:right="940"/>
        <w:jc w:val="both"/>
        <w:rPr>
          <w:rFonts w:ascii="Arial" w:hAnsi="Arial"/>
        </w:rPr>
      </w:pPr>
      <w:r>
        <w:rPr>
          <w:rFonts w:ascii="Arial" w:hAnsi="Arial"/>
          <w:snapToGrid w:val="0"/>
          <w:color w:val="000000"/>
          <w:sz w:val="16"/>
          <w:lang w:eastAsia="es-ES"/>
        </w:rPr>
        <w:t>(*): Datos a 30 de Junio de 2002 Fuente: Registro Nacional de SIDA, Centro Nacional de Epidemiología del Instituto de la Salud Carlos III</w:t>
      </w:r>
    </w:p>
    <w:p w:rsidR="00000000" w:rsidRDefault="00000000">
      <w:pPr>
        <w:rPr>
          <w:snapToGrid w:val="0"/>
          <w:color w:val="000000"/>
          <w:lang w:eastAsia="es-ES"/>
        </w:rPr>
      </w:pPr>
    </w:p>
    <w:p w:rsidR="00000000" w:rsidRDefault="00000000">
      <w:pPr>
        <w:rPr>
          <w:snapToGrid w:val="0"/>
          <w:color w:val="000000"/>
          <w:lang w:eastAsia="es-ES"/>
        </w:rPr>
      </w:pPr>
    </w:p>
    <w:p w:rsidR="00000000" w:rsidRDefault="00000000">
      <w:pPr>
        <w:jc w:val="both"/>
        <w:rPr>
          <w:rFonts w:ascii="Arial" w:hAnsi="Arial"/>
        </w:rPr>
      </w:pPr>
      <w:r>
        <w:rPr>
          <w:rFonts w:ascii="Arial" w:hAnsi="Arial"/>
        </w:rPr>
        <w:t>En España, se han producido cambios en las características epidemiológicas de los casos de sida. Así, el peso relativo de los casos por transmisión heterosexual diagnosticados en el año 2001 es del 40%, mientras que en los hombres esta categoría de transmisión supone un 20%.</w:t>
      </w:r>
    </w:p>
    <w:p w:rsidR="00000000" w:rsidRDefault="00000000">
      <w:pPr>
        <w:jc w:val="both"/>
        <w:rPr>
          <w:rFonts w:ascii="Arial" w:hAnsi="Arial"/>
        </w:rPr>
      </w:pPr>
    </w:p>
    <w:p w:rsidR="00000000" w:rsidRDefault="00000000">
      <w:pPr>
        <w:pStyle w:val="BodyTextIndent"/>
        <w:suppressAutoHyphens/>
        <w:ind w:left="0"/>
        <w:rPr>
          <w:sz w:val="20"/>
        </w:rPr>
      </w:pPr>
    </w:p>
    <w:p w:rsidR="00000000" w:rsidRDefault="00000000">
      <w:pPr>
        <w:jc w:val="both"/>
        <w:rPr>
          <w:rFonts w:ascii="Arial" w:hAnsi="Arial"/>
        </w:rPr>
      </w:pPr>
    </w:p>
    <w:p w:rsidR="00000000" w:rsidRDefault="00000000">
      <w:pPr>
        <w:jc w:val="center"/>
        <w:rPr>
          <w:rFonts w:ascii="Arial" w:hAnsi="Arial"/>
          <w:b/>
          <w:sz w:val="18"/>
        </w:rPr>
      </w:pPr>
      <w:r>
        <w:rPr>
          <w:rFonts w:ascii="Arial" w:hAnsi="Arial"/>
          <w:b/>
          <w:sz w:val="18"/>
        </w:rPr>
        <w:t>Casos de SIDA diagnosticados en 2001, según sexo y categoría de transmisión</w:t>
      </w:r>
    </w:p>
    <w:p w:rsidR="00000000" w:rsidRDefault="00000000">
      <w:pPr>
        <w:rPr>
          <w:snapToGrid w:val="0"/>
          <w:color w:val="000000"/>
          <w:lang w:eastAsia="es-ES"/>
        </w:rPr>
      </w:pPr>
      <w:r>
        <w:rPr>
          <w:noProof/>
          <w:color w:val="000000"/>
        </w:rPr>
        <w:pict>
          <v:shape id="_x0000_s2068" type="#_x0000_t75" style="position:absolute;margin-left:11.5pt;margin-top:18.25pt;width:208.8pt;height:122.4pt;z-index:9;mso-position-horizontal:absolute;mso-position-horizontal-relative:text;mso-position-vertical:absolute;mso-position-vertical-relative:text" o:allowincell="f" stroked="t" strokecolor="white">
            <v:imagedata r:id="rId36" o:title=""/>
            <w10:wrap type="topAndBottom"/>
          </v:shape>
          <o:OLEObject Type="Embed" ProgID="Excel.Sheet.8" ShapeID="_x0000_s2068" DrawAspect="Content" ObjectID="_1395237888" r:id="rId37"/>
        </w:pict>
      </w:r>
      <w:r>
        <w:rPr>
          <w:noProof/>
          <w:color w:val="000000"/>
        </w:rPr>
        <w:pict>
          <v:shape id="_x0000_s2069" type="#_x0000_t75" style="position:absolute;margin-left:274.25pt;margin-top:19.45pt;width:208.8pt;height:122.4pt;z-index:10;mso-position-horizontal:absolute;mso-position-horizontal-relative:text;mso-position-vertical:absolute;mso-position-vertical-relative:text" o:allowincell="f">
            <v:imagedata r:id="rId38" o:title=""/>
            <w10:wrap type="topAndBottom"/>
          </v:shape>
          <o:OLEObject Type="Embed" ProgID="Excel.Sheet.8" ShapeID="_x0000_s2069" DrawAspect="Content" ObjectID="_1395237889" r:id="rId39"/>
        </w:pict>
      </w:r>
    </w:p>
    <w:p w:rsidR="00000000" w:rsidRDefault="00000000">
      <w:pPr>
        <w:ind w:left="270"/>
        <w:rPr>
          <w:rFonts w:ascii="Arial" w:hAnsi="Arial"/>
          <w:sz w:val="16"/>
        </w:rPr>
      </w:pPr>
      <w:r>
        <w:rPr>
          <w:rFonts w:ascii="Arial" w:hAnsi="Arial"/>
          <w:sz w:val="16"/>
        </w:rPr>
        <w:t>Fuente: Secretaría del Plan Nacional sobre SIDA, Centro Nacional de Epidemiología. Centro Nacional Carlos III. Ministerio de Sanidad y Consumo</w:t>
      </w:r>
    </w:p>
    <w:p w:rsidR="00000000" w:rsidRDefault="00000000">
      <w:pPr>
        <w:rPr>
          <w:snapToGrid w:val="0"/>
          <w:color w:val="000000"/>
          <w:lang w:eastAsia="es-ES"/>
        </w:rPr>
      </w:pPr>
    </w:p>
    <w:p w:rsidR="00000000" w:rsidRDefault="00000000">
      <w:pPr>
        <w:rPr>
          <w:snapToGrid w:val="0"/>
          <w:color w:val="000000"/>
          <w:lang w:eastAsia="es-ES"/>
        </w:rPr>
      </w:pPr>
    </w:p>
    <w:p w:rsidR="00000000" w:rsidRDefault="00000000">
      <w:pPr>
        <w:rPr>
          <w:snapToGrid w:val="0"/>
          <w:color w:val="000000"/>
          <w:lang w:eastAsia="es-ES"/>
        </w:rPr>
      </w:pPr>
    </w:p>
    <w:p w:rsidR="00000000" w:rsidRDefault="00000000">
      <w:pPr>
        <w:rPr>
          <w:rFonts w:ascii="Arial" w:hAnsi="Arial"/>
          <w:b/>
          <w:sz w:val="18"/>
        </w:rPr>
      </w:pPr>
      <w:r>
        <w:rPr>
          <w:rFonts w:ascii="Arial" w:hAnsi="Arial"/>
          <w:b/>
          <w:sz w:val="18"/>
        </w:rPr>
        <w:t>Porcentaje de casos por las tres vías principales de transmisión, según año de diagnóstico, en Mujeres.</w:t>
      </w:r>
    </w:p>
    <w:p w:rsidR="00000000" w:rsidRDefault="00000000">
      <w:pPr>
        <w:rPr>
          <w:snapToGrid w:val="0"/>
          <w:color w:val="000000"/>
          <w:lang w:eastAsia="es-ES"/>
        </w:rPr>
      </w:pPr>
      <w:r>
        <w:pict>
          <v:shape id="_x0000_s2067" type="#_x0000_t75" style="position:absolute;margin-left:27.45pt;margin-top:19.6pt;width:6in;height:165.6pt;z-index:8;mso-position-horizontal:absolute;mso-position-horizontal-relative:text;mso-position-vertical:absolute;mso-position-vertical-relative:text" o:allowincell="f">
            <v:imagedata r:id="rId40" o:title=""/>
            <w10:wrap type="topAndBottom"/>
          </v:shape>
          <o:OLEObject Type="Embed" ProgID="Excel.Sheet.8" ShapeID="_x0000_s2067" DrawAspect="Content" ObjectID="_1395237887" r:id="rId41"/>
        </w:pict>
      </w:r>
    </w:p>
    <w:p w:rsidR="00000000" w:rsidRDefault="00000000">
      <w:pPr>
        <w:ind w:left="612"/>
        <w:jc w:val="both"/>
        <w:rPr>
          <w:rFonts w:ascii="Arial" w:hAnsi="Arial"/>
          <w:sz w:val="16"/>
        </w:rPr>
      </w:pPr>
      <w:r>
        <w:rPr>
          <w:rFonts w:ascii="Arial" w:hAnsi="Arial"/>
          <w:sz w:val="16"/>
        </w:rPr>
        <w:t>Fuente: Registro Nacional de casos de SIDA, actualización 31 Diciembre 2001</w:t>
      </w:r>
    </w:p>
    <w:p w:rsidR="00000000" w:rsidRDefault="00000000">
      <w:pPr>
        <w:jc w:val="both"/>
        <w:rPr>
          <w:rFonts w:ascii="Arial" w:hAnsi="Arial"/>
        </w:rPr>
      </w:pPr>
    </w:p>
    <w:p w:rsidR="00000000" w:rsidRDefault="00000000">
      <w:pPr>
        <w:jc w:val="center"/>
        <w:rPr>
          <w:rFonts w:ascii="Arial" w:hAnsi="Arial"/>
          <w:b/>
        </w:rPr>
      </w:pPr>
    </w:p>
    <w:p w:rsidR="00000000" w:rsidRDefault="00000000">
      <w:pPr>
        <w:jc w:val="both"/>
        <w:rPr>
          <w:rFonts w:ascii="Arial" w:hAnsi="Arial"/>
        </w:rPr>
      </w:pPr>
      <w:r>
        <w:rPr>
          <w:rFonts w:ascii="Arial" w:hAnsi="Arial"/>
        </w:rPr>
        <w:t>La tendencia de progresión de la transmisión heterosexual desde el año 1.988, de 10, 6 % ha aumentado de forma progresiva y constante a lo largo de los años, situándose en el año 2000 en el 40%, mientras que paralelamente disminuyen de forma constante los casos por usuarios de drogas por vía parenteral UDVP.</w:t>
      </w:r>
    </w:p>
    <w:p w:rsidR="00000000" w:rsidRDefault="00000000">
      <w:pPr>
        <w:pStyle w:val="BodyTextIndent"/>
        <w:suppressAutoHyphens/>
        <w:ind w:left="0"/>
        <w:rPr>
          <w:sz w:val="20"/>
        </w:rPr>
      </w:pPr>
    </w:p>
    <w:p w:rsidR="00000000" w:rsidRDefault="00000000">
      <w:pPr>
        <w:pStyle w:val="BodyTextIndent"/>
        <w:suppressAutoHyphens/>
        <w:ind w:left="0"/>
        <w:rPr>
          <w:sz w:val="20"/>
        </w:rPr>
      </w:pPr>
    </w:p>
    <w:p w:rsidR="00000000" w:rsidRDefault="00000000">
      <w:pPr>
        <w:pStyle w:val="BodyText2"/>
        <w:ind w:right="0"/>
        <w:jc w:val="both"/>
        <w:rPr>
          <w:b/>
        </w:rPr>
      </w:pPr>
      <w:r>
        <w:rPr>
          <w:b/>
        </w:rPr>
        <w:t>II. Modificaciones del ordenamiento jurídico.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Durante el período objeto de este informe, lo más relevante ha sido la ratificación del </w:t>
      </w:r>
      <w:r>
        <w:rPr>
          <w:rFonts w:ascii="Arial" w:hAnsi="Arial"/>
          <w:b/>
        </w:rPr>
        <w:t>Protocolo Adicional al Convenio</w:t>
      </w:r>
      <w:r>
        <w:rPr>
          <w:rFonts w:ascii="Arial" w:hAnsi="Arial"/>
        </w:rPr>
        <w:t xml:space="preserve"> para la protección de los derechos humanos y la dignidad del ser humano con respecto a las aplicaciones de la biología y la medicina, por el que </w:t>
      </w:r>
      <w:r>
        <w:rPr>
          <w:rFonts w:ascii="Arial" w:hAnsi="Arial"/>
          <w:b/>
        </w:rPr>
        <w:t>se prohibe la clonación de seres humanos</w:t>
      </w:r>
      <w:r>
        <w:rPr>
          <w:rFonts w:ascii="Arial" w:hAnsi="Arial"/>
        </w:rPr>
        <w:t>, hecho en París el 12 de enero de 1998.</w:t>
      </w:r>
    </w:p>
    <w:p w:rsidR="00000000" w:rsidRDefault="00000000">
      <w:pPr>
        <w:jc w:val="both"/>
        <w:rPr>
          <w:rFonts w:ascii="Arial" w:hAnsi="Arial"/>
          <w:b/>
        </w:rPr>
      </w:pPr>
      <w:r>
        <w:rPr>
          <w:rFonts w:ascii="Arial" w:hAnsi="Arial"/>
          <w:b/>
        </w:rPr>
        <w:t>III. Políticas y programas.</w:t>
      </w:r>
    </w:p>
    <w:p w:rsidR="00000000" w:rsidRDefault="00000000">
      <w:pPr>
        <w:jc w:val="both"/>
        <w:rPr>
          <w:rFonts w:ascii="Arial" w:hAnsi="Arial"/>
          <w:b/>
        </w:rPr>
      </w:pPr>
    </w:p>
    <w:p w:rsidR="00000000" w:rsidRDefault="00000000">
      <w:pPr>
        <w:jc w:val="both"/>
        <w:rPr>
          <w:rFonts w:ascii="Arial" w:hAnsi="Arial"/>
        </w:rPr>
      </w:pPr>
      <w:r>
        <w:rPr>
          <w:rFonts w:ascii="Arial" w:hAnsi="Arial"/>
        </w:rPr>
        <w:t>Para la ejecución de las políticas y el desarrollo de programas debe destacarse, en primer lugar, que ha finalizado el traspaso de competencias del Estado a las Comunidades Autónomas en materia de salud, lo que ha determinado la aprobación de planes de salud autonómicos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 nivel nacional, se ha continuado en el desarrollo de los Planes sobre Drogas y contra el Sida. Dado que estos planes están dirigidos a toda la población, desde </w:t>
      </w:r>
      <w:r>
        <w:rPr>
          <w:rFonts w:ascii="Arial" w:hAnsi="Arial"/>
          <w:b/>
        </w:rPr>
        <w:t>el Instituto de la Mujer</w:t>
      </w:r>
      <w:r>
        <w:rPr>
          <w:rFonts w:ascii="Arial" w:hAnsi="Arial"/>
        </w:rPr>
        <w:t xml:space="preserve"> se ha trabajado para incluir en sus programas la perspectiva de género.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al </w:t>
      </w:r>
      <w:r>
        <w:rPr>
          <w:rFonts w:ascii="Arial" w:hAnsi="Arial"/>
          <w:b/>
        </w:rPr>
        <w:t xml:space="preserve">Observatorio Español sobre Drogas, </w:t>
      </w:r>
      <w:r>
        <w:rPr>
          <w:rFonts w:ascii="Arial" w:hAnsi="Arial"/>
        </w:rPr>
        <w:t>cuya</w:t>
      </w:r>
      <w:r>
        <w:rPr>
          <w:rFonts w:ascii="Arial" w:hAnsi="Arial"/>
          <w:b/>
        </w:rPr>
        <w:t xml:space="preserve"> </w:t>
      </w:r>
      <w:r>
        <w:rPr>
          <w:rFonts w:ascii="Arial" w:hAnsi="Arial"/>
        </w:rPr>
        <w:t xml:space="preserve"> función básica es la evaluación de la situación de las drogodependencias en España, basada en la recogida y análisis de información, los datos se recogen teniendo en cuenta los dos sexos. Los resultados de su actividad se ponen a disposición de las instituciones, profesionales que gestionan y/o trabajan en este campo y público interesado. El Observatorio supone también la existencia de un instrumento eficaz en la toma de decisiones por los responsables del </w:t>
      </w:r>
      <w:r>
        <w:rPr>
          <w:rFonts w:ascii="Arial" w:hAnsi="Arial"/>
          <w:b/>
        </w:rPr>
        <w:t>Plan Nacional sobre Drogas</w:t>
      </w:r>
      <w:r>
        <w:rPr>
          <w:rFonts w:ascii="Arial" w:hAnsi="Arial"/>
        </w:rPr>
        <w:t xml:space="preserve"> para una adecuada planificación y puesta en marcha de actuaciones en esta materia.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España, siguiendo las directrices marcadas por la Organización Mundial de la Salud en el vigente Tercer Plan de Actuación para una Europa Sin Tabaco que señalan que los Estados miembros cuenten con planes propios así como políticas globales, según propone el Convenio Marco para la lucha Antitabáquica, se está elaborando un Plan Nacional de Prevención y Control del Tabaquismo que se aprobará próximamente y estará vigente hasta el año 2006. Asimismo, las Comunidades Autónomas, siguiendo las recomendaciones de los organismos internacionales, están elaborando planes de ámbito regional.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relación con el </w:t>
      </w:r>
      <w:r>
        <w:rPr>
          <w:rFonts w:ascii="Arial" w:hAnsi="Arial"/>
          <w:b/>
        </w:rPr>
        <w:t>Plan contra el SIDA</w:t>
      </w:r>
      <w:r>
        <w:rPr>
          <w:rFonts w:ascii="Arial" w:hAnsi="Arial"/>
        </w:rPr>
        <w:t xml:space="preserve">, los grandes objetivos siguen siendo los que ya en 1987 aprobó la Asamblea Mundial de la Salud: prevenir nuevas infecciones, reducir el impacto negativo personal y social de la epidemia y movilizar y coordinar los esfuerzos contra la infección por el VIH/SIDA. Para alcanzar estos objetivos, los distintos apartados reflejan la necesidad de aplicar aquellas intervenciones que han demostrado su efectividad, dirigidas a la población general, a los grupos más vulnerables y a los individuos. En el 2000 se presentó la </w:t>
      </w:r>
      <w:hyperlink r:id="rId42" w:history="1">
        <w:r>
          <w:rPr>
            <w:rFonts w:ascii="Arial" w:hAnsi="Arial"/>
            <w:b/>
          </w:rPr>
          <w:t>Evaluación del Plan de Movilización Multisectorial 1997-2000</w:t>
        </w:r>
      </w:hyperlink>
      <w:r>
        <w:rPr>
          <w:rFonts w:ascii="Arial" w:hAnsi="Arial"/>
        </w:rPr>
        <w:t>, documento que analiza a grandes rasgos el proceso y los principales resultados al finalizar el periodo de vigencia del Plan, y emite recomendaciones.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2001 se aprueba el nuevo </w:t>
      </w:r>
      <w:hyperlink r:id="rId43" w:history="1">
        <w:r>
          <w:rPr>
            <w:rFonts w:ascii="Arial" w:hAnsi="Arial"/>
            <w:b/>
          </w:rPr>
          <w:t>Plan Multisectorial 2001-2005</w:t>
        </w:r>
      </w:hyperlink>
      <w:r>
        <w:rPr>
          <w:rFonts w:ascii="Arial" w:hAnsi="Arial"/>
        </w:rPr>
        <w:t xml:space="preserve">, que establece los principios rectores del Plan y articula las estrategias y objetivos para cada área de trabajo (prevención, asistencia, vigilancia epidemiológica, investigación, participación ciudadana, coordinación institucional y cooperación internacional) en torno a los objetivos globales aprobados por la Asamblea Mundial de la Salud para el sida.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También en el año 2001 se revisan los </w:t>
      </w:r>
      <w:hyperlink r:id="rId44" w:history="1">
        <w:r>
          <w:rPr>
            <w:rFonts w:ascii="Arial" w:hAnsi="Arial"/>
          </w:rPr>
          <w:t>indicadores de evaluación</w:t>
        </w:r>
      </w:hyperlink>
      <w:r>
        <w:rPr>
          <w:rFonts w:ascii="Arial" w:hAnsi="Arial"/>
        </w:rPr>
        <w:t xml:space="preserve"> para adaptarlos a los nuevos objetivos y prioridades y corregir las deficiencias detectadas a lo largo de los años anteriores.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Las actuaciones, desarrolladas a través de Convenios de colaboración, van dirigidas, principalmente a la prevención. Así, el Instituto de la Mujer dentro del Convenio Marco y Convenios Específicos establecidos con el Ministerio de Sanidad y Consumo- Secretaría del Plan Nacional sobre el Sida-, ha desarrollado en distintas Comunidades Autónomas el </w:t>
      </w:r>
      <w:r>
        <w:rPr>
          <w:rFonts w:ascii="Arial" w:hAnsi="Arial"/>
          <w:b/>
        </w:rPr>
        <w:t>Programa para la Prevención de la Transmisión Heterosexual del VIH/ Sida en las mujeres</w:t>
      </w:r>
      <w:r>
        <w:rPr>
          <w:rFonts w:ascii="Arial" w:hAnsi="Arial"/>
        </w:rPr>
        <w:t>, a   fin de sensibilizar y formar a profesionales de Atención Primaria de salud sobre su intervención en la  prevención  específicamente en mujeres. Asimismo, se han reeditado los materiales específicos elaborados para este programa que recogen los contenidos del mismo.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También, se han realizado actuaciones dirigidas a la formación de formadores y formadoras  con  profesionales que han participado en el programa para que continúen impartiendo seminarios entre el personal sanitario de los Centros de Salud de Atención Primaria. Como apoyo de esta parte del programa se ha elaborado un material específico para esta fase del programa denominado “ </w:t>
      </w:r>
      <w:r>
        <w:rPr>
          <w:rFonts w:ascii="Arial" w:hAnsi="Arial"/>
          <w:b/>
        </w:rPr>
        <w:t>Género, subjetividad y relación sanitario/a y paciente”</w:t>
      </w:r>
      <w:r>
        <w:rPr>
          <w:rFonts w:ascii="Arial" w:hAnsi="Arial"/>
        </w:rPr>
        <w:t xml:space="preserve"> Además, para un mejor conocimiento de las características de la epidemia de VIH/sida en mujeres se ha efectuado una "Revisión epidemiológica “ en mayo de 2002 de próxima publicación. </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 xml:space="preserve">El Instituto de la Mujer, en el 2001, firmó un Protocolo de Colaboración con la Delegación del Gobierno del Plan Nacional sobre Drogas del Ministerio del Interior con el objetivo de promover investigaciones que contribuyan a </w:t>
      </w:r>
      <w:r>
        <w:rPr>
          <w:rFonts w:ascii="Arial" w:hAnsi="Arial"/>
          <w:b/>
          <w:snapToGrid w:val="0"/>
          <w:lang w:eastAsia="es-ES"/>
        </w:rPr>
        <w:t>prevenir el consumo de drogas en las mujeres</w:t>
      </w:r>
      <w:r>
        <w:rPr>
          <w:rFonts w:ascii="Arial" w:hAnsi="Arial"/>
          <w:snapToGrid w:val="0"/>
          <w:lang w:eastAsia="es-ES"/>
        </w:rPr>
        <w:t xml:space="preserve">, desarrollar acciones y programas destinados a la información y a la prevención del consumo de drogas y realizar acciones que incidan en la reducción del daño asociado al consumo. En el año 2002 el Instituto de la Mujer ha promovido la celebración  del Symposium sobre Tratamiento de la adicción en la mujer.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año 2002 el Instituto de la Mujer  y la Secretaría del Plan Nacional sobre el SIDA, del Ministerio de Sanidad y Consumo, ha promovido las Jornadas Mujeres Adelante, simultánea a la XIV Conferencia Internacional sobre el SIDA celebrada en Barcelona, con el objetivo de sensibilizar e incrementar la formación en relación con la problemática del VIH/SIDA en mujeres, facilitar la difusión de las experiencias internacionales entre las organizaciones no gubernamentales y promover la redes de ayuda mutua entre mujeres de los distintos países.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Instituto de la Mujer y el Ministerio de Justicia e Interior (Dirección General de Instituciones Penitenciarias) dentro de las actividades previstas en el convenio de colaboración subscrito entre ambas instituciones ha desarrollado en distintas Comunidades Autónomas el </w:t>
      </w:r>
      <w:r>
        <w:rPr>
          <w:rFonts w:ascii="Arial" w:hAnsi="Arial"/>
          <w:b/>
        </w:rPr>
        <w:t>Programa de Promoción de Hábitos Saludables y Prevención de VIH/ Sida en mujeres privadas de libertad</w:t>
      </w:r>
      <w:r>
        <w:rPr>
          <w:rFonts w:ascii="Arial" w:hAnsi="Arial"/>
        </w:rPr>
        <w:t xml:space="preserve"> cuyo objetivo es la formación de Profesionales de Centros Penitenciarios y Voluntariado para que desarrollen actividades grupales sobre salud dirigidas a internas de los Centros Penitenciarios</w:t>
      </w:r>
      <w:r>
        <w:rPr>
          <w:b/>
          <w:i/>
        </w:rPr>
        <w:t>.</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También se han firmado Convenios de colaboración entre el Instituto de la Mujer y Fundaciones y/o ONG sin ánimo de lucro que trabajan en la prevención, promoción de hábitos saludables, formación de profesionales, investigación, elaboración de materiales didácticos, etc. </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En cuanto a las políticas sanitarias dirigidas específicamente a las mujeres, cabe señalar el </w:t>
      </w:r>
      <w:r>
        <w:rPr>
          <w:rFonts w:ascii="Arial" w:hAnsi="Arial"/>
          <w:b/>
        </w:rPr>
        <w:t>Plan Integral de Atención a la Mujer,</w:t>
      </w:r>
      <w:r>
        <w:rPr>
          <w:rFonts w:ascii="Arial" w:hAnsi="Arial"/>
        </w:rPr>
        <w:t xml:space="preserve"> aprobado en 1998, con el que el Instituto Nacional de Salud (INSALUD) se propuso, en primer lugar, englobar, cuantificar y ordenar las acciones que tradicionalmente se venían enmarcando como de «atención a la mujer» para mejorar la calidad de la atención y, además, potenciar determinadas actuaciones desde los dos niveles asistenciales, Primaria y Especializada- para llegar a dar una mayor cobertura. </w:t>
      </w:r>
    </w:p>
    <w:p w:rsidR="00000000" w:rsidRDefault="00000000">
      <w:pPr>
        <w:jc w:val="both"/>
        <w:rPr>
          <w:rFonts w:ascii="Arial" w:hAnsi="Arial"/>
        </w:rPr>
      </w:pPr>
    </w:p>
    <w:p w:rsidR="00000000" w:rsidRDefault="00000000">
      <w:pPr>
        <w:jc w:val="both"/>
        <w:rPr>
          <w:rFonts w:ascii="Arial" w:hAnsi="Arial"/>
        </w:rPr>
      </w:pPr>
      <w:r>
        <w:rPr>
          <w:rFonts w:ascii="Arial" w:hAnsi="Arial"/>
        </w:rPr>
        <w:t>En resumen, este plan pretende:</w:t>
      </w:r>
    </w:p>
    <w:p w:rsidR="00000000" w:rsidRDefault="00000000">
      <w:pPr>
        <w:jc w:val="both"/>
        <w:rPr>
          <w:rFonts w:ascii="Arial" w:hAnsi="Arial"/>
        </w:rPr>
      </w:pPr>
    </w:p>
    <w:p w:rsidR="00000000" w:rsidRDefault="00000000">
      <w:pPr>
        <w:numPr>
          <w:ilvl w:val="0"/>
          <w:numId w:val="1416"/>
        </w:numPr>
        <w:tabs>
          <w:tab w:val="clear" w:pos="720"/>
        </w:tabs>
        <w:ind w:left="261" w:hanging="234"/>
        <w:jc w:val="both"/>
        <w:rPr>
          <w:rFonts w:ascii="Arial" w:hAnsi="Arial"/>
        </w:rPr>
      </w:pPr>
      <w:r>
        <w:rPr>
          <w:rFonts w:ascii="Arial" w:hAnsi="Arial"/>
        </w:rPr>
        <w:t>Impulsar las acciones que ya realizaban los Centros del INSALUD.</w:t>
      </w:r>
    </w:p>
    <w:p w:rsidR="00000000" w:rsidRDefault="00000000">
      <w:pPr>
        <w:numPr>
          <w:ilvl w:val="0"/>
          <w:numId w:val="1416"/>
        </w:numPr>
        <w:tabs>
          <w:tab w:val="clear" w:pos="720"/>
        </w:tabs>
        <w:ind w:left="261" w:hanging="234"/>
        <w:jc w:val="both"/>
        <w:rPr>
          <w:rFonts w:ascii="Arial" w:hAnsi="Arial"/>
          <w:snapToGrid w:val="0"/>
          <w:lang w:eastAsia="es-ES"/>
        </w:rPr>
      </w:pPr>
      <w:r>
        <w:rPr>
          <w:rFonts w:ascii="Arial" w:hAnsi="Arial"/>
          <w:snapToGrid w:val="0"/>
          <w:lang w:eastAsia="es-ES"/>
        </w:rPr>
        <w:t>Reforzar y ampliar algunos servicios que pudieran ser deficitarios.</w:t>
      </w:r>
    </w:p>
    <w:p w:rsidR="00000000" w:rsidRDefault="00000000">
      <w:pPr>
        <w:numPr>
          <w:ilvl w:val="0"/>
          <w:numId w:val="1416"/>
        </w:numPr>
        <w:tabs>
          <w:tab w:val="clear" w:pos="720"/>
        </w:tabs>
        <w:ind w:left="261" w:hanging="234"/>
        <w:jc w:val="both"/>
        <w:rPr>
          <w:rFonts w:ascii="Arial" w:hAnsi="Arial"/>
          <w:snapToGrid w:val="0"/>
          <w:lang w:eastAsia="es-ES"/>
        </w:rPr>
      </w:pPr>
      <w:r>
        <w:rPr>
          <w:rFonts w:ascii="Arial" w:hAnsi="Arial"/>
          <w:snapToGrid w:val="0"/>
          <w:lang w:eastAsia="es-ES"/>
        </w:rPr>
        <w:t>Presentar de manera integral el conjunto de acciones y dispositivo del Sistema Público en beneficio de la Salud de la Mujer.</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noProof/>
        </w:rPr>
        <w:pict>
          <v:shape id="_x0000_s2070" type="#_x0000_t75" style="position:absolute;left:0;text-align:left;margin-left:48.35pt;margin-top:21.85pt;width:393.85pt;height:115.2pt;z-index:11;mso-position-horizontal:absolute;mso-position-horizontal-relative:text;mso-position-vertical:absolute;mso-position-vertical-relative:text" o:allowincell="f">
            <v:imagedata r:id="rId45" o:title=""/>
            <w10:wrap type="topAndBottom"/>
          </v:shape>
        </w:pict>
      </w:r>
      <w:r>
        <w:rPr>
          <w:rFonts w:ascii="Arial" w:hAnsi="Arial"/>
          <w:snapToGrid w:val="0"/>
          <w:lang w:eastAsia="es-ES"/>
        </w:rPr>
        <w:t xml:space="preserve">El Plan, impulsado en los dos primeros años, ha ido consolidando sus actuaciones. </w:t>
      </w:r>
    </w:p>
    <w:p w:rsidR="00000000" w:rsidRDefault="00000000">
      <w:pPr>
        <w:jc w:val="both"/>
        <w:rPr>
          <w:rFonts w:ascii="Arial" w:hAnsi="Arial"/>
          <w:snapToGrid w:val="0"/>
          <w:lang w:eastAsia="es-ES"/>
        </w:rPr>
      </w:pPr>
    </w:p>
    <w:p w:rsidR="00000000" w:rsidRDefault="00000000">
      <w:pPr>
        <w:jc w:val="both"/>
        <w:rPr>
          <w:rFonts w:ascii="Arial-BoldMT" w:hAnsi="Arial-BoldMT"/>
          <w:b/>
          <w:snapToGrid w:val="0"/>
          <w:lang w:eastAsia="es-ES"/>
        </w:rPr>
      </w:pPr>
    </w:p>
    <w:p w:rsidR="00000000" w:rsidRDefault="00000000">
      <w:pPr>
        <w:jc w:val="both"/>
        <w:rPr>
          <w:rFonts w:ascii="Arial" w:hAnsi="Arial"/>
          <w:b/>
        </w:rPr>
      </w:pPr>
      <w:r>
        <w:rPr>
          <w:rFonts w:ascii="Arial" w:hAnsi="Arial"/>
        </w:rPr>
        <w:t xml:space="preserve">La disminución de la mortalidad por cáncer de cérvix (objetivo general del programa) no se detectará hasta transcurridos, al menos, entre 5 y 10 años desde el inicio del programa. Por otro lado, han destacado las actuaciones dirigidas a promover la utilización de la analgesia epidural y las relacionadas con el cáncer de mama. Para ello se ha realizado un </w:t>
      </w:r>
      <w:r>
        <w:rPr>
          <w:rFonts w:ascii="Arial" w:hAnsi="Arial"/>
          <w:b/>
        </w:rPr>
        <w:t>Protocolo de analgesia epidural en el parto</w:t>
      </w:r>
      <w:r>
        <w:rPr>
          <w:rFonts w:ascii="Arial" w:hAnsi="Arial"/>
        </w:rPr>
        <w:t xml:space="preserve"> y se han firmado Convenios de Colaboración entre Comunidades Autónomas y el INSALUD para la </w:t>
      </w:r>
      <w:r>
        <w:rPr>
          <w:rFonts w:ascii="Arial" w:hAnsi="Arial"/>
          <w:b/>
        </w:rPr>
        <w:t>detección precoz del cáncer de mama.</w:t>
      </w:r>
    </w:p>
    <w:p w:rsidR="00000000" w:rsidRDefault="00000000">
      <w:pPr>
        <w:jc w:val="both"/>
        <w:rPr>
          <w:rFonts w:ascii="Arial" w:hAnsi="Arial"/>
        </w:rPr>
      </w:pPr>
    </w:p>
    <w:p w:rsidR="00000000" w:rsidRDefault="00000000">
      <w:pPr>
        <w:jc w:val="both"/>
        <w:rPr>
          <w:rFonts w:ascii="Arial" w:hAnsi="Arial"/>
          <w:snapToGrid w:val="0"/>
          <w:lang w:eastAsia="es-ES"/>
        </w:rPr>
      </w:pPr>
      <w:r>
        <w:rPr>
          <w:rFonts w:ascii="Arial" w:hAnsi="Arial"/>
          <w:snapToGrid w:val="0"/>
          <w:lang w:eastAsia="es-ES"/>
        </w:rPr>
        <w:t xml:space="preserve">Asimismo, el Instituto de la Mujer dentro del Convenio Marco y Convenios Específicos establecidos con el Ministerio de Sanidad y Consumo desarrolla un </w:t>
      </w:r>
      <w:r>
        <w:rPr>
          <w:rFonts w:ascii="Arial" w:hAnsi="Arial"/>
          <w:b/>
          <w:snapToGrid w:val="0"/>
          <w:lang w:eastAsia="es-ES"/>
        </w:rPr>
        <w:t>programa de prevención de embarazos, enfermedades de transmisión sexual y VIH/ Sida en las mujeres jóvenes</w:t>
      </w:r>
      <w:r>
        <w:rPr>
          <w:rFonts w:ascii="Arial" w:hAnsi="Arial"/>
          <w:snapToGrid w:val="0"/>
          <w:lang w:eastAsia="es-ES"/>
        </w:rPr>
        <w:t xml:space="preserve"> cuyo objetivo es la formación de profesionales para la captación de mujeres jóvenes y la promoción de hábitos saludables y prácticas sexuales seguras.</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 xml:space="preserve">También, en estos tres últimos años, en el marco del Convenio de Colaboración establecido con el Ministerio de Sanidad y Consumo, se ha desarrollado el </w:t>
      </w:r>
      <w:r>
        <w:rPr>
          <w:rFonts w:ascii="Arial" w:hAnsi="Arial"/>
          <w:b/>
          <w:snapToGrid w:val="0"/>
          <w:lang w:eastAsia="es-ES"/>
        </w:rPr>
        <w:t>Programa de Intervención Psicosocial  para mejorar la calidad de vida de mujeres con cáncer de mama</w:t>
      </w:r>
      <w:r>
        <w:rPr>
          <w:rFonts w:ascii="Arial" w:hAnsi="Arial"/>
          <w:snapToGrid w:val="0"/>
          <w:lang w:eastAsia="es-ES"/>
        </w:rPr>
        <w:t>. Para lograr el objetivo de mejorar la calidad de vida de las mujeres intervenidas de cáncer de mama se ayuda a afrontar el diagnóstico y las nuevas condiciones de vida derivadas de la enfermedad, así como favorecer la vivencia positiva de su nueva imagen corporal.  Este programa que se oferta por el propio personal sanitario a las mujeres que están en tratamiento, se desarrolla en distintos centros hospitalarios, mediante talleres grupales, jornadas de seguimiento e intervenciones individuales con mujeres en situaciones de crisis.</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Asimismo, en el año 2.002 se ha elaborado un manual de “ Apoyo emocional y calidad de vida en mujeres con cáncer de mama” dirigido a los y las profesionales de los Servicios de Atención Especializada, a fin de mejorar la atención a ofertar a las usuarias con esta problemática.</w:t>
      </w:r>
    </w:p>
    <w:p w:rsidR="00000000" w:rsidRDefault="00000000">
      <w:pPr>
        <w:jc w:val="both"/>
        <w:rPr>
          <w:rFonts w:ascii="Arial" w:hAnsi="Arial"/>
          <w:snapToGrid w:val="0"/>
          <w:lang w:eastAsia="es-ES"/>
        </w:rPr>
      </w:pPr>
      <w:r>
        <w:rPr>
          <w:rFonts w:ascii="Arial" w:hAnsi="Arial"/>
          <w:snapToGrid w:val="0"/>
          <w:lang w:eastAsia="es-ES"/>
        </w:rPr>
        <w:t xml:space="preserve"> </w:t>
      </w:r>
    </w:p>
    <w:p w:rsidR="00000000" w:rsidRDefault="00000000">
      <w:pPr>
        <w:jc w:val="both"/>
        <w:rPr>
          <w:rFonts w:ascii="Arial" w:hAnsi="Arial"/>
          <w:snapToGrid w:val="0"/>
          <w:lang w:eastAsia="es-ES"/>
        </w:rPr>
      </w:pPr>
      <w:r>
        <w:rPr>
          <w:rFonts w:ascii="Arial" w:hAnsi="Arial"/>
          <w:snapToGrid w:val="0"/>
          <w:lang w:eastAsia="es-ES"/>
        </w:rPr>
        <w:t xml:space="preserve">En aplicación de las políticas europeas sobre Mainstreaming de género se han desarrollado actuaciones en el año 2001 y 2002 en colaboración con la Oficina Regional Europea de la Organización Mundial de la Salud (OMS), el Ministerio de Sanidad y Consumo y el Instituto de la Mujer a fin de incorporar la perspectiva de género en las políticas sanitarias europeas, conocer las experiencias de los distintos países y lograr consensos. Así, en el año 2002 se ha editado el documento “ Mainstreaming gender equity in health: The need to move forward: Madrid Statement “ . </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 xml:space="preserve">Dentro del Convenio Marco entre el Instituto de la Mujer y el Instituto de Salud Carlos III, se ha impulsado la coordinación en el ámbito estatal de las personas responsables del Programa de la Mujer en los Servicios de Salud de las Comunidades Autónomas, al objeto de incorporar </w:t>
      </w:r>
      <w:r>
        <w:rPr>
          <w:rFonts w:ascii="Arial" w:hAnsi="Arial"/>
          <w:b/>
          <w:snapToGrid w:val="0"/>
          <w:lang w:eastAsia="es-ES"/>
        </w:rPr>
        <w:t>el enfoque de género en los programas de  salud de la mujer</w:t>
      </w:r>
      <w:r>
        <w:rPr>
          <w:rFonts w:ascii="Arial" w:hAnsi="Arial"/>
          <w:snapToGrid w:val="0"/>
          <w:lang w:eastAsia="es-ES"/>
        </w:rPr>
        <w:t xml:space="preserve"> de las distintas Comunidades Autónomas, destacando  temas específicos  sobre su salud y difundiendo los ejemplos de buenas prácticas. Asimismo, con carácter estatal se ha promovido y consolidado la </w:t>
      </w:r>
      <w:r>
        <w:rPr>
          <w:rFonts w:ascii="Arial" w:hAnsi="Arial"/>
          <w:b/>
          <w:snapToGrid w:val="0"/>
          <w:lang w:eastAsia="es-ES"/>
        </w:rPr>
        <w:t>red de médicas y profesionales de la Salud</w:t>
      </w:r>
      <w:r>
        <w:rPr>
          <w:rFonts w:ascii="Arial" w:hAnsi="Arial"/>
          <w:snapToGrid w:val="0"/>
          <w:lang w:eastAsia="es-ES"/>
        </w:rPr>
        <w:t xml:space="preserve"> integrada por profesionales que tratan de incorporar la  problemática  específica referida de la salud de las mujeres en el diseño de programas y en la investigación. </w:t>
      </w:r>
    </w:p>
    <w:p w:rsidR="00000000" w:rsidRDefault="00000000">
      <w:pPr>
        <w:jc w:val="both"/>
        <w:rPr>
          <w:rFonts w:ascii="Arial" w:hAnsi="Arial"/>
          <w:snapToGrid w:val="0"/>
          <w:lang w:eastAsia="es-ES"/>
        </w:rPr>
      </w:pPr>
    </w:p>
    <w:p w:rsidR="00000000" w:rsidRDefault="00000000">
      <w:pPr>
        <w:jc w:val="both"/>
        <w:rPr>
          <w:rFonts w:ascii="Arial" w:hAnsi="Arial"/>
          <w:snapToGrid w:val="0"/>
          <w:lang w:eastAsia="es-ES"/>
        </w:rPr>
      </w:pPr>
      <w:r>
        <w:rPr>
          <w:rFonts w:ascii="Arial" w:hAnsi="Arial"/>
          <w:snapToGrid w:val="0"/>
          <w:lang w:eastAsia="es-ES"/>
        </w:rPr>
        <w:t xml:space="preserve">En colaboración con las Consejerías de Sanidad de las Comunidades Autónomas y con los Organismos de Igualdad se desarrolla un Programa de formación dirigido a profesionales sanitarios del Sistema Público de Salud con el objetivo de sensibilizar  e impartir una formación específica a los y las profesionales en las Áreas Sanitarias de Atención Primaria y Especializada del Sistema Público de Salud sobre temas específicos de la salud de las mujeres en distintas etapas o ante problemáticas concretas: </w:t>
      </w:r>
      <w:r>
        <w:rPr>
          <w:rFonts w:ascii="Arial" w:hAnsi="Arial"/>
          <w:b/>
          <w:snapToGrid w:val="0"/>
          <w:lang w:eastAsia="es-ES"/>
        </w:rPr>
        <w:t>la salud en la adolescencia, la atención a la mujer en el climaterio, la salud en las mujeres inmigrantes, los trastornos alimentarios</w:t>
      </w:r>
      <w:r>
        <w:rPr>
          <w:rFonts w:ascii="Arial" w:hAnsi="Arial"/>
          <w:snapToGrid w:val="0"/>
          <w:lang w:eastAsia="es-ES"/>
        </w:rPr>
        <w:t xml:space="preserve">. </w:t>
      </w:r>
    </w:p>
    <w:p w:rsidR="00000000" w:rsidRDefault="00000000">
      <w:pPr>
        <w:pStyle w:val="BodyText2"/>
        <w:ind w:right="0"/>
        <w:jc w:val="both"/>
      </w:pPr>
    </w:p>
    <w:p w:rsidR="00000000" w:rsidRDefault="00000000">
      <w:pPr>
        <w:pStyle w:val="BodyText2"/>
        <w:ind w:right="0"/>
        <w:jc w:val="both"/>
      </w:pPr>
      <w:r>
        <w:t>Dentro del Programa de prevención de embarazos, enfermedades de transmisión sexual y VIH/SIDA, se han desarrollado acciones en materia de educación sexual dirigidas a mujeres jóv</w:t>
      </w:r>
      <w:r>
        <w:t>e</w:t>
      </w:r>
      <w:r>
        <w:t>nes, para la promoción de hábitos saludables y prácticas sexuales seguras.</w:t>
      </w:r>
    </w:p>
    <w:p w:rsidR="00000000" w:rsidRDefault="00000000">
      <w:pPr>
        <w:pStyle w:val="BodyText2"/>
        <w:ind w:right="0"/>
        <w:jc w:val="both"/>
      </w:pPr>
    </w:p>
    <w:p w:rsidR="00000000" w:rsidRDefault="00000000">
      <w:pPr>
        <w:pStyle w:val="BodyText2"/>
        <w:ind w:right="0"/>
        <w:jc w:val="both"/>
      </w:pPr>
      <w:r>
        <w:t xml:space="preserve">El Instituto de la Mujer ha editado </w:t>
      </w:r>
      <w:r>
        <w:rPr>
          <w:b/>
        </w:rPr>
        <w:t>material formativo</w:t>
      </w:r>
      <w:r>
        <w:t xml:space="preserve">, sobre diferentes aspectos relacionados con la salud de las mujeres, dirigido a profesionales de atención sanitaria: </w:t>
      </w:r>
      <w:r>
        <w:rPr>
          <w:i/>
        </w:rPr>
        <w:t>Manual sobre cáncer de mama, Manual sobre autoestima , El estrés de las mujeres trabajadoras: sus causas y sus consecuencias.</w:t>
      </w:r>
      <w:r>
        <w:t xml:space="preserve"> También ha publicado dentro de la colección Guías de Salud diferentes temas: </w:t>
      </w:r>
      <w:r>
        <w:rPr>
          <w:i/>
        </w:rPr>
        <w:t>Anticonceptivos y sexualidad., Paternidad/Maternidad. El embarazo, El parto, Las Enfermedades de Transmisión S</w:t>
      </w:r>
      <w:r>
        <w:rPr>
          <w:i/>
        </w:rPr>
        <w:t>e</w:t>
      </w:r>
      <w:r>
        <w:rPr>
          <w:i/>
        </w:rPr>
        <w:t>xual, Mujer y Drogas</w:t>
      </w:r>
      <w:r>
        <w:t>, así como la R</w:t>
      </w:r>
      <w:r>
        <w:rPr>
          <w:i/>
        </w:rPr>
        <w:t>evista Entre Nous</w:t>
      </w:r>
      <w:r>
        <w:t xml:space="preserve"> de la Oficina Regional de la O.M.S. para E</w:t>
      </w:r>
      <w:r>
        <w:t>u</w:t>
      </w:r>
      <w:r>
        <w:t>ropa.</w:t>
      </w:r>
    </w:p>
    <w:p w:rsidR="00000000" w:rsidRDefault="00000000">
      <w:pPr>
        <w:pStyle w:val="BodyText2"/>
        <w:ind w:right="0"/>
        <w:jc w:val="both"/>
      </w:pPr>
    </w:p>
    <w:p w:rsidR="00000000" w:rsidRDefault="00000000">
      <w:pPr>
        <w:pStyle w:val="BodyText2"/>
        <w:ind w:right="0"/>
        <w:jc w:val="both"/>
        <w:rPr>
          <w:b/>
        </w:rPr>
      </w:pPr>
      <w:r>
        <w:t xml:space="preserve">Por último, señalar las </w:t>
      </w:r>
      <w:r>
        <w:rPr>
          <w:b/>
        </w:rPr>
        <w:t>subvenciones</w:t>
      </w:r>
      <w:r>
        <w:t xml:space="preserve"> concedidas por el Instituto de la Mujer </w:t>
      </w:r>
      <w:r>
        <w:rPr>
          <w:b/>
        </w:rPr>
        <w:t>en el área de info</w:t>
      </w:r>
      <w:r>
        <w:rPr>
          <w:b/>
        </w:rPr>
        <w:t>r</w:t>
      </w:r>
      <w:r>
        <w:rPr>
          <w:b/>
        </w:rPr>
        <w:t>mación y prevención para mejorar la salud de las mujeres.</w:t>
      </w:r>
    </w:p>
    <w:p w:rsidR="00000000" w:rsidRDefault="00000000">
      <w:pPr>
        <w:pStyle w:val="BlockText"/>
        <w:ind w:left="0" w:right="0"/>
      </w:pPr>
    </w:p>
    <w:p w:rsidR="00000000" w:rsidRDefault="00000000">
      <w:pPr>
        <w:pStyle w:val="BlockText"/>
        <w:ind w:left="0" w:right="0"/>
      </w:pPr>
      <w:r>
        <w:t>En el período 1998- 2001, se han otorgado las siguientes cantidades:</w:t>
      </w:r>
    </w:p>
    <w:p w:rsidR="00000000" w:rsidRDefault="00000000">
      <w:pPr>
        <w:pStyle w:val="BlockText"/>
        <w:ind w:left="0" w:right="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18"/>
        <w:gridCol w:w="1417"/>
        <w:gridCol w:w="1418"/>
        <w:gridCol w:w="1559"/>
      </w:tblGrid>
      <w:tr w:rsidR="00000000">
        <w:tblPrEx>
          <w:tblCellMar>
            <w:top w:w="0" w:type="dxa"/>
            <w:bottom w:w="0" w:type="dxa"/>
          </w:tblCellMar>
        </w:tblPrEx>
        <w:trPr>
          <w:trHeight w:val="266"/>
          <w:jc w:val="center"/>
        </w:trPr>
        <w:tc>
          <w:tcPr>
            <w:tcW w:w="1276" w:type="dxa"/>
            <w:vAlign w:val="center"/>
          </w:tcPr>
          <w:p w:rsidR="00000000" w:rsidRDefault="00000000">
            <w:pPr>
              <w:pStyle w:val="BlockText"/>
              <w:ind w:left="0" w:right="0"/>
              <w:jc w:val="center"/>
            </w:pPr>
            <w:r>
              <w:t>1998</w:t>
            </w:r>
          </w:p>
        </w:tc>
        <w:tc>
          <w:tcPr>
            <w:tcW w:w="1418" w:type="dxa"/>
            <w:vAlign w:val="center"/>
          </w:tcPr>
          <w:p w:rsidR="00000000" w:rsidRDefault="00000000">
            <w:pPr>
              <w:pStyle w:val="BlockText"/>
              <w:ind w:left="0" w:right="0"/>
              <w:jc w:val="center"/>
            </w:pPr>
            <w:r>
              <w:t>1999</w:t>
            </w:r>
          </w:p>
        </w:tc>
        <w:tc>
          <w:tcPr>
            <w:tcW w:w="1417" w:type="dxa"/>
            <w:vAlign w:val="center"/>
          </w:tcPr>
          <w:p w:rsidR="00000000" w:rsidRDefault="00000000">
            <w:pPr>
              <w:pStyle w:val="BlockText"/>
              <w:ind w:left="0" w:right="0"/>
              <w:jc w:val="center"/>
            </w:pPr>
            <w:r>
              <w:t>2000</w:t>
            </w:r>
          </w:p>
        </w:tc>
        <w:tc>
          <w:tcPr>
            <w:tcW w:w="1418" w:type="dxa"/>
            <w:vAlign w:val="center"/>
          </w:tcPr>
          <w:p w:rsidR="00000000" w:rsidRDefault="00000000">
            <w:pPr>
              <w:pStyle w:val="BlockText"/>
              <w:ind w:left="0" w:right="0"/>
              <w:jc w:val="center"/>
            </w:pPr>
            <w:r>
              <w:t>2001</w:t>
            </w:r>
          </w:p>
        </w:tc>
        <w:tc>
          <w:tcPr>
            <w:tcW w:w="1559" w:type="dxa"/>
            <w:vAlign w:val="center"/>
          </w:tcPr>
          <w:p w:rsidR="00000000" w:rsidRDefault="00000000">
            <w:pPr>
              <w:pStyle w:val="BlockText"/>
              <w:ind w:left="0" w:right="0"/>
              <w:jc w:val="center"/>
            </w:pPr>
            <w:r>
              <w:t>1998-2001 %</w:t>
            </w:r>
          </w:p>
        </w:tc>
      </w:tr>
      <w:tr w:rsidR="00000000">
        <w:tblPrEx>
          <w:tblCellMar>
            <w:top w:w="0" w:type="dxa"/>
            <w:bottom w:w="0" w:type="dxa"/>
          </w:tblCellMar>
        </w:tblPrEx>
        <w:trPr>
          <w:trHeight w:val="355"/>
          <w:jc w:val="center"/>
        </w:trPr>
        <w:tc>
          <w:tcPr>
            <w:tcW w:w="1276" w:type="dxa"/>
            <w:vAlign w:val="center"/>
          </w:tcPr>
          <w:p w:rsidR="00000000" w:rsidRDefault="00000000">
            <w:pPr>
              <w:pStyle w:val="BlockText"/>
              <w:ind w:left="0" w:right="0"/>
              <w:jc w:val="center"/>
            </w:pPr>
            <w:r>
              <w:t>59.800,70</w:t>
            </w:r>
          </w:p>
        </w:tc>
        <w:tc>
          <w:tcPr>
            <w:tcW w:w="1418" w:type="dxa"/>
            <w:vAlign w:val="center"/>
          </w:tcPr>
          <w:p w:rsidR="00000000" w:rsidRDefault="00000000">
            <w:pPr>
              <w:pStyle w:val="BlockText"/>
              <w:ind w:left="0" w:right="0"/>
              <w:jc w:val="center"/>
            </w:pPr>
            <w:r>
              <w:t>127.715,07</w:t>
            </w:r>
          </w:p>
        </w:tc>
        <w:tc>
          <w:tcPr>
            <w:tcW w:w="1417" w:type="dxa"/>
            <w:vAlign w:val="center"/>
          </w:tcPr>
          <w:p w:rsidR="00000000" w:rsidRDefault="00000000">
            <w:pPr>
              <w:pStyle w:val="BlockText"/>
              <w:ind w:left="0" w:right="0"/>
              <w:jc w:val="center"/>
            </w:pPr>
            <w:r>
              <w:t>95.861,43</w:t>
            </w:r>
          </w:p>
        </w:tc>
        <w:tc>
          <w:tcPr>
            <w:tcW w:w="1418" w:type="dxa"/>
            <w:vAlign w:val="center"/>
          </w:tcPr>
          <w:p w:rsidR="00000000" w:rsidRDefault="00000000">
            <w:pPr>
              <w:pStyle w:val="BlockText"/>
              <w:ind w:left="0" w:right="0"/>
              <w:jc w:val="center"/>
            </w:pPr>
            <w:r>
              <w:t>128.617</w:t>
            </w:r>
          </w:p>
        </w:tc>
        <w:tc>
          <w:tcPr>
            <w:tcW w:w="1559" w:type="dxa"/>
            <w:vAlign w:val="center"/>
          </w:tcPr>
          <w:p w:rsidR="00000000" w:rsidRDefault="00000000">
            <w:pPr>
              <w:pStyle w:val="BlockText"/>
              <w:ind w:left="0" w:right="0"/>
              <w:jc w:val="center"/>
            </w:pPr>
            <w:r>
              <w:t>115,08</w:t>
            </w:r>
          </w:p>
        </w:tc>
      </w:tr>
    </w:tbl>
    <w:p w:rsidR="00000000" w:rsidRDefault="00000000">
      <w:pPr>
        <w:pStyle w:val="BlockText"/>
        <w:ind w:left="1377" w:right="0"/>
        <w:rPr>
          <w:sz w:val="16"/>
        </w:rPr>
      </w:pPr>
      <w:r>
        <w:rPr>
          <w:sz w:val="16"/>
        </w:rPr>
        <w:t>Cantidades en Euros</w:t>
      </w:r>
    </w:p>
    <w:p w:rsidR="00000000" w:rsidRDefault="00000000">
      <w:pPr>
        <w:jc w:val="both"/>
        <w:rPr>
          <w:sz w:val="16"/>
        </w:rPr>
      </w:pPr>
    </w:p>
    <w:p w:rsidR="00000000" w:rsidRDefault="00000000">
      <w:pPr>
        <w:jc w:val="both"/>
        <w:rPr>
          <w:sz w:val="16"/>
        </w:rPr>
      </w:pPr>
    </w:p>
    <w:p w:rsidR="00000000" w:rsidRDefault="00000000">
      <w:pPr>
        <w:jc w:val="both"/>
        <w:rPr>
          <w:rFonts w:ascii="Arial" w:hAnsi="Arial"/>
          <w:b/>
        </w:rPr>
      </w:pPr>
      <w:r>
        <w:rPr>
          <w:rFonts w:ascii="Arial" w:hAnsi="Arial"/>
          <w:b/>
        </w:rPr>
        <w:t>Artículo 13: Beneficios sociales y económicos</w:t>
      </w:r>
    </w:p>
    <w:p w:rsidR="00000000" w:rsidRDefault="00000000">
      <w:pPr>
        <w:jc w:val="both"/>
        <w:rPr>
          <w:rFonts w:ascii="Arial" w:hAnsi="Arial"/>
          <w:b/>
        </w:rPr>
      </w:pP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Al margen de las bonificaciones sobre las cuotas empresariales a la Seguridad Social aprobadas anualmente como medidas de fomento del empleo de las mujeres (explicadas en el artículo 11) así como las ayudas económicas o técnicas que convoca el Estado o las comunidades Autónomas con la misma finalidad, la novedad más importante en este capítulo es la aprobación por el Consejo de Ministros, en noviembre de 2001, </w:t>
      </w:r>
      <w:r>
        <w:rPr>
          <w:rFonts w:ascii="Arial" w:hAnsi="Arial"/>
          <w:b/>
        </w:rPr>
        <w:t>del Primer Plan Integral</w:t>
      </w:r>
      <w:r>
        <w:rPr>
          <w:rFonts w:ascii="Arial" w:hAnsi="Arial"/>
        </w:rPr>
        <w:t xml:space="preserve"> </w:t>
      </w:r>
      <w:r>
        <w:rPr>
          <w:rFonts w:ascii="Arial" w:hAnsi="Arial"/>
          <w:b/>
        </w:rPr>
        <w:t>de apoyo a la familia, para el período 2001 – 2004</w:t>
      </w:r>
      <w:r>
        <w:rPr>
          <w:rFonts w:ascii="Arial" w:hAnsi="Arial"/>
        </w:rPr>
        <w:t xml:space="preserve">, así como el </w:t>
      </w:r>
      <w:r>
        <w:rPr>
          <w:rFonts w:ascii="Arial" w:hAnsi="Arial"/>
          <w:b/>
        </w:rPr>
        <w:t>Plan Nacional de acción para</w:t>
      </w:r>
      <w:r>
        <w:rPr>
          <w:rFonts w:ascii="Arial" w:hAnsi="Arial"/>
        </w:rPr>
        <w:t xml:space="preserve"> </w:t>
      </w:r>
      <w:r>
        <w:rPr>
          <w:rFonts w:ascii="Arial" w:hAnsi="Arial"/>
          <w:b/>
        </w:rPr>
        <w:t>la inclusión social 2001 – 2003</w:t>
      </w:r>
      <w:r>
        <w:rPr>
          <w:rFonts w:ascii="Arial" w:hAnsi="Arial"/>
        </w:rPr>
        <w:t>. (En relación con este Plan ver Anexo relativo a la exclusión social).</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Según el </w:t>
      </w:r>
      <w:r>
        <w:rPr>
          <w:rFonts w:ascii="Arial" w:hAnsi="Arial"/>
          <w:b/>
        </w:rPr>
        <w:t>Plan integral de apoyo a la familia</w:t>
      </w:r>
      <w:r>
        <w:rPr>
          <w:rFonts w:ascii="Arial" w:hAnsi="Arial"/>
        </w:rPr>
        <w:t>, la Administración del Estado tiene la obligación de apoyar a las familias españolas, desarrollando políticas que faciliten su estabilidad, calidad de vida, autonomía y bienestar y, en consecuencia, eliminar, al máximo posible, los obstáculos o dificultades que las afectan directamente.</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Plan, que contiene medidas para avanzar en la efectiva conciliación de la vida familiar y laboral, mejorar la calidad de vida familiar y garantizar el principio de continuidad demográfica o relevo generacional, se estructura en cuatro grandes objetivos: </w:t>
      </w:r>
    </w:p>
    <w:p w:rsidR="00000000" w:rsidRDefault="00000000">
      <w:pPr>
        <w:jc w:val="both"/>
        <w:rPr>
          <w:rFonts w:ascii="Arial" w:hAnsi="Arial"/>
        </w:rPr>
      </w:pPr>
    </w:p>
    <w:p w:rsidR="00000000" w:rsidRDefault="00000000">
      <w:pPr>
        <w:numPr>
          <w:ilvl w:val="0"/>
          <w:numId w:val="66"/>
        </w:numPr>
        <w:tabs>
          <w:tab w:val="clear" w:pos="927"/>
        </w:tabs>
        <w:ind w:left="324" w:hanging="284"/>
        <w:jc w:val="both"/>
        <w:rPr>
          <w:rFonts w:ascii="Arial" w:hAnsi="Arial"/>
        </w:rPr>
      </w:pPr>
      <w:r>
        <w:rPr>
          <w:rFonts w:ascii="Arial" w:hAnsi="Arial"/>
        </w:rPr>
        <w:t>Incrementar la calidad de vida de las familias,</w:t>
      </w:r>
    </w:p>
    <w:p w:rsidR="00000000" w:rsidRDefault="00000000">
      <w:pPr>
        <w:numPr>
          <w:ilvl w:val="0"/>
          <w:numId w:val="66"/>
        </w:numPr>
        <w:tabs>
          <w:tab w:val="clear" w:pos="927"/>
        </w:tabs>
        <w:ind w:left="324" w:hanging="284"/>
        <w:jc w:val="both"/>
        <w:rPr>
          <w:rFonts w:ascii="Arial" w:hAnsi="Arial"/>
        </w:rPr>
      </w:pPr>
      <w:r>
        <w:rPr>
          <w:rFonts w:ascii="Arial" w:hAnsi="Arial"/>
        </w:rPr>
        <w:t xml:space="preserve">Fomentar la solidaridad intergeneracional, </w:t>
      </w:r>
    </w:p>
    <w:p w:rsidR="00000000" w:rsidRDefault="00000000">
      <w:pPr>
        <w:numPr>
          <w:ilvl w:val="0"/>
          <w:numId w:val="66"/>
        </w:numPr>
        <w:tabs>
          <w:tab w:val="clear" w:pos="927"/>
        </w:tabs>
        <w:ind w:left="324" w:hanging="284"/>
        <w:jc w:val="both"/>
        <w:rPr>
          <w:rFonts w:ascii="Arial" w:hAnsi="Arial"/>
        </w:rPr>
      </w:pPr>
      <w:r>
        <w:rPr>
          <w:rFonts w:ascii="Arial" w:hAnsi="Arial"/>
        </w:rPr>
        <w:t xml:space="preserve">Apoyar a la familia como garante de la cohesión social </w:t>
      </w:r>
    </w:p>
    <w:p w:rsidR="00000000" w:rsidRDefault="00000000">
      <w:pPr>
        <w:numPr>
          <w:ilvl w:val="0"/>
          <w:numId w:val="66"/>
        </w:numPr>
        <w:tabs>
          <w:tab w:val="clear" w:pos="927"/>
        </w:tabs>
        <w:ind w:left="324" w:hanging="284"/>
        <w:jc w:val="both"/>
        <w:rPr>
          <w:rFonts w:ascii="Arial" w:hAnsi="Arial"/>
        </w:rPr>
      </w:pPr>
      <w:r>
        <w:rPr>
          <w:rFonts w:ascii="Arial" w:hAnsi="Arial"/>
        </w:rPr>
        <w:t xml:space="preserve">Prestar apoyo a las familias en situación de riesgo social y otras situaciones especiales. </w:t>
      </w:r>
    </w:p>
    <w:p w:rsidR="00000000" w:rsidRDefault="00000000">
      <w:pPr>
        <w:ind w:hanging="284"/>
        <w:jc w:val="both"/>
        <w:rPr>
          <w:rFonts w:ascii="Arial" w:hAnsi="Arial"/>
        </w:rPr>
      </w:pPr>
    </w:p>
    <w:p w:rsidR="00000000" w:rsidRDefault="00000000">
      <w:pPr>
        <w:ind w:hanging="284"/>
        <w:jc w:val="both"/>
        <w:rPr>
          <w:rFonts w:ascii="Arial" w:hAnsi="Arial"/>
        </w:rPr>
      </w:pPr>
    </w:p>
    <w:p w:rsidR="00000000" w:rsidRDefault="00000000">
      <w:pPr>
        <w:jc w:val="both"/>
        <w:rPr>
          <w:rFonts w:ascii="Arial" w:hAnsi="Arial"/>
        </w:rPr>
      </w:pPr>
      <w:r>
        <w:rPr>
          <w:rFonts w:ascii="Arial" w:hAnsi="Arial"/>
        </w:rPr>
        <w:t>Estos objetivos se concretan en 10 líneas estratégicas:</w:t>
      </w:r>
    </w:p>
    <w:p w:rsidR="00000000" w:rsidRDefault="00000000">
      <w:pPr>
        <w:jc w:val="both"/>
        <w:rPr>
          <w:rFonts w:ascii="Arial" w:hAnsi="Arial"/>
        </w:rPr>
      </w:pPr>
    </w:p>
    <w:p w:rsidR="00000000" w:rsidRDefault="00000000">
      <w:pPr>
        <w:numPr>
          <w:ilvl w:val="0"/>
          <w:numId w:val="1419"/>
        </w:numPr>
        <w:jc w:val="both"/>
        <w:rPr>
          <w:rFonts w:ascii="Arial" w:hAnsi="Arial"/>
        </w:rPr>
      </w:pPr>
      <w:r>
        <w:rPr>
          <w:rFonts w:ascii="Arial" w:hAnsi="Arial"/>
        </w:rPr>
        <w:t>Política Fiscal y de Rentas.</w:t>
      </w:r>
    </w:p>
    <w:p w:rsidR="00000000" w:rsidRDefault="00000000">
      <w:pPr>
        <w:numPr>
          <w:ilvl w:val="0"/>
          <w:numId w:val="1419"/>
        </w:numPr>
        <w:jc w:val="both"/>
        <w:rPr>
          <w:rFonts w:ascii="Arial" w:hAnsi="Arial"/>
        </w:rPr>
      </w:pPr>
      <w:r>
        <w:rPr>
          <w:rFonts w:ascii="Arial" w:hAnsi="Arial"/>
        </w:rPr>
        <w:t>Mejora de las prestaciones de Seguridad Social por hijo a cargo</w:t>
      </w:r>
    </w:p>
    <w:p w:rsidR="00000000" w:rsidRDefault="00000000">
      <w:pPr>
        <w:numPr>
          <w:ilvl w:val="0"/>
          <w:numId w:val="1419"/>
        </w:numPr>
        <w:jc w:val="both"/>
        <w:rPr>
          <w:rFonts w:ascii="Arial" w:hAnsi="Arial"/>
        </w:rPr>
      </w:pPr>
      <w:r>
        <w:rPr>
          <w:rFonts w:ascii="Arial" w:hAnsi="Arial"/>
        </w:rPr>
        <w:t>Conciliación de la vida familiar y laboral.</w:t>
      </w:r>
    </w:p>
    <w:p w:rsidR="00000000" w:rsidRDefault="00000000">
      <w:pPr>
        <w:numPr>
          <w:ilvl w:val="0"/>
          <w:numId w:val="1419"/>
        </w:numPr>
        <w:jc w:val="both"/>
        <w:rPr>
          <w:rFonts w:ascii="Arial" w:hAnsi="Arial"/>
        </w:rPr>
      </w:pPr>
      <w:r>
        <w:rPr>
          <w:rFonts w:ascii="Arial" w:hAnsi="Arial"/>
        </w:rPr>
        <w:t>Política de vivienda.</w:t>
      </w:r>
    </w:p>
    <w:p w:rsidR="00000000" w:rsidRDefault="00000000">
      <w:pPr>
        <w:numPr>
          <w:ilvl w:val="0"/>
          <w:numId w:val="1419"/>
        </w:numPr>
        <w:jc w:val="both"/>
        <w:rPr>
          <w:rFonts w:ascii="Arial" w:hAnsi="Arial"/>
        </w:rPr>
      </w:pPr>
      <w:r>
        <w:rPr>
          <w:rFonts w:ascii="Arial" w:hAnsi="Arial"/>
        </w:rPr>
        <w:t>Favorecer el acceso a las familias a las nuevas tecnologías.</w:t>
      </w:r>
    </w:p>
    <w:p w:rsidR="00000000" w:rsidRDefault="00000000">
      <w:pPr>
        <w:numPr>
          <w:ilvl w:val="0"/>
          <w:numId w:val="1419"/>
        </w:numPr>
        <w:jc w:val="both"/>
        <w:rPr>
          <w:rFonts w:ascii="Arial" w:hAnsi="Arial"/>
        </w:rPr>
      </w:pPr>
      <w:r>
        <w:rPr>
          <w:rFonts w:ascii="Arial" w:hAnsi="Arial"/>
        </w:rPr>
        <w:t>Revisión del Derecho de Familia.</w:t>
      </w:r>
    </w:p>
    <w:p w:rsidR="00000000" w:rsidRDefault="00000000">
      <w:pPr>
        <w:numPr>
          <w:ilvl w:val="0"/>
          <w:numId w:val="1419"/>
        </w:numPr>
        <w:jc w:val="both"/>
        <w:rPr>
          <w:rFonts w:ascii="Arial" w:hAnsi="Arial"/>
        </w:rPr>
      </w:pPr>
      <w:r>
        <w:rPr>
          <w:rFonts w:ascii="Arial" w:hAnsi="Arial"/>
        </w:rPr>
        <w:t>Desarrollo de los servicios de orientación y/o mediación familiar.</w:t>
      </w:r>
    </w:p>
    <w:p w:rsidR="00000000" w:rsidRDefault="00000000">
      <w:pPr>
        <w:numPr>
          <w:ilvl w:val="0"/>
          <w:numId w:val="1419"/>
        </w:numPr>
        <w:jc w:val="both"/>
        <w:rPr>
          <w:rFonts w:ascii="Arial" w:hAnsi="Arial"/>
        </w:rPr>
      </w:pPr>
      <w:r>
        <w:rPr>
          <w:rFonts w:ascii="Arial" w:hAnsi="Arial"/>
        </w:rPr>
        <w:t>Apoyo a las familias en situaciones especiales.</w:t>
      </w:r>
    </w:p>
    <w:p w:rsidR="00000000" w:rsidRDefault="00000000">
      <w:pPr>
        <w:numPr>
          <w:ilvl w:val="0"/>
          <w:numId w:val="1419"/>
        </w:numPr>
        <w:jc w:val="both"/>
        <w:rPr>
          <w:rFonts w:ascii="Arial" w:hAnsi="Arial"/>
        </w:rPr>
      </w:pPr>
      <w:r>
        <w:rPr>
          <w:rFonts w:ascii="Arial" w:hAnsi="Arial"/>
        </w:rPr>
        <w:t>Fomento de la participación social y el acceso a la cultura de las familias.</w:t>
      </w:r>
    </w:p>
    <w:p w:rsidR="00000000" w:rsidRDefault="00000000">
      <w:pPr>
        <w:numPr>
          <w:ilvl w:val="0"/>
          <w:numId w:val="1419"/>
        </w:numPr>
        <w:jc w:val="both"/>
        <w:rPr>
          <w:rFonts w:ascii="Arial" w:hAnsi="Arial"/>
        </w:rPr>
      </w:pPr>
      <w:r>
        <w:rPr>
          <w:rFonts w:ascii="Arial" w:hAnsi="Arial"/>
        </w:rPr>
        <w:t>Nueva Ley de protección a las familias numerosas</w:t>
      </w:r>
    </w:p>
    <w:p w:rsidR="00000000" w:rsidRDefault="00000000">
      <w:pPr>
        <w:ind w:hanging="284"/>
        <w:jc w:val="both"/>
        <w:rPr>
          <w:rFonts w:ascii="Arial" w:hAnsi="Arial"/>
        </w:rPr>
      </w:pPr>
    </w:p>
    <w:p w:rsidR="00000000" w:rsidRDefault="00000000">
      <w:pPr>
        <w:ind w:hanging="284"/>
        <w:jc w:val="both"/>
        <w:rPr>
          <w:rFonts w:ascii="Arial" w:hAnsi="Arial"/>
        </w:rPr>
      </w:pPr>
    </w:p>
    <w:p w:rsidR="00000000" w:rsidRDefault="00000000">
      <w:pPr>
        <w:jc w:val="both"/>
        <w:rPr>
          <w:rFonts w:ascii="Arial" w:hAnsi="Arial"/>
        </w:rPr>
      </w:pPr>
      <w:r>
        <w:rPr>
          <w:rFonts w:ascii="Arial" w:hAnsi="Arial"/>
        </w:rPr>
        <w:t xml:space="preserve">El Plan tiene en cuenta que el cuidado de personas dependientes, tanto mayores como menores y discapacitados, sigue recayendo, por lo general, en las mujeres. Por ello, en el nuevo </w:t>
      </w:r>
      <w:r>
        <w:rPr>
          <w:rFonts w:ascii="Arial" w:hAnsi="Arial"/>
          <w:b/>
        </w:rPr>
        <w:t>Impuesto sobre la renta de las personas físicas</w:t>
      </w:r>
      <w:r>
        <w:rPr>
          <w:rFonts w:ascii="Arial" w:hAnsi="Arial"/>
        </w:rPr>
        <w:t>, las madres con niños menores de 3 años dispondrán simultáneamente de estas medidas:</w:t>
      </w:r>
    </w:p>
    <w:p w:rsidR="00000000" w:rsidRDefault="00000000">
      <w:pPr>
        <w:jc w:val="both"/>
        <w:rPr>
          <w:rFonts w:ascii="Arial" w:hAnsi="Arial"/>
        </w:rPr>
      </w:pPr>
    </w:p>
    <w:p w:rsidR="00000000" w:rsidRDefault="00000000">
      <w:pPr>
        <w:numPr>
          <w:ilvl w:val="0"/>
          <w:numId w:val="1423"/>
        </w:numPr>
        <w:tabs>
          <w:tab w:val="clear" w:pos="1068"/>
        </w:tabs>
        <w:ind w:left="270" w:hanging="267"/>
        <w:jc w:val="both"/>
        <w:rPr>
          <w:rFonts w:ascii="Arial" w:hAnsi="Arial"/>
        </w:rPr>
      </w:pPr>
      <w:r>
        <w:rPr>
          <w:rFonts w:ascii="Arial" w:hAnsi="Arial"/>
        </w:rPr>
        <w:t>La reducción en el impuesto por cuidado de hijo menor de tres años asciende a 1.200 euros.</w:t>
      </w:r>
    </w:p>
    <w:p w:rsidR="00000000" w:rsidRDefault="00000000">
      <w:pPr>
        <w:numPr>
          <w:ilvl w:val="0"/>
          <w:numId w:val="1423"/>
        </w:numPr>
        <w:tabs>
          <w:tab w:val="clear" w:pos="1068"/>
        </w:tabs>
        <w:ind w:left="270" w:hanging="267"/>
        <w:jc w:val="both"/>
        <w:rPr>
          <w:rFonts w:ascii="Arial" w:hAnsi="Arial"/>
        </w:rPr>
      </w:pPr>
      <w:r>
        <w:rPr>
          <w:rFonts w:ascii="Arial" w:hAnsi="Arial"/>
        </w:rPr>
        <w:t>Como gran novedad se crea una nueva deducción de 1.200 euros por cada hijo menor de 3 años para las madres que compaginen la vida familiar y laboral. Esta deducción se podrá percibir como una paga anticipada.</w:t>
      </w:r>
    </w:p>
    <w:p w:rsidR="00000000" w:rsidRDefault="00000000">
      <w:pPr>
        <w:ind w:hanging="284"/>
        <w:jc w:val="both"/>
        <w:rPr>
          <w:rFonts w:ascii="Arial" w:hAnsi="Arial"/>
        </w:rPr>
      </w:pPr>
    </w:p>
    <w:p w:rsidR="00000000" w:rsidRDefault="00000000">
      <w:pPr>
        <w:jc w:val="both"/>
        <w:rPr>
          <w:rFonts w:ascii="Arial" w:hAnsi="Arial"/>
        </w:rPr>
      </w:pPr>
      <w:r>
        <w:rPr>
          <w:rFonts w:ascii="Arial" w:hAnsi="Arial"/>
        </w:rPr>
        <w:t xml:space="preserve">A pesar de la tendencia a familias con un menor número de hijos, existen en España un 13% de familias que tienen tres o más hijos, o dos hijos y uno de ellos con discapacidad y que, por tanto de acuerdo con la </w:t>
      </w:r>
      <w:r>
        <w:rPr>
          <w:rFonts w:ascii="Arial" w:hAnsi="Arial"/>
          <w:b/>
        </w:rPr>
        <w:t>Ley 8/1998, de 14 de abril</w:t>
      </w:r>
      <w:r>
        <w:rPr>
          <w:rFonts w:ascii="Arial" w:hAnsi="Arial"/>
        </w:rPr>
        <w:t>, son familias numerosas. Las familias numerosas reciben un apoyo específico, con objeto de suavizar la carga económica de las familias con  mayor número de hijos.</w:t>
      </w:r>
    </w:p>
    <w:p w:rsidR="00000000" w:rsidRDefault="00000000">
      <w:pPr>
        <w:jc w:val="both"/>
        <w:rPr>
          <w:rFonts w:ascii="Arial" w:hAnsi="Arial"/>
        </w:rPr>
      </w:pPr>
    </w:p>
    <w:p w:rsidR="00000000" w:rsidRDefault="00000000">
      <w:pPr>
        <w:jc w:val="both"/>
        <w:rPr>
          <w:rFonts w:ascii="Arial" w:hAnsi="Arial"/>
        </w:rPr>
      </w:pPr>
      <w:r>
        <w:rPr>
          <w:rFonts w:ascii="Arial" w:hAnsi="Arial"/>
        </w:rPr>
        <w:t>También  tiene en cuenta el caso de las familias monoparentales, es decir, aquéllas en que un solo progenitor (la madre con carácter general) asume en solitario las cargas familiares (por viudedad, por separación o divorcio o por maternidad de madre soltera). Este tipo de familia se ha incrementado en España de manera progresiva en los últimos años, sobre todo debido al aumento de los casos de separación o divorcio. Algunos estudios sitúan en algo más del 8% los hogares monoparentales (padre o madre solos que conviven con hijos menores) sobre el total de núcleos familiares con hijos menores de 18 años. Estas familias requieren un apoyo adicional y específico ya que presentan mayores dificultades de conciliación entre trabajo y familia y mayor riesgo de exclusión social.</w:t>
      </w:r>
    </w:p>
    <w:p w:rsidR="00000000" w:rsidRDefault="00000000">
      <w:pPr>
        <w:jc w:val="both"/>
        <w:rPr>
          <w:rFonts w:ascii="Arial" w:hAnsi="Arial"/>
          <w:b/>
        </w:rPr>
      </w:pPr>
    </w:p>
    <w:p w:rsidR="00000000" w:rsidRDefault="00000000">
      <w:pPr>
        <w:jc w:val="both"/>
        <w:rPr>
          <w:rFonts w:ascii="Arial" w:hAnsi="Arial"/>
          <w:b/>
        </w:rPr>
      </w:pPr>
      <w:r>
        <w:rPr>
          <w:rFonts w:ascii="Arial" w:hAnsi="Arial"/>
          <w:b/>
        </w:rPr>
        <w:t>Artículo 14: Mujeres rurales</w:t>
      </w:r>
    </w:p>
    <w:p w:rsidR="00000000" w:rsidRDefault="00000000">
      <w:pPr>
        <w:jc w:val="both"/>
        <w:rPr>
          <w:rFonts w:ascii="Arial" w:hAnsi="Arial"/>
        </w:rPr>
      </w:pPr>
    </w:p>
    <w:p w:rsidR="00000000" w:rsidRDefault="00000000">
      <w:pPr>
        <w:pStyle w:val="Heading7"/>
        <w:ind w:left="0"/>
        <w:jc w:val="left"/>
      </w:pPr>
      <w:r>
        <w:t>I. Situación actual</w:t>
      </w:r>
    </w:p>
    <w:p w:rsidR="00000000" w:rsidRDefault="00000000"/>
    <w:p w:rsidR="00000000" w:rsidRDefault="00000000">
      <w:pPr>
        <w:jc w:val="both"/>
        <w:rPr>
          <w:rFonts w:ascii="Arial" w:hAnsi="Arial"/>
        </w:rPr>
      </w:pPr>
      <w:r>
        <w:rPr>
          <w:rFonts w:ascii="Arial" w:hAnsi="Arial"/>
        </w:rPr>
        <w:t>Según los datos ofrecidos por FAOSTAT, base de datos estadísticos de la Organización de Naciones Unidas para la Agricultura y la Alimentación, la población agrícola española supone el 8,1 % de la población total, por encima de la media de la Unión Europea (5,83%).</w:t>
      </w:r>
    </w:p>
    <w:p w:rsidR="00000000" w:rsidRDefault="00000000">
      <w:pPr>
        <w:jc w:val="both"/>
        <w:rPr>
          <w:rFonts w:ascii="Arial" w:hAnsi="Arial"/>
          <w:b/>
        </w:rPr>
      </w:pPr>
    </w:p>
    <w:tbl>
      <w:tblPr>
        <w:tblW w:w="0" w:type="auto"/>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90" w:type="dxa"/>
          <w:right w:w="90" w:type="dxa"/>
        </w:tblCellMar>
        <w:tblLook w:val="0000" w:firstRow="0" w:lastRow="0" w:firstColumn="0" w:lastColumn="0" w:noHBand="0" w:noVBand="0"/>
      </w:tblPr>
      <w:tblGrid>
        <w:gridCol w:w="1418"/>
        <w:gridCol w:w="1559"/>
        <w:gridCol w:w="1984"/>
        <w:gridCol w:w="2127"/>
      </w:tblGrid>
      <w:tr w:rsidR="00000000">
        <w:tblPrEx>
          <w:tblCellMar>
            <w:top w:w="0" w:type="dxa"/>
            <w:bottom w:w="0" w:type="dxa"/>
          </w:tblCellMar>
        </w:tblPrEx>
        <w:trPr>
          <w:cantSplit/>
          <w:jc w:val="center"/>
        </w:trPr>
        <w:tc>
          <w:tcPr>
            <w:tcW w:w="1418" w:type="dxa"/>
            <w:vMerge w:val="restart"/>
            <w:vAlign w:val="center"/>
          </w:tcPr>
          <w:p w:rsidR="00000000" w:rsidRDefault="00000000">
            <w:pPr>
              <w:jc w:val="center"/>
              <w:rPr>
                <w:rFonts w:ascii="Arial" w:hAnsi="Arial"/>
                <w:sz w:val="16"/>
              </w:rPr>
            </w:pPr>
            <w:r>
              <w:rPr>
                <w:rFonts w:ascii="Arial" w:hAnsi="Arial"/>
                <w:sz w:val="16"/>
              </w:rPr>
              <w:t>Población</w:t>
            </w:r>
            <w:r>
              <w:rPr>
                <w:rFonts w:ascii="Arial" w:hAnsi="Arial"/>
                <w:sz w:val="16"/>
              </w:rPr>
              <w:br/>
              <w:t>total</w:t>
            </w:r>
          </w:p>
        </w:tc>
        <w:tc>
          <w:tcPr>
            <w:tcW w:w="1559" w:type="dxa"/>
            <w:vMerge w:val="restart"/>
            <w:vAlign w:val="center"/>
          </w:tcPr>
          <w:p w:rsidR="00000000" w:rsidRDefault="00000000">
            <w:pPr>
              <w:jc w:val="center"/>
              <w:rPr>
                <w:rFonts w:ascii="Arial" w:hAnsi="Arial"/>
                <w:sz w:val="16"/>
              </w:rPr>
            </w:pPr>
            <w:r>
              <w:rPr>
                <w:rFonts w:ascii="Arial" w:hAnsi="Arial"/>
                <w:sz w:val="16"/>
              </w:rPr>
              <w:t>Población</w:t>
            </w:r>
            <w:r>
              <w:rPr>
                <w:rFonts w:ascii="Arial" w:hAnsi="Arial"/>
                <w:sz w:val="16"/>
              </w:rPr>
              <w:br/>
              <w:t>agrícola (1)</w:t>
            </w:r>
          </w:p>
        </w:tc>
        <w:tc>
          <w:tcPr>
            <w:tcW w:w="4111" w:type="dxa"/>
            <w:gridSpan w:val="2"/>
            <w:vAlign w:val="center"/>
          </w:tcPr>
          <w:p w:rsidR="00000000" w:rsidRDefault="00000000">
            <w:pPr>
              <w:jc w:val="center"/>
              <w:rPr>
                <w:rFonts w:ascii="Arial" w:hAnsi="Arial"/>
                <w:sz w:val="16"/>
              </w:rPr>
            </w:pPr>
            <w:r>
              <w:rPr>
                <w:rFonts w:ascii="Arial" w:hAnsi="Arial"/>
                <w:sz w:val="16"/>
              </w:rPr>
              <w:t>Población activa</w:t>
            </w:r>
          </w:p>
        </w:tc>
      </w:tr>
      <w:tr w:rsidR="00000000">
        <w:tblPrEx>
          <w:tblCellMar>
            <w:top w:w="0" w:type="dxa"/>
            <w:bottom w:w="0" w:type="dxa"/>
          </w:tblCellMar>
        </w:tblPrEx>
        <w:trPr>
          <w:cantSplit/>
          <w:jc w:val="center"/>
        </w:trPr>
        <w:tc>
          <w:tcPr>
            <w:tcW w:w="1418" w:type="dxa"/>
            <w:vMerge/>
            <w:vAlign w:val="center"/>
          </w:tcPr>
          <w:p w:rsidR="00000000" w:rsidRDefault="00000000">
            <w:pPr>
              <w:jc w:val="both"/>
              <w:rPr>
                <w:rFonts w:ascii="Arial" w:hAnsi="Arial"/>
                <w:sz w:val="16"/>
              </w:rPr>
            </w:pPr>
          </w:p>
        </w:tc>
        <w:tc>
          <w:tcPr>
            <w:tcW w:w="1559" w:type="dxa"/>
            <w:vMerge/>
            <w:vAlign w:val="center"/>
          </w:tcPr>
          <w:p w:rsidR="00000000" w:rsidRDefault="00000000">
            <w:pPr>
              <w:jc w:val="both"/>
              <w:rPr>
                <w:rFonts w:ascii="Arial" w:hAnsi="Arial"/>
                <w:sz w:val="16"/>
              </w:rPr>
            </w:pPr>
          </w:p>
        </w:tc>
        <w:tc>
          <w:tcPr>
            <w:tcW w:w="1984" w:type="dxa"/>
            <w:vAlign w:val="center"/>
          </w:tcPr>
          <w:p w:rsidR="00000000" w:rsidRDefault="00000000">
            <w:pPr>
              <w:jc w:val="center"/>
              <w:rPr>
                <w:rFonts w:ascii="Arial" w:hAnsi="Arial"/>
                <w:sz w:val="16"/>
              </w:rPr>
            </w:pPr>
            <w:r>
              <w:rPr>
                <w:rFonts w:ascii="Arial" w:hAnsi="Arial"/>
                <w:sz w:val="16"/>
              </w:rPr>
              <w:t>Total</w:t>
            </w:r>
          </w:p>
        </w:tc>
        <w:tc>
          <w:tcPr>
            <w:tcW w:w="2127" w:type="dxa"/>
            <w:vAlign w:val="center"/>
          </w:tcPr>
          <w:p w:rsidR="00000000" w:rsidRDefault="00000000">
            <w:pPr>
              <w:jc w:val="center"/>
              <w:rPr>
                <w:rFonts w:ascii="Arial" w:hAnsi="Arial"/>
                <w:sz w:val="16"/>
              </w:rPr>
            </w:pPr>
            <w:r>
              <w:rPr>
                <w:rFonts w:ascii="Arial" w:hAnsi="Arial"/>
                <w:sz w:val="16"/>
              </w:rPr>
              <w:t>En la Agricultura (2)</w:t>
            </w:r>
          </w:p>
        </w:tc>
      </w:tr>
      <w:tr w:rsidR="00000000">
        <w:tblPrEx>
          <w:tblCellMar>
            <w:top w:w="0" w:type="dxa"/>
            <w:bottom w:w="0" w:type="dxa"/>
          </w:tblCellMar>
        </w:tblPrEx>
        <w:trPr>
          <w:jc w:val="center"/>
        </w:trPr>
        <w:tc>
          <w:tcPr>
            <w:tcW w:w="1418" w:type="dxa"/>
            <w:vAlign w:val="bottom"/>
          </w:tcPr>
          <w:p w:rsidR="00000000" w:rsidRDefault="00000000">
            <w:pPr>
              <w:jc w:val="center"/>
              <w:rPr>
                <w:rFonts w:ascii="Arial" w:hAnsi="Arial"/>
                <w:sz w:val="16"/>
              </w:rPr>
            </w:pPr>
            <w:r>
              <w:rPr>
                <w:rFonts w:ascii="Arial" w:hAnsi="Arial"/>
                <w:sz w:val="16"/>
              </w:rPr>
              <w:t>39.628</w:t>
            </w:r>
          </w:p>
        </w:tc>
        <w:tc>
          <w:tcPr>
            <w:tcW w:w="1559" w:type="dxa"/>
            <w:vAlign w:val="bottom"/>
          </w:tcPr>
          <w:p w:rsidR="00000000" w:rsidRDefault="00000000">
            <w:pPr>
              <w:jc w:val="center"/>
              <w:rPr>
                <w:rFonts w:ascii="Arial" w:hAnsi="Arial"/>
                <w:sz w:val="16"/>
              </w:rPr>
            </w:pPr>
            <w:r>
              <w:rPr>
                <w:rFonts w:ascii="Arial" w:hAnsi="Arial"/>
                <w:sz w:val="16"/>
              </w:rPr>
              <w:t>3.280</w:t>
            </w:r>
          </w:p>
        </w:tc>
        <w:tc>
          <w:tcPr>
            <w:tcW w:w="1984" w:type="dxa"/>
            <w:vAlign w:val="bottom"/>
          </w:tcPr>
          <w:p w:rsidR="00000000" w:rsidRDefault="00000000">
            <w:pPr>
              <w:jc w:val="center"/>
              <w:rPr>
                <w:rFonts w:ascii="Arial" w:hAnsi="Arial"/>
                <w:sz w:val="16"/>
              </w:rPr>
            </w:pPr>
            <w:r>
              <w:rPr>
                <w:rFonts w:ascii="Arial" w:hAnsi="Arial"/>
                <w:sz w:val="16"/>
              </w:rPr>
              <w:t>17.227</w:t>
            </w:r>
          </w:p>
        </w:tc>
        <w:tc>
          <w:tcPr>
            <w:tcW w:w="2127" w:type="dxa"/>
            <w:vAlign w:val="bottom"/>
          </w:tcPr>
          <w:p w:rsidR="00000000" w:rsidRDefault="00000000">
            <w:pPr>
              <w:jc w:val="center"/>
              <w:rPr>
                <w:rFonts w:ascii="Arial" w:hAnsi="Arial"/>
                <w:sz w:val="16"/>
              </w:rPr>
            </w:pPr>
            <w:r>
              <w:rPr>
                <w:rFonts w:ascii="Arial" w:hAnsi="Arial"/>
                <w:sz w:val="16"/>
              </w:rPr>
              <w:t>1.397</w:t>
            </w:r>
          </w:p>
        </w:tc>
      </w:tr>
    </w:tbl>
    <w:p w:rsidR="00000000" w:rsidRDefault="00000000">
      <w:pPr>
        <w:ind w:left="1359" w:right="1390"/>
        <w:jc w:val="both"/>
        <w:rPr>
          <w:rFonts w:ascii="Arial" w:hAnsi="Arial"/>
          <w:sz w:val="18"/>
        </w:rPr>
      </w:pPr>
      <w:r>
        <w:rPr>
          <w:rFonts w:ascii="Arial" w:hAnsi="Arial"/>
          <w:sz w:val="18"/>
        </w:rPr>
        <w:t>(en miles de personas)</w:t>
      </w:r>
    </w:p>
    <w:p w:rsidR="00000000" w:rsidRDefault="00000000">
      <w:pPr>
        <w:ind w:left="1359" w:right="1390"/>
        <w:jc w:val="both"/>
        <w:rPr>
          <w:rFonts w:ascii="Arial" w:hAnsi="Arial"/>
          <w:sz w:val="18"/>
        </w:rPr>
      </w:pPr>
      <w:r>
        <w:rPr>
          <w:rFonts w:ascii="Arial" w:hAnsi="Arial"/>
          <w:sz w:val="18"/>
        </w:rPr>
        <w:t xml:space="preserve">(1) La población agrícola comprende todas las personas que dependen de la agricultura para su subsistencia. </w:t>
      </w:r>
    </w:p>
    <w:p w:rsidR="00000000" w:rsidRDefault="00000000">
      <w:pPr>
        <w:ind w:left="1359" w:right="1390"/>
        <w:jc w:val="both"/>
        <w:rPr>
          <w:rFonts w:ascii="Arial" w:hAnsi="Arial"/>
          <w:sz w:val="18"/>
        </w:rPr>
      </w:pPr>
      <w:r>
        <w:rPr>
          <w:rFonts w:ascii="Arial" w:hAnsi="Arial"/>
          <w:sz w:val="18"/>
        </w:rPr>
        <w:t xml:space="preserve">(2) Comprende agricultura, ganadería, silvicultura, caza y pesca. </w:t>
      </w:r>
    </w:p>
    <w:p w:rsidR="00000000" w:rsidRDefault="00000000">
      <w:pPr>
        <w:jc w:val="both"/>
        <w:rPr>
          <w:rFonts w:ascii="Arial" w:hAnsi="Arial"/>
        </w:rPr>
      </w:pPr>
    </w:p>
    <w:p w:rsidR="00000000" w:rsidRDefault="00000000">
      <w:pPr>
        <w:jc w:val="both"/>
        <w:rPr>
          <w:rFonts w:ascii="Arial" w:hAnsi="Arial"/>
        </w:rPr>
      </w:pPr>
      <w:r>
        <w:rPr>
          <w:rFonts w:ascii="Arial" w:hAnsi="Arial"/>
        </w:rPr>
        <w:t>Según datos ofrecidos por el Instituto Nacional de Estadística, la distribución porcentual de la población agrícola activa que se ofrece en el siguiente cuadro, y en la que se ha englobado agricultura, ganadería, silvicultura y pesca, en los años 1998,1999 y 2000, ofrece grandes diferencias entre los sexos. De este modo, y a pesar del aumento anual experimentado por las mujeres, éstas no han alcanzado ni el 30% de la población hasta el año 2000.</w:t>
      </w:r>
    </w:p>
    <w:p w:rsidR="00000000" w:rsidRDefault="00000000">
      <w:pPr>
        <w:jc w:val="both"/>
        <w:rPr>
          <w:rFonts w:ascii="Arial" w:hAnsi="Arial"/>
        </w:rPr>
      </w:pPr>
    </w:p>
    <w:p w:rsidR="00000000" w:rsidRDefault="00000000">
      <w:pPr>
        <w:ind w:left="45" w:hanging="18"/>
        <w:jc w:val="center"/>
        <w:rPr>
          <w:rFonts w:ascii="Arial" w:hAnsi="Arial"/>
          <w:b/>
          <w:sz w:val="16"/>
        </w:rPr>
      </w:pPr>
      <w:r>
        <w:rPr>
          <w:rFonts w:ascii="Arial" w:hAnsi="Arial"/>
          <w:b/>
          <w:sz w:val="16"/>
        </w:rPr>
        <w:t>Distribución porcentual población agrícola</w:t>
      </w:r>
    </w:p>
    <w:p w:rsidR="00000000" w:rsidRDefault="00000000">
      <w:pPr>
        <w:jc w:val="both"/>
        <w:rPr>
          <w:rFonts w:ascii="Arial" w:hAnsi="Arial"/>
          <w:b/>
          <w:sz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90" w:type="dxa"/>
          <w:right w:w="90" w:type="dxa"/>
        </w:tblCellMar>
        <w:tblLook w:val="0000" w:firstRow="0" w:lastRow="0" w:firstColumn="0" w:lastColumn="0" w:noHBand="0" w:noVBand="0"/>
      </w:tblPr>
      <w:tblGrid>
        <w:gridCol w:w="1276"/>
        <w:gridCol w:w="1276"/>
        <w:gridCol w:w="2268"/>
        <w:gridCol w:w="2268"/>
      </w:tblGrid>
      <w:tr w:rsidR="00000000">
        <w:tblPrEx>
          <w:tblCellMar>
            <w:top w:w="0" w:type="dxa"/>
            <w:bottom w:w="0" w:type="dxa"/>
          </w:tblCellMar>
        </w:tblPrEx>
        <w:trPr>
          <w:cantSplit/>
          <w:jc w:val="center"/>
        </w:trPr>
        <w:tc>
          <w:tcPr>
            <w:tcW w:w="1276" w:type="dxa"/>
            <w:vMerge w:val="restart"/>
            <w:shd w:val="clear" w:color="auto" w:fill="FFFFFF"/>
            <w:vAlign w:val="center"/>
          </w:tcPr>
          <w:p w:rsidR="00000000" w:rsidRDefault="00000000">
            <w:pPr>
              <w:jc w:val="center"/>
              <w:rPr>
                <w:rFonts w:ascii="Arial" w:hAnsi="Arial"/>
                <w:sz w:val="16"/>
              </w:rPr>
            </w:pPr>
            <w:r>
              <w:rPr>
                <w:rFonts w:ascii="Arial" w:hAnsi="Arial"/>
                <w:sz w:val="16"/>
              </w:rPr>
              <w:t>Años</w:t>
            </w:r>
          </w:p>
        </w:tc>
        <w:tc>
          <w:tcPr>
            <w:tcW w:w="1276" w:type="dxa"/>
            <w:vMerge w:val="restart"/>
            <w:shd w:val="clear" w:color="auto" w:fill="FFFFFF"/>
            <w:vAlign w:val="center"/>
          </w:tcPr>
          <w:p w:rsidR="00000000" w:rsidRDefault="00000000">
            <w:pPr>
              <w:jc w:val="center"/>
              <w:rPr>
                <w:rFonts w:ascii="Arial" w:hAnsi="Arial"/>
                <w:sz w:val="16"/>
              </w:rPr>
            </w:pPr>
            <w:r>
              <w:rPr>
                <w:rFonts w:ascii="Arial" w:hAnsi="Arial"/>
                <w:sz w:val="16"/>
              </w:rPr>
              <w:t>Total</w:t>
            </w:r>
          </w:p>
        </w:tc>
        <w:tc>
          <w:tcPr>
            <w:tcW w:w="4536" w:type="dxa"/>
            <w:gridSpan w:val="2"/>
            <w:shd w:val="clear" w:color="auto" w:fill="FFFFFF"/>
            <w:vAlign w:val="center"/>
          </w:tcPr>
          <w:p w:rsidR="00000000" w:rsidRDefault="00000000">
            <w:pPr>
              <w:jc w:val="center"/>
              <w:rPr>
                <w:rFonts w:ascii="Arial" w:hAnsi="Arial"/>
                <w:sz w:val="16"/>
              </w:rPr>
            </w:pPr>
            <w:r>
              <w:rPr>
                <w:rFonts w:ascii="Arial" w:hAnsi="Arial"/>
                <w:sz w:val="16"/>
              </w:rPr>
              <w:t>Sexo</w:t>
            </w:r>
          </w:p>
        </w:tc>
      </w:tr>
      <w:tr w:rsidR="00000000">
        <w:tblPrEx>
          <w:tblCellMar>
            <w:top w:w="0" w:type="dxa"/>
            <w:bottom w:w="0" w:type="dxa"/>
          </w:tblCellMar>
        </w:tblPrEx>
        <w:trPr>
          <w:cantSplit/>
          <w:jc w:val="center"/>
        </w:trPr>
        <w:tc>
          <w:tcPr>
            <w:tcW w:w="1276" w:type="dxa"/>
            <w:vMerge/>
            <w:tcBorders>
              <w:bottom w:val="threeDEngrave" w:sz="6" w:space="0" w:color="auto"/>
            </w:tcBorders>
            <w:shd w:val="clear" w:color="auto" w:fill="FFFFFF"/>
            <w:vAlign w:val="center"/>
          </w:tcPr>
          <w:p w:rsidR="00000000" w:rsidRDefault="00000000">
            <w:pPr>
              <w:jc w:val="center"/>
              <w:rPr>
                <w:rFonts w:ascii="Arial" w:hAnsi="Arial"/>
                <w:sz w:val="16"/>
              </w:rPr>
            </w:pPr>
          </w:p>
        </w:tc>
        <w:tc>
          <w:tcPr>
            <w:tcW w:w="1276" w:type="dxa"/>
            <w:vMerge/>
            <w:tcBorders>
              <w:bottom w:val="threeDEngrave" w:sz="6" w:space="0" w:color="auto"/>
            </w:tcBorders>
            <w:shd w:val="clear" w:color="auto" w:fill="FFFFFF"/>
            <w:vAlign w:val="center"/>
          </w:tcPr>
          <w:p w:rsidR="00000000" w:rsidRDefault="00000000">
            <w:pPr>
              <w:jc w:val="center"/>
              <w:rPr>
                <w:rFonts w:ascii="Arial" w:hAnsi="Arial"/>
                <w:sz w:val="16"/>
              </w:rPr>
            </w:pPr>
          </w:p>
        </w:tc>
        <w:tc>
          <w:tcPr>
            <w:tcW w:w="2268" w:type="dxa"/>
            <w:tcBorders>
              <w:bottom w:val="threeDEngrave" w:sz="6" w:space="0" w:color="auto"/>
            </w:tcBorders>
            <w:shd w:val="clear" w:color="auto" w:fill="FFFFFF"/>
            <w:vAlign w:val="center"/>
          </w:tcPr>
          <w:p w:rsidR="00000000" w:rsidRDefault="00000000">
            <w:pPr>
              <w:jc w:val="center"/>
              <w:rPr>
                <w:rFonts w:ascii="Arial" w:hAnsi="Arial"/>
                <w:sz w:val="16"/>
              </w:rPr>
            </w:pPr>
            <w:r>
              <w:rPr>
                <w:rFonts w:ascii="Arial" w:hAnsi="Arial"/>
                <w:sz w:val="16"/>
              </w:rPr>
              <w:t>Hombres</w:t>
            </w:r>
          </w:p>
        </w:tc>
        <w:tc>
          <w:tcPr>
            <w:tcW w:w="2268" w:type="dxa"/>
            <w:tcBorders>
              <w:bottom w:val="threeDEngrave" w:sz="6" w:space="0" w:color="auto"/>
            </w:tcBorders>
            <w:shd w:val="clear" w:color="auto" w:fill="FFFFFF"/>
            <w:vAlign w:val="center"/>
          </w:tcPr>
          <w:p w:rsidR="00000000" w:rsidRDefault="00000000">
            <w:pPr>
              <w:jc w:val="center"/>
              <w:rPr>
                <w:rFonts w:ascii="Arial" w:hAnsi="Arial"/>
                <w:sz w:val="16"/>
              </w:rPr>
            </w:pPr>
            <w:r>
              <w:rPr>
                <w:rFonts w:ascii="Arial" w:hAnsi="Arial"/>
                <w:sz w:val="16"/>
              </w:rPr>
              <w:t>Mujeres</w:t>
            </w:r>
          </w:p>
        </w:tc>
      </w:tr>
      <w:tr w:rsidR="00000000">
        <w:tblPrEx>
          <w:tblCellMar>
            <w:top w:w="0" w:type="dxa"/>
            <w:bottom w:w="0" w:type="dxa"/>
          </w:tblCellMar>
        </w:tblPrEx>
        <w:trPr>
          <w:jc w:val="center"/>
        </w:trPr>
        <w:tc>
          <w:tcPr>
            <w:tcW w:w="1276" w:type="dxa"/>
          </w:tcPr>
          <w:p w:rsidR="00000000" w:rsidRDefault="00000000">
            <w:pPr>
              <w:jc w:val="center"/>
              <w:rPr>
                <w:rFonts w:ascii="Arial" w:hAnsi="Arial"/>
                <w:sz w:val="16"/>
              </w:rPr>
            </w:pPr>
            <w:r>
              <w:rPr>
                <w:rFonts w:ascii="Arial" w:hAnsi="Arial"/>
                <w:sz w:val="16"/>
              </w:rPr>
              <w:t>1998</w:t>
            </w:r>
          </w:p>
        </w:tc>
        <w:tc>
          <w:tcPr>
            <w:tcW w:w="1276" w:type="dxa"/>
            <w:vAlign w:val="bottom"/>
          </w:tcPr>
          <w:p w:rsidR="00000000" w:rsidRDefault="00000000">
            <w:pPr>
              <w:jc w:val="center"/>
              <w:rPr>
                <w:rFonts w:ascii="Arial" w:hAnsi="Arial"/>
                <w:sz w:val="16"/>
              </w:rPr>
            </w:pPr>
            <w:r>
              <w:rPr>
                <w:rFonts w:ascii="Arial" w:hAnsi="Arial"/>
                <w:sz w:val="16"/>
              </w:rPr>
              <w:t>100</w:t>
            </w:r>
          </w:p>
        </w:tc>
        <w:tc>
          <w:tcPr>
            <w:tcW w:w="2268" w:type="dxa"/>
            <w:vAlign w:val="bottom"/>
          </w:tcPr>
          <w:p w:rsidR="00000000" w:rsidRDefault="00000000">
            <w:pPr>
              <w:jc w:val="center"/>
              <w:rPr>
                <w:rFonts w:ascii="Arial" w:hAnsi="Arial"/>
                <w:sz w:val="16"/>
              </w:rPr>
            </w:pPr>
            <w:r>
              <w:rPr>
                <w:rFonts w:ascii="Arial" w:hAnsi="Arial"/>
                <w:sz w:val="16"/>
              </w:rPr>
              <w:t>71,8</w:t>
            </w:r>
          </w:p>
        </w:tc>
        <w:tc>
          <w:tcPr>
            <w:tcW w:w="2268" w:type="dxa"/>
            <w:vAlign w:val="bottom"/>
          </w:tcPr>
          <w:p w:rsidR="00000000" w:rsidRDefault="00000000">
            <w:pPr>
              <w:jc w:val="center"/>
              <w:rPr>
                <w:rFonts w:ascii="Arial" w:hAnsi="Arial"/>
                <w:sz w:val="16"/>
              </w:rPr>
            </w:pPr>
            <w:r>
              <w:rPr>
                <w:rFonts w:ascii="Arial" w:hAnsi="Arial"/>
                <w:sz w:val="16"/>
              </w:rPr>
              <w:t>28,2</w:t>
            </w:r>
          </w:p>
        </w:tc>
      </w:tr>
      <w:tr w:rsidR="00000000">
        <w:tblPrEx>
          <w:tblCellMar>
            <w:top w:w="0" w:type="dxa"/>
            <w:bottom w:w="0" w:type="dxa"/>
          </w:tblCellMar>
        </w:tblPrEx>
        <w:trPr>
          <w:jc w:val="center"/>
        </w:trPr>
        <w:tc>
          <w:tcPr>
            <w:tcW w:w="1276" w:type="dxa"/>
          </w:tcPr>
          <w:p w:rsidR="00000000" w:rsidRDefault="00000000">
            <w:pPr>
              <w:jc w:val="center"/>
              <w:rPr>
                <w:rFonts w:ascii="Arial" w:hAnsi="Arial"/>
                <w:sz w:val="16"/>
              </w:rPr>
            </w:pPr>
            <w:r>
              <w:rPr>
                <w:rFonts w:ascii="Arial" w:hAnsi="Arial"/>
                <w:sz w:val="16"/>
              </w:rPr>
              <w:t>1999</w:t>
            </w:r>
          </w:p>
        </w:tc>
        <w:tc>
          <w:tcPr>
            <w:tcW w:w="1276" w:type="dxa"/>
            <w:vAlign w:val="bottom"/>
          </w:tcPr>
          <w:p w:rsidR="00000000" w:rsidRDefault="00000000">
            <w:pPr>
              <w:jc w:val="center"/>
              <w:rPr>
                <w:rFonts w:ascii="Arial" w:hAnsi="Arial"/>
                <w:sz w:val="16"/>
              </w:rPr>
            </w:pPr>
            <w:r>
              <w:rPr>
                <w:rFonts w:ascii="Arial" w:hAnsi="Arial"/>
                <w:sz w:val="16"/>
              </w:rPr>
              <w:t>100</w:t>
            </w:r>
          </w:p>
        </w:tc>
        <w:tc>
          <w:tcPr>
            <w:tcW w:w="2268" w:type="dxa"/>
            <w:vAlign w:val="bottom"/>
          </w:tcPr>
          <w:p w:rsidR="00000000" w:rsidRDefault="00000000">
            <w:pPr>
              <w:jc w:val="center"/>
              <w:rPr>
                <w:rFonts w:ascii="Arial" w:hAnsi="Arial"/>
                <w:sz w:val="16"/>
              </w:rPr>
            </w:pPr>
            <w:r>
              <w:rPr>
                <w:rFonts w:ascii="Arial" w:hAnsi="Arial"/>
                <w:sz w:val="16"/>
              </w:rPr>
              <w:t>71,0</w:t>
            </w:r>
          </w:p>
        </w:tc>
        <w:tc>
          <w:tcPr>
            <w:tcW w:w="2268" w:type="dxa"/>
            <w:vAlign w:val="bottom"/>
          </w:tcPr>
          <w:p w:rsidR="00000000" w:rsidRDefault="00000000">
            <w:pPr>
              <w:jc w:val="center"/>
              <w:rPr>
                <w:rFonts w:ascii="Arial" w:hAnsi="Arial"/>
                <w:sz w:val="16"/>
              </w:rPr>
            </w:pPr>
            <w:r>
              <w:rPr>
                <w:rFonts w:ascii="Arial" w:hAnsi="Arial"/>
                <w:sz w:val="16"/>
              </w:rPr>
              <w:t>29,0</w:t>
            </w:r>
          </w:p>
        </w:tc>
      </w:tr>
      <w:tr w:rsidR="00000000">
        <w:tblPrEx>
          <w:tblCellMar>
            <w:top w:w="0" w:type="dxa"/>
            <w:bottom w:w="0" w:type="dxa"/>
          </w:tblCellMar>
        </w:tblPrEx>
        <w:trPr>
          <w:jc w:val="center"/>
        </w:trPr>
        <w:tc>
          <w:tcPr>
            <w:tcW w:w="1276" w:type="dxa"/>
          </w:tcPr>
          <w:p w:rsidR="00000000" w:rsidRDefault="00000000">
            <w:pPr>
              <w:jc w:val="center"/>
              <w:rPr>
                <w:rFonts w:ascii="Arial" w:hAnsi="Arial"/>
                <w:sz w:val="16"/>
              </w:rPr>
            </w:pPr>
            <w:r>
              <w:rPr>
                <w:rFonts w:ascii="Arial" w:hAnsi="Arial"/>
                <w:sz w:val="16"/>
              </w:rPr>
              <w:t>2000</w:t>
            </w:r>
          </w:p>
        </w:tc>
        <w:tc>
          <w:tcPr>
            <w:tcW w:w="1276" w:type="dxa"/>
            <w:vAlign w:val="bottom"/>
          </w:tcPr>
          <w:p w:rsidR="00000000" w:rsidRDefault="00000000">
            <w:pPr>
              <w:jc w:val="center"/>
              <w:rPr>
                <w:rFonts w:ascii="Arial" w:hAnsi="Arial"/>
                <w:sz w:val="16"/>
              </w:rPr>
            </w:pPr>
            <w:r>
              <w:rPr>
                <w:rFonts w:ascii="Arial" w:hAnsi="Arial"/>
                <w:sz w:val="16"/>
              </w:rPr>
              <w:t>100</w:t>
            </w:r>
          </w:p>
        </w:tc>
        <w:tc>
          <w:tcPr>
            <w:tcW w:w="2268" w:type="dxa"/>
            <w:vAlign w:val="bottom"/>
          </w:tcPr>
          <w:p w:rsidR="00000000" w:rsidRDefault="00000000">
            <w:pPr>
              <w:jc w:val="center"/>
              <w:rPr>
                <w:rFonts w:ascii="Arial" w:hAnsi="Arial"/>
                <w:sz w:val="16"/>
              </w:rPr>
            </w:pPr>
            <w:r>
              <w:rPr>
                <w:rFonts w:ascii="Arial" w:hAnsi="Arial"/>
                <w:sz w:val="16"/>
              </w:rPr>
              <w:t>69,5</w:t>
            </w:r>
          </w:p>
        </w:tc>
        <w:tc>
          <w:tcPr>
            <w:tcW w:w="2268" w:type="dxa"/>
            <w:vAlign w:val="bottom"/>
          </w:tcPr>
          <w:p w:rsidR="00000000" w:rsidRDefault="00000000">
            <w:pPr>
              <w:jc w:val="center"/>
              <w:rPr>
                <w:rFonts w:ascii="Arial" w:hAnsi="Arial"/>
                <w:sz w:val="16"/>
              </w:rPr>
            </w:pPr>
            <w:r>
              <w:rPr>
                <w:rFonts w:ascii="Arial" w:hAnsi="Arial"/>
                <w:sz w:val="16"/>
              </w:rPr>
              <w:t>30,5</w:t>
            </w:r>
          </w:p>
        </w:tc>
      </w:tr>
    </w:tbl>
    <w:p w:rsidR="00000000" w:rsidRDefault="00000000">
      <w:pPr>
        <w:ind w:left="1359"/>
        <w:jc w:val="both"/>
        <w:rPr>
          <w:rFonts w:ascii="Arial" w:hAnsi="Arial"/>
          <w:sz w:val="18"/>
        </w:rPr>
      </w:pPr>
      <w:r>
        <w:rPr>
          <w:rFonts w:ascii="Arial" w:hAnsi="Arial"/>
          <w:sz w:val="18"/>
        </w:rPr>
        <w:t xml:space="preserve">(1) Comprende agricultura, ganadería, silvicultura y pesca. </w:t>
      </w:r>
    </w:p>
    <w:p w:rsidR="00000000" w:rsidRDefault="00000000">
      <w:pPr>
        <w:ind w:left="1359"/>
        <w:jc w:val="both"/>
        <w:rPr>
          <w:rFonts w:ascii="Arial" w:hAnsi="Arial"/>
          <w:sz w:val="18"/>
        </w:rPr>
      </w:pPr>
      <w:r>
        <w:rPr>
          <w:rFonts w:ascii="Arial" w:hAnsi="Arial"/>
          <w:sz w:val="18"/>
        </w:rPr>
        <w:t xml:space="preserve">Fuente: I.N.E. </w:t>
      </w:r>
    </w:p>
    <w:p w:rsidR="00000000" w:rsidRDefault="00000000">
      <w:pPr>
        <w:jc w:val="both"/>
        <w:rPr>
          <w:rFonts w:ascii="Arial" w:hAnsi="Arial"/>
        </w:rPr>
      </w:pPr>
    </w:p>
    <w:p w:rsidR="00000000" w:rsidRDefault="00000000">
      <w:pPr>
        <w:jc w:val="both"/>
        <w:rPr>
          <w:rFonts w:ascii="Arial" w:hAnsi="Arial"/>
        </w:rPr>
      </w:pPr>
      <w:r>
        <w:rPr>
          <w:rFonts w:ascii="Arial" w:hAnsi="Arial"/>
        </w:rPr>
        <w:t>Los datos de la población agrícola española ocupada, clasificada por sexo, arroja datos con menores diferencias y parece que estas diferencias disminuyen ya que si en el año 1999 el porcentaje de mujeres ocupadas en el sector primario de la agricultura era del 36,4%, en el año 2000 era del 37,2%</w:t>
      </w:r>
    </w:p>
    <w:p w:rsidR="00000000" w:rsidRDefault="00000000">
      <w:pPr>
        <w:jc w:val="both"/>
        <w:rPr>
          <w:rFonts w:ascii="Arial" w:hAnsi="Arial"/>
        </w:rPr>
      </w:pPr>
    </w:p>
    <w:p w:rsidR="00000000" w:rsidRDefault="00000000">
      <w:pPr>
        <w:pStyle w:val="Header"/>
        <w:jc w:val="center"/>
        <w:rPr>
          <w:rFonts w:ascii="Arial" w:hAnsi="Arial"/>
          <w:b/>
          <w:sz w:val="16"/>
        </w:rPr>
      </w:pPr>
      <w:r>
        <w:rPr>
          <w:rFonts w:ascii="Arial" w:hAnsi="Arial"/>
          <w:b/>
          <w:sz w:val="16"/>
        </w:rPr>
        <w:t>Población activa ocupada clasificada por sexo</w:t>
      </w:r>
    </w:p>
    <w:p w:rsidR="00000000" w:rsidRDefault="00000000">
      <w:pPr>
        <w:pStyle w:val="Header"/>
        <w:rPr>
          <w:rFonts w:ascii="Arial" w:hAnsi="Arial"/>
          <w:b/>
        </w:rPr>
      </w:pPr>
    </w:p>
    <w:tbl>
      <w:tblPr>
        <w:tblW w:w="0" w:type="auto"/>
        <w:jc w:val="center"/>
        <w:tblLayout w:type="fixed"/>
        <w:tblCellMar>
          <w:left w:w="90" w:type="dxa"/>
          <w:right w:w="90" w:type="dxa"/>
        </w:tblCellMar>
        <w:tblLook w:val="0000" w:firstRow="0" w:lastRow="0" w:firstColumn="0" w:lastColumn="0" w:noHBand="0" w:noVBand="0"/>
      </w:tblPr>
      <w:tblGrid>
        <w:gridCol w:w="1134"/>
        <w:gridCol w:w="992"/>
        <w:gridCol w:w="993"/>
        <w:gridCol w:w="850"/>
        <w:gridCol w:w="1559"/>
        <w:gridCol w:w="1560"/>
      </w:tblGrid>
      <w:tr w:rsidR="00000000">
        <w:tblPrEx>
          <w:tblCellMar>
            <w:top w:w="0" w:type="dxa"/>
            <w:bottom w:w="0" w:type="dxa"/>
          </w:tblCellMar>
        </w:tblPrEx>
        <w:trPr>
          <w:cantSplit/>
          <w:jc w:val="center"/>
        </w:trPr>
        <w:tc>
          <w:tcPr>
            <w:tcW w:w="1134" w:type="dxa"/>
            <w:vMerge w:val="restart"/>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rPr>
                <w:rFonts w:ascii="Arial" w:hAnsi="Arial"/>
                <w:sz w:val="16"/>
              </w:rPr>
            </w:pPr>
            <w:r>
              <w:rPr>
                <w:rFonts w:ascii="Arial" w:hAnsi="Arial"/>
                <w:sz w:val="16"/>
              </w:rPr>
              <w:t>Variables</w:t>
            </w:r>
          </w:p>
        </w:tc>
        <w:tc>
          <w:tcPr>
            <w:tcW w:w="2835" w:type="dxa"/>
            <w:gridSpan w:val="3"/>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Miles de personas</w:t>
            </w:r>
          </w:p>
        </w:tc>
        <w:tc>
          <w:tcPr>
            <w:tcW w:w="3119" w:type="dxa"/>
            <w:gridSpan w:val="2"/>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Distribución porcentual</w:t>
            </w:r>
          </w:p>
        </w:tc>
      </w:tr>
      <w:tr w:rsidR="00000000">
        <w:tblPrEx>
          <w:tblCellMar>
            <w:top w:w="0" w:type="dxa"/>
            <w:bottom w:w="0" w:type="dxa"/>
          </w:tblCellMar>
        </w:tblPrEx>
        <w:trPr>
          <w:cantSplit/>
          <w:jc w:val="center"/>
        </w:trPr>
        <w:tc>
          <w:tcPr>
            <w:tcW w:w="1134" w:type="dxa"/>
            <w:vMerge/>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rPr>
                <w:rFonts w:ascii="Arial" w:hAnsi="Arial"/>
                <w:sz w:val="16"/>
              </w:rPr>
            </w:pPr>
          </w:p>
        </w:tc>
        <w:tc>
          <w:tcPr>
            <w:tcW w:w="2835" w:type="dxa"/>
            <w:gridSpan w:val="3"/>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Sector primario(1)</w:t>
            </w:r>
          </w:p>
        </w:tc>
        <w:tc>
          <w:tcPr>
            <w:tcW w:w="3119" w:type="dxa"/>
            <w:gridSpan w:val="2"/>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Sector primario(1)</w:t>
            </w:r>
          </w:p>
        </w:tc>
      </w:tr>
      <w:tr w:rsidR="00000000">
        <w:tblPrEx>
          <w:tblCellMar>
            <w:top w:w="0" w:type="dxa"/>
            <w:bottom w:w="0" w:type="dxa"/>
          </w:tblCellMar>
        </w:tblPrEx>
        <w:trPr>
          <w:cantSplit/>
          <w:jc w:val="center"/>
        </w:trPr>
        <w:tc>
          <w:tcPr>
            <w:tcW w:w="1134" w:type="dxa"/>
            <w:vMerge/>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rPr>
                <w:rFonts w:ascii="Arial" w:hAnsi="Arial"/>
                <w:sz w:val="16"/>
              </w:rPr>
            </w:pPr>
          </w:p>
        </w:tc>
        <w:tc>
          <w:tcPr>
            <w:tcW w:w="992" w:type="dxa"/>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hombres</w:t>
            </w:r>
          </w:p>
        </w:tc>
        <w:tc>
          <w:tcPr>
            <w:tcW w:w="993" w:type="dxa"/>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mujeres</w:t>
            </w:r>
          </w:p>
        </w:tc>
        <w:tc>
          <w:tcPr>
            <w:tcW w:w="850" w:type="dxa"/>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Total</w:t>
            </w:r>
          </w:p>
        </w:tc>
        <w:tc>
          <w:tcPr>
            <w:tcW w:w="1559" w:type="dxa"/>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hombres</w:t>
            </w:r>
          </w:p>
        </w:tc>
        <w:tc>
          <w:tcPr>
            <w:tcW w:w="1560" w:type="dxa"/>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jc w:val="center"/>
              <w:rPr>
                <w:rFonts w:ascii="Arial" w:hAnsi="Arial"/>
                <w:sz w:val="16"/>
              </w:rPr>
            </w:pPr>
            <w:r>
              <w:rPr>
                <w:rFonts w:ascii="Arial" w:hAnsi="Arial"/>
                <w:sz w:val="16"/>
              </w:rPr>
              <w:t>mujeres</w:t>
            </w:r>
          </w:p>
        </w:tc>
      </w:tr>
      <w:tr w:rsidR="00000000">
        <w:tblPrEx>
          <w:tblCellMar>
            <w:top w:w="0" w:type="dxa"/>
            <w:bottom w:w="0" w:type="dxa"/>
          </w:tblCellMar>
        </w:tblPrEx>
        <w:trPr>
          <w:cantSplit/>
          <w:jc w:val="center"/>
        </w:trPr>
        <w:tc>
          <w:tcPr>
            <w:tcW w:w="1134" w:type="dxa"/>
            <w:tcBorders>
              <w:top w:val="threeDEmboss" w:sz="6" w:space="0" w:color="auto"/>
              <w:left w:val="threeDEmboss" w:sz="6" w:space="0" w:color="auto"/>
              <w:bottom w:val="threeDEmboss" w:sz="6" w:space="0" w:color="auto"/>
              <w:right w:val="threeDEmboss" w:sz="6" w:space="0" w:color="auto"/>
            </w:tcBorders>
          </w:tcPr>
          <w:p w:rsidR="00000000" w:rsidRDefault="00000000">
            <w:pPr>
              <w:jc w:val="center"/>
              <w:rPr>
                <w:rFonts w:ascii="Arial" w:hAnsi="Arial"/>
                <w:sz w:val="16"/>
              </w:rPr>
            </w:pPr>
            <w:r>
              <w:rPr>
                <w:rFonts w:ascii="Arial" w:hAnsi="Arial"/>
                <w:sz w:val="16"/>
              </w:rPr>
              <w:t>1999</w:t>
            </w:r>
          </w:p>
        </w:tc>
        <w:tc>
          <w:tcPr>
            <w:tcW w:w="992"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769,1</w:t>
            </w:r>
          </w:p>
        </w:tc>
        <w:tc>
          <w:tcPr>
            <w:tcW w:w="993"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262,8</w:t>
            </w:r>
          </w:p>
        </w:tc>
        <w:tc>
          <w:tcPr>
            <w:tcW w:w="850"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1031,9</w:t>
            </w:r>
          </w:p>
        </w:tc>
        <w:tc>
          <w:tcPr>
            <w:tcW w:w="1559"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 xml:space="preserve"> 74,53</w:t>
            </w:r>
          </w:p>
        </w:tc>
        <w:tc>
          <w:tcPr>
            <w:tcW w:w="1560"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 xml:space="preserve"> 25,47</w:t>
            </w:r>
          </w:p>
        </w:tc>
      </w:tr>
      <w:tr w:rsidR="00000000">
        <w:tblPrEx>
          <w:tblCellMar>
            <w:top w:w="0" w:type="dxa"/>
            <w:bottom w:w="0" w:type="dxa"/>
          </w:tblCellMar>
        </w:tblPrEx>
        <w:trPr>
          <w:cantSplit/>
          <w:jc w:val="center"/>
        </w:trPr>
        <w:tc>
          <w:tcPr>
            <w:tcW w:w="1134" w:type="dxa"/>
            <w:tcBorders>
              <w:top w:val="threeDEmboss" w:sz="6" w:space="0" w:color="auto"/>
              <w:left w:val="threeDEmboss" w:sz="6" w:space="0" w:color="auto"/>
              <w:bottom w:val="threeDEmboss" w:sz="6" w:space="0" w:color="auto"/>
              <w:right w:val="threeDEmboss" w:sz="6" w:space="0" w:color="auto"/>
            </w:tcBorders>
          </w:tcPr>
          <w:p w:rsidR="00000000" w:rsidRDefault="00000000">
            <w:pPr>
              <w:jc w:val="center"/>
              <w:rPr>
                <w:rFonts w:ascii="Arial" w:hAnsi="Arial"/>
                <w:sz w:val="16"/>
              </w:rPr>
            </w:pPr>
            <w:r>
              <w:rPr>
                <w:rFonts w:ascii="Arial" w:hAnsi="Arial"/>
                <w:sz w:val="16"/>
              </w:rPr>
              <w:t>2001</w:t>
            </w:r>
          </w:p>
        </w:tc>
        <w:tc>
          <w:tcPr>
            <w:tcW w:w="992"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709,1</w:t>
            </w:r>
          </w:p>
        </w:tc>
        <w:tc>
          <w:tcPr>
            <w:tcW w:w="993"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253,1</w:t>
            </w:r>
          </w:p>
        </w:tc>
        <w:tc>
          <w:tcPr>
            <w:tcW w:w="850"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 xml:space="preserve"> 962,2</w:t>
            </w:r>
          </w:p>
        </w:tc>
        <w:tc>
          <w:tcPr>
            <w:tcW w:w="1559"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73,7</w:t>
            </w:r>
          </w:p>
        </w:tc>
        <w:tc>
          <w:tcPr>
            <w:tcW w:w="1560"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26,30</w:t>
            </w:r>
          </w:p>
        </w:tc>
      </w:tr>
    </w:tbl>
    <w:p w:rsidR="00000000" w:rsidRDefault="00000000">
      <w:pPr>
        <w:ind w:left="1377"/>
        <w:jc w:val="both"/>
        <w:rPr>
          <w:rFonts w:ascii="Arial" w:hAnsi="Arial"/>
          <w:sz w:val="16"/>
        </w:rPr>
      </w:pPr>
      <w:r>
        <w:rPr>
          <w:rFonts w:ascii="Arial" w:hAnsi="Arial"/>
          <w:sz w:val="16"/>
        </w:rPr>
        <w:t xml:space="preserve">(1) Comprende agricultura, ganadería, silvicultura y pesca. </w:t>
      </w:r>
    </w:p>
    <w:p w:rsidR="00000000" w:rsidRDefault="00000000">
      <w:pPr>
        <w:ind w:left="1377"/>
        <w:jc w:val="both"/>
        <w:rPr>
          <w:rFonts w:ascii="Arial" w:hAnsi="Arial"/>
          <w:sz w:val="16"/>
        </w:rPr>
      </w:pPr>
      <w:r>
        <w:rPr>
          <w:rFonts w:ascii="Arial" w:hAnsi="Arial"/>
          <w:sz w:val="16"/>
        </w:rPr>
        <w:t>Fuente: I.N.E</w:t>
      </w:r>
    </w:p>
    <w:p w:rsidR="00000000" w:rsidRDefault="00000000">
      <w:pPr>
        <w:jc w:val="both"/>
        <w:rPr>
          <w:rFonts w:ascii="Arial" w:hAnsi="Arial"/>
        </w:rPr>
      </w:pPr>
      <w:r>
        <w:rPr>
          <w:rFonts w:ascii="Arial" w:hAnsi="Arial"/>
        </w:rPr>
        <w:t>Sin embargo, al desglosar los datos el sector de la pesca se aprecia que esta ocupación es una de las que continúa fuertemente masculinizada, representando las mujeres en el año 2002 solamente el 8,8 % de la población.</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er"/>
        <w:jc w:val="center"/>
        <w:rPr>
          <w:rFonts w:ascii="Arial" w:hAnsi="Arial"/>
          <w:b/>
          <w:sz w:val="16"/>
        </w:rPr>
      </w:pPr>
      <w:r>
        <w:rPr>
          <w:rFonts w:ascii="Arial" w:hAnsi="Arial"/>
          <w:b/>
          <w:sz w:val="16"/>
        </w:rPr>
        <w:t>Mujeres ocupadas en: a) la agricultura, ganadería, caza y silvicultura; y b) la pesca</w:t>
      </w:r>
    </w:p>
    <w:p w:rsidR="00000000" w:rsidRDefault="00000000">
      <w:pPr>
        <w:pStyle w:val="Header"/>
        <w:rPr>
          <w:rFonts w:ascii="Arial" w:hAnsi="Arial"/>
          <w:b/>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2268"/>
        <w:gridCol w:w="2268"/>
      </w:tblGrid>
      <w:tr w:rsidR="00000000">
        <w:tblPrEx>
          <w:tblCellMar>
            <w:top w:w="0" w:type="dxa"/>
            <w:bottom w:w="0" w:type="dxa"/>
          </w:tblCellMar>
        </w:tblPrEx>
        <w:trPr>
          <w:jc w:val="center"/>
        </w:trPr>
        <w:tc>
          <w:tcPr>
            <w:tcW w:w="992" w:type="dxa"/>
          </w:tcPr>
          <w:p w:rsidR="00000000" w:rsidRDefault="00000000">
            <w:pPr>
              <w:pStyle w:val="Header"/>
              <w:jc w:val="center"/>
              <w:rPr>
                <w:rFonts w:ascii="Arial" w:hAnsi="Arial"/>
                <w:b/>
                <w:sz w:val="16"/>
              </w:rPr>
            </w:pPr>
            <w:r>
              <w:rPr>
                <w:rFonts w:ascii="Arial" w:hAnsi="Arial"/>
                <w:b/>
                <w:sz w:val="16"/>
              </w:rPr>
              <w:t>Año</w:t>
            </w:r>
          </w:p>
        </w:tc>
        <w:tc>
          <w:tcPr>
            <w:tcW w:w="2268" w:type="dxa"/>
          </w:tcPr>
          <w:p w:rsidR="00000000" w:rsidRDefault="00000000">
            <w:pPr>
              <w:pStyle w:val="Header"/>
              <w:jc w:val="center"/>
              <w:rPr>
                <w:rFonts w:ascii="Arial" w:hAnsi="Arial"/>
                <w:b/>
                <w:sz w:val="16"/>
              </w:rPr>
            </w:pPr>
            <w:r>
              <w:rPr>
                <w:rFonts w:ascii="Arial" w:hAnsi="Arial"/>
                <w:b/>
                <w:sz w:val="16"/>
              </w:rPr>
              <w:t>A</w:t>
            </w:r>
          </w:p>
        </w:tc>
        <w:tc>
          <w:tcPr>
            <w:tcW w:w="2268" w:type="dxa"/>
          </w:tcPr>
          <w:p w:rsidR="00000000" w:rsidRDefault="00000000">
            <w:pPr>
              <w:pStyle w:val="Header"/>
              <w:jc w:val="center"/>
              <w:rPr>
                <w:rFonts w:ascii="Arial" w:hAnsi="Arial"/>
                <w:b/>
                <w:sz w:val="16"/>
              </w:rPr>
            </w:pPr>
            <w:r>
              <w:rPr>
                <w:rFonts w:ascii="Arial" w:hAnsi="Arial"/>
                <w:b/>
                <w:sz w:val="16"/>
              </w:rPr>
              <w:t>B</w:t>
            </w:r>
          </w:p>
        </w:tc>
      </w:tr>
      <w:tr w:rsidR="00000000">
        <w:tblPrEx>
          <w:tblCellMar>
            <w:top w:w="0" w:type="dxa"/>
            <w:bottom w:w="0" w:type="dxa"/>
          </w:tblCellMar>
        </w:tblPrEx>
        <w:trPr>
          <w:jc w:val="center"/>
        </w:trPr>
        <w:tc>
          <w:tcPr>
            <w:tcW w:w="992" w:type="dxa"/>
          </w:tcPr>
          <w:p w:rsidR="00000000" w:rsidRDefault="00000000">
            <w:pPr>
              <w:pStyle w:val="Header"/>
              <w:jc w:val="center"/>
              <w:rPr>
                <w:rFonts w:ascii="Arial" w:hAnsi="Arial"/>
                <w:sz w:val="16"/>
              </w:rPr>
            </w:pPr>
            <w:r>
              <w:rPr>
                <w:rFonts w:ascii="Arial" w:hAnsi="Arial"/>
                <w:sz w:val="16"/>
              </w:rPr>
              <w:t>2000</w:t>
            </w:r>
          </w:p>
        </w:tc>
        <w:tc>
          <w:tcPr>
            <w:tcW w:w="2268" w:type="dxa"/>
          </w:tcPr>
          <w:p w:rsidR="00000000" w:rsidRDefault="00000000">
            <w:pPr>
              <w:pStyle w:val="Header"/>
              <w:jc w:val="center"/>
              <w:rPr>
                <w:rFonts w:ascii="Arial" w:hAnsi="Arial"/>
                <w:sz w:val="16"/>
              </w:rPr>
            </w:pPr>
            <w:r>
              <w:rPr>
                <w:rFonts w:ascii="Arial" w:hAnsi="Arial"/>
                <w:sz w:val="16"/>
              </w:rPr>
              <w:t>273,2</w:t>
            </w:r>
          </w:p>
        </w:tc>
        <w:tc>
          <w:tcPr>
            <w:tcW w:w="2268" w:type="dxa"/>
          </w:tcPr>
          <w:p w:rsidR="00000000" w:rsidRDefault="00000000">
            <w:pPr>
              <w:pStyle w:val="Header"/>
              <w:jc w:val="center"/>
              <w:rPr>
                <w:rFonts w:ascii="Arial" w:hAnsi="Arial"/>
                <w:sz w:val="16"/>
              </w:rPr>
            </w:pPr>
            <w:r>
              <w:rPr>
                <w:sz w:val="16"/>
              </w:rPr>
              <w:t>9.6</w:t>
            </w:r>
          </w:p>
        </w:tc>
      </w:tr>
      <w:tr w:rsidR="00000000">
        <w:tblPrEx>
          <w:tblCellMar>
            <w:top w:w="0" w:type="dxa"/>
            <w:bottom w:w="0" w:type="dxa"/>
          </w:tblCellMar>
        </w:tblPrEx>
        <w:trPr>
          <w:jc w:val="center"/>
        </w:trPr>
        <w:tc>
          <w:tcPr>
            <w:tcW w:w="992" w:type="dxa"/>
          </w:tcPr>
          <w:p w:rsidR="00000000" w:rsidRDefault="00000000">
            <w:pPr>
              <w:pStyle w:val="Header"/>
              <w:jc w:val="center"/>
              <w:rPr>
                <w:rFonts w:ascii="Arial" w:hAnsi="Arial"/>
                <w:sz w:val="16"/>
              </w:rPr>
            </w:pPr>
            <w:r>
              <w:rPr>
                <w:rFonts w:ascii="Arial" w:hAnsi="Arial"/>
                <w:sz w:val="16"/>
              </w:rPr>
              <w:t>2001</w:t>
            </w:r>
          </w:p>
        </w:tc>
        <w:tc>
          <w:tcPr>
            <w:tcW w:w="2268" w:type="dxa"/>
          </w:tcPr>
          <w:p w:rsidR="00000000" w:rsidRDefault="00000000">
            <w:pPr>
              <w:pStyle w:val="Header"/>
              <w:jc w:val="center"/>
              <w:rPr>
                <w:rFonts w:ascii="Arial" w:hAnsi="Arial"/>
                <w:sz w:val="16"/>
              </w:rPr>
            </w:pPr>
            <w:r>
              <w:rPr>
                <w:rFonts w:ascii="Arial" w:hAnsi="Arial"/>
                <w:sz w:val="16"/>
              </w:rPr>
              <w:t>301,1</w:t>
            </w:r>
          </w:p>
        </w:tc>
        <w:tc>
          <w:tcPr>
            <w:tcW w:w="2268" w:type="dxa"/>
          </w:tcPr>
          <w:p w:rsidR="00000000" w:rsidRDefault="00000000">
            <w:pPr>
              <w:pStyle w:val="Header"/>
              <w:jc w:val="center"/>
              <w:rPr>
                <w:rFonts w:ascii="Arial" w:hAnsi="Arial"/>
                <w:sz w:val="16"/>
              </w:rPr>
            </w:pPr>
            <w:r>
              <w:rPr>
                <w:sz w:val="16"/>
              </w:rPr>
              <w:t>9.4</w:t>
            </w:r>
          </w:p>
        </w:tc>
      </w:tr>
      <w:tr w:rsidR="00000000">
        <w:tblPrEx>
          <w:tblCellMar>
            <w:top w:w="0" w:type="dxa"/>
            <w:bottom w:w="0" w:type="dxa"/>
          </w:tblCellMar>
        </w:tblPrEx>
        <w:trPr>
          <w:jc w:val="center"/>
        </w:trPr>
        <w:tc>
          <w:tcPr>
            <w:tcW w:w="992" w:type="dxa"/>
          </w:tcPr>
          <w:p w:rsidR="00000000" w:rsidRDefault="00000000">
            <w:pPr>
              <w:pStyle w:val="Header"/>
              <w:jc w:val="center"/>
              <w:rPr>
                <w:rFonts w:ascii="Arial" w:hAnsi="Arial"/>
                <w:sz w:val="16"/>
              </w:rPr>
            </w:pPr>
            <w:r>
              <w:rPr>
                <w:rFonts w:ascii="Arial" w:hAnsi="Arial"/>
                <w:sz w:val="16"/>
              </w:rPr>
              <w:t>2002</w:t>
            </w:r>
          </w:p>
        </w:tc>
        <w:tc>
          <w:tcPr>
            <w:tcW w:w="2268" w:type="dxa"/>
          </w:tcPr>
          <w:p w:rsidR="00000000" w:rsidRDefault="00000000">
            <w:pPr>
              <w:pStyle w:val="Header"/>
              <w:jc w:val="center"/>
              <w:rPr>
                <w:rFonts w:ascii="Arial" w:hAnsi="Arial"/>
                <w:sz w:val="16"/>
              </w:rPr>
            </w:pPr>
            <w:r>
              <w:rPr>
                <w:rFonts w:ascii="Arial" w:hAnsi="Arial"/>
                <w:sz w:val="16"/>
              </w:rPr>
              <w:t>271,9</w:t>
            </w:r>
          </w:p>
        </w:tc>
        <w:tc>
          <w:tcPr>
            <w:tcW w:w="2268" w:type="dxa"/>
          </w:tcPr>
          <w:p w:rsidR="00000000" w:rsidRDefault="00000000">
            <w:pPr>
              <w:pStyle w:val="Header"/>
              <w:jc w:val="center"/>
              <w:rPr>
                <w:rFonts w:ascii="Arial" w:hAnsi="Arial"/>
                <w:sz w:val="16"/>
              </w:rPr>
            </w:pPr>
            <w:r>
              <w:rPr>
                <w:sz w:val="16"/>
              </w:rPr>
              <w:t>8.8</w:t>
            </w:r>
          </w:p>
        </w:tc>
      </w:tr>
    </w:tbl>
    <w:p w:rsidR="00000000" w:rsidRDefault="00000000">
      <w:pPr>
        <w:ind w:left="2151" w:right="2137"/>
        <w:jc w:val="both"/>
        <w:rPr>
          <w:rFonts w:ascii="Arial" w:hAnsi="Arial"/>
          <w:sz w:val="16"/>
        </w:rPr>
      </w:pPr>
      <w:r>
        <w:rPr>
          <w:rFonts w:ascii="Arial" w:hAnsi="Arial"/>
          <w:sz w:val="16"/>
        </w:rPr>
        <w:t xml:space="preserve">Los datos en miles de personas se refieren al primer trimestre </w:t>
      </w:r>
    </w:p>
    <w:p w:rsidR="00000000" w:rsidRDefault="00000000">
      <w:pPr>
        <w:numPr>
          <w:ilvl w:val="0"/>
          <w:numId w:val="1418"/>
        </w:numPr>
        <w:ind w:left="2151" w:right="2137" w:firstLine="0"/>
        <w:jc w:val="both"/>
        <w:rPr>
          <w:rFonts w:ascii="Arial" w:hAnsi="Arial"/>
          <w:sz w:val="16"/>
        </w:rPr>
      </w:pPr>
      <w:r>
        <w:rPr>
          <w:rFonts w:ascii="Arial" w:hAnsi="Arial"/>
          <w:sz w:val="16"/>
        </w:rPr>
        <w:t>Los resultados son estimaciones obtenidas con factores de elevación repondremos según la metodología EPA-2002. Desde el primer trimestre de 2001 hay un salto en las series de paro, activos e inactivos, debido al cambio de la definición de desempleo.</w:t>
      </w:r>
    </w:p>
    <w:p w:rsidR="00000000" w:rsidRDefault="00000000">
      <w:pPr>
        <w:ind w:left="2151" w:right="2137"/>
        <w:jc w:val="both"/>
        <w:rPr>
          <w:rFonts w:ascii="Arial" w:hAnsi="Arial"/>
          <w:sz w:val="16"/>
        </w:rPr>
      </w:pPr>
      <w:r>
        <w:rPr>
          <w:rFonts w:ascii="Arial" w:hAnsi="Arial"/>
          <w:sz w:val="16"/>
        </w:rPr>
        <w:t>Fuente: Boletín Mensual de Estadística.</w:t>
      </w:r>
    </w:p>
    <w:p w:rsidR="00000000" w:rsidRDefault="00000000">
      <w:pPr>
        <w:jc w:val="both"/>
        <w:rPr>
          <w:rFonts w:ascii="Arial" w:hAnsi="Arial"/>
        </w:rPr>
      </w:pPr>
    </w:p>
    <w:p w:rsidR="00000000" w:rsidRDefault="00000000"/>
    <w:p w:rsidR="00000000" w:rsidRDefault="00000000">
      <w:pPr>
        <w:jc w:val="both"/>
        <w:rPr>
          <w:rFonts w:ascii="Arial" w:hAnsi="Arial"/>
          <w:b/>
        </w:rPr>
      </w:pPr>
      <w:r>
        <w:rPr>
          <w:rFonts w:ascii="Arial" w:hAnsi="Arial"/>
          <w:b/>
        </w:rPr>
        <w:t>II. Políticas y programas.</w:t>
      </w:r>
    </w:p>
    <w:p w:rsidR="00000000" w:rsidRDefault="00000000">
      <w:pPr>
        <w:jc w:val="both"/>
        <w:rPr>
          <w:rFonts w:ascii="Arial" w:hAnsi="Arial"/>
          <w:b/>
        </w:rPr>
      </w:pPr>
    </w:p>
    <w:p w:rsidR="00000000" w:rsidRDefault="00000000">
      <w:pPr>
        <w:jc w:val="both"/>
        <w:rPr>
          <w:rFonts w:ascii="Arial" w:hAnsi="Arial"/>
          <w:i/>
        </w:rPr>
      </w:pPr>
      <w:r>
        <w:rPr>
          <w:rFonts w:ascii="Arial" w:hAnsi="Arial"/>
        </w:rPr>
        <w:t xml:space="preserve">En la Agenda 2000 de políticas comunitarias en la que el desarrollo rural en uno de los ejes básicos de la nueva política agraria, se establecen como principios básicos el desarrollo sostenible, la protección del medio ambiente, la creación de empleo y la igualdad de oportunidades entre mujeres y hombres. Según informa el Ministerio de Agricultura, Pesca y Alimentación en “Hechos y cifras del sector agroalimentario y del medio rural español”. (6ª edición revisada, actualizada y ampliada) Madrid 2002, en el período 1996-2000, </w:t>
      </w:r>
      <w:r>
        <w:rPr>
          <w:rFonts w:ascii="Arial" w:hAnsi="Arial"/>
          <w:i/>
        </w:rPr>
        <w:t>merece la pena destacar el incremento del protagonismo de las mujeres en estos procesos de desarrollo rural.</w:t>
      </w:r>
    </w:p>
    <w:p w:rsidR="00000000" w:rsidRDefault="00000000">
      <w:pPr>
        <w:jc w:val="both"/>
        <w:rPr>
          <w:rFonts w:ascii="Arial" w:hAnsi="Arial"/>
          <w:i/>
        </w:rPr>
      </w:pPr>
    </w:p>
    <w:p w:rsidR="00000000" w:rsidRDefault="00000000">
      <w:pPr>
        <w:jc w:val="both"/>
        <w:rPr>
          <w:rFonts w:ascii="Arial" w:hAnsi="Arial"/>
        </w:rPr>
      </w:pPr>
      <w:r>
        <w:rPr>
          <w:rFonts w:ascii="Arial" w:hAnsi="Arial"/>
        </w:rPr>
        <w:t xml:space="preserve">Finalizada la </w:t>
      </w:r>
      <w:r>
        <w:rPr>
          <w:rFonts w:ascii="Arial" w:hAnsi="Arial"/>
          <w:b/>
        </w:rPr>
        <w:t>Iniciativa Comunitaria NOW</w:t>
      </w:r>
      <w:r>
        <w:rPr>
          <w:rFonts w:ascii="Arial" w:hAnsi="Arial"/>
        </w:rPr>
        <w:t xml:space="preserve">, se ha puesto en marcha la nueva </w:t>
      </w:r>
      <w:r>
        <w:rPr>
          <w:rFonts w:ascii="Arial" w:hAnsi="Arial"/>
          <w:b/>
        </w:rPr>
        <w:t>Iniciativa Equal</w:t>
      </w:r>
      <w:r>
        <w:rPr>
          <w:rFonts w:ascii="Arial" w:hAnsi="Arial"/>
        </w:rPr>
        <w:t xml:space="preserve">, que pretende desarrollar, en el ámbito de una cooperación transnacional, la promoción de nuevos métodos de lucha contra las discriminaciones y desigualdades de toda clase en relación con el mercado de trabajo. Asimismo, y para el período 2000-2006, la </w:t>
      </w:r>
      <w:r>
        <w:rPr>
          <w:rFonts w:ascii="Arial" w:hAnsi="Arial"/>
          <w:b/>
        </w:rPr>
        <w:t>Iniciativa Leader</w:t>
      </w:r>
      <w:r>
        <w:rPr>
          <w:rFonts w:ascii="Arial" w:hAnsi="Arial"/>
        </w:rPr>
        <w:t xml:space="preserve"> </w:t>
      </w:r>
      <w:r>
        <w:rPr>
          <w:rFonts w:ascii="Arial" w:hAnsi="Arial"/>
          <w:b/>
        </w:rPr>
        <w:t>Plus</w:t>
      </w:r>
      <w:r>
        <w:rPr>
          <w:rFonts w:ascii="Arial" w:hAnsi="Arial"/>
        </w:rPr>
        <w:t xml:space="preserve"> plantea para el proceso de desarrollo rural, una serie de temas de especial importancia: las nuevas tecnologías de la información, la mejora de la calidad de vida en las zonas rurales, la valoración de los productos locales y el desarrollo de los recursos naturales y culturales, reforzando el protagonismo de la sociedad civil, especialmente de las mujeres y jóvenes.</w:t>
      </w:r>
    </w:p>
    <w:p w:rsidR="00000000" w:rsidRDefault="00000000">
      <w:pPr>
        <w:jc w:val="both"/>
        <w:rPr>
          <w:rFonts w:ascii="Arial" w:hAnsi="Arial"/>
        </w:rPr>
      </w:pPr>
    </w:p>
    <w:p w:rsidR="00000000" w:rsidRDefault="00000000">
      <w:pPr>
        <w:jc w:val="both"/>
        <w:rPr>
          <w:rFonts w:ascii="Arial" w:hAnsi="Arial"/>
        </w:rPr>
      </w:pPr>
      <w:r>
        <w:rPr>
          <w:rFonts w:ascii="Arial" w:hAnsi="Arial"/>
        </w:rPr>
        <w:t>En este contexto, el Ministerio de Trabajo y Asuntos Sociales, a través del Instituto de la Mujer, y el Ministerio de Agricultura, Pesca y Alimentación vienen apoyando el papel fundamental que tienen las mujeres en el desarrollo rural.</w:t>
      </w:r>
    </w:p>
    <w:p w:rsidR="00000000" w:rsidRDefault="00000000">
      <w:pPr>
        <w:jc w:val="both"/>
        <w:rPr>
          <w:rFonts w:ascii="Arial" w:hAnsi="Arial"/>
        </w:rPr>
      </w:pPr>
    </w:p>
    <w:p w:rsidR="00000000" w:rsidRDefault="00000000">
      <w:pPr>
        <w:jc w:val="both"/>
        <w:rPr>
          <w:rFonts w:ascii="Arial" w:hAnsi="Arial"/>
        </w:rPr>
      </w:pPr>
      <w:r>
        <w:rPr>
          <w:rFonts w:ascii="Arial" w:hAnsi="Arial"/>
        </w:rPr>
        <w:t>Este último Ministerio, convoca con regularidad multitud de subvenciones, becas y ayudas al desarrollo rural, fomento del asociacionismo, cooperativismo, etc., entre las que cabe destacar, a modo de ejemplo, las subvenciones para la incorporación de la perspectiva de género en las actuaciones de desarrollo rural en la Comunidad Autónoma de Andalucía o las ayudas a actuaciones que promuevan la integración de la mujer en el ámbito rural en la Comunidad Valenciana.</w:t>
      </w:r>
    </w:p>
    <w:p w:rsidR="00000000" w:rsidRDefault="00000000">
      <w:pPr>
        <w:jc w:val="both"/>
        <w:rPr>
          <w:rFonts w:ascii="Arial" w:hAnsi="Arial"/>
        </w:rPr>
      </w:pPr>
    </w:p>
    <w:p w:rsidR="00000000" w:rsidRDefault="00000000">
      <w:pPr>
        <w:jc w:val="both"/>
        <w:rPr>
          <w:rFonts w:ascii="Arial" w:hAnsi="Arial"/>
        </w:rPr>
      </w:pPr>
      <w:r>
        <w:rPr>
          <w:rFonts w:ascii="Arial" w:hAnsi="Arial"/>
        </w:rPr>
        <w:t>Especial mención merece el apoyo que el Real Decreto 613/2001, de 8 de junio, de concesión de ayudas por el Fondo Europeo de Orientación y Garantía Agrícola (FEOGA) ofrece a las mujeres jóvenes para convertirse en titulares de explotaciones agrarias, al incrementarles en un 10% las ayudas de acceso a la titularidad.</w:t>
      </w:r>
    </w:p>
    <w:p w:rsidR="00000000" w:rsidRDefault="00000000">
      <w:pPr>
        <w:jc w:val="both"/>
        <w:rPr>
          <w:rFonts w:ascii="Arial" w:hAnsi="Arial"/>
        </w:rPr>
      </w:pPr>
      <w:r>
        <w:rPr>
          <w:rFonts w:ascii="Arial" w:hAnsi="Arial"/>
        </w:rPr>
        <w:t>En las acciones formativas, base fundamental del desarrollo del cooperativismo agrario, dirigidas a mejorar la cualificación profesional de las personas que intervienen en los aspectos fundamentales de la Sociedad Cooperativa Agraria, han participado en los últimos tres años un total de 12.374 mujeres, lo que representa el 22.48 % del total.</w:t>
      </w:r>
    </w:p>
    <w:p w:rsidR="00000000" w:rsidRDefault="00000000">
      <w:pPr>
        <w:jc w:val="both"/>
        <w:rPr>
          <w:rFonts w:ascii="Arial" w:hAnsi="Arial"/>
        </w:rPr>
      </w:pPr>
    </w:p>
    <w:p w:rsidR="00000000" w:rsidRDefault="00000000">
      <w:pPr>
        <w:jc w:val="both"/>
        <w:rPr>
          <w:rFonts w:ascii="Arial" w:hAnsi="Arial"/>
        </w:rPr>
      </w:pPr>
      <w:r>
        <w:rPr>
          <w:rFonts w:ascii="Arial" w:hAnsi="Arial"/>
        </w:rPr>
        <w:t>Durante el año 2001, se realizaron actividades que incidieron en su administración, producción y comercialización, concediéndose ayudas por importe de 1.714.687,53 de Euros para la realización de 641 cursos a los que asistieron 19.528 personas.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Del total de estos cursos, el 88% trataron sobre aspectos empresariales para mejorar la cualificación profesional de los consejeros y gerentes y sobre aspectos técnicos de informatización, comercialización, mercadotecnia, etc; el 12 % restante trató sobre aspectos sociales, recursos humanos, dinámica de grupos y organización.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De los 19.528 asistentes, el 79 % fueron hombres y el 21 % mujeres.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su parte, el </w:t>
      </w:r>
      <w:r>
        <w:rPr>
          <w:rFonts w:ascii="Arial" w:hAnsi="Arial"/>
          <w:b/>
        </w:rPr>
        <w:t>III Plan para la Igualdad de Oportunidades entre mujeres y hombres 1997-2000</w:t>
      </w:r>
      <w:r>
        <w:rPr>
          <w:rFonts w:ascii="Arial" w:hAnsi="Arial"/>
        </w:rPr>
        <w:t xml:space="preserve"> presentó un área específica de Mujeres Rurales, con la finalidad de visibilizar la aportación de las mujeres rurales a la economía y su integración laboral sin abandonar su medio.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período objeto de este informe ha finalizado, en el año 2000, el proyecto </w:t>
      </w:r>
      <w:r>
        <w:rPr>
          <w:rFonts w:ascii="Arial" w:hAnsi="Arial"/>
          <w:b/>
        </w:rPr>
        <w:t>“Red Gea: Iniciativas Empresariales de Mujeres del Medio Rural”</w:t>
      </w:r>
      <w:r>
        <w:rPr>
          <w:rFonts w:ascii="Arial" w:hAnsi="Arial"/>
        </w:rPr>
        <w:t xml:space="preserve"> promovido por el Instituto de la Mujer en colaboración con los Organismos de Igualdad de diferentes Comunidades Autónomas, así como la Federación Nacional de la Mujer Rural. El Proyecto ha estado ligado a la necesidad de contribuir a la minoración de los graves problemas que vive el medio rural: bajo nivel de cualificación de las mujeres, escasa diversificación y reducido nivel de terciarización de las actividades económicas; debilidad de los tejidos empresariales-productivos existentes y de su competitividad; dificultades de acceso y participación en la sociedad de la información y acusado despoblamiento de las zonas rurales.</w:t>
      </w:r>
    </w:p>
    <w:p w:rsidR="00000000" w:rsidRDefault="00000000">
      <w:pPr>
        <w:jc w:val="both"/>
        <w:rPr>
          <w:rFonts w:ascii="Arial" w:hAnsi="Arial"/>
        </w:rPr>
      </w:pPr>
    </w:p>
    <w:p w:rsidR="00000000" w:rsidRDefault="00000000">
      <w:pPr>
        <w:jc w:val="both"/>
        <w:rPr>
          <w:rFonts w:ascii="Arial" w:hAnsi="Arial"/>
        </w:rPr>
      </w:pPr>
      <w:r>
        <w:rPr>
          <w:rFonts w:ascii="Arial" w:hAnsi="Arial"/>
        </w:rPr>
        <w:t>Este proyecto, integrado en un proyecto transnacional, ha estado inscrito dentro de la iniciativa comunitaria de empleo y recursos humanos NOW.</w:t>
      </w:r>
    </w:p>
    <w:p w:rsidR="00000000" w:rsidRDefault="00000000">
      <w:pPr>
        <w:jc w:val="both"/>
        <w:rPr>
          <w:rFonts w:ascii="Arial" w:hAnsi="Arial"/>
        </w:rPr>
      </w:pPr>
    </w:p>
    <w:p w:rsidR="00000000" w:rsidRDefault="00000000">
      <w:pPr>
        <w:jc w:val="both"/>
        <w:rPr>
          <w:rFonts w:ascii="Arial" w:hAnsi="Arial"/>
        </w:rPr>
      </w:pPr>
      <w:r>
        <w:rPr>
          <w:rFonts w:ascii="Arial" w:hAnsi="Arial"/>
        </w:rPr>
        <w:t>Las principales acciones realizadas han sido:</w:t>
      </w:r>
    </w:p>
    <w:p w:rsidR="00000000" w:rsidRDefault="00000000">
      <w:pPr>
        <w:jc w:val="both"/>
        <w:rPr>
          <w:rFonts w:ascii="Arial" w:hAnsi="Arial"/>
        </w:rPr>
      </w:pPr>
    </w:p>
    <w:p w:rsidR="00000000" w:rsidRDefault="00000000">
      <w:pPr>
        <w:numPr>
          <w:ilvl w:val="0"/>
          <w:numId w:val="62"/>
        </w:numPr>
        <w:jc w:val="both"/>
        <w:rPr>
          <w:rFonts w:ascii="Arial" w:hAnsi="Arial"/>
        </w:rPr>
      </w:pPr>
      <w:r>
        <w:rPr>
          <w:rFonts w:ascii="Arial" w:hAnsi="Arial"/>
        </w:rPr>
        <w:t>Creación y funcionamiento de una red interregional de apoyo mutuo, integrado por el personal técnico de las once entidades participantes que han permitido generar y mejorar un conjunto de recursos y medios de carácter técnico a las mujeres, cuya coordinación se ha llevado a cabo por el Instituto de la Mujer.</w:t>
      </w:r>
    </w:p>
    <w:p w:rsidR="00000000" w:rsidRDefault="00000000">
      <w:pPr>
        <w:numPr>
          <w:ilvl w:val="0"/>
          <w:numId w:val="62"/>
        </w:numPr>
        <w:jc w:val="both"/>
        <w:rPr>
          <w:rFonts w:ascii="Arial" w:hAnsi="Arial"/>
        </w:rPr>
      </w:pPr>
      <w:r>
        <w:rPr>
          <w:rFonts w:ascii="Arial" w:hAnsi="Arial"/>
        </w:rPr>
        <w:t>Difusión del programa: se ha diseñado la imagen de la Red Gea y su aplicación a cartel, folleto y encartes divulgativos. Se han confeccionado y difundido un total de 1000 carteles; 10.000 folletos y 10.000 encartes.</w:t>
      </w:r>
    </w:p>
    <w:p w:rsidR="00000000" w:rsidRDefault="00000000">
      <w:pPr>
        <w:numPr>
          <w:ilvl w:val="0"/>
          <w:numId w:val="62"/>
        </w:numPr>
        <w:jc w:val="both"/>
        <w:rPr>
          <w:rFonts w:ascii="Arial" w:hAnsi="Arial"/>
        </w:rPr>
      </w:pPr>
      <w:r>
        <w:rPr>
          <w:rFonts w:ascii="Arial" w:hAnsi="Arial"/>
        </w:rPr>
        <w:t>Formación. Debido a los problemas añadidos a los que se enfrentan las mujeres rurales se ha ofrecido un plan de formación innovador, aprovechando, además, el aprendizaje en las nuevas tecnologías, al haber elaborado el material formativo en un CD-Rom interactivo y un manual escrito que ha permitido a las mujeres el autoaprendizaje a distancia y les ha capacitado para dirigir su propia empresa.</w:t>
      </w:r>
    </w:p>
    <w:p w:rsidR="00000000" w:rsidRDefault="00000000">
      <w:pPr>
        <w:numPr>
          <w:ilvl w:val="0"/>
          <w:numId w:val="62"/>
        </w:numPr>
        <w:jc w:val="both"/>
        <w:rPr>
          <w:rFonts w:ascii="Arial" w:hAnsi="Arial"/>
        </w:rPr>
      </w:pPr>
      <w:r>
        <w:rPr>
          <w:rFonts w:ascii="Arial" w:hAnsi="Arial"/>
        </w:rPr>
        <w:t xml:space="preserve">Para impartir este Plan de formación, el Instituto de la Mujer ha realizado dos módulos de formación de formadores/as específico de 56 horas cada uno, dirigidos a 43 profesionales de las entidades adheridas que se han hecho cargo de las tutorías para el asesoramiento, ayuda y acompañamiento a las usuarias. </w:t>
      </w:r>
    </w:p>
    <w:p w:rsidR="00000000" w:rsidRDefault="00000000">
      <w:pPr>
        <w:numPr>
          <w:ilvl w:val="0"/>
          <w:numId w:val="62"/>
        </w:numPr>
        <w:jc w:val="both"/>
        <w:rPr>
          <w:rFonts w:ascii="Arial" w:hAnsi="Arial"/>
        </w:rPr>
      </w:pPr>
      <w:r>
        <w:rPr>
          <w:rFonts w:ascii="Arial" w:hAnsi="Arial"/>
        </w:rPr>
        <w:t xml:space="preserve">Asistencia Técnica Individualizada y grupal para la creación y gestión de empresas de todos los sectores potenciales del medio rural. </w:t>
      </w:r>
    </w:p>
    <w:p w:rsidR="00000000" w:rsidRDefault="00000000">
      <w:pPr>
        <w:jc w:val="both"/>
        <w:rPr>
          <w:rFonts w:ascii="Arial" w:hAnsi="Arial"/>
        </w:rPr>
      </w:pPr>
    </w:p>
    <w:p w:rsidR="00000000" w:rsidRDefault="00000000">
      <w:pPr>
        <w:numPr>
          <w:ilvl w:val="0"/>
          <w:numId w:val="62"/>
        </w:numPr>
        <w:jc w:val="both"/>
        <w:rPr>
          <w:rFonts w:ascii="Arial" w:hAnsi="Arial"/>
        </w:rPr>
      </w:pPr>
      <w:r>
        <w:rPr>
          <w:rFonts w:ascii="Arial" w:hAnsi="Arial"/>
        </w:rPr>
        <w:t>Sistemas informáticos a través de Internet para la cooperación entre empresas de mujeres, el intercambio de información, la creación de una red para la distribución de productos o servicios, una página WEB y convocatoria de premios para apoyo de iniciativas empresariales de mujeres innovadoras en el medio rural.</w:t>
      </w:r>
    </w:p>
    <w:p w:rsidR="00000000" w:rsidRDefault="00000000">
      <w:pPr>
        <w:ind w:hanging="284"/>
        <w:jc w:val="both"/>
        <w:rPr>
          <w:rFonts w:ascii="Arial" w:hAnsi="Arial"/>
        </w:rPr>
      </w:pPr>
    </w:p>
    <w:p w:rsidR="00000000" w:rsidRDefault="00000000">
      <w:pPr>
        <w:jc w:val="both"/>
        <w:rPr>
          <w:rFonts w:ascii="Arial" w:hAnsi="Arial"/>
        </w:rPr>
      </w:pPr>
      <w:r>
        <w:rPr>
          <w:rFonts w:ascii="Arial" w:hAnsi="Arial"/>
        </w:rPr>
        <w:t>Según el informe de evaluación del proyecto realizado en el 2001, los principales resultados han sido:</w:t>
      </w:r>
    </w:p>
    <w:p w:rsidR="00000000" w:rsidRDefault="00000000">
      <w:pPr>
        <w:ind w:hanging="284"/>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2409"/>
      </w:tblGrid>
      <w:tr w:rsidR="00000000">
        <w:tblPrEx>
          <w:tblCellMar>
            <w:top w:w="0" w:type="dxa"/>
            <w:bottom w:w="0" w:type="dxa"/>
          </w:tblCellMar>
        </w:tblPrEx>
        <w:trPr>
          <w:jc w:val="center"/>
        </w:trPr>
        <w:tc>
          <w:tcPr>
            <w:tcW w:w="3686" w:type="dxa"/>
          </w:tcPr>
          <w:p w:rsidR="00000000" w:rsidRDefault="00000000">
            <w:pPr>
              <w:jc w:val="center"/>
              <w:rPr>
                <w:rFonts w:ascii="Arial" w:hAnsi="Arial"/>
                <w:b/>
                <w:sz w:val="16"/>
              </w:rPr>
            </w:pPr>
            <w:r>
              <w:rPr>
                <w:rFonts w:ascii="Arial" w:hAnsi="Arial"/>
                <w:b/>
                <w:sz w:val="16"/>
              </w:rPr>
              <w:t>Acciones</w:t>
            </w:r>
          </w:p>
        </w:tc>
        <w:tc>
          <w:tcPr>
            <w:tcW w:w="2409" w:type="dxa"/>
          </w:tcPr>
          <w:p w:rsidR="00000000" w:rsidRDefault="00000000">
            <w:pPr>
              <w:jc w:val="center"/>
              <w:rPr>
                <w:rFonts w:ascii="Arial" w:hAnsi="Arial"/>
                <w:b/>
                <w:sz w:val="16"/>
              </w:rPr>
            </w:pPr>
            <w:r>
              <w:rPr>
                <w:rFonts w:ascii="Arial" w:hAnsi="Arial"/>
                <w:b/>
                <w:sz w:val="16"/>
              </w:rPr>
              <w:t>Participantes</w:t>
            </w:r>
          </w:p>
        </w:tc>
      </w:tr>
      <w:tr w:rsidR="00000000">
        <w:tblPrEx>
          <w:tblCellMar>
            <w:top w:w="0" w:type="dxa"/>
            <w:bottom w:w="0" w:type="dxa"/>
          </w:tblCellMar>
        </w:tblPrEx>
        <w:trPr>
          <w:jc w:val="center"/>
        </w:trPr>
        <w:tc>
          <w:tcPr>
            <w:tcW w:w="3686" w:type="dxa"/>
          </w:tcPr>
          <w:p w:rsidR="00000000" w:rsidRDefault="00000000">
            <w:pPr>
              <w:jc w:val="both"/>
              <w:rPr>
                <w:rFonts w:ascii="Arial" w:hAnsi="Arial"/>
                <w:sz w:val="16"/>
              </w:rPr>
            </w:pPr>
            <w:r>
              <w:rPr>
                <w:rFonts w:ascii="Arial" w:hAnsi="Arial"/>
                <w:sz w:val="16"/>
              </w:rPr>
              <w:t xml:space="preserve">  Formación equipo técnico</w:t>
            </w:r>
          </w:p>
        </w:tc>
        <w:tc>
          <w:tcPr>
            <w:tcW w:w="2409" w:type="dxa"/>
          </w:tcPr>
          <w:p w:rsidR="00000000" w:rsidRDefault="00000000">
            <w:pPr>
              <w:jc w:val="center"/>
              <w:rPr>
                <w:rFonts w:ascii="Arial" w:hAnsi="Arial"/>
                <w:sz w:val="16"/>
              </w:rPr>
            </w:pPr>
            <w:r>
              <w:rPr>
                <w:rFonts w:ascii="Arial" w:hAnsi="Arial"/>
                <w:sz w:val="16"/>
              </w:rPr>
              <w:t>147</w:t>
            </w:r>
          </w:p>
        </w:tc>
      </w:tr>
      <w:tr w:rsidR="00000000">
        <w:tblPrEx>
          <w:tblCellMar>
            <w:top w:w="0" w:type="dxa"/>
            <w:bottom w:w="0" w:type="dxa"/>
          </w:tblCellMar>
        </w:tblPrEx>
        <w:trPr>
          <w:jc w:val="center"/>
        </w:trPr>
        <w:tc>
          <w:tcPr>
            <w:tcW w:w="3686" w:type="dxa"/>
          </w:tcPr>
          <w:p w:rsidR="00000000" w:rsidRDefault="00000000">
            <w:pPr>
              <w:jc w:val="both"/>
              <w:rPr>
                <w:rFonts w:ascii="Arial" w:hAnsi="Arial"/>
                <w:sz w:val="16"/>
              </w:rPr>
            </w:pPr>
            <w:r>
              <w:rPr>
                <w:rFonts w:ascii="Arial" w:hAnsi="Arial"/>
                <w:sz w:val="16"/>
              </w:rPr>
              <w:t xml:space="preserve">  Formación previa</w:t>
            </w:r>
          </w:p>
        </w:tc>
        <w:tc>
          <w:tcPr>
            <w:tcW w:w="2409" w:type="dxa"/>
          </w:tcPr>
          <w:p w:rsidR="00000000" w:rsidRDefault="00000000">
            <w:pPr>
              <w:jc w:val="center"/>
              <w:rPr>
                <w:rFonts w:ascii="Arial" w:hAnsi="Arial"/>
                <w:sz w:val="16"/>
              </w:rPr>
            </w:pPr>
            <w:r>
              <w:rPr>
                <w:rFonts w:ascii="Arial" w:hAnsi="Arial"/>
                <w:sz w:val="16"/>
              </w:rPr>
              <w:t>1031</w:t>
            </w:r>
          </w:p>
        </w:tc>
      </w:tr>
      <w:tr w:rsidR="00000000">
        <w:tblPrEx>
          <w:tblCellMar>
            <w:top w:w="0" w:type="dxa"/>
            <w:bottom w:w="0" w:type="dxa"/>
          </w:tblCellMar>
        </w:tblPrEx>
        <w:trPr>
          <w:jc w:val="center"/>
        </w:trPr>
        <w:tc>
          <w:tcPr>
            <w:tcW w:w="3686" w:type="dxa"/>
          </w:tcPr>
          <w:p w:rsidR="00000000" w:rsidRDefault="00000000">
            <w:pPr>
              <w:jc w:val="both"/>
              <w:rPr>
                <w:rFonts w:ascii="Arial" w:hAnsi="Arial"/>
                <w:sz w:val="16"/>
              </w:rPr>
            </w:pPr>
            <w:r>
              <w:rPr>
                <w:rFonts w:ascii="Arial" w:hAnsi="Arial"/>
                <w:sz w:val="16"/>
              </w:rPr>
              <w:t xml:space="preserve">  Formación a distancia plan empresa</w:t>
            </w:r>
          </w:p>
        </w:tc>
        <w:tc>
          <w:tcPr>
            <w:tcW w:w="2409" w:type="dxa"/>
          </w:tcPr>
          <w:p w:rsidR="00000000" w:rsidRDefault="00000000">
            <w:pPr>
              <w:jc w:val="center"/>
              <w:rPr>
                <w:rFonts w:ascii="Arial" w:hAnsi="Arial"/>
                <w:sz w:val="16"/>
              </w:rPr>
            </w:pPr>
            <w:r>
              <w:rPr>
                <w:rFonts w:ascii="Arial" w:hAnsi="Arial"/>
                <w:sz w:val="16"/>
              </w:rPr>
              <w:t>790</w:t>
            </w:r>
          </w:p>
        </w:tc>
      </w:tr>
      <w:tr w:rsidR="00000000">
        <w:tblPrEx>
          <w:tblCellMar>
            <w:top w:w="0" w:type="dxa"/>
            <w:bottom w:w="0" w:type="dxa"/>
          </w:tblCellMar>
        </w:tblPrEx>
        <w:trPr>
          <w:jc w:val="center"/>
        </w:trPr>
        <w:tc>
          <w:tcPr>
            <w:tcW w:w="3686" w:type="dxa"/>
          </w:tcPr>
          <w:p w:rsidR="00000000" w:rsidRDefault="00000000">
            <w:pPr>
              <w:jc w:val="both"/>
              <w:rPr>
                <w:rFonts w:ascii="Arial" w:hAnsi="Arial"/>
                <w:sz w:val="16"/>
              </w:rPr>
            </w:pPr>
            <w:r>
              <w:rPr>
                <w:rFonts w:ascii="Arial" w:hAnsi="Arial"/>
                <w:sz w:val="16"/>
              </w:rPr>
              <w:t xml:space="preserve">  Asistencias Técnicas</w:t>
            </w:r>
          </w:p>
        </w:tc>
        <w:tc>
          <w:tcPr>
            <w:tcW w:w="2409" w:type="dxa"/>
          </w:tcPr>
          <w:p w:rsidR="00000000" w:rsidRDefault="00000000">
            <w:pPr>
              <w:jc w:val="center"/>
              <w:rPr>
                <w:rFonts w:ascii="Arial" w:hAnsi="Arial"/>
                <w:sz w:val="16"/>
              </w:rPr>
            </w:pPr>
            <w:r>
              <w:rPr>
                <w:rFonts w:ascii="Arial" w:hAnsi="Arial"/>
                <w:sz w:val="16"/>
              </w:rPr>
              <w:t>312</w:t>
            </w:r>
          </w:p>
        </w:tc>
      </w:tr>
      <w:tr w:rsidR="00000000">
        <w:tblPrEx>
          <w:tblCellMar>
            <w:top w:w="0" w:type="dxa"/>
            <w:bottom w:w="0" w:type="dxa"/>
          </w:tblCellMar>
        </w:tblPrEx>
        <w:trPr>
          <w:jc w:val="center"/>
        </w:trPr>
        <w:tc>
          <w:tcPr>
            <w:tcW w:w="3686" w:type="dxa"/>
          </w:tcPr>
          <w:p w:rsidR="00000000" w:rsidRDefault="00000000">
            <w:pPr>
              <w:jc w:val="both"/>
              <w:rPr>
                <w:rFonts w:ascii="Arial" w:hAnsi="Arial"/>
                <w:sz w:val="16"/>
              </w:rPr>
            </w:pPr>
            <w:r>
              <w:rPr>
                <w:rFonts w:ascii="Arial" w:hAnsi="Arial"/>
                <w:sz w:val="16"/>
              </w:rPr>
              <w:t xml:space="preserve">  Empresas creadas</w:t>
            </w:r>
          </w:p>
        </w:tc>
        <w:tc>
          <w:tcPr>
            <w:tcW w:w="2409" w:type="dxa"/>
          </w:tcPr>
          <w:p w:rsidR="00000000" w:rsidRDefault="00000000">
            <w:pPr>
              <w:jc w:val="center"/>
              <w:rPr>
                <w:rFonts w:ascii="Arial" w:hAnsi="Arial"/>
                <w:sz w:val="16"/>
              </w:rPr>
            </w:pPr>
            <w:r>
              <w:rPr>
                <w:rFonts w:ascii="Arial" w:hAnsi="Arial"/>
                <w:sz w:val="16"/>
              </w:rPr>
              <w:t>194</w:t>
            </w:r>
          </w:p>
        </w:tc>
      </w:tr>
      <w:tr w:rsidR="00000000">
        <w:tblPrEx>
          <w:tblCellMar>
            <w:top w:w="0" w:type="dxa"/>
            <w:bottom w:w="0" w:type="dxa"/>
          </w:tblCellMar>
        </w:tblPrEx>
        <w:trPr>
          <w:jc w:val="center"/>
        </w:trPr>
        <w:tc>
          <w:tcPr>
            <w:tcW w:w="3686" w:type="dxa"/>
          </w:tcPr>
          <w:p w:rsidR="00000000" w:rsidRDefault="00000000">
            <w:pPr>
              <w:tabs>
                <w:tab w:val="left" w:pos="3829"/>
              </w:tabs>
              <w:jc w:val="both"/>
              <w:rPr>
                <w:rFonts w:ascii="Arial" w:hAnsi="Arial"/>
                <w:sz w:val="16"/>
              </w:rPr>
            </w:pPr>
            <w:r>
              <w:rPr>
                <w:rFonts w:ascii="Arial" w:hAnsi="Arial"/>
                <w:sz w:val="16"/>
              </w:rPr>
              <w:t xml:space="preserve">  Empresas en fase de creación avanzada</w:t>
            </w:r>
          </w:p>
        </w:tc>
        <w:tc>
          <w:tcPr>
            <w:tcW w:w="2409" w:type="dxa"/>
          </w:tcPr>
          <w:p w:rsidR="00000000" w:rsidRDefault="00000000">
            <w:pPr>
              <w:jc w:val="center"/>
              <w:rPr>
                <w:rFonts w:ascii="Arial" w:hAnsi="Arial"/>
                <w:sz w:val="16"/>
              </w:rPr>
            </w:pPr>
            <w:r>
              <w:rPr>
                <w:rFonts w:ascii="Arial" w:hAnsi="Arial"/>
                <w:sz w:val="16"/>
              </w:rPr>
              <w:t>47</w:t>
            </w:r>
          </w:p>
        </w:tc>
      </w:tr>
    </w:tbl>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Durante el año 2000 y 2001  el Instituto de la Mujer con el fin de apoyar a la Red GEA ha editado 5000 ejemplares en soporte CD Rom de tres cursos monográficos:”Cómo gestionar la problemática de compras y almacén”, “Cómo aplicar la informática a tu negocio” y “Cómo conocer y fidelizar tu clientela”.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coste total del proyecto ha sido de 7.691.152 de Euros incluyendo la celebración de una Feria de Muestras y el Congreso Europeo de Mujeres Rurales realizados simultáneamente en el Palacio de Congresos de Madrid el 16 y 17 de diciembre de 1999.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congreso los temas se refirieron a la aportación de las mujeres rurales a la economía y su papel en la evolución de la sociedad en los últimos 50 años. En las mesas redondas e intervenciones se trataron temas como el factor del desarrollo local, la educación, la formación profesional y el empleo, los nuevos yacimientos de empleo, las empresarias rurales, comercialización de productos y servicios, y por último, la participación y la toma de decisiones en la sociedad rural.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Instituto de la Mujer ha recogido las intervenciones en una publicación: </w:t>
      </w:r>
      <w:r>
        <w:rPr>
          <w:rFonts w:ascii="Arial" w:hAnsi="Arial"/>
          <w:i/>
        </w:rPr>
        <w:t>Mujeres rurales: Ponencias e intervenciones en mesas redondas del Congreso Europeo de mujeres rurales</w:t>
      </w:r>
      <w:r>
        <w:rPr>
          <w:rFonts w:ascii="Arial" w:hAnsi="Arial"/>
        </w:rPr>
        <w:t xml:space="preserve"> (Madrid, 16 y 17 de diciembre de 1999).</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rPr>
      </w:pPr>
      <w:r>
        <w:rPr>
          <w:rFonts w:ascii="Arial" w:hAnsi="Arial"/>
        </w:rPr>
        <w:t xml:space="preserve">Por otro lado, se ha continuado apoyando al movimiento asociativo de mujeres rurales para incrementar su participación social y su acceso a puestos de decisión en las organizaciones de tipo económico, profesional y sindical. Este apoyo, básicamente económico, aunque también de carácter técnico, se canaliza a través de dos convocatorias de subvenciones: la del régimen general del Instituto de la Mujer, dirigida principalmente al fomento del asociacionismo de las mujeres y la del 0,52% de Impuesto sobre la renta de las personas físicas del Ministerio de Trabajo y Asuntos Sociales. </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br w:type="page"/>
        <w:t>Las ayudas concedidas a ONG y a asociaciones para desarrollar programas dirigidos a mujeres rurales desde 1999 han sido las siguientes:</w:t>
      </w: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567"/>
        <w:gridCol w:w="993"/>
        <w:gridCol w:w="1275"/>
        <w:gridCol w:w="1134"/>
        <w:gridCol w:w="1276"/>
        <w:gridCol w:w="992"/>
        <w:gridCol w:w="1276"/>
      </w:tblGrid>
      <w:tr w:rsidR="00000000">
        <w:tblPrEx>
          <w:tblCellMar>
            <w:top w:w="0" w:type="dxa"/>
            <w:bottom w:w="0" w:type="dxa"/>
          </w:tblCellMar>
        </w:tblPrEx>
        <w:trPr>
          <w:cantSplit/>
          <w:trHeight w:val="262"/>
          <w:jc w:val="center"/>
        </w:trPr>
        <w:tc>
          <w:tcPr>
            <w:tcW w:w="567" w:type="dxa"/>
            <w:tcBorders>
              <w:top w:val="single" w:sz="2" w:space="0" w:color="000000"/>
              <w:left w:val="single" w:sz="2" w:space="0" w:color="000000"/>
              <w:bottom w:val="single" w:sz="6" w:space="0" w:color="auto"/>
              <w:right w:val="single" w:sz="6" w:space="0" w:color="auto"/>
            </w:tcBorders>
          </w:tcPr>
          <w:p w:rsidR="00000000" w:rsidRDefault="00000000">
            <w:pPr>
              <w:jc w:val="both"/>
              <w:rPr>
                <w:rFonts w:ascii="Arial" w:hAnsi="Arial"/>
                <w:snapToGrid w:val="0"/>
                <w:color w:val="000000"/>
                <w:sz w:val="16"/>
              </w:rPr>
            </w:pPr>
          </w:p>
        </w:tc>
        <w:tc>
          <w:tcPr>
            <w:tcW w:w="2268"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000000" w:rsidRDefault="00000000">
            <w:pPr>
              <w:jc w:val="center"/>
              <w:rPr>
                <w:rFonts w:ascii="Arial" w:hAnsi="Arial"/>
                <w:b/>
                <w:snapToGrid w:val="0"/>
                <w:color w:val="000000"/>
                <w:sz w:val="16"/>
              </w:rPr>
            </w:pPr>
            <w:r>
              <w:rPr>
                <w:rFonts w:ascii="Arial" w:hAnsi="Arial"/>
                <w:b/>
                <w:snapToGrid w:val="0"/>
                <w:color w:val="000000"/>
                <w:sz w:val="16"/>
              </w:rPr>
              <w:t>IRPF-COLECTIVO MUJER</w:t>
            </w:r>
          </w:p>
        </w:tc>
        <w:tc>
          <w:tcPr>
            <w:tcW w:w="2410"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000000" w:rsidRDefault="00000000">
            <w:pPr>
              <w:jc w:val="center"/>
              <w:rPr>
                <w:rFonts w:ascii="Arial" w:hAnsi="Arial"/>
                <w:b/>
                <w:snapToGrid w:val="0"/>
                <w:color w:val="000000"/>
                <w:sz w:val="16"/>
              </w:rPr>
            </w:pPr>
            <w:r>
              <w:rPr>
                <w:rFonts w:ascii="Arial" w:hAnsi="Arial"/>
                <w:b/>
                <w:snapToGrid w:val="0"/>
                <w:color w:val="000000"/>
                <w:sz w:val="16"/>
              </w:rPr>
              <w:t>REGIMEN GENERAL</w:t>
            </w:r>
          </w:p>
        </w:tc>
        <w:tc>
          <w:tcPr>
            <w:tcW w:w="2268" w:type="dxa"/>
            <w:gridSpan w:val="2"/>
            <w:tcBorders>
              <w:top w:val="single" w:sz="6" w:space="0" w:color="auto"/>
              <w:left w:val="single" w:sz="6" w:space="0" w:color="auto"/>
              <w:bottom w:val="single" w:sz="6" w:space="0" w:color="auto"/>
              <w:right w:val="single" w:sz="6" w:space="0" w:color="auto"/>
            </w:tcBorders>
            <w:shd w:val="solid" w:color="FFFFFF" w:fill="auto"/>
            <w:vAlign w:val="center"/>
          </w:tcPr>
          <w:p w:rsidR="00000000" w:rsidRDefault="00000000">
            <w:pPr>
              <w:jc w:val="center"/>
              <w:rPr>
                <w:rFonts w:ascii="Arial" w:hAnsi="Arial"/>
                <w:b/>
                <w:snapToGrid w:val="0"/>
                <w:color w:val="000000"/>
                <w:sz w:val="16"/>
              </w:rPr>
            </w:pPr>
            <w:r>
              <w:rPr>
                <w:rFonts w:ascii="Arial" w:hAnsi="Arial"/>
                <w:b/>
                <w:snapToGrid w:val="0"/>
                <w:color w:val="000000"/>
                <w:sz w:val="16"/>
              </w:rPr>
              <w:t>TOTAL</w:t>
            </w:r>
          </w:p>
        </w:tc>
      </w:tr>
      <w:tr w:rsidR="00000000">
        <w:tblPrEx>
          <w:tblCellMar>
            <w:top w:w="0" w:type="dxa"/>
            <w:bottom w:w="0" w:type="dxa"/>
          </w:tblCellMar>
        </w:tblPrEx>
        <w:trPr>
          <w:trHeight w:val="523"/>
          <w:jc w:val="center"/>
        </w:trPr>
        <w:tc>
          <w:tcPr>
            <w:tcW w:w="567"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Años</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Nº de programas</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Importe</w:t>
            </w:r>
          </w:p>
          <w:p w:rsidR="00000000" w:rsidRDefault="00000000">
            <w:pPr>
              <w:jc w:val="center"/>
              <w:rPr>
                <w:rFonts w:ascii="Arial" w:hAnsi="Arial"/>
                <w:snapToGrid w:val="0"/>
                <w:color w:val="000000"/>
                <w:sz w:val="16"/>
              </w:rPr>
            </w:pPr>
            <w:r>
              <w:rPr>
                <w:rFonts w:ascii="Arial" w:hAnsi="Arial"/>
                <w:snapToGrid w:val="0"/>
                <w:color w:val="000000"/>
                <w:sz w:val="16"/>
              </w:rPr>
              <w:t>(Euros)</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Nº de programas</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Importe</w:t>
            </w:r>
          </w:p>
          <w:p w:rsidR="00000000" w:rsidRDefault="00000000">
            <w:pPr>
              <w:jc w:val="center"/>
              <w:rPr>
                <w:rFonts w:ascii="Arial" w:hAnsi="Arial"/>
                <w:snapToGrid w:val="0"/>
                <w:color w:val="000000"/>
                <w:sz w:val="16"/>
              </w:rPr>
            </w:pPr>
            <w:r>
              <w:rPr>
                <w:rFonts w:ascii="Arial" w:hAnsi="Arial"/>
                <w:snapToGrid w:val="0"/>
                <w:color w:val="000000"/>
                <w:sz w:val="16"/>
              </w:rPr>
              <w:t>(Euros)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Nº de programas</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Importe</w:t>
            </w:r>
          </w:p>
          <w:p w:rsidR="00000000" w:rsidRDefault="00000000">
            <w:pPr>
              <w:jc w:val="center"/>
              <w:rPr>
                <w:rFonts w:ascii="Arial" w:hAnsi="Arial"/>
                <w:snapToGrid w:val="0"/>
                <w:color w:val="000000"/>
                <w:sz w:val="16"/>
              </w:rPr>
            </w:pPr>
            <w:r>
              <w:rPr>
                <w:rFonts w:ascii="Arial" w:hAnsi="Arial"/>
                <w:snapToGrid w:val="0"/>
                <w:color w:val="000000"/>
                <w:sz w:val="16"/>
              </w:rPr>
              <w:t>(Euros)</w:t>
            </w:r>
          </w:p>
        </w:tc>
      </w:tr>
      <w:tr w:rsidR="00000000">
        <w:tblPrEx>
          <w:tblCellMar>
            <w:top w:w="0" w:type="dxa"/>
            <w:bottom w:w="0" w:type="dxa"/>
          </w:tblCellMar>
        </w:tblPrEx>
        <w:trPr>
          <w:trHeight w:val="307"/>
          <w:jc w:val="center"/>
        </w:trPr>
        <w:tc>
          <w:tcPr>
            <w:tcW w:w="567" w:type="dxa"/>
            <w:tcBorders>
              <w:top w:val="single" w:sz="2" w:space="0" w:color="000000"/>
              <w:left w:val="single" w:sz="6" w:space="0" w:color="auto"/>
              <w:bottom w:val="single" w:sz="2" w:space="0" w:color="000000"/>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1999</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13</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780.459,14</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8</w:t>
            </w:r>
          </w:p>
        </w:tc>
        <w:tc>
          <w:tcPr>
            <w:tcW w:w="1276"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99.167,00</w:t>
            </w:r>
          </w:p>
        </w:tc>
        <w:tc>
          <w:tcPr>
            <w:tcW w:w="992"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21</w:t>
            </w:r>
          </w:p>
        </w:tc>
        <w:tc>
          <w:tcPr>
            <w:tcW w:w="1276"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879.626,14</w:t>
            </w:r>
          </w:p>
        </w:tc>
      </w:tr>
      <w:tr w:rsidR="00000000">
        <w:tblPrEx>
          <w:tblCellMar>
            <w:top w:w="0" w:type="dxa"/>
            <w:bottom w:w="0" w:type="dxa"/>
          </w:tblCellMar>
        </w:tblPrEx>
        <w:trPr>
          <w:trHeight w:val="307"/>
          <w:jc w:val="center"/>
        </w:trPr>
        <w:tc>
          <w:tcPr>
            <w:tcW w:w="567" w:type="dxa"/>
            <w:tcBorders>
              <w:top w:val="single" w:sz="2" w:space="0" w:color="000000"/>
              <w:left w:val="single" w:sz="6" w:space="0" w:color="auto"/>
              <w:bottom w:val="single" w:sz="2" w:space="0" w:color="000000"/>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2000</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13</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852.009,78</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12</w:t>
            </w:r>
          </w:p>
        </w:tc>
        <w:tc>
          <w:tcPr>
            <w:tcW w:w="1276"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93.757,89</w:t>
            </w:r>
          </w:p>
        </w:tc>
        <w:tc>
          <w:tcPr>
            <w:tcW w:w="992"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25</w:t>
            </w:r>
          </w:p>
        </w:tc>
        <w:tc>
          <w:tcPr>
            <w:tcW w:w="1276" w:type="dxa"/>
            <w:tcBorders>
              <w:top w:val="single" w:sz="2" w:space="0" w:color="000000"/>
              <w:left w:val="single" w:sz="6" w:space="0" w:color="auto"/>
              <w:bottom w:val="single" w:sz="2" w:space="0" w:color="000000"/>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945.767,67</w:t>
            </w:r>
          </w:p>
        </w:tc>
      </w:tr>
      <w:tr w:rsidR="00000000">
        <w:tblPrEx>
          <w:tblCellMar>
            <w:top w:w="0" w:type="dxa"/>
            <w:bottom w:w="0" w:type="dxa"/>
          </w:tblCellMar>
        </w:tblPrEx>
        <w:trPr>
          <w:trHeight w:val="307"/>
          <w:jc w:val="center"/>
        </w:trPr>
        <w:tc>
          <w:tcPr>
            <w:tcW w:w="567" w:type="dxa"/>
            <w:tcBorders>
              <w:top w:val="single" w:sz="2" w:space="0" w:color="000000"/>
              <w:left w:val="single" w:sz="6" w:space="0" w:color="auto"/>
              <w:bottom w:val="single" w:sz="2" w:space="0" w:color="000000"/>
              <w:right w:val="single" w:sz="6" w:space="0" w:color="auto"/>
            </w:tcBorders>
            <w:shd w:val="solid" w:color="FFFFFF" w:fill="auto"/>
          </w:tcPr>
          <w:p w:rsidR="00000000" w:rsidRDefault="00000000">
            <w:pPr>
              <w:jc w:val="center"/>
              <w:rPr>
                <w:rFonts w:ascii="Arial" w:hAnsi="Arial"/>
                <w:snapToGrid w:val="0"/>
                <w:color w:val="000000"/>
                <w:sz w:val="16"/>
              </w:rPr>
            </w:pPr>
            <w:r>
              <w:rPr>
                <w:rFonts w:ascii="Arial" w:hAnsi="Arial"/>
                <w:snapToGrid w:val="0"/>
                <w:color w:val="000000"/>
                <w:sz w:val="16"/>
              </w:rPr>
              <w:t>2001</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12</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770.843,10</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7</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109.985,22</w:t>
            </w:r>
          </w:p>
        </w:tc>
        <w:tc>
          <w:tcPr>
            <w:tcW w:w="992"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19</w:t>
            </w:r>
          </w:p>
        </w:tc>
        <w:tc>
          <w:tcPr>
            <w:tcW w:w="1276" w:type="dxa"/>
            <w:tcBorders>
              <w:top w:val="single" w:sz="2" w:space="0" w:color="000000"/>
              <w:left w:val="single" w:sz="6" w:space="0" w:color="auto"/>
              <w:bottom w:val="single" w:sz="6" w:space="0" w:color="auto"/>
              <w:right w:val="single" w:sz="6" w:space="0" w:color="auto"/>
            </w:tcBorders>
          </w:tcPr>
          <w:p w:rsidR="00000000" w:rsidRDefault="00000000">
            <w:pPr>
              <w:jc w:val="center"/>
              <w:rPr>
                <w:rFonts w:ascii="Arial" w:hAnsi="Arial"/>
                <w:snapToGrid w:val="0"/>
                <w:color w:val="000000"/>
                <w:sz w:val="16"/>
              </w:rPr>
            </w:pPr>
            <w:r>
              <w:rPr>
                <w:rFonts w:ascii="Arial" w:hAnsi="Arial"/>
                <w:snapToGrid w:val="0"/>
                <w:color w:val="000000"/>
                <w:sz w:val="16"/>
              </w:rPr>
              <w:t xml:space="preserve">   880.828,32</w:t>
            </w:r>
          </w:p>
        </w:tc>
      </w:tr>
      <w:tr w:rsidR="00000000">
        <w:tblPrEx>
          <w:tblCellMar>
            <w:top w:w="0" w:type="dxa"/>
            <w:bottom w:w="0" w:type="dxa"/>
          </w:tblCellMar>
        </w:tblPrEx>
        <w:trPr>
          <w:trHeight w:val="307"/>
          <w:jc w:val="center"/>
        </w:trPr>
        <w:tc>
          <w:tcPr>
            <w:tcW w:w="567" w:type="dxa"/>
            <w:tcBorders>
              <w:top w:val="single" w:sz="2" w:space="0" w:color="000000"/>
              <w:left w:val="single" w:sz="6" w:space="0" w:color="auto"/>
              <w:bottom w:val="single" w:sz="6" w:space="0" w:color="auto"/>
              <w:right w:val="single" w:sz="6" w:space="0" w:color="auto"/>
            </w:tcBorders>
            <w:shd w:val="solid" w:color="FFFFFF" w:fill="auto"/>
          </w:tcPr>
          <w:p w:rsidR="00000000" w:rsidRDefault="00000000">
            <w:pPr>
              <w:jc w:val="center"/>
              <w:rPr>
                <w:rFonts w:ascii="Arial" w:hAnsi="Arial"/>
                <w:snapToGrid w:val="0"/>
                <w:color w:val="000000"/>
                <w:sz w:val="16"/>
              </w:rPr>
            </w:pP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38</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2.403.312,02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27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302.910,11</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65</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Arial" w:hAnsi="Arial"/>
                <w:b/>
                <w:snapToGrid w:val="0"/>
                <w:color w:val="000000"/>
                <w:sz w:val="16"/>
              </w:rPr>
            </w:pPr>
            <w:r>
              <w:rPr>
                <w:rFonts w:ascii="Arial" w:hAnsi="Arial"/>
                <w:b/>
                <w:snapToGrid w:val="0"/>
                <w:color w:val="000000"/>
                <w:sz w:val="16"/>
              </w:rPr>
              <w:t>2.706.222,13</w:t>
            </w:r>
          </w:p>
        </w:tc>
      </w:tr>
    </w:tbl>
    <w:p w:rsidR="00000000" w:rsidRDefault="00000000">
      <w:pPr>
        <w:ind w:left="1152"/>
        <w:jc w:val="both"/>
        <w:rPr>
          <w:rFonts w:ascii="Arial" w:hAnsi="Arial"/>
          <w:sz w:val="16"/>
        </w:rPr>
      </w:pPr>
      <w:r>
        <w:rPr>
          <w:rFonts w:ascii="Arial" w:hAnsi="Arial"/>
          <w:snapToGrid w:val="0"/>
          <w:color w:val="000000"/>
          <w:sz w:val="16"/>
        </w:rPr>
        <w:t>IRPF- Colectivo Mujer  Programas dirigidos al ámbito rural y marítimo pesquero</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t>Los programas subvencionados se dirigen a actividades que, aunque siguen siendo muy diversas, han sufrido en los últimos años una evolución que, según el informe de evaluación del III PIOM, tiene mucho que ver con el cambio que han experimentado los objetivos: han pasado de tener unos objetivos principalmente lúdicos (manualidades, talleres) a estar dirigidos a la formación ocupacional.</w:t>
      </w:r>
    </w:p>
    <w:p w:rsidR="00000000" w:rsidRDefault="00000000">
      <w:pPr>
        <w:jc w:val="both"/>
        <w:rPr>
          <w:rFonts w:ascii="Arial" w:hAnsi="Arial"/>
        </w:rPr>
      </w:pPr>
    </w:p>
    <w:p w:rsidR="00000000" w:rsidRDefault="00000000">
      <w:pPr>
        <w:jc w:val="both"/>
        <w:rPr>
          <w:rFonts w:ascii="Arial" w:hAnsi="Arial"/>
        </w:rPr>
      </w:pPr>
      <w:r>
        <w:rPr>
          <w:rFonts w:ascii="Arial" w:hAnsi="Arial"/>
        </w:rPr>
        <w:t>Cabe mencionar, asimismo, la exposición realizada en 1999 y presentada durante el “</w:t>
      </w:r>
      <w:r>
        <w:rPr>
          <w:rFonts w:ascii="Arial" w:hAnsi="Arial"/>
          <w:b/>
        </w:rPr>
        <w:t>Congreso Mujeres y Sociedad rural: entre la inercia y la ruptura</w:t>
      </w:r>
      <w:r>
        <w:rPr>
          <w:rFonts w:ascii="Arial" w:hAnsi="Arial"/>
        </w:rPr>
        <w:t xml:space="preserve">”. Esta exposición itinerante pretende reflejar las diferentes situaciones socioprofesionales y laborales de las mujeres rurales, teniendo en cuenta la enorme diversidad dentro de una España autonómica plural. Presenta aspectos de continuidad, que dificultan la consecución efectiva de la igualdad de oportunidades, pero también aquellos aspectos de innovación y ruptura que contribuirán a su logro. Con un fondo crítico presenta las diversas situaciones profesionales de las mujeres rurales en el ámbito de la agricultura, la pesca, y la sociedad rural en general, exponiendo los procesos de participación de estas mujeres en el tejido asociativo profesional y social, su incorporación a la sociedad civil y su creciente protagonismo en la construcción del futuro de la sociedad rural y en los emergentes procesos de su desarrollo.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Como material de apoyo, la exposición cuenta con un folleto de divulgación, un cartel publicitario y un vídeo. Asimismo, con el mismo título se editó un libro que, además de servir de catálogo de la exposición, cuenta con diversos artículos de especialistas en la materia. </w:t>
      </w:r>
    </w:p>
    <w:p w:rsidR="00000000" w:rsidRDefault="00000000">
      <w:pPr>
        <w:jc w:val="both"/>
        <w:rPr>
          <w:rFonts w:ascii="Arial" w:hAnsi="Arial"/>
        </w:rPr>
      </w:pPr>
    </w:p>
    <w:p w:rsidR="00000000" w:rsidRDefault="00000000">
      <w:pPr>
        <w:jc w:val="both"/>
        <w:rPr>
          <w:rFonts w:ascii="Arial" w:hAnsi="Arial"/>
        </w:rPr>
      </w:pPr>
      <w:r>
        <w:rPr>
          <w:rFonts w:ascii="Arial" w:hAnsi="Arial"/>
        </w:rPr>
        <w:t>El Ministerio de Agricultura, Pesca y Alimentación y el Instituto de la Mujer firmaron, en mayo del 2002, un Convenio de Colaboración para la realización del</w:t>
      </w:r>
      <w:r>
        <w:rPr>
          <w:rFonts w:ascii="Arial" w:hAnsi="Arial"/>
          <w:b/>
        </w:rPr>
        <w:t xml:space="preserve"> III Congreso Mundial de Mujeres Rurales</w:t>
      </w:r>
      <w:r>
        <w:rPr>
          <w:rFonts w:ascii="Arial" w:hAnsi="Arial"/>
        </w:rPr>
        <w:t>, que se celebró en Madrid en octubre del mismo año como continuación de las Conferencias anteriores sobre esta materia celebradas en Melbourne (Australia) en 1994 y en Washington (EE.UU), en 1998.</w:t>
      </w:r>
    </w:p>
    <w:p w:rsidR="00000000" w:rsidRDefault="00000000">
      <w:pPr>
        <w:jc w:val="both"/>
        <w:rPr>
          <w:rFonts w:ascii="Arial" w:hAnsi="Arial"/>
        </w:rPr>
      </w:pPr>
    </w:p>
    <w:p w:rsidR="00000000" w:rsidRDefault="00000000">
      <w:pPr>
        <w:jc w:val="both"/>
        <w:rPr>
          <w:rFonts w:ascii="Arial" w:hAnsi="Arial"/>
        </w:rPr>
      </w:pPr>
      <w:r>
        <w:rPr>
          <w:rFonts w:ascii="Arial" w:hAnsi="Arial"/>
        </w:rPr>
        <w:t>La celebración de este III Congreso Mundial, con un aforo de 1500 mujeres rurales procedentes de los distintos continentes, tuvo por objeto analizar diversos temas relacionados con la situación de las mujeres rurales en el contexto mundial, el desarrollo sostenible, temas de género y la seguridad alimentaria, el impacto de las nuevas tecnologías, la toma de poder y de decisiones, las políticas públicas de apoyo a las mujeres rurales, etc. Cofinanciado por el Fondo Social Europeo, la finalidad fue la de estimular el debate y la reflexión que impulse la búsqueda de nuevas alternativas y el intercambio de experiencias, dado el importante papel que las mujeres rurales deben jugar en los nuevos procesos de desarrollo rural.</w:t>
      </w:r>
    </w:p>
    <w:p w:rsidR="00000000" w:rsidRDefault="00000000">
      <w:pPr>
        <w:jc w:val="both"/>
        <w:rPr>
          <w:rFonts w:ascii="Arial" w:hAnsi="Arial"/>
        </w:rPr>
      </w:pPr>
    </w:p>
    <w:p w:rsidR="00000000" w:rsidRDefault="00000000">
      <w:pPr>
        <w:jc w:val="both"/>
        <w:rPr>
          <w:rFonts w:ascii="Arial" w:hAnsi="Arial"/>
        </w:rPr>
      </w:pPr>
      <w:r>
        <w:rPr>
          <w:rFonts w:ascii="Arial" w:hAnsi="Arial"/>
        </w:rPr>
        <w:t>Durante la celebración del mismo se han exhibido dos exposiciones: “Mujeres y Sociedad Rural: entre la inercia y la ruptura”, actualizada en  2002 y “Mujeres en la aldea global” realizada en 2001-2002 que refleja, a través de una colección de fotografías de todos los continentes,  los principales problemas de las mujeres rurales en todo el mundo.</w:t>
      </w:r>
    </w:p>
    <w:p w:rsidR="00000000" w:rsidRDefault="00000000">
      <w:pPr>
        <w:jc w:val="both"/>
        <w:rPr>
          <w:rFonts w:ascii="Arial" w:hAnsi="Arial"/>
        </w:rPr>
      </w:pPr>
    </w:p>
    <w:p w:rsidR="00000000" w:rsidRDefault="00000000">
      <w:pPr>
        <w:jc w:val="both"/>
        <w:rPr>
          <w:rFonts w:ascii="Arial" w:hAnsi="Arial"/>
          <w:b/>
        </w:rPr>
      </w:pPr>
      <w:r>
        <w:rPr>
          <w:rFonts w:ascii="Arial" w:hAnsi="Arial"/>
          <w:b/>
        </w:rPr>
        <w:t>Actividades realizadas durante la Presidencia española de la Unión Europea en materia de Agricultura.</w:t>
      </w:r>
    </w:p>
    <w:p w:rsidR="00000000" w:rsidRDefault="00000000">
      <w:pPr>
        <w:jc w:val="both"/>
        <w:rPr>
          <w:rFonts w:ascii="Arial" w:hAnsi="Arial"/>
          <w:b/>
        </w:rPr>
      </w:pPr>
    </w:p>
    <w:p w:rsidR="00000000" w:rsidRDefault="00000000">
      <w:pPr>
        <w:jc w:val="both"/>
        <w:rPr>
          <w:rFonts w:ascii="Arial" w:hAnsi="Arial"/>
        </w:rPr>
      </w:pPr>
      <w:r>
        <w:rPr>
          <w:rFonts w:ascii="Arial" w:hAnsi="Arial"/>
        </w:rPr>
        <w:t>Para introducir el mainstreaming de género en el Consejo de Agricultura de la Unión Europea durante la Presidencia española, se elaboró un documento para valorar la incidencia del género en las políticas de desarrollo rural, donde las mujeres adquieren un especial protagonismo.  En dicho documento se realiza una exposición de la contribución de las mujeres al mundo rural y se ponen de manifiesto dos aspectos: en primer lugar, el objetivo prioritario de la UE para asegurar el principio de igualdad de oportunidades entre las mujeres y hombres que residen en el medio rural y en segundo lugar, el nuevo modelo rural europeo en el que es vital la participación de las mujeres.</w:t>
      </w:r>
    </w:p>
    <w:p w:rsidR="00000000" w:rsidRDefault="00000000">
      <w:pPr>
        <w:jc w:val="both"/>
        <w:rPr>
          <w:rFonts w:ascii="Arial" w:hAnsi="Arial"/>
        </w:rPr>
      </w:pPr>
    </w:p>
    <w:p w:rsidR="00000000" w:rsidRDefault="00000000">
      <w:pPr>
        <w:jc w:val="both"/>
        <w:rPr>
          <w:rFonts w:ascii="Arial" w:hAnsi="Arial"/>
        </w:rPr>
      </w:pPr>
      <w:r>
        <w:rPr>
          <w:rFonts w:ascii="Arial" w:hAnsi="Arial"/>
        </w:rPr>
        <w:t>El documento afirma que las políticas comunitarias deberán seguir reforzando la capacidad organizativa de las mujeres en las zonas rurales, estimulando y apoyando a las organizaciones empresariales de mujeres, a las ONGs, a las cooperativas y otras fórmulas asociativas, así como a otros colectivos de mujeres rurales.</w:t>
      </w:r>
    </w:p>
    <w:p w:rsidR="00000000" w:rsidRDefault="00000000">
      <w:pPr>
        <w:jc w:val="both"/>
        <w:rPr>
          <w:rFonts w:ascii="Arial" w:hAnsi="Arial"/>
        </w:rPr>
      </w:pPr>
    </w:p>
    <w:p w:rsidR="00000000" w:rsidRDefault="00000000">
      <w:pPr>
        <w:jc w:val="both"/>
        <w:rPr>
          <w:rFonts w:ascii="Arial" w:hAnsi="Arial"/>
        </w:rPr>
      </w:pPr>
      <w:r>
        <w:rPr>
          <w:rFonts w:ascii="Arial" w:hAnsi="Arial"/>
        </w:rPr>
        <w:t>Por otra parte, el documento recoge que, con objeto de mejorar todos los procesos participativos, sería conveniente elaborar estadísticas desagregadas por sexo, que ayuden a configurar el panorama del mundo rural europeo y sirvan de orientación para la elaboración de las futuras políticas rurales en el seno de la Unión Europea y para asegurar el principio de igualdad de oportunidades entre mujeres y hombres en el medio rural.</w:t>
      </w:r>
    </w:p>
    <w:p w:rsidR="00000000" w:rsidRDefault="00000000">
      <w:pPr>
        <w:jc w:val="both"/>
        <w:rPr>
          <w:rFonts w:ascii="Arial" w:hAnsi="Arial"/>
        </w:rPr>
      </w:pPr>
    </w:p>
    <w:p w:rsidR="00000000" w:rsidRDefault="00000000">
      <w:pPr>
        <w:jc w:val="both"/>
        <w:rPr>
          <w:rFonts w:ascii="Arial" w:hAnsi="Arial"/>
        </w:rPr>
      </w:pPr>
      <w:r>
        <w:rPr>
          <w:rFonts w:ascii="Arial" w:hAnsi="Arial"/>
        </w:rPr>
        <w:t>Junto a este documento, el Consejo de Agricultura de 27 y 28 de mayo de 2002 adoptó un texto de conclusiones donde se recogen una serie de propuestas para solventar las dificultades que se plantean en esta materia, entre las que podemos destacar:</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Instar a los Gobiernos a que reconozcan en sus políticas de desarrollo rural la función de las mujeres para mejorar su nivel de vida, asegurar un empleo y los servicios básicos e impulsar la propia sociedad rural.</w:t>
      </w:r>
    </w:p>
    <w:p w:rsidR="00000000" w:rsidRDefault="00000000">
      <w:pPr>
        <w:numPr>
          <w:ilvl w:val="0"/>
          <w:numId w:val="75"/>
        </w:numPr>
        <w:tabs>
          <w:tab w:val="clear" w:pos="927"/>
        </w:tabs>
        <w:ind w:left="261" w:hanging="243"/>
        <w:jc w:val="both"/>
        <w:rPr>
          <w:rFonts w:ascii="Arial" w:hAnsi="Arial"/>
        </w:rPr>
      </w:pPr>
      <w:r>
        <w:rPr>
          <w:rFonts w:ascii="Arial" w:hAnsi="Arial"/>
        </w:rPr>
        <w:t xml:space="preserve">Animar a los Estados miembros a efectuar un diagnóstico sistemático y un análisis previo de las políticas, de la legislación, de las estrategias y de los proyectos de desarrollo, antes de su adopción, con el fin de velar por que no sean discriminatorios para las mujeres y que contribuyan a promover la igualdad de género.  </w:t>
      </w:r>
    </w:p>
    <w:p w:rsidR="00000000" w:rsidRDefault="00000000">
      <w:pPr>
        <w:numPr>
          <w:ilvl w:val="0"/>
          <w:numId w:val="75"/>
        </w:numPr>
        <w:tabs>
          <w:tab w:val="clear" w:pos="927"/>
        </w:tabs>
        <w:ind w:left="261" w:hanging="243"/>
        <w:jc w:val="both"/>
        <w:rPr>
          <w:rFonts w:ascii="Arial" w:hAnsi="Arial"/>
        </w:rPr>
      </w:pPr>
      <w:r>
        <w:rPr>
          <w:rFonts w:ascii="Arial" w:hAnsi="Arial"/>
        </w:rPr>
        <w:t>Mejorar los sistemas de información estadística desagregada por género, de forma que ayuden a configurar el panorama del mundo rural europeo y sirva de orientación para la elaboración de políticas en este sector.</w:t>
      </w:r>
    </w:p>
    <w:p w:rsidR="00000000" w:rsidRDefault="00000000">
      <w:pPr>
        <w:numPr>
          <w:ilvl w:val="0"/>
          <w:numId w:val="75"/>
        </w:numPr>
        <w:tabs>
          <w:tab w:val="clear" w:pos="927"/>
        </w:tabs>
        <w:ind w:left="261" w:hanging="243"/>
        <w:jc w:val="both"/>
        <w:rPr>
          <w:rFonts w:ascii="Arial" w:hAnsi="Arial"/>
        </w:rPr>
      </w:pPr>
      <w:r>
        <w:rPr>
          <w:rFonts w:ascii="Arial" w:hAnsi="Arial"/>
        </w:rPr>
        <w:t>Adoptar políticas que refuercen la capacidad económica de las mujeres empresarias en las zonas rurales y estimulen y apoyen a las organizaciones empresariales de mujeres, a las organizaciones no gubernamentales, a las cooperativas y a otras fórmulas asociativas agroalimentarias, y faciliten la creación de redes de colectivos de mujeres rurales.</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III. Mujer y medio ambiente.</w:t>
      </w:r>
    </w:p>
    <w:p w:rsidR="00000000" w:rsidRDefault="00000000">
      <w:pPr>
        <w:jc w:val="both"/>
        <w:rPr>
          <w:rFonts w:ascii="Arial" w:hAnsi="Arial"/>
          <w:b/>
        </w:rPr>
      </w:pPr>
    </w:p>
    <w:p w:rsidR="00000000" w:rsidRDefault="00000000">
      <w:pPr>
        <w:jc w:val="both"/>
        <w:rPr>
          <w:rFonts w:ascii="Arial" w:hAnsi="Arial"/>
        </w:rPr>
      </w:pPr>
      <w:r>
        <w:rPr>
          <w:rFonts w:ascii="Arial" w:hAnsi="Arial"/>
        </w:rPr>
        <w:t>El principal objetivo del III Plan para la Igualdad de Oportunidades entre Mujeres y Hombres en materia de medio ambiente es fomentar la participación activa de las mujeres en los programas de medio ambiente.  Por ello, las actuaciones comprendidas en este área  van dirigidas a ayudar a las mujeres a tomar la iniciativa en la promoción de una ética medioambiental que promueva el uso racional de los recursos y el consumo, y que utilice tecnologías y métodos de producción respetuosos con la naturaleza.</w:t>
      </w:r>
    </w:p>
    <w:p w:rsidR="00000000" w:rsidRDefault="00000000">
      <w:pPr>
        <w:jc w:val="both"/>
        <w:rPr>
          <w:rFonts w:ascii="Arial" w:hAnsi="Arial"/>
        </w:rPr>
      </w:pPr>
    </w:p>
    <w:p w:rsidR="00000000" w:rsidRDefault="00000000">
      <w:pPr>
        <w:jc w:val="both"/>
        <w:rPr>
          <w:rFonts w:ascii="Arial" w:hAnsi="Arial"/>
        </w:rPr>
      </w:pPr>
      <w:r>
        <w:rPr>
          <w:rFonts w:ascii="Arial" w:hAnsi="Arial"/>
        </w:rPr>
        <w:t>Las actuaciones previstas por el III PIOM para lograr la participación activa de las mujeres en los programas de medio ambiente son:</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Realizar campañas de difusión para que las mujeres, como consumidoras, tomen conciencia del impacto de los productos, tecnologías e industrias en la salud y el medio ambiente.</w:t>
      </w:r>
    </w:p>
    <w:p w:rsidR="00000000" w:rsidRDefault="00000000">
      <w:pPr>
        <w:numPr>
          <w:ilvl w:val="0"/>
          <w:numId w:val="75"/>
        </w:numPr>
        <w:tabs>
          <w:tab w:val="clear" w:pos="927"/>
        </w:tabs>
        <w:ind w:left="261" w:hanging="243"/>
        <w:jc w:val="both"/>
        <w:rPr>
          <w:rFonts w:ascii="Arial" w:hAnsi="Arial"/>
        </w:rPr>
      </w:pPr>
      <w:r>
        <w:rPr>
          <w:rFonts w:ascii="Arial" w:hAnsi="Arial"/>
        </w:rPr>
        <w:t>Promover la participación de las mujeres en la recuperación del entorno medioambiental, urbano y rural, impulsando el ejercicio de buenas prácticas.</w:t>
      </w:r>
    </w:p>
    <w:p w:rsidR="00000000" w:rsidRDefault="00000000">
      <w:pPr>
        <w:numPr>
          <w:ilvl w:val="0"/>
          <w:numId w:val="75"/>
        </w:numPr>
        <w:tabs>
          <w:tab w:val="clear" w:pos="927"/>
        </w:tabs>
        <w:ind w:left="261" w:hanging="243"/>
        <w:jc w:val="both"/>
        <w:rPr>
          <w:rFonts w:ascii="Arial" w:hAnsi="Arial"/>
        </w:rPr>
      </w:pPr>
      <w:r>
        <w:rPr>
          <w:rFonts w:ascii="Arial" w:hAnsi="Arial"/>
        </w:rPr>
        <w:t>Fomentar la realización de cursos de formación sobre nuevas tecnologías relacionadas con el medio ambiente.</w:t>
      </w:r>
    </w:p>
    <w:p w:rsidR="00000000" w:rsidRDefault="00000000">
      <w:pPr>
        <w:numPr>
          <w:ilvl w:val="0"/>
          <w:numId w:val="75"/>
        </w:numPr>
        <w:tabs>
          <w:tab w:val="clear" w:pos="927"/>
        </w:tabs>
        <w:ind w:left="261" w:hanging="243"/>
        <w:jc w:val="both"/>
        <w:rPr>
          <w:rFonts w:ascii="Arial" w:hAnsi="Arial"/>
        </w:rPr>
      </w:pPr>
      <w:r>
        <w:rPr>
          <w:rFonts w:ascii="Arial" w:hAnsi="Arial"/>
        </w:rPr>
        <w:t>Ofrecer asistencia técnica a las iniciativas empresariales de las mujeres, con el fin de fomentar la utilización de tecnologías y métodos de producción respetuosos con el medio ambiente.</w:t>
      </w:r>
    </w:p>
    <w:p w:rsidR="00000000" w:rsidRDefault="00000000">
      <w:pPr>
        <w:numPr>
          <w:ilvl w:val="0"/>
          <w:numId w:val="75"/>
        </w:numPr>
        <w:tabs>
          <w:tab w:val="clear" w:pos="927"/>
        </w:tabs>
        <w:ind w:left="261" w:hanging="243"/>
        <w:jc w:val="both"/>
        <w:rPr>
          <w:rFonts w:ascii="Arial" w:hAnsi="Arial"/>
        </w:rPr>
      </w:pPr>
      <w:r>
        <w:rPr>
          <w:rFonts w:ascii="Arial" w:hAnsi="Arial"/>
        </w:rPr>
        <w:t>Sensibilizar a las mujeres en el principio de conciliación del medio ambiente y el desarrollo sostenible.</w:t>
      </w:r>
    </w:p>
    <w:p w:rsidR="00000000" w:rsidRDefault="00000000">
      <w:pPr>
        <w:numPr>
          <w:ilvl w:val="0"/>
          <w:numId w:val="75"/>
        </w:numPr>
        <w:tabs>
          <w:tab w:val="clear" w:pos="927"/>
        </w:tabs>
        <w:ind w:left="261" w:hanging="243"/>
        <w:jc w:val="both"/>
        <w:rPr>
          <w:rFonts w:ascii="Arial" w:hAnsi="Arial"/>
        </w:rPr>
      </w:pPr>
      <w:r>
        <w:rPr>
          <w:rFonts w:ascii="Arial" w:hAnsi="Arial"/>
        </w:rPr>
        <w:t>Fomentar la participación de las mujeres en actividades relacionadas con el turismo ecológico, a través del autoempleo, cooperativas o la creación de empresas familiares.</w:t>
      </w:r>
    </w:p>
    <w:p w:rsidR="00000000" w:rsidRDefault="00000000">
      <w:pPr>
        <w:jc w:val="both"/>
        <w:rPr>
          <w:rFonts w:ascii="Arial" w:hAnsi="Arial"/>
        </w:rPr>
      </w:pPr>
    </w:p>
    <w:p w:rsidR="00000000" w:rsidRDefault="00000000">
      <w:pPr>
        <w:jc w:val="both"/>
        <w:rPr>
          <w:rFonts w:ascii="Arial" w:hAnsi="Arial"/>
        </w:rPr>
      </w:pPr>
      <w:r>
        <w:rPr>
          <w:rFonts w:ascii="Arial" w:hAnsi="Arial"/>
        </w:rPr>
        <w:t>Entre las actividades llevadas a cabo, cabe destacar la organización de cursos de Gestión medioambiental, dirigidos a incrementar la ocupabilidad de mujeres con titulación media o superior realizados por el Instituto de la Mujer en colaboración con los organismos de igualdad de las Comunidades Autónomas.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Ministerio de Ciencia y Tecnología</w:t>
      </w:r>
      <w:r>
        <w:rPr>
          <w:rFonts w:ascii="Arial" w:hAnsi="Arial"/>
        </w:rPr>
        <w:t xml:space="preserve">, ha llevado a cabo el Programa de “Recuperación del entorno natural”. Se trata de un </w:t>
      </w:r>
      <w:r>
        <w:rPr>
          <w:rFonts w:ascii="Arial" w:hAnsi="Arial"/>
          <w:b/>
        </w:rPr>
        <w:t>taller de empleo</w:t>
      </w:r>
      <w:r>
        <w:rPr>
          <w:rFonts w:ascii="Arial" w:hAnsi="Arial"/>
        </w:rPr>
        <w:t xml:space="preserve"> dirigido especialmente a potenciar, mejorar  favorecer la integración de la mujer en el mercado laboral.</w:t>
      </w:r>
    </w:p>
    <w:p w:rsidR="00000000" w:rsidRDefault="00000000">
      <w:pPr>
        <w:jc w:val="both"/>
        <w:rPr>
          <w:rFonts w:ascii="Arial" w:hAnsi="Arial"/>
        </w:rPr>
      </w:pPr>
    </w:p>
    <w:p w:rsidR="00000000" w:rsidRDefault="00000000">
      <w:pPr>
        <w:jc w:val="both"/>
        <w:rPr>
          <w:rFonts w:ascii="Arial" w:hAnsi="Arial"/>
        </w:rPr>
      </w:pPr>
      <w:r>
        <w:rPr>
          <w:rFonts w:ascii="Arial" w:hAnsi="Arial"/>
        </w:rPr>
        <w:t>En relación con esta materia se han subvencionado los siguientes programas:</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i/>
        </w:rPr>
        <w:t xml:space="preserve">Participación de mujeres en sensibilización y conciliación del medio ambiente y desarrollo sostenible, </w:t>
      </w:r>
      <w:r>
        <w:rPr>
          <w:rFonts w:ascii="Arial" w:hAnsi="Arial"/>
        </w:rPr>
        <w:t>de Asociación de Familias y Mujeres del Medio Rural, dirigido a 116 mujeres</w:t>
      </w:r>
    </w:p>
    <w:p w:rsidR="00000000" w:rsidRDefault="00000000">
      <w:pPr>
        <w:numPr>
          <w:ilvl w:val="0"/>
          <w:numId w:val="75"/>
        </w:numPr>
        <w:tabs>
          <w:tab w:val="clear" w:pos="927"/>
        </w:tabs>
        <w:ind w:left="261" w:hanging="243"/>
        <w:jc w:val="both"/>
        <w:rPr>
          <w:rFonts w:ascii="Arial" w:hAnsi="Arial"/>
        </w:rPr>
      </w:pPr>
      <w:r>
        <w:rPr>
          <w:rFonts w:ascii="Arial" w:hAnsi="Arial"/>
          <w:i/>
        </w:rPr>
        <w:t>Educación medioambiental y turismo sostenible. Programa de sensibilización y conciliación de medio ambiente y desarrollo sostenible,</w:t>
      </w:r>
      <w:r>
        <w:rPr>
          <w:rFonts w:ascii="Arial" w:hAnsi="Arial"/>
        </w:rPr>
        <w:t xml:space="preserve"> de la entidad Cooperación Internacional dirigido a 20 mujeres jóvenes. </w:t>
      </w:r>
    </w:p>
    <w:p w:rsidR="00000000" w:rsidRDefault="00000000">
      <w:pPr>
        <w:numPr>
          <w:ilvl w:val="0"/>
          <w:numId w:val="75"/>
        </w:numPr>
        <w:tabs>
          <w:tab w:val="clear" w:pos="927"/>
        </w:tabs>
        <w:ind w:left="261" w:hanging="243"/>
        <w:jc w:val="both"/>
        <w:rPr>
          <w:rFonts w:ascii="Arial" w:hAnsi="Arial"/>
        </w:rPr>
      </w:pPr>
      <w:r>
        <w:rPr>
          <w:rFonts w:ascii="Arial" w:hAnsi="Arial"/>
          <w:i/>
        </w:rPr>
        <w:t xml:space="preserve">Feminismo y ecología. </w:t>
      </w:r>
      <w:r>
        <w:rPr>
          <w:rFonts w:ascii="Arial" w:hAnsi="Arial"/>
        </w:rPr>
        <w:t>Programa dirigido a la concienciación de mujeres sobre la protección del medio ambiente y al análisis de la política ecofeminista.</w:t>
      </w:r>
    </w:p>
    <w:p w:rsidR="00000000" w:rsidRDefault="00000000">
      <w:pPr>
        <w:numPr>
          <w:ilvl w:val="0"/>
          <w:numId w:val="75"/>
        </w:numPr>
        <w:tabs>
          <w:tab w:val="clear" w:pos="927"/>
        </w:tabs>
        <w:ind w:left="261" w:hanging="243"/>
        <w:jc w:val="both"/>
        <w:rPr>
          <w:rFonts w:ascii="Arial" w:hAnsi="Arial"/>
        </w:rPr>
      </w:pPr>
      <w:r>
        <w:rPr>
          <w:rFonts w:ascii="Arial" w:hAnsi="Arial"/>
          <w:i/>
        </w:rPr>
        <w:t>Simposio internacional sobre feminismo y ecología.</w:t>
      </w:r>
      <w:r>
        <w:rPr>
          <w:rFonts w:ascii="Arial" w:hAnsi="Arial"/>
        </w:rPr>
        <w:t xml:space="preserve">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otra parte, el 10 de Mayo de 1999, el Ministerio de Medio Ambiente y el de Trabajo y Asuntos Sociales firmaron un </w:t>
      </w:r>
      <w:r>
        <w:rPr>
          <w:rFonts w:ascii="Arial" w:hAnsi="Arial"/>
          <w:b/>
        </w:rPr>
        <w:t>Convenio de colaboración</w:t>
      </w:r>
      <w:r>
        <w:rPr>
          <w:rFonts w:ascii="Arial" w:hAnsi="Arial"/>
        </w:rPr>
        <w:t xml:space="preserve"> para el desarrollo de actuaciones destinadas a favorecer la igualdad de oportunidades entre hombres y mujeres en el sector medioambiental.  El Convenio marco intenta promover:</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La sensibilización social sobre la aportación de las mujeres en las tareas medioambientales.</w:t>
      </w:r>
    </w:p>
    <w:p w:rsidR="00000000" w:rsidRDefault="00000000">
      <w:pPr>
        <w:numPr>
          <w:ilvl w:val="0"/>
          <w:numId w:val="75"/>
        </w:numPr>
        <w:tabs>
          <w:tab w:val="clear" w:pos="927"/>
        </w:tabs>
        <w:ind w:left="261" w:hanging="243"/>
        <w:jc w:val="both"/>
        <w:rPr>
          <w:rFonts w:ascii="Arial" w:hAnsi="Arial"/>
        </w:rPr>
      </w:pPr>
      <w:r>
        <w:rPr>
          <w:rFonts w:ascii="Arial" w:hAnsi="Arial"/>
        </w:rPr>
        <w:t>La formación de mujeres en profesiones y oficios propios del sector medioambiental.</w:t>
      </w:r>
    </w:p>
    <w:p w:rsidR="00000000" w:rsidRDefault="00000000">
      <w:pPr>
        <w:numPr>
          <w:ilvl w:val="0"/>
          <w:numId w:val="75"/>
        </w:numPr>
        <w:tabs>
          <w:tab w:val="clear" w:pos="927"/>
        </w:tabs>
        <w:ind w:left="261" w:hanging="243"/>
        <w:jc w:val="both"/>
        <w:rPr>
          <w:rFonts w:ascii="Arial" w:hAnsi="Arial"/>
        </w:rPr>
      </w:pPr>
      <w:r>
        <w:rPr>
          <w:rFonts w:ascii="Arial" w:hAnsi="Arial"/>
        </w:rPr>
        <w:t>La realización de estudios y análisis de estadísticas que permitan conocer la situación de la mujer en el entorno sociolaboral vinculado al medio ambiente.</w:t>
      </w:r>
    </w:p>
    <w:p w:rsidR="00000000" w:rsidRDefault="00000000">
      <w:pPr>
        <w:numPr>
          <w:ilvl w:val="0"/>
          <w:numId w:val="75"/>
        </w:numPr>
        <w:tabs>
          <w:tab w:val="clear" w:pos="927"/>
        </w:tabs>
        <w:ind w:left="261" w:hanging="243"/>
        <w:jc w:val="both"/>
        <w:rPr>
          <w:rFonts w:ascii="Arial" w:hAnsi="Arial"/>
        </w:rPr>
      </w:pPr>
      <w:r>
        <w:rPr>
          <w:rFonts w:ascii="Arial" w:hAnsi="Arial"/>
        </w:rPr>
        <w:t>El intercambio de información y asesoramiento técnico entre el Ministerio de Medio Ambiente y el Instituto de la Mujer, cuando se decidan emprender acciones positivas que promuevan la igualdad de oportunidades.</w:t>
      </w:r>
    </w:p>
    <w:p w:rsidR="00000000" w:rsidRDefault="00000000">
      <w:pPr>
        <w:numPr>
          <w:ilvl w:val="0"/>
          <w:numId w:val="75"/>
        </w:numPr>
        <w:tabs>
          <w:tab w:val="clear" w:pos="927"/>
        </w:tabs>
        <w:ind w:left="261" w:hanging="243"/>
        <w:jc w:val="both"/>
        <w:rPr>
          <w:rFonts w:ascii="Arial" w:hAnsi="Arial"/>
        </w:rPr>
      </w:pPr>
      <w:r>
        <w:rPr>
          <w:rFonts w:ascii="Arial" w:hAnsi="Arial"/>
        </w:rPr>
        <w:t>Colaborar en la edición de materiales de divulgación e información.</w:t>
      </w:r>
    </w:p>
    <w:p w:rsidR="00000000" w:rsidRDefault="00000000">
      <w:pPr>
        <w:numPr>
          <w:ilvl w:val="0"/>
          <w:numId w:val="75"/>
        </w:numPr>
        <w:tabs>
          <w:tab w:val="clear" w:pos="927"/>
        </w:tabs>
        <w:ind w:left="261" w:hanging="243"/>
        <w:jc w:val="both"/>
        <w:rPr>
          <w:rFonts w:ascii="Arial" w:hAnsi="Arial"/>
        </w:rPr>
      </w:pPr>
      <w:r>
        <w:rPr>
          <w:rFonts w:ascii="Arial" w:hAnsi="Arial"/>
        </w:rPr>
        <w:t>Promover la igualdad de oportunidades en las políticas medioambientales.</w:t>
      </w:r>
    </w:p>
    <w:p w:rsidR="00000000" w:rsidRDefault="00000000">
      <w:pPr>
        <w:jc w:val="both"/>
        <w:rPr>
          <w:rFonts w:ascii="Arial" w:hAnsi="Arial"/>
        </w:rPr>
      </w:pPr>
    </w:p>
    <w:p w:rsidR="00000000" w:rsidRDefault="00000000">
      <w:pPr>
        <w:jc w:val="both"/>
        <w:rPr>
          <w:rFonts w:ascii="Arial" w:hAnsi="Arial"/>
          <w:b/>
        </w:rPr>
      </w:pPr>
      <w:r>
        <w:rPr>
          <w:rFonts w:ascii="Arial" w:hAnsi="Arial"/>
        </w:rPr>
        <w:t xml:space="preserve">Dentro del Programa Operativo del Ministerio de Medio Ambiente, </w:t>
      </w:r>
      <w:r>
        <w:rPr>
          <w:rFonts w:ascii="Arial" w:hAnsi="Arial"/>
          <w:i/>
        </w:rPr>
        <w:t xml:space="preserve"> Iniciativa Empresarial y Formación continua, para el período 2000 – 2005, </w:t>
      </w:r>
      <w:r>
        <w:rPr>
          <w:rFonts w:ascii="Arial" w:hAnsi="Arial"/>
        </w:rPr>
        <w:t xml:space="preserve">en colaboración con el Fondo Social Europeo, cabe señalar como estrategia transversal presente en todas las actuaciones  que en materia de Formación Ambiental se emprendan, el </w:t>
      </w:r>
      <w:r>
        <w:rPr>
          <w:rFonts w:ascii="Arial" w:hAnsi="Arial"/>
          <w:b/>
        </w:rPr>
        <w:t xml:space="preserve">principio de igualdad de oportunidades en el mercado laboral ambiental. </w:t>
      </w:r>
    </w:p>
    <w:p w:rsidR="00000000" w:rsidRDefault="00000000">
      <w:pPr>
        <w:jc w:val="both"/>
        <w:rPr>
          <w:rFonts w:ascii="Arial" w:hAnsi="Arial"/>
          <w:b/>
        </w:rPr>
      </w:pPr>
    </w:p>
    <w:p w:rsidR="00000000" w:rsidRDefault="00000000">
      <w:pPr>
        <w:jc w:val="both"/>
        <w:rPr>
          <w:rFonts w:ascii="Arial" w:hAnsi="Arial"/>
        </w:rPr>
      </w:pPr>
      <w:r>
        <w:rPr>
          <w:rFonts w:ascii="Arial" w:hAnsi="Arial"/>
        </w:rPr>
        <w:t>Asimismo, en la Orden 1089/2002, de 26 de abril, por la que se regula la concesión por el Organismo Autónomo Parques Nacionales de ayudas para la asistencia a cursos y actividades de formación ambiental, entre los criterios de valoración a tener en cuenta para la adjudicación se establece la condición femenina de las personas participantes.</w:t>
      </w:r>
    </w:p>
    <w:p w:rsidR="00000000" w:rsidRDefault="00000000">
      <w:pPr>
        <w:jc w:val="both"/>
        <w:rPr>
          <w:rFonts w:ascii="Arial" w:hAnsi="Arial"/>
        </w:rPr>
      </w:pPr>
    </w:p>
    <w:p w:rsidR="00000000" w:rsidRDefault="00000000">
      <w:pPr>
        <w:jc w:val="both"/>
        <w:rPr>
          <w:rFonts w:ascii="Arial" w:hAnsi="Arial"/>
        </w:rPr>
      </w:pPr>
      <w:r>
        <w:rPr>
          <w:rFonts w:ascii="Arial" w:hAnsi="Arial"/>
        </w:rPr>
        <w:t>Igualmente, en la convocatoria de ayudas para participar en el Programa de Formación Ambiental 2002, del Organismo Autónomo Parques Nacionales y la Fundación Biodiversidad, dentro de los criterios establecidos en la selección de participantes figura, entre otros, la concesión de dos puntos adicionales a las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Encuadrado dentro del </w:t>
      </w:r>
      <w:r>
        <w:rPr>
          <w:rFonts w:ascii="Arial" w:hAnsi="Arial"/>
          <w:b/>
        </w:rPr>
        <w:t xml:space="preserve">Acuerdo Marco de Cooperación entre el Ministerio de Economía y Hacienda y el Ministerio de Medio Ambiente </w:t>
      </w:r>
      <w:r>
        <w:rPr>
          <w:rFonts w:ascii="Arial" w:hAnsi="Arial"/>
        </w:rPr>
        <w:t>para la realización de un programa de turismo sostenible, la Fundación Biodiversidad suscribe un Convenio de Colaboración con la Secretaría de Estado de Comercio, Turismo y PYMES, para la puesta en funcionamiento y desarrollo del proyecto “</w:t>
      </w:r>
      <w:r>
        <w:rPr>
          <w:rFonts w:ascii="Arial" w:hAnsi="Arial"/>
          <w:b/>
        </w:rPr>
        <w:t>Mujer y Medio Ambiente: Nuevos Yacimientos de Empleo</w:t>
      </w:r>
      <w:r>
        <w:rPr>
          <w:rFonts w:ascii="Arial" w:hAnsi="Arial"/>
        </w:rPr>
        <w:t>”.</w:t>
      </w:r>
    </w:p>
    <w:p w:rsidR="00000000" w:rsidRDefault="00000000">
      <w:pPr>
        <w:jc w:val="both"/>
        <w:rPr>
          <w:rFonts w:ascii="Arial" w:hAnsi="Arial"/>
        </w:rPr>
      </w:pPr>
    </w:p>
    <w:p w:rsidR="00000000" w:rsidRDefault="00000000">
      <w:pPr>
        <w:jc w:val="both"/>
        <w:rPr>
          <w:rFonts w:ascii="Arial" w:hAnsi="Arial"/>
          <w:b/>
        </w:rPr>
      </w:pPr>
      <w:r>
        <w:rPr>
          <w:rFonts w:ascii="Arial" w:hAnsi="Arial"/>
        </w:rPr>
        <w:t xml:space="preserve">El objetivo de dicho convenio es la realización de un trabajo que une la problemática de inserción laboral de la mujer a las nuevas oportunidades de empleo que puede generar el sector turístico, en zonas de influencia de Espacios de Naturaleza, con independencia de que cuenten o no con figuras de protección legal. El trabajo tiene por objetivo detectar Nuevos Yacimientos de Empleo para la mujer en los espacios y su área de influencia, donde se dé una gran dificultad de acceso al empleo para la mujer.  </w:t>
      </w:r>
    </w:p>
    <w:p w:rsidR="00000000" w:rsidRDefault="00000000">
      <w:pPr>
        <w:jc w:val="both"/>
        <w:rPr>
          <w:rFonts w:ascii="Arial" w:hAnsi="Arial"/>
        </w:rPr>
      </w:pPr>
    </w:p>
    <w:p w:rsidR="00000000" w:rsidRDefault="00000000">
      <w:pPr>
        <w:jc w:val="both"/>
        <w:rPr>
          <w:rFonts w:ascii="Arial" w:hAnsi="Arial"/>
        </w:rPr>
      </w:pPr>
      <w:r>
        <w:rPr>
          <w:rFonts w:ascii="Arial" w:hAnsi="Arial"/>
        </w:rPr>
        <w:t>La Presidencia española de la Unión Europea durante el primer semestre de 2002 decidió incorporar la perspectiva de la igualdad de oportunidades entre hombres y mujeres en el Consejo de Medio Ambiente.</w:t>
      </w:r>
    </w:p>
    <w:p w:rsidR="00000000" w:rsidRDefault="00000000">
      <w:pPr>
        <w:jc w:val="both"/>
        <w:rPr>
          <w:rFonts w:ascii="Arial" w:hAnsi="Arial"/>
        </w:rPr>
      </w:pPr>
    </w:p>
    <w:p w:rsidR="00000000" w:rsidRDefault="00000000">
      <w:pPr>
        <w:jc w:val="both"/>
        <w:rPr>
          <w:rFonts w:ascii="Arial" w:hAnsi="Arial"/>
        </w:rPr>
      </w:pPr>
      <w:r>
        <w:rPr>
          <w:rFonts w:ascii="Arial" w:hAnsi="Arial"/>
        </w:rPr>
        <w:t>Una de las actividades realizadas para el efectivo desarrollo de esta incorporación de la perspectiva de género fue la celebración de un Seminario sobre “Políticas Medioambientales Europeas y Mujer” que tuvo lugar en Valsaín (Segovia) el día 13 de Febrero de 2002.</w:t>
      </w:r>
    </w:p>
    <w:p w:rsidR="00000000" w:rsidRDefault="00000000">
      <w:pPr>
        <w:jc w:val="both"/>
        <w:rPr>
          <w:rFonts w:ascii="Arial" w:hAnsi="Arial"/>
        </w:rPr>
      </w:pPr>
    </w:p>
    <w:p w:rsidR="00000000" w:rsidRDefault="00000000">
      <w:pPr>
        <w:jc w:val="both"/>
        <w:rPr>
          <w:rFonts w:ascii="Arial" w:hAnsi="Arial"/>
        </w:rPr>
      </w:pPr>
      <w:r>
        <w:rPr>
          <w:rFonts w:ascii="Arial" w:hAnsi="Arial"/>
        </w:rPr>
        <w:t>A este seminario asistieron representantes de los Estados miembros de la Unión Europea relacionados con la materia, que debatieron acerca de los temas propuestos en un documento elaborado por la Presidencia.  En dicho documento se recogieron las siguientes cuestiones para la discusión:</w:t>
      </w:r>
    </w:p>
    <w:p w:rsidR="00000000" w:rsidRDefault="00000000">
      <w:pPr>
        <w:jc w:val="both"/>
        <w:rPr>
          <w:rFonts w:ascii="Arial" w:hAnsi="Arial"/>
        </w:rPr>
      </w:pPr>
    </w:p>
    <w:p w:rsidR="00000000" w:rsidRDefault="00000000">
      <w:pPr>
        <w:jc w:val="both"/>
        <w:rPr>
          <w:rFonts w:ascii="Arial" w:hAnsi="Arial"/>
        </w:rPr>
      </w:pPr>
      <w:r>
        <w:rPr>
          <w:rFonts w:ascii="Arial" w:hAnsi="Arial"/>
        </w:rPr>
        <w:t>Por una parte, la necesidad de profundizar en la investigación sobre medio ambiente y género en la que las líneas de trabajo prioritarias se centrarían en la identificación de los agentes, las dificultades y las resistencias al cambio, con el objetivo de detectar los posibles efectos indeseados de las medidas que se tomen y las oportunidades de mejora y promoción para las personas implicadas.</w:t>
      </w:r>
    </w:p>
    <w:p w:rsidR="00000000" w:rsidRDefault="00000000">
      <w:pPr>
        <w:jc w:val="both"/>
        <w:rPr>
          <w:rFonts w:ascii="Arial" w:hAnsi="Arial"/>
        </w:rPr>
      </w:pPr>
    </w:p>
    <w:p w:rsidR="00000000" w:rsidRDefault="00000000">
      <w:pPr>
        <w:jc w:val="both"/>
        <w:rPr>
          <w:rFonts w:ascii="Arial" w:hAnsi="Arial"/>
        </w:rPr>
      </w:pPr>
      <w:r>
        <w:rPr>
          <w:rFonts w:ascii="Arial" w:hAnsi="Arial"/>
        </w:rPr>
        <w:t>Por otro lado, la necesidad de proponer medidas y acciones concretas para integrar la perspectiva de género en las políticas ambientales, a través de la participación de las mujeres, la comunicación y coordinación de todos los organismos e instituciones implicados y la propuesta de establecer instrumentos de evaluación que permitan conocer la repercusión diferenciada de las medidas que se adopten.</w:t>
      </w:r>
    </w:p>
    <w:p w:rsidR="00000000" w:rsidRDefault="00000000">
      <w:pPr>
        <w:jc w:val="both"/>
        <w:rPr>
          <w:rFonts w:ascii="Arial" w:hAnsi="Arial"/>
        </w:rPr>
      </w:pPr>
    </w:p>
    <w:p w:rsidR="00000000" w:rsidRDefault="00000000">
      <w:pPr>
        <w:jc w:val="both"/>
        <w:rPr>
          <w:rFonts w:ascii="Arial" w:hAnsi="Arial"/>
        </w:rPr>
      </w:pPr>
      <w:r>
        <w:rPr>
          <w:rFonts w:ascii="Arial" w:hAnsi="Arial"/>
        </w:rPr>
        <w:t>Por último, la necesidad de establecer programas de formación que faciliten la equidad entre las mujeres y los hombres mediante acciones formativas específicas para las mujeres que amplíen sus oportunidades sociales, así como la conveniencia de revisar los planes de formación ambiental en general para que incorporen la perspectiva de género, tanto en sus contenidos como en sus condiciones de desarrollo.</w:t>
      </w:r>
    </w:p>
    <w:p w:rsidR="00000000" w:rsidRDefault="00000000">
      <w:pPr>
        <w:jc w:val="both"/>
        <w:rPr>
          <w:rFonts w:ascii="Arial" w:hAnsi="Arial"/>
        </w:rPr>
      </w:pPr>
    </w:p>
    <w:p w:rsidR="00000000" w:rsidRDefault="00000000">
      <w:pPr>
        <w:jc w:val="both"/>
        <w:rPr>
          <w:rFonts w:ascii="Arial" w:hAnsi="Arial"/>
        </w:rPr>
      </w:pPr>
      <w:r>
        <w:rPr>
          <w:rFonts w:ascii="Arial" w:hAnsi="Arial"/>
        </w:rPr>
        <w:t>Las principales propuestas y resultados del seminario se incorporaron a un documento elaborado por el Ministerio de Medio Ambiente, en el que se ha valorado la necesidad de incorporar la perspectiva de género en materia de medio ambiente a través del desarrollo de programas, instrumentos y metodologías, de la creación de un grupo de trabajo “ad hoc” y de redes de mujeres profesionales.  También se destacó la necesidad de recoger datos e indicadores desagregados por sexo y de fomentar la formación y la cualificación de las mujeres al considerar el sector ambiental como importante yacimiento de empleo.</w:t>
      </w:r>
    </w:p>
    <w:p w:rsidR="00000000" w:rsidRDefault="00000000">
      <w:pPr>
        <w:jc w:val="both"/>
        <w:rPr>
          <w:rFonts w:ascii="Arial" w:hAnsi="Arial"/>
        </w:rPr>
      </w:pPr>
    </w:p>
    <w:p w:rsidR="00000000" w:rsidRDefault="00000000">
      <w:pPr>
        <w:jc w:val="both"/>
        <w:rPr>
          <w:rFonts w:ascii="Arial" w:hAnsi="Arial"/>
        </w:rPr>
      </w:pPr>
      <w:r>
        <w:rPr>
          <w:rFonts w:ascii="Arial" w:hAnsi="Arial"/>
        </w:rPr>
        <w:t>Este documento se presentó en el Consejo de Medio Ambiente de la Unión Europea de 4 de diciembre de 2002.</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Parte IV</w:t>
      </w:r>
    </w:p>
    <w:p w:rsidR="00000000" w:rsidRDefault="00000000">
      <w:pPr>
        <w:jc w:val="both"/>
        <w:rPr>
          <w:rFonts w:ascii="Arial" w:hAnsi="Arial"/>
          <w:b/>
        </w:rPr>
      </w:pPr>
    </w:p>
    <w:p w:rsidR="00000000" w:rsidRDefault="00000000">
      <w:pPr>
        <w:jc w:val="both"/>
        <w:rPr>
          <w:rFonts w:ascii="Arial" w:hAnsi="Arial"/>
          <w:b/>
        </w:rPr>
      </w:pPr>
      <w:r>
        <w:rPr>
          <w:rFonts w:ascii="Arial" w:hAnsi="Arial"/>
          <w:b/>
        </w:rPr>
        <w:t>Artículo 15 y 16: Igualdad en el derecho civil</w:t>
      </w:r>
    </w:p>
    <w:p w:rsidR="00000000" w:rsidRDefault="00000000">
      <w:pPr>
        <w:jc w:val="both"/>
        <w:rPr>
          <w:rFonts w:ascii="Arial" w:hAnsi="Arial"/>
        </w:rPr>
      </w:pPr>
    </w:p>
    <w:p w:rsidR="00000000" w:rsidRDefault="00000000">
      <w:pPr>
        <w:jc w:val="both"/>
        <w:rPr>
          <w:rFonts w:ascii="Arial" w:hAnsi="Arial"/>
        </w:rPr>
      </w:pPr>
      <w:r>
        <w:rPr>
          <w:rFonts w:ascii="Arial" w:hAnsi="Arial"/>
        </w:rPr>
        <w:t>En materia de derecho civil se han producido modificaciones importantes entre las que cabe destacar la Ley 1/2000, de 7 de enero, de Enjuiciamiento Civil que ha modificado los procedimientos de las causas civiles.</w:t>
      </w:r>
    </w:p>
    <w:p w:rsidR="00000000" w:rsidRDefault="00000000">
      <w:pPr>
        <w:jc w:val="both"/>
        <w:rPr>
          <w:rFonts w:ascii="Arial" w:hAnsi="Arial"/>
        </w:rPr>
      </w:pPr>
    </w:p>
    <w:p w:rsidR="00000000" w:rsidRDefault="00000000">
      <w:pPr>
        <w:jc w:val="both"/>
        <w:rPr>
          <w:rFonts w:ascii="Arial" w:hAnsi="Arial"/>
        </w:rPr>
      </w:pPr>
      <w:r>
        <w:rPr>
          <w:rFonts w:ascii="Arial" w:hAnsi="Arial"/>
        </w:rPr>
        <w:t>A través de la Disposición Derogatoria Única de esta Ley, se derogan distintos artículos del Código Civil, así como las Disposiciones Adicionales 1ª a 9ª, referentes a los procedimientos de nulidad, separación y divorcio, de la Ley 30/1981, de 7 julio, por la que se modifica la regulación del matrimonio en el Código Civil y se determina el procedimiento a seguir en las causas de nulidad, separación y divorcio.</w:t>
      </w:r>
    </w:p>
    <w:p w:rsidR="00000000" w:rsidRDefault="00000000">
      <w:pPr>
        <w:jc w:val="both"/>
        <w:rPr>
          <w:rFonts w:ascii="Arial" w:hAnsi="Arial"/>
        </w:rPr>
      </w:pPr>
    </w:p>
    <w:p w:rsidR="00000000" w:rsidRDefault="00000000">
      <w:pPr>
        <w:jc w:val="both"/>
        <w:rPr>
          <w:rFonts w:ascii="Arial" w:hAnsi="Arial"/>
        </w:rPr>
      </w:pPr>
      <w:r>
        <w:rPr>
          <w:rFonts w:ascii="Arial" w:hAnsi="Arial"/>
        </w:rPr>
        <w:t>Así, han sido derogados artículos, referentes a las disposiciones generales de las acciones y reclamaciones de filiación quedando el procedimiento regulado en la nueva Ley de Enjuiciamiento Civil, Libro IV, Título I, Capítulo III De los Procesos sobre filiación, paternidad y maternidad, evitando, de esta manera, la dispersión de normas de carácter procesal.</w:t>
      </w:r>
    </w:p>
    <w:p w:rsidR="00000000" w:rsidRDefault="00000000">
      <w:pPr>
        <w:jc w:val="both"/>
        <w:rPr>
          <w:rFonts w:ascii="Arial" w:hAnsi="Arial"/>
        </w:rPr>
      </w:pPr>
    </w:p>
    <w:p w:rsidR="00000000" w:rsidRDefault="00000000">
      <w:pPr>
        <w:jc w:val="both"/>
        <w:rPr>
          <w:rFonts w:ascii="Arial" w:hAnsi="Arial"/>
        </w:rPr>
      </w:pPr>
      <w:r>
        <w:rPr>
          <w:rFonts w:ascii="Arial" w:hAnsi="Arial"/>
        </w:rPr>
        <w:t>Del mismo modo, los procedimientos de nulidad, separación y divorcio, quedan regulados exclusivamente en la Ley de Enjuiciamiento Civil, Libro IV, Título I, Capítulo IV De los procesos matrimoniales y de menores.</w:t>
      </w:r>
    </w:p>
    <w:p w:rsidR="00000000" w:rsidRDefault="00000000">
      <w:pPr>
        <w:jc w:val="both"/>
        <w:rPr>
          <w:rFonts w:ascii="Arial" w:hAnsi="Arial"/>
        </w:rPr>
      </w:pPr>
      <w:r>
        <w:rPr>
          <w:rFonts w:ascii="Arial" w:hAnsi="Arial"/>
        </w:rPr>
        <w:t>Esta nueva regulación ha seguido manteniendo el sistema anterior. Cabe resaltar que no hay posibilidad de recurso ante el auto por el que se acuerdan las medidas provisionales, ya sean éstas solicitadas con anterioridad a la demanda, o en el cuerpo de la misma y también carece de recurso el auto de confirmación o modificación de las mencionadas medidas.</w:t>
      </w:r>
    </w:p>
    <w:p w:rsidR="00000000" w:rsidRDefault="00000000">
      <w:pPr>
        <w:jc w:val="both"/>
        <w:rPr>
          <w:rFonts w:ascii="Arial" w:hAnsi="Arial"/>
        </w:rPr>
      </w:pPr>
    </w:p>
    <w:p w:rsidR="00000000" w:rsidRDefault="00000000">
      <w:pPr>
        <w:jc w:val="both"/>
        <w:rPr>
          <w:rFonts w:ascii="Arial" w:hAnsi="Arial"/>
        </w:rPr>
      </w:pPr>
      <w:r>
        <w:rPr>
          <w:rFonts w:ascii="Arial" w:hAnsi="Arial"/>
        </w:rPr>
        <w:t>Tampoco cabe recurso contra el auto de medidas cautelares en los procedimientos sobre guarda y custodia, o sobre alimentos de los hijos menores.</w:t>
      </w:r>
    </w:p>
    <w:p w:rsidR="00000000" w:rsidRDefault="00000000">
      <w:pPr>
        <w:jc w:val="both"/>
        <w:rPr>
          <w:rFonts w:ascii="Arial" w:hAnsi="Arial"/>
        </w:rPr>
      </w:pPr>
    </w:p>
    <w:p w:rsidR="00000000" w:rsidRDefault="00000000">
      <w:pPr>
        <w:jc w:val="both"/>
        <w:rPr>
          <w:rFonts w:ascii="Arial" w:hAnsi="Arial"/>
        </w:rPr>
      </w:pPr>
      <w:r>
        <w:rPr>
          <w:rFonts w:ascii="Arial" w:hAnsi="Arial"/>
        </w:rPr>
        <w:t>Se mantiene la separación y el divorcio de mutuo acuerdo prácticamente igual. Por otra parte, se establece un único proceso para tramitar la separación, el divorcio y la nulidad de matrimonio, lo que ya existía para la separación y el divorcio, pero no para la nulidad dependiendo de la causa en la que se fundase.</w:t>
      </w:r>
    </w:p>
    <w:p w:rsidR="00000000" w:rsidRDefault="00000000">
      <w:pPr>
        <w:jc w:val="both"/>
        <w:rPr>
          <w:rFonts w:ascii="Arial" w:hAnsi="Arial"/>
        </w:rPr>
      </w:pPr>
    </w:p>
    <w:p w:rsidR="00000000" w:rsidRDefault="00000000">
      <w:pPr>
        <w:jc w:val="both"/>
        <w:rPr>
          <w:rFonts w:ascii="Arial" w:hAnsi="Arial"/>
        </w:rPr>
      </w:pPr>
      <w:r>
        <w:rPr>
          <w:rFonts w:ascii="Arial" w:hAnsi="Arial"/>
        </w:rPr>
        <w:t>Se recoge la posibilidad de establecer el inventario de los bienes del matrimonio en pieza separada, paralelamente al procedimiento de separación, nulidad o divorcio.</w:t>
      </w:r>
    </w:p>
    <w:p w:rsidR="00000000" w:rsidRDefault="00000000">
      <w:pPr>
        <w:jc w:val="both"/>
        <w:rPr>
          <w:rFonts w:ascii="Arial" w:hAnsi="Arial"/>
        </w:rPr>
      </w:pPr>
    </w:p>
    <w:p w:rsidR="00000000" w:rsidRDefault="00000000">
      <w:pPr>
        <w:jc w:val="both"/>
        <w:rPr>
          <w:rFonts w:ascii="Arial" w:hAnsi="Arial"/>
        </w:rPr>
      </w:pPr>
      <w:r>
        <w:rPr>
          <w:rFonts w:ascii="Arial" w:hAnsi="Arial"/>
        </w:rPr>
        <w:t>Se introduce el principio de dar eficacia y ejecutoriedad a la última resolución que se dicte, de ahí la ejecución provisional y el admitir la apelación de sólo una parte de la sentencia.</w:t>
      </w:r>
    </w:p>
    <w:p w:rsidR="00000000" w:rsidRDefault="00000000">
      <w:pPr>
        <w:jc w:val="both"/>
        <w:rPr>
          <w:rFonts w:ascii="Arial" w:hAnsi="Arial"/>
        </w:rPr>
      </w:pPr>
    </w:p>
    <w:p w:rsidR="00000000" w:rsidRDefault="00000000">
      <w:pPr>
        <w:jc w:val="both"/>
        <w:rPr>
          <w:rFonts w:ascii="Arial" w:hAnsi="Arial"/>
        </w:rPr>
      </w:pPr>
      <w:r>
        <w:rPr>
          <w:rFonts w:ascii="Arial" w:hAnsi="Arial"/>
        </w:rPr>
        <w:t>Por último, se produce una importante modificación en el proceso para el reconocimiento de las resoluciones canónicas. En estos casos, la oposición, ni siquiera motivada, por sí sola, no es enervante de la eficacia civil y se introduce la posibilidad de pedir medidas.</w:t>
      </w:r>
    </w:p>
    <w:p w:rsidR="00000000" w:rsidRDefault="00000000">
      <w:pPr>
        <w:jc w:val="both"/>
        <w:rPr>
          <w:rFonts w:ascii="Arial" w:hAnsi="Arial"/>
        </w:rPr>
      </w:pPr>
    </w:p>
    <w:p w:rsidR="00000000" w:rsidRDefault="00000000">
      <w:pPr>
        <w:jc w:val="both"/>
        <w:rPr>
          <w:rFonts w:ascii="Arial" w:hAnsi="Arial"/>
        </w:rPr>
      </w:pPr>
      <w:r>
        <w:rPr>
          <w:rFonts w:ascii="Arial" w:hAnsi="Arial"/>
        </w:rPr>
        <w:t>Por otro lado, la Ley 4/2000, de 7 de enero, de modificación de la declaración de fallecimiento de los desaparecidos con ocasión de naufragio y siniestros, ha supuesto la reducción de los plazos para la petición de la declaración de fallecimiento al modificar los artículos 193.3, 194.2 y 194.3 del Código Civil.</w:t>
      </w:r>
    </w:p>
    <w:p w:rsidR="00000000" w:rsidRDefault="00000000">
      <w:pPr>
        <w:jc w:val="both"/>
        <w:rPr>
          <w:rFonts w:ascii="Arial" w:hAnsi="Arial"/>
        </w:rPr>
      </w:pPr>
    </w:p>
    <w:p w:rsidR="00000000" w:rsidRDefault="00000000">
      <w:pPr>
        <w:jc w:val="both"/>
        <w:rPr>
          <w:rFonts w:ascii="Arial" w:hAnsi="Arial"/>
        </w:rPr>
      </w:pPr>
      <w:r>
        <w:rPr>
          <w:rFonts w:ascii="Arial" w:hAnsi="Arial"/>
        </w:rPr>
        <w:t>Así, procederá la declaración de fallecimiento una vez cumplido 1 año desde la fecha del riesgo inminente de muerte por causa de violencia contra la vida, y de 3 meses en caso de siniestro. La anterior regulación establecía el plazo de 2 años para ambos supuestos.</w:t>
      </w:r>
    </w:p>
    <w:p w:rsidR="00000000" w:rsidRDefault="00000000">
      <w:pPr>
        <w:jc w:val="both"/>
        <w:rPr>
          <w:rFonts w:ascii="Arial" w:hAnsi="Arial"/>
        </w:rPr>
      </w:pPr>
    </w:p>
    <w:p w:rsidR="00000000" w:rsidRDefault="00000000">
      <w:pPr>
        <w:jc w:val="both"/>
        <w:rPr>
          <w:rFonts w:ascii="Arial" w:hAnsi="Arial"/>
        </w:rPr>
      </w:pPr>
      <w:r>
        <w:rPr>
          <w:rFonts w:ascii="Arial" w:hAnsi="Arial"/>
        </w:rPr>
        <w:t>De la misma manera, a partir de ahora, procederá la declaración de fallecimiento una vez transcurridos 3 meses en caso de naufragio o desaparición, y 6 meses desde las últimas noticias recibidas, si el buque no llegase a su punto de destino. Anteriormente los plazos eran de 2 y 3 años respectivamente.</w:t>
      </w:r>
    </w:p>
    <w:p w:rsidR="00000000" w:rsidRDefault="00000000">
      <w:pPr>
        <w:jc w:val="both"/>
        <w:rPr>
          <w:rFonts w:ascii="Arial" w:hAnsi="Arial"/>
        </w:rPr>
      </w:pPr>
    </w:p>
    <w:p w:rsidR="00000000" w:rsidRDefault="00000000">
      <w:pPr>
        <w:jc w:val="both"/>
        <w:rPr>
          <w:rFonts w:ascii="Arial" w:hAnsi="Arial"/>
        </w:rPr>
      </w:pPr>
      <w:r>
        <w:rPr>
          <w:rFonts w:ascii="Arial" w:hAnsi="Arial"/>
        </w:rPr>
        <w:t>El plazo para la declaración de fallecimiento será de 3 meses para los casos de aeronaves siniestradas y de 6 meses para el caso de presunción de siniestro por no existir noticias del viaje y este se hubiera realizado sobre mares, zonas desérticas o inhabitadas. Los plazos para la declaración de fallecimiento en la regulación anterior eran de 2 y 3 años respectivamente.</w:t>
      </w:r>
    </w:p>
    <w:p w:rsidR="00000000" w:rsidRDefault="00000000">
      <w:pPr>
        <w:jc w:val="both"/>
        <w:rPr>
          <w:rFonts w:ascii="Arial" w:hAnsi="Arial"/>
        </w:rPr>
      </w:pPr>
    </w:p>
    <w:p w:rsidR="00000000" w:rsidRDefault="00000000">
      <w:pPr>
        <w:jc w:val="both"/>
        <w:rPr>
          <w:rFonts w:ascii="Arial" w:hAnsi="Arial"/>
        </w:rPr>
      </w:pPr>
      <w:r>
        <w:rPr>
          <w:rFonts w:ascii="Arial" w:hAnsi="Arial"/>
        </w:rPr>
        <w:t>La Orden, de 10 de noviembre de 1999, sobre cuestionario para la declaración de nacimiento al Registro Civil contiene dos innovaciones importantes. La primera, acatando la doctrina de la Sentencia del Tribunal Supremo (Sala Primera) de 21 de septiembre de 1999 que ha declarado la inconstitucionalidad del precepto reglamentario que permitía a la madre, por su sola voluntad, ocultar la maternidad, por vulneración  del derecho fundamental del hijo a conocer su identidad biológica. La segunda innovación consiste en la introducción de dos recuadros en blanco destinados a recoger las huellas dactilares de la madre y del recién nacido con la misma finalidad de reforzar su identidad biológica.</w:t>
      </w:r>
    </w:p>
    <w:p w:rsidR="00000000" w:rsidRDefault="00000000">
      <w:pPr>
        <w:jc w:val="both"/>
        <w:rPr>
          <w:rFonts w:ascii="Arial" w:hAnsi="Arial"/>
        </w:rPr>
      </w:pPr>
    </w:p>
    <w:p w:rsidR="00000000" w:rsidRDefault="00000000">
      <w:pPr>
        <w:jc w:val="both"/>
        <w:rPr>
          <w:rFonts w:ascii="Arial" w:hAnsi="Arial"/>
        </w:rPr>
      </w:pPr>
      <w:r>
        <w:rPr>
          <w:rFonts w:ascii="Arial" w:hAnsi="Arial"/>
        </w:rPr>
        <w:t>Por Ley 40/1999, de 5 de noviembre, sobre nombre y apellidos y orden de los mismos, se modifica el artículo 109 del Código Civil, así como el artículo 55 de la Ley de Registro Civil.</w:t>
      </w:r>
    </w:p>
    <w:p w:rsidR="00000000" w:rsidRDefault="00000000">
      <w:pPr>
        <w:jc w:val="both"/>
        <w:rPr>
          <w:rFonts w:ascii="Arial" w:hAnsi="Arial"/>
        </w:rPr>
      </w:pPr>
    </w:p>
    <w:p w:rsidR="00000000" w:rsidRDefault="00000000">
      <w:pPr>
        <w:jc w:val="both"/>
        <w:rPr>
          <w:rFonts w:ascii="Arial" w:hAnsi="Arial"/>
        </w:rPr>
      </w:pPr>
      <w:r>
        <w:rPr>
          <w:rFonts w:ascii="Arial" w:hAnsi="Arial"/>
        </w:rPr>
        <w:t>Dicha reforma ha supuesto que cuando la filiación está determinada por las líneas materna y paterna, el padre y la madre, de común acuerdo, pueden decidir el orden de transmisión de los apellidos de sus hijos. Asimismo, se establece que el orden de apellidos inscrito para el mayor de los hijos habrá de regir para los hijos posteriores del mismo vínculo. El hijo, al alcanzar la mayoría de edad, podrá solicitar que se altere el orden.</w:t>
      </w:r>
    </w:p>
    <w:p w:rsidR="00000000" w:rsidRDefault="00000000">
      <w:pPr>
        <w:jc w:val="both"/>
        <w:rPr>
          <w:rFonts w:ascii="Arial" w:hAnsi="Arial"/>
        </w:rPr>
      </w:pPr>
    </w:p>
    <w:p w:rsidR="00000000" w:rsidRDefault="00000000">
      <w:pPr>
        <w:jc w:val="both"/>
        <w:rPr>
          <w:rFonts w:ascii="Arial" w:hAnsi="Arial"/>
        </w:rPr>
      </w:pPr>
      <w:r>
        <w:rPr>
          <w:rFonts w:ascii="Arial" w:hAnsi="Arial"/>
        </w:rPr>
        <w:t>En la regulación anterior, los hijos tomaban, en primer lugar, el primer apellido del padre, y en segundo, el primer apellido de la madre, si bien también tenían la posibilidad de cambiar el orden de sus apellidos una vez cumplida la mayoría de edad.</w:t>
      </w:r>
    </w:p>
    <w:p w:rsidR="00000000" w:rsidRDefault="00000000">
      <w:pPr>
        <w:jc w:val="both"/>
        <w:rPr>
          <w:rFonts w:ascii="Arial" w:hAnsi="Arial"/>
        </w:rPr>
      </w:pPr>
    </w:p>
    <w:p w:rsidR="00000000" w:rsidRDefault="00000000">
      <w:pPr>
        <w:jc w:val="both"/>
        <w:rPr>
          <w:rFonts w:ascii="Arial" w:hAnsi="Arial"/>
        </w:rPr>
      </w:pPr>
      <w:r>
        <w:rPr>
          <w:rFonts w:ascii="Arial" w:hAnsi="Arial"/>
        </w:rPr>
        <w:t>El Real Decreto 193/2000, de 11 de febrero, de modificación de determinados artículos del Reglamento del Registro Civil en materia relativa al nombre y apellidos y orden de los mismos adecua lo establecido en la Ley 40/1999 al Reglamento.</w:t>
      </w:r>
    </w:p>
    <w:p w:rsidR="00000000" w:rsidRDefault="00000000">
      <w:pPr>
        <w:jc w:val="both"/>
        <w:rPr>
          <w:rFonts w:ascii="Arial" w:hAnsi="Arial"/>
        </w:rPr>
      </w:pPr>
    </w:p>
    <w:p w:rsidR="00000000" w:rsidRDefault="00000000">
      <w:pPr>
        <w:jc w:val="both"/>
        <w:rPr>
          <w:rFonts w:ascii="Arial" w:hAnsi="Arial"/>
        </w:rPr>
      </w:pPr>
      <w:r>
        <w:rPr>
          <w:rFonts w:ascii="Arial" w:hAnsi="Arial"/>
        </w:rPr>
        <w:t>Durante este período, las Comunidades Autónomas de Aragón, Asturias, Baleares, Cataluña, Madrid, Navarra y Valencia han aprobado leyes para reconocer determinados derechos a las parejas de hecho, tanto hetero- como homosexuales.</w:t>
      </w:r>
    </w:p>
    <w:p w:rsidR="00000000" w:rsidRDefault="00000000">
      <w:pPr>
        <w:jc w:val="both"/>
        <w:rPr>
          <w:rFonts w:ascii="Arial" w:hAnsi="Arial"/>
        </w:rPr>
      </w:pPr>
    </w:p>
    <w:p w:rsidR="00000000" w:rsidRDefault="00000000">
      <w:pPr>
        <w:pStyle w:val="BodyTextIndent"/>
        <w:suppressAutoHyphens/>
        <w:ind w:left="0"/>
        <w:rPr>
          <w:sz w:val="20"/>
        </w:rPr>
      </w:pPr>
    </w:p>
    <w:p w:rsidR="00000000" w:rsidRDefault="00000000">
      <w:pPr>
        <w:pStyle w:val="Heading9"/>
        <w:rPr>
          <w:b w:val="0"/>
        </w:rPr>
      </w:pPr>
      <w:r>
        <w:t>Exclusión.</w:t>
      </w:r>
    </w:p>
    <w:p w:rsidR="00000000" w:rsidRDefault="00000000">
      <w:pPr>
        <w:jc w:val="both"/>
        <w:rPr>
          <w:rFonts w:ascii="Arial" w:hAnsi="Arial"/>
          <w:b/>
        </w:rPr>
      </w:pPr>
    </w:p>
    <w:p w:rsidR="00000000" w:rsidRDefault="00000000">
      <w:pPr>
        <w:jc w:val="both"/>
        <w:rPr>
          <w:rFonts w:ascii="Arial" w:hAnsi="Arial"/>
          <w:b/>
        </w:rPr>
      </w:pPr>
    </w:p>
    <w:p w:rsidR="00000000" w:rsidRDefault="00000000">
      <w:pPr>
        <w:pStyle w:val="Heading9"/>
        <w:ind w:left="324" w:hanging="284"/>
      </w:pPr>
      <w:r>
        <w:t>I. Situación actual: A) Datos relativos a los ámbitos de exclusión y colectivos afectados.</w:t>
      </w:r>
    </w:p>
    <w:p w:rsidR="00000000" w:rsidRDefault="00000000"/>
    <w:p w:rsidR="00000000" w:rsidRDefault="00000000">
      <w:pPr>
        <w:jc w:val="both"/>
        <w:rPr>
          <w:rFonts w:ascii="Arial" w:hAnsi="Arial"/>
        </w:rPr>
      </w:pPr>
      <w:r>
        <w:rPr>
          <w:rFonts w:ascii="Arial" w:hAnsi="Arial"/>
        </w:rPr>
        <w:t>La exclusión social presenta un carácter multidimensional, tanto en su génesis, como en su plasmación social. De este modo, pueden identificarse distintos problemas de exclusión social: pobreza, en el sentido de ingresos económicos, dificultades de integración laboral y de acceso a la educación, ausencia de alojamiento digno, carencia de salud, capacidad psico-física y de asistencia sanitaria, ausencia o insuficiencia de apoyos familiares o comunitarios, problemas de acceso a nuevas tecnologías y falta de sensibilización y movilización de la sociedad en general ante la exclusión social.</w:t>
      </w:r>
    </w:p>
    <w:p w:rsidR="00000000" w:rsidRDefault="00000000">
      <w:pPr>
        <w:jc w:val="both"/>
        <w:rPr>
          <w:rFonts w:ascii="Arial" w:hAnsi="Arial"/>
        </w:rPr>
      </w:pPr>
    </w:p>
    <w:p w:rsidR="00000000" w:rsidRDefault="00000000">
      <w:pPr>
        <w:jc w:val="both"/>
        <w:rPr>
          <w:rFonts w:ascii="Arial" w:hAnsi="Arial"/>
        </w:rPr>
      </w:pPr>
      <w:r>
        <w:rPr>
          <w:rFonts w:ascii="Arial" w:hAnsi="Arial"/>
        </w:rPr>
        <w:t>La carencia de apoyo familiar, como sucede en casos de familias desestructuradas, problemas de violencia doméstica o rupturas familiares, pueden constituir un factor intensificador en las situaciones de exclusión social.</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España, la situación de la pobreza en términos económicos, a partir de las cifras que suministra </w:t>
      </w:r>
      <w:r>
        <w:rPr>
          <w:rFonts w:ascii="Arial" w:hAnsi="Arial"/>
          <w:b/>
        </w:rPr>
        <w:t>el panel de hogares</w:t>
      </w:r>
      <w:r>
        <w:rPr>
          <w:rFonts w:ascii="Arial" w:hAnsi="Arial"/>
        </w:rPr>
        <w:t xml:space="preserve"> de la Unión Europea (publicada en 1996) se sitúa en un 18,5%, con niveles cercanos a la media europea (17%). </w:t>
      </w:r>
    </w:p>
    <w:p w:rsidR="00000000" w:rsidRDefault="00000000">
      <w:pPr>
        <w:jc w:val="both"/>
        <w:rPr>
          <w:rFonts w:ascii="Arial" w:hAnsi="Arial"/>
        </w:rPr>
      </w:pPr>
    </w:p>
    <w:p w:rsidR="00000000" w:rsidRDefault="00000000">
      <w:pPr>
        <w:jc w:val="both"/>
        <w:rPr>
          <w:rFonts w:ascii="Arial" w:hAnsi="Arial"/>
        </w:rPr>
      </w:pPr>
      <w:r>
        <w:rPr>
          <w:rFonts w:ascii="Arial" w:hAnsi="Arial"/>
        </w:rPr>
        <w:t>Como factor transversal, no podemos olvidar la mayor intensidad de los fenómenos de pobreza y exclusión social entre las mujeres (</w:t>
      </w:r>
      <w:r>
        <w:rPr>
          <w:rFonts w:ascii="Arial" w:hAnsi="Arial"/>
          <w:b/>
        </w:rPr>
        <w:t>feminización de la pobreza</w:t>
      </w:r>
      <w:r>
        <w:rPr>
          <w:rFonts w:ascii="Arial" w:hAnsi="Arial"/>
        </w:rPr>
        <w:t>). Así, en nuestro país, las tasas de desempleo de las mujeres duplican a las de los varones; sus rentas salariales también son inferiores y, si nos fijamos en las situaciones de pobreza extrema, son también las mujeres, en mayor medida, las perceptoras de rentas mínimas. Afecta especialmente a las mujeres mayores de 65 años que viven solas o a mujeres solas con hijos a su cargo, es decir a las familias monoparentales.</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2"/>
        <w:jc w:val="center"/>
        <w:rPr>
          <w:rFonts w:ascii="Arial" w:hAnsi="Arial"/>
          <w:sz w:val="16"/>
        </w:rPr>
      </w:pPr>
      <w:r>
        <w:rPr>
          <w:rFonts w:ascii="Arial" w:hAnsi="Arial"/>
          <w:sz w:val="16"/>
        </w:rPr>
        <w:t>Indices de Pobreza según Género y Edad</w:t>
      </w:r>
    </w:p>
    <w:p w:rsidR="00000000" w:rsidRDefault="00000000">
      <w:pPr>
        <w:jc w:val="center"/>
        <w:rPr>
          <w:rFonts w:ascii="Arial" w:hAnsi="Arial"/>
          <w:sz w:val="16"/>
        </w:rPr>
      </w:pPr>
      <w:r>
        <w:rPr>
          <w:rFonts w:ascii="Arial" w:hAnsi="Arial"/>
          <w:sz w:val="16"/>
        </w:rPr>
        <w:t>(Indice 100: % medio de pobreza del conjunto de la población)</w:t>
      </w:r>
    </w:p>
    <w:p w:rsidR="00000000" w:rsidRDefault="00000000">
      <w:pPr>
        <w:jc w:val="center"/>
        <w:rPr>
          <w:rFonts w:ascii="Arial" w:hAnsi="Arial"/>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1843"/>
      </w:tblGrid>
      <w:tr w:rsidR="00000000">
        <w:tblPrEx>
          <w:tblCellMar>
            <w:top w:w="0" w:type="dxa"/>
            <w:bottom w:w="0" w:type="dxa"/>
          </w:tblCellMar>
        </w:tblPrEx>
        <w:trPr>
          <w:jc w:val="center"/>
        </w:trPr>
        <w:tc>
          <w:tcPr>
            <w:tcW w:w="2409" w:type="dxa"/>
          </w:tcPr>
          <w:p w:rsidR="00000000" w:rsidRDefault="00000000">
            <w:pPr>
              <w:pStyle w:val="Heading3"/>
              <w:ind w:left="0"/>
              <w:rPr>
                <w:sz w:val="16"/>
              </w:rPr>
            </w:pPr>
            <w:r>
              <w:rPr>
                <w:sz w:val="16"/>
              </w:rPr>
              <w:t>Situación según Género</w:t>
            </w:r>
          </w:p>
        </w:tc>
        <w:tc>
          <w:tcPr>
            <w:tcW w:w="1843" w:type="dxa"/>
          </w:tcPr>
          <w:p w:rsidR="00000000" w:rsidRDefault="00000000">
            <w:pPr>
              <w:pStyle w:val="Heading2"/>
              <w:rPr>
                <w:rFonts w:ascii="Arial" w:hAnsi="Arial"/>
                <w:sz w:val="16"/>
              </w:rPr>
            </w:pPr>
            <w:r>
              <w:rPr>
                <w:rFonts w:ascii="Arial" w:hAnsi="Arial"/>
                <w:sz w:val="16"/>
              </w:rPr>
              <w:t>Nº índices</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Hombres</w:t>
            </w:r>
          </w:p>
        </w:tc>
        <w:tc>
          <w:tcPr>
            <w:tcW w:w="1843" w:type="dxa"/>
          </w:tcPr>
          <w:p w:rsidR="00000000" w:rsidRDefault="00000000">
            <w:pPr>
              <w:jc w:val="center"/>
              <w:rPr>
                <w:rFonts w:ascii="Arial" w:hAnsi="Arial"/>
                <w:sz w:val="16"/>
              </w:rPr>
            </w:pPr>
            <w:r>
              <w:rPr>
                <w:rFonts w:ascii="Arial" w:hAnsi="Arial"/>
                <w:sz w:val="16"/>
              </w:rPr>
              <w:t>99</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Mujeres</w:t>
            </w:r>
          </w:p>
        </w:tc>
        <w:tc>
          <w:tcPr>
            <w:tcW w:w="1843" w:type="dxa"/>
          </w:tcPr>
          <w:p w:rsidR="00000000" w:rsidRDefault="00000000">
            <w:pPr>
              <w:jc w:val="center"/>
              <w:rPr>
                <w:rFonts w:ascii="Arial" w:hAnsi="Arial"/>
                <w:sz w:val="16"/>
              </w:rPr>
            </w:pPr>
            <w:r>
              <w:rPr>
                <w:rFonts w:ascii="Arial" w:hAnsi="Arial"/>
                <w:sz w:val="16"/>
              </w:rPr>
              <w:t>100</w:t>
            </w:r>
          </w:p>
        </w:tc>
      </w:tr>
      <w:tr w:rsidR="00000000">
        <w:tblPrEx>
          <w:tblCellMar>
            <w:top w:w="0" w:type="dxa"/>
            <w:bottom w:w="0" w:type="dxa"/>
          </w:tblCellMar>
        </w:tblPrEx>
        <w:trPr>
          <w:cantSplit/>
          <w:jc w:val="center"/>
        </w:trPr>
        <w:tc>
          <w:tcPr>
            <w:tcW w:w="4252" w:type="dxa"/>
            <w:gridSpan w:val="2"/>
          </w:tcPr>
          <w:p w:rsidR="00000000" w:rsidRDefault="00000000">
            <w:pPr>
              <w:rPr>
                <w:rFonts w:ascii="Arial" w:hAnsi="Arial"/>
                <w:sz w:val="16"/>
              </w:rPr>
            </w:pPr>
            <w:r>
              <w:rPr>
                <w:rFonts w:ascii="Arial" w:hAnsi="Arial"/>
                <w:b/>
                <w:sz w:val="16"/>
              </w:rPr>
              <w:t>Situación según Edad</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 xml:space="preserve"> Menos de 18 años</w:t>
            </w:r>
          </w:p>
        </w:tc>
        <w:tc>
          <w:tcPr>
            <w:tcW w:w="1843" w:type="dxa"/>
          </w:tcPr>
          <w:p w:rsidR="00000000" w:rsidRDefault="00000000">
            <w:pPr>
              <w:jc w:val="center"/>
              <w:rPr>
                <w:rFonts w:ascii="Arial" w:hAnsi="Arial"/>
                <w:sz w:val="16"/>
              </w:rPr>
            </w:pPr>
            <w:r>
              <w:rPr>
                <w:rFonts w:ascii="Arial" w:hAnsi="Arial"/>
                <w:sz w:val="16"/>
              </w:rPr>
              <w:t>128</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 xml:space="preserve"> De 18 a 24 años</w:t>
            </w:r>
          </w:p>
        </w:tc>
        <w:tc>
          <w:tcPr>
            <w:tcW w:w="1843" w:type="dxa"/>
          </w:tcPr>
          <w:p w:rsidR="00000000" w:rsidRDefault="00000000">
            <w:pPr>
              <w:jc w:val="center"/>
              <w:rPr>
                <w:rFonts w:ascii="Arial" w:hAnsi="Arial"/>
                <w:sz w:val="16"/>
              </w:rPr>
            </w:pPr>
            <w:r>
              <w:rPr>
                <w:rFonts w:ascii="Arial" w:hAnsi="Arial"/>
                <w:sz w:val="16"/>
              </w:rPr>
              <w:t>117</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De 25 a 34 años</w:t>
            </w:r>
          </w:p>
        </w:tc>
        <w:tc>
          <w:tcPr>
            <w:tcW w:w="1843" w:type="dxa"/>
          </w:tcPr>
          <w:p w:rsidR="00000000" w:rsidRDefault="00000000">
            <w:pPr>
              <w:jc w:val="center"/>
              <w:rPr>
                <w:rFonts w:ascii="Arial" w:hAnsi="Arial"/>
                <w:sz w:val="16"/>
              </w:rPr>
            </w:pPr>
            <w:r>
              <w:rPr>
                <w:rFonts w:ascii="Arial" w:hAnsi="Arial"/>
                <w:sz w:val="16"/>
              </w:rPr>
              <w:t>84</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De 35 a 44 años</w:t>
            </w:r>
          </w:p>
        </w:tc>
        <w:tc>
          <w:tcPr>
            <w:tcW w:w="1843" w:type="dxa"/>
          </w:tcPr>
          <w:p w:rsidR="00000000" w:rsidRDefault="00000000">
            <w:pPr>
              <w:jc w:val="center"/>
              <w:rPr>
                <w:rFonts w:ascii="Arial" w:hAnsi="Arial"/>
                <w:sz w:val="16"/>
              </w:rPr>
            </w:pPr>
            <w:r>
              <w:rPr>
                <w:rFonts w:ascii="Arial" w:hAnsi="Arial"/>
                <w:sz w:val="16"/>
              </w:rPr>
              <w:t>92</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De 45 a 54 años</w:t>
            </w:r>
          </w:p>
        </w:tc>
        <w:tc>
          <w:tcPr>
            <w:tcW w:w="1843" w:type="dxa"/>
          </w:tcPr>
          <w:p w:rsidR="00000000" w:rsidRDefault="00000000">
            <w:pPr>
              <w:jc w:val="center"/>
              <w:rPr>
                <w:rFonts w:ascii="Arial" w:hAnsi="Arial"/>
                <w:sz w:val="16"/>
              </w:rPr>
            </w:pPr>
            <w:r>
              <w:rPr>
                <w:rFonts w:ascii="Arial" w:hAnsi="Arial"/>
                <w:sz w:val="16"/>
              </w:rPr>
              <w:t>95</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De 55 a 65 años</w:t>
            </w:r>
          </w:p>
        </w:tc>
        <w:tc>
          <w:tcPr>
            <w:tcW w:w="1843" w:type="dxa"/>
          </w:tcPr>
          <w:p w:rsidR="00000000" w:rsidRDefault="00000000">
            <w:pPr>
              <w:jc w:val="center"/>
              <w:rPr>
                <w:rFonts w:ascii="Arial" w:hAnsi="Arial"/>
                <w:sz w:val="16"/>
              </w:rPr>
            </w:pPr>
            <w:r>
              <w:rPr>
                <w:rFonts w:ascii="Arial" w:hAnsi="Arial"/>
                <w:sz w:val="16"/>
              </w:rPr>
              <w:t>95</w:t>
            </w:r>
          </w:p>
        </w:tc>
      </w:tr>
      <w:tr w:rsidR="00000000">
        <w:tblPrEx>
          <w:tblCellMar>
            <w:top w:w="0" w:type="dxa"/>
            <w:bottom w:w="0" w:type="dxa"/>
          </w:tblCellMar>
        </w:tblPrEx>
        <w:trPr>
          <w:jc w:val="center"/>
        </w:trPr>
        <w:tc>
          <w:tcPr>
            <w:tcW w:w="2409" w:type="dxa"/>
          </w:tcPr>
          <w:p w:rsidR="00000000" w:rsidRDefault="00000000">
            <w:pPr>
              <w:rPr>
                <w:rFonts w:ascii="Arial" w:hAnsi="Arial"/>
                <w:sz w:val="16"/>
              </w:rPr>
            </w:pPr>
            <w:r>
              <w:rPr>
                <w:rFonts w:ascii="Arial" w:hAnsi="Arial"/>
                <w:sz w:val="16"/>
              </w:rPr>
              <w:t>Más de 65 años</w:t>
            </w:r>
          </w:p>
        </w:tc>
        <w:tc>
          <w:tcPr>
            <w:tcW w:w="1843" w:type="dxa"/>
          </w:tcPr>
          <w:p w:rsidR="00000000" w:rsidRDefault="00000000">
            <w:pPr>
              <w:jc w:val="center"/>
              <w:rPr>
                <w:rFonts w:ascii="Arial" w:hAnsi="Arial"/>
                <w:sz w:val="16"/>
              </w:rPr>
            </w:pPr>
            <w:r>
              <w:rPr>
                <w:rFonts w:ascii="Arial" w:hAnsi="Arial"/>
                <w:sz w:val="16"/>
              </w:rPr>
              <w:t>80</w:t>
            </w:r>
          </w:p>
        </w:tc>
      </w:tr>
    </w:tbl>
    <w:p w:rsidR="00000000" w:rsidRDefault="00000000">
      <w:pPr>
        <w:ind w:left="2772" w:right="2776"/>
        <w:jc w:val="both"/>
        <w:rPr>
          <w:rFonts w:ascii="Arial" w:hAnsi="Arial"/>
          <w:sz w:val="16"/>
        </w:rPr>
      </w:pPr>
      <w:r>
        <w:rPr>
          <w:rFonts w:ascii="Arial" w:hAnsi="Arial"/>
          <w:sz w:val="16"/>
        </w:rPr>
        <w:t>Fuente: Income, Poverty and Social Exclusión. Eurostat, 2000 (con datos del PHOGUE realizado en 1995)</w:t>
      </w:r>
    </w:p>
    <w:p w:rsidR="00000000" w:rsidRDefault="00000000">
      <w:pPr>
        <w:jc w:val="both"/>
        <w:rPr>
          <w:rFonts w:ascii="Arial" w:hAnsi="Arial"/>
        </w:rPr>
      </w:pPr>
    </w:p>
    <w:p w:rsidR="00000000" w:rsidRDefault="00000000">
      <w:pPr>
        <w:pStyle w:val="Heading9"/>
      </w:pPr>
      <w:r>
        <w:t>Personas paradas de larga duración</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 este colectivo, (sin empleo, al menos durante un año), desde 1996, ha habido una reducción muy llamativa del número de personas en esta situación. Se ha pasado de 1.904.100 personas, en 1996, a 1.038.200, en el 2000,  lo que supone una reducción del 45%. Esta reducción es menor en el caso de las mujeres(37´85%), que en el de los hombres (55´36%).</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mayor número tiene lugar entre los 20 y los 29 años. En relación con el total, el porcentaje de mujeres, en 2000, va incrementándose hasta el tramo de edad comprendido entre los 35 y los 39 y desde este tramo hasta los 55-59 años, disminuye. </w:t>
      </w:r>
    </w:p>
    <w:p w:rsidR="00000000" w:rsidRDefault="00000000">
      <w:pPr>
        <w:jc w:val="both"/>
        <w:rPr>
          <w:rFonts w:ascii="Arial" w:hAnsi="Arial"/>
        </w:rPr>
      </w:pP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708"/>
        <w:gridCol w:w="709"/>
        <w:gridCol w:w="709"/>
        <w:gridCol w:w="850"/>
        <w:gridCol w:w="567"/>
        <w:gridCol w:w="709"/>
        <w:gridCol w:w="709"/>
        <w:gridCol w:w="850"/>
        <w:gridCol w:w="567"/>
        <w:gridCol w:w="709"/>
        <w:gridCol w:w="709"/>
        <w:gridCol w:w="850"/>
        <w:gridCol w:w="567"/>
      </w:tblGrid>
      <w:tr w:rsidR="00000000">
        <w:tblPrEx>
          <w:tblCellMar>
            <w:top w:w="0" w:type="dxa"/>
            <w:bottom w:w="0" w:type="dxa"/>
          </w:tblCellMar>
        </w:tblPrEx>
        <w:trPr>
          <w:cantSplit/>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2835" w:type="dxa"/>
            <w:gridSpan w:val="4"/>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1996</w:t>
            </w:r>
          </w:p>
        </w:tc>
        <w:tc>
          <w:tcPr>
            <w:tcW w:w="2835" w:type="dxa"/>
            <w:gridSpan w:val="4"/>
            <w:tcBorders>
              <w:top w:val="single" w:sz="2" w:space="0" w:color="000000"/>
              <w:bottom w:val="single" w:sz="2" w:space="0" w:color="000000"/>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1998</w:t>
            </w:r>
          </w:p>
        </w:tc>
        <w:tc>
          <w:tcPr>
            <w:tcW w:w="2835" w:type="dxa"/>
            <w:gridSpan w:val="4"/>
            <w:tcBorders>
              <w:top w:val="single" w:sz="2" w:space="0" w:color="000000"/>
              <w:left w:val="nil"/>
              <w:bottom w:val="single" w:sz="2" w:space="0" w:color="000000"/>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2000</w:t>
            </w:r>
          </w:p>
        </w:tc>
      </w:tr>
      <w:tr w:rsidR="00000000">
        <w:tblPrEx>
          <w:tblCellMar>
            <w:top w:w="0" w:type="dxa"/>
            <w:bottom w:w="0" w:type="dxa"/>
          </w:tblCellMar>
        </w:tblPrEx>
        <w:trPr>
          <w:trHeight w:val="262"/>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567" w:type="dxa"/>
            <w:tcBorders>
              <w:top w:val="single" w:sz="2" w:space="0" w:color="000000"/>
              <w:left w:val="single" w:sz="2" w:space="0" w:color="000000"/>
              <w:bottom w:val="double" w:sz="6" w:space="0" w:color="auto"/>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709" w:type="dxa"/>
            <w:tcBorders>
              <w:top w:val="single" w:sz="2" w:space="0" w:color="000000"/>
              <w:left w:val="single" w:sz="4" w:space="0" w:color="auto"/>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09" w:type="dxa"/>
            <w:tcBorders>
              <w:top w:val="single" w:sz="2" w:space="0" w:color="000000"/>
              <w:left w:val="single" w:sz="4" w:space="0" w:color="auto"/>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2" w:space="0" w:color="000000"/>
              <w:left w:val="single" w:sz="4" w:space="0" w:color="auto"/>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567" w:type="dxa"/>
            <w:tcBorders>
              <w:top w:val="single" w:sz="2" w:space="0" w:color="000000"/>
              <w:left w:val="single" w:sz="4" w:space="0" w:color="auto"/>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A. Sexos</w:t>
            </w:r>
          </w:p>
        </w:tc>
        <w:tc>
          <w:tcPr>
            <w:tcW w:w="709"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c>
          <w:tcPr>
            <w:tcW w:w="567" w:type="dxa"/>
            <w:tcBorders>
              <w:top w:val="single" w:sz="2" w:space="0" w:color="000000"/>
              <w:left w:val="single" w:sz="2" w:space="0" w:color="000000"/>
              <w:bottom w:val="double" w:sz="6" w:space="0" w:color="auto"/>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Muj.</w:t>
            </w:r>
          </w:p>
        </w:tc>
      </w:tr>
      <w:tr w:rsidR="00000000">
        <w:tblPrEx>
          <w:tblCellMar>
            <w:top w:w="0" w:type="dxa"/>
            <w:bottom w:w="0" w:type="dxa"/>
          </w:tblCellMar>
        </w:tblPrEx>
        <w:trPr>
          <w:trHeight w:val="262"/>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double" w:sz="6" w:space="0" w:color="auto"/>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doub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doub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850" w:type="dxa"/>
            <w:tcBorders>
              <w:top w:val="doub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567" w:type="dxa"/>
            <w:tcBorders>
              <w:top w:val="doub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6" w:space="0" w:color="auto"/>
              <w:right w:val="single" w:sz="2" w:space="0" w:color="000000"/>
            </w:tcBorders>
          </w:tcPr>
          <w:p w:rsidR="00000000" w:rsidRDefault="00000000">
            <w:pPr>
              <w:rPr>
                <w:rFonts w:ascii="Arial" w:hAnsi="Arial"/>
                <w:b/>
                <w:snapToGrid w:val="0"/>
                <w:color w:val="000000"/>
                <w:sz w:val="16"/>
                <w:lang w:eastAsia="es-ES"/>
              </w:rPr>
            </w:pPr>
            <w:r>
              <w:rPr>
                <w:rFonts w:ascii="Arial" w:hAnsi="Arial"/>
                <w:b/>
                <w:snapToGrid w:val="0"/>
                <w:color w:val="000000"/>
                <w:sz w:val="16"/>
                <w:lang w:eastAsia="es-ES"/>
              </w:rPr>
              <w:t>Total</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1.904.1</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1.074.8</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829.3</w:t>
            </w:r>
          </w:p>
        </w:tc>
        <w:tc>
          <w:tcPr>
            <w:tcW w:w="567" w:type="dxa"/>
            <w:tcBorders>
              <w:top w:val="single" w:sz="2" w:space="0" w:color="000000"/>
              <w:left w:val="single" w:sz="2" w:space="0" w:color="000000"/>
              <w:bottom w:val="single" w:sz="6" w:space="0" w:color="auto"/>
              <w:right w:val="single" w:sz="4" w:space="0" w:color="auto"/>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56,45</w:t>
            </w:r>
          </w:p>
        </w:tc>
        <w:tc>
          <w:tcPr>
            <w:tcW w:w="709" w:type="dxa"/>
            <w:tcBorders>
              <w:top w:val="single" w:sz="2" w:space="0" w:color="000000"/>
              <w:left w:val="single" w:sz="4" w:space="0" w:color="auto"/>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1.539.9</w:t>
            </w:r>
          </w:p>
        </w:tc>
        <w:tc>
          <w:tcPr>
            <w:tcW w:w="709" w:type="dxa"/>
            <w:tcBorders>
              <w:top w:val="single" w:sz="2" w:space="0" w:color="000000"/>
              <w:left w:val="single" w:sz="4" w:space="0" w:color="auto"/>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948.4</w:t>
            </w:r>
          </w:p>
        </w:tc>
        <w:tc>
          <w:tcPr>
            <w:tcW w:w="850" w:type="dxa"/>
            <w:tcBorders>
              <w:top w:val="single" w:sz="2" w:space="0" w:color="000000"/>
              <w:left w:val="single" w:sz="4" w:space="0" w:color="auto"/>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591.5</w:t>
            </w:r>
          </w:p>
        </w:tc>
        <w:tc>
          <w:tcPr>
            <w:tcW w:w="567" w:type="dxa"/>
            <w:tcBorders>
              <w:top w:val="single" w:sz="2" w:space="0" w:color="000000"/>
              <w:left w:val="single" w:sz="4" w:space="0" w:color="auto"/>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61,6</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1.038.2</w:t>
            </w:r>
          </w:p>
        </w:tc>
        <w:tc>
          <w:tcPr>
            <w:tcW w:w="709"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668.0</w:t>
            </w:r>
          </w:p>
        </w:tc>
        <w:tc>
          <w:tcPr>
            <w:tcW w:w="850"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370.2</w:t>
            </w:r>
          </w:p>
        </w:tc>
        <w:tc>
          <w:tcPr>
            <w:tcW w:w="567" w:type="dxa"/>
            <w:tcBorders>
              <w:top w:val="single" w:sz="2" w:space="0" w:color="000000"/>
              <w:left w:val="single" w:sz="2" w:space="0" w:color="000000"/>
              <w:bottom w:val="single" w:sz="6" w:space="0" w:color="auto"/>
              <w:right w:val="single" w:sz="2" w:space="0" w:color="000000"/>
            </w:tcBorders>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64,34</w:t>
            </w:r>
          </w:p>
        </w:tc>
      </w:tr>
      <w:tr w:rsidR="00000000">
        <w:tblPrEx>
          <w:tblCellMar>
            <w:top w:w="0" w:type="dxa"/>
            <w:bottom w:w="0" w:type="dxa"/>
          </w:tblCellMar>
        </w:tblPrEx>
        <w:trPr>
          <w:trHeight w:val="247"/>
          <w:jc w:val="center"/>
        </w:trPr>
        <w:tc>
          <w:tcPr>
            <w:tcW w:w="708"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6" w:space="0" w:color="auto"/>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567" w:type="dxa"/>
            <w:tcBorders>
              <w:top w:val="single" w:sz="6" w:space="0" w:color="auto"/>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709"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right"/>
              <w:rPr>
                <w:rFonts w:ascii="Arial" w:hAnsi="Arial"/>
                <w:snapToGrid w:val="0"/>
                <w:color w:val="000000"/>
                <w:sz w:val="16"/>
                <w:lang w:eastAsia="es-ES"/>
              </w:rPr>
            </w:pPr>
          </w:p>
        </w:tc>
        <w:tc>
          <w:tcPr>
            <w:tcW w:w="567" w:type="dxa"/>
            <w:tcBorders>
              <w:top w:val="single" w:sz="6" w:space="0" w:color="auto"/>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16 a19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47.0</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59,34</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82</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45.6</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36.4</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50.9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53,44</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20 a 24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391.4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162.4</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58,51</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269.3</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172.2</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97.1</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64,76</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25 a 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143.1</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60,91</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299.9</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188.2</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111.7</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62,8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184.2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118.2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64,17</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30 a 34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263.5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111.4</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57,72</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223.3</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140.7</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82.6</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 xml:space="preserve">  63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140.3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38.7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72,42</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35 a 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217.1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78.1</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64,03</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288.2</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231.9</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56.3</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124.7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92.6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32.1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74,26</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40 a 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173.7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105.3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68.4</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60,62</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144.7</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101.3</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43.4</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 xml:space="preserve">  70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76.2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70,49</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45 a 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136.6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75.8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60.8</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55,49</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122.5</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81.7</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40.8</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66,7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90.9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62.3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28.6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68,54</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50 a 54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116.0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43.6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72.4</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37,59</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102.7</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50.4</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52.3</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72.9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42.6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30.3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58,44</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55 a 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28.1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62.3</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31,08</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81.5</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27.2</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54.3</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33,4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69.0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25.6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43.4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37,10</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60 a 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32.5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22.8</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29,85</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25.7</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9.2</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16.5</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24.7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15.0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39,27</w:t>
            </w:r>
          </w:p>
        </w:tc>
      </w:tr>
      <w:tr w:rsidR="00000000">
        <w:tblPrEx>
          <w:tblCellMar>
            <w:top w:w="0" w:type="dxa"/>
            <w:bottom w:w="0" w:type="dxa"/>
          </w:tblCellMar>
        </w:tblPrEx>
        <w:trPr>
          <w:trHeight w:val="247"/>
          <w:jc w:val="center"/>
        </w:trPr>
        <w:tc>
          <w:tcPr>
            <w:tcW w:w="708" w:type="dxa"/>
            <w:tcBorders>
              <w:top w:val="single" w:sz="2" w:space="0" w:color="000000"/>
              <w:left w:val="single" w:sz="2" w:space="0" w:color="000000"/>
              <w:bottom w:val="single" w:sz="2" w:space="0" w:color="000000"/>
              <w:right w:val="single" w:sz="2" w:space="0" w:color="000000"/>
            </w:tcBorders>
          </w:tcPr>
          <w:p w:rsidR="00000000" w:rsidRDefault="00000000">
            <w:pPr>
              <w:rPr>
                <w:rFonts w:ascii="Arial" w:hAnsi="Arial"/>
                <w:snapToGrid w:val="0"/>
                <w:color w:val="000000"/>
                <w:sz w:val="16"/>
                <w:lang w:eastAsia="es-ES"/>
              </w:rPr>
            </w:pPr>
            <w:r>
              <w:rPr>
                <w:rFonts w:ascii="Arial" w:hAnsi="Arial"/>
                <w:snapToGrid w:val="0"/>
                <w:color w:val="000000"/>
                <w:sz w:val="16"/>
                <w:lang w:eastAsia="es-ES"/>
              </w:rPr>
              <w:t>65 a 69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0.6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0.6</w:t>
            </w:r>
          </w:p>
        </w:tc>
        <w:tc>
          <w:tcPr>
            <w:tcW w:w="567" w:type="dxa"/>
            <w:tcBorders>
              <w:top w:val="single" w:sz="2" w:space="0" w:color="000000"/>
              <w:left w:val="single" w:sz="2" w:space="0" w:color="000000"/>
              <w:bottom w:val="single" w:sz="2" w:space="0" w:color="000000"/>
              <w:right w:val="single" w:sz="4" w:space="0" w:color="auto"/>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50,00</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0.2</w:t>
            </w:r>
          </w:p>
        </w:tc>
        <w:tc>
          <w:tcPr>
            <w:tcW w:w="709"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0.2</w:t>
            </w:r>
          </w:p>
        </w:tc>
        <w:tc>
          <w:tcPr>
            <w:tcW w:w="850" w:type="dxa"/>
            <w:tcBorders>
              <w:top w:val="single" w:sz="2" w:space="0" w:color="000000"/>
              <w:left w:val="single" w:sz="4" w:space="0" w:color="auto"/>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w:t>
            </w:r>
          </w:p>
        </w:tc>
        <w:tc>
          <w:tcPr>
            <w:tcW w:w="567" w:type="dxa"/>
            <w:tcBorders>
              <w:top w:val="single" w:sz="2" w:space="0" w:color="000000"/>
              <w:left w:val="single" w:sz="4" w:space="0" w:color="auto"/>
              <w:bottom w:val="single" w:sz="2" w:space="0" w:color="000000"/>
              <w:right w:val="single" w:sz="2" w:space="0" w:color="000000"/>
            </w:tcBorders>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 xml:space="preserve">  0.1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88,89</w:t>
            </w:r>
          </w:p>
        </w:tc>
      </w:tr>
    </w:tbl>
    <w:p w:rsidR="00000000" w:rsidRDefault="00000000">
      <w:pPr>
        <w:ind w:left="315"/>
        <w:jc w:val="both"/>
        <w:rPr>
          <w:rFonts w:ascii="Arial" w:hAnsi="Arial"/>
          <w:snapToGrid w:val="0"/>
          <w:color w:val="000000"/>
          <w:sz w:val="16"/>
          <w:lang w:eastAsia="es-ES"/>
        </w:rPr>
      </w:pPr>
      <w:r>
        <w:rPr>
          <w:rFonts w:ascii="Arial" w:hAnsi="Arial"/>
          <w:snapToGrid w:val="0"/>
          <w:color w:val="000000"/>
          <w:sz w:val="16"/>
          <w:lang w:eastAsia="es-ES"/>
        </w:rPr>
        <w:t>Fuente: Elaboración propia a partir de los datos de la Encuesta de Población Activa, IV trimestre. INE</w:t>
      </w:r>
    </w:p>
    <w:p w:rsidR="00000000" w:rsidRDefault="00000000">
      <w:pPr>
        <w:jc w:val="both"/>
        <w:rPr>
          <w:rFonts w:ascii="Arial" w:hAnsi="Arial"/>
          <w:b/>
        </w:rPr>
      </w:pPr>
      <w:r>
        <w:rPr>
          <w:rFonts w:ascii="Arial" w:hAnsi="Arial"/>
          <w:b/>
        </w:rPr>
        <w:t>Minorías étnicas</w:t>
      </w:r>
    </w:p>
    <w:p w:rsidR="00000000" w:rsidRDefault="00000000">
      <w:pPr>
        <w:jc w:val="both"/>
        <w:rPr>
          <w:rFonts w:ascii="Arial" w:hAnsi="Arial"/>
          <w:snapToGrid w:val="0"/>
          <w:color w:val="000000"/>
          <w:lang w:eastAsia="es-ES"/>
        </w:rPr>
      </w:pPr>
    </w:p>
    <w:p w:rsidR="00000000" w:rsidRDefault="00000000">
      <w:pPr>
        <w:spacing w:line="220" w:lineRule="exact"/>
        <w:jc w:val="both"/>
        <w:rPr>
          <w:rFonts w:ascii="Arial" w:hAnsi="Arial"/>
        </w:rPr>
      </w:pPr>
      <w:r>
        <w:rPr>
          <w:rFonts w:ascii="Arial" w:hAnsi="Arial"/>
        </w:rPr>
        <w:t xml:space="preserve">En el caso español, referirse a minorías étnicas significa, muy especialmente, hablar de la </w:t>
      </w:r>
      <w:r>
        <w:rPr>
          <w:rFonts w:ascii="Arial" w:hAnsi="Arial"/>
          <w:b/>
        </w:rPr>
        <w:t>población gitana</w:t>
      </w:r>
      <w:r>
        <w:rPr>
          <w:rFonts w:ascii="Arial" w:hAnsi="Arial"/>
        </w:rPr>
        <w:t xml:space="preserve">. Secularmente, parte de la población gitana ha ocupado una posición marginal en la sociedad española si bien, en las últimas décadas, su situación ha cambiado sensiblemente, iniciándose un camino para su incorporación social efectiva. </w:t>
      </w:r>
    </w:p>
    <w:p w:rsidR="00000000" w:rsidRDefault="00000000">
      <w:pPr>
        <w:spacing w:line="220" w:lineRule="exact"/>
        <w:jc w:val="both"/>
        <w:rPr>
          <w:rFonts w:ascii="Arial" w:hAnsi="Arial"/>
        </w:rPr>
      </w:pPr>
    </w:p>
    <w:p w:rsidR="00000000" w:rsidRDefault="00000000">
      <w:pPr>
        <w:spacing w:line="220" w:lineRule="exact"/>
        <w:jc w:val="both"/>
        <w:rPr>
          <w:rFonts w:ascii="Arial" w:hAnsi="Arial"/>
        </w:rPr>
      </w:pPr>
      <w:r>
        <w:rPr>
          <w:rFonts w:ascii="Arial" w:hAnsi="Arial"/>
        </w:rPr>
        <w:t>No obstante, a pesar de los avances, la actual situación de una parte de la Comunidad gitana todavía viene marcada por sus bajos niveles de renta, la persistencia de situaciones de pobreza, desigualdad y exclusión social.</w:t>
      </w:r>
    </w:p>
    <w:p w:rsidR="00000000" w:rsidRDefault="00000000">
      <w:pPr>
        <w:spacing w:line="220" w:lineRule="exact"/>
        <w:jc w:val="both"/>
        <w:rPr>
          <w:rFonts w:ascii="Arial" w:hAnsi="Arial"/>
        </w:rPr>
      </w:pPr>
    </w:p>
    <w:p w:rsidR="00000000" w:rsidRDefault="00000000">
      <w:pPr>
        <w:spacing w:line="220" w:lineRule="exact"/>
        <w:jc w:val="both"/>
        <w:rPr>
          <w:rFonts w:ascii="Arial" w:hAnsi="Arial"/>
        </w:rPr>
      </w:pPr>
      <w:r>
        <w:rPr>
          <w:rFonts w:ascii="Arial" w:hAnsi="Arial"/>
        </w:rPr>
        <w:t xml:space="preserve">Todo intento de cuantificar la población gitana debe tener en cuenta que los datos sobre pertenencia a un grupo configurado en torno a la etnia están protegidos constitucionalmente, por lo que estas variables no aparecen en las estadísticas oficiales de población, empleo, educación, familia o protección social. </w:t>
      </w:r>
    </w:p>
    <w:p w:rsidR="00000000" w:rsidRDefault="00000000">
      <w:pPr>
        <w:spacing w:line="220" w:lineRule="exact"/>
        <w:jc w:val="both"/>
        <w:rPr>
          <w:rFonts w:ascii="Arial" w:hAnsi="Arial"/>
        </w:rPr>
      </w:pPr>
    </w:p>
    <w:p w:rsidR="00000000" w:rsidRDefault="00000000">
      <w:pPr>
        <w:spacing w:line="220" w:lineRule="exact"/>
        <w:jc w:val="both"/>
        <w:rPr>
          <w:rFonts w:ascii="Arial" w:hAnsi="Arial"/>
        </w:rPr>
      </w:pPr>
      <w:r>
        <w:rPr>
          <w:rFonts w:ascii="Arial" w:hAnsi="Arial"/>
        </w:rPr>
        <w:t xml:space="preserve">Otro grupo importante que presenta significativas dificultades de integración viene conformado por los </w:t>
      </w:r>
      <w:r>
        <w:rPr>
          <w:rFonts w:ascii="Arial" w:hAnsi="Arial"/>
          <w:b/>
        </w:rPr>
        <w:t>inmigrantes</w:t>
      </w:r>
      <w:r>
        <w:rPr>
          <w:rFonts w:ascii="Arial" w:hAnsi="Arial"/>
        </w:rPr>
        <w:t xml:space="preserve">, colectivo al que nos referimos específicamente al final de este capítulo. </w:t>
      </w:r>
    </w:p>
    <w:p w:rsidR="00000000" w:rsidRDefault="00000000">
      <w:pPr>
        <w:spacing w:line="220" w:lineRule="exact"/>
        <w:jc w:val="both"/>
        <w:rPr>
          <w:rFonts w:ascii="Arial" w:hAnsi="Arial"/>
        </w:rPr>
      </w:pPr>
    </w:p>
    <w:p w:rsidR="00000000" w:rsidRDefault="00000000">
      <w:pPr>
        <w:pStyle w:val="Heading9"/>
        <w:spacing w:line="220" w:lineRule="exact"/>
      </w:pPr>
      <w:r>
        <w:t>Colectivo con discapacidades</w:t>
      </w:r>
    </w:p>
    <w:p w:rsidR="00000000" w:rsidRDefault="00000000">
      <w:pPr>
        <w:spacing w:line="220" w:lineRule="exact"/>
        <w:jc w:val="both"/>
        <w:rPr>
          <w:rFonts w:ascii="Arial" w:hAnsi="Arial"/>
        </w:rPr>
      </w:pPr>
    </w:p>
    <w:p w:rsidR="00000000" w:rsidRDefault="00000000">
      <w:pPr>
        <w:spacing w:line="220" w:lineRule="exact"/>
        <w:jc w:val="both"/>
        <w:rPr>
          <w:rFonts w:ascii="Arial" w:hAnsi="Arial"/>
        </w:rPr>
      </w:pPr>
      <w:r>
        <w:rPr>
          <w:rFonts w:ascii="Arial" w:hAnsi="Arial"/>
        </w:rPr>
        <w:t>Respecto al colectivo social que presenta algún tipo de discapacidad, a las limitaciones propias de esta situación se añaden  las barreras físicas  del entorno, y los estereotipos que les asigna la sociedad que en su conjunto tiene, como resultado que, sobre este colectivo penda una importante probabilidad de exclusión social, que tiene mayor intensidad en el caso de las mujeres.</w:t>
      </w:r>
    </w:p>
    <w:p w:rsidR="00000000" w:rsidRDefault="00000000">
      <w:pPr>
        <w:spacing w:line="220" w:lineRule="exact"/>
      </w:pPr>
    </w:p>
    <w:p w:rsidR="00000000" w:rsidRDefault="00000000">
      <w:pPr>
        <w:spacing w:line="220" w:lineRule="exact"/>
        <w:jc w:val="both"/>
        <w:rPr>
          <w:rFonts w:ascii="Arial" w:hAnsi="Arial"/>
        </w:rPr>
      </w:pPr>
      <w:r>
        <w:rPr>
          <w:rFonts w:ascii="Arial" w:hAnsi="Arial"/>
        </w:rPr>
        <w:t xml:space="preserve">De acuerdo con los datos que arroja la Macroencuesta que el Instituto Nacional de Estadística, junto con el Ministerio de Trabajo y Asuntos Sociales realizó en 1999, sobre </w:t>
      </w:r>
      <w:r>
        <w:rPr>
          <w:rFonts w:ascii="Arial" w:hAnsi="Arial"/>
          <w:b/>
        </w:rPr>
        <w:t>discapacidades,</w:t>
      </w:r>
      <w:r>
        <w:rPr>
          <w:rFonts w:ascii="Arial" w:hAnsi="Arial"/>
        </w:rPr>
        <w:t xml:space="preserve"> </w:t>
      </w:r>
      <w:r>
        <w:rPr>
          <w:rFonts w:ascii="Arial" w:hAnsi="Arial"/>
          <w:b/>
        </w:rPr>
        <w:t>deficiencias y estado de la salud</w:t>
      </w:r>
      <w:r>
        <w:rPr>
          <w:rFonts w:ascii="Arial" w:hAnsi="Arial"/>
        </w:rPr>
        <w:t xml:space="preserve">, muestran que en España un total de 3.528.221 personas presentan algún tipo de discapacidad. Es decir, en términos porcentuales, 9 de cada 100 españoles. </w:t>
      </w:r>
    </w:p>
    <w:p w:rsidR="00000000" w:rsidRDefault="00000000">
      <w:pPr>
        <w:spacing w:line="220" w:lineRule="exact"/>
        <w:jc w:val="both"/>
        <w:rPr>
          <w:rFonts w:ascii="Arial" w:hAnsi="Arial"/>
        </w:rPr>
      </w:pPr>
    </w:p>
    <w:p w:rsidR="00000000" w:rsidRDefault="00000000">
      <w:pPr>
        <w:spacing w:line="220" w:lineRule="exact"/>
        <w:jc w:val="both"/>
        <w:rPr>
          <w:rFonts w:ascii="Arial" w:hAnsi="Arial"/>
        </w:rPr>
      </w:pPr>
      <w:r>
        <w:rPr>
          <w:rFonts w:ascii="Arial" w:hAnsi="Arial"/>
        </w:rPr>
        <w:t xml:space="preserve">Los datos muestran que más de la mitad de las personas con discapacidades son mujeres, en concreto el 58´3%. Pero el dato varía a lo largo de los distintos grupos de edad. Así en la cohorte de menos de 6 años, no se aprecian diferencias significativas en función del sexo. Sin embargo, en el grupo de edad de 6 a 44 años, el número de hombres con discapacidades supera al de mujeres, con una media de un 32%. Pero esta tendencia cambia, de manera significativa, a partir de los 45 años. Y la línea se radicaliza para el grupo de mayores de 65 , en el que las mujeres con discapacidades casi doblan, en términos de datos absolutos, a los hombres en similar estado. </w:t>
      </w:r>
    </w:p>
    <w:p w:rsidR="00000000" w:rsidRDefault="00000000">
      <w:pPr>
        <w:jc w:val="center"/>
        <w:rPr>
          <w:rFonts w:ascii="Arial" w:hAnsi="Arial"/>
        </w:rPr>
      </w:pPr>
    </w:p>
    <w:p w:rsidR="00000000" w:rsidRDefault="00000000">
      <w:pPr>
        <w:pStyle w:val="Heading8"/>
        <w:ind w:right="0"/>
        <w:jc w:val="center"/>
      </w:pPr>
      <w:r>
        <w:t>Personas con Discapacidades según Género y Grupos de Edad</w:t>
      </w:r>
    </w:p>
    <w:p w:rsidR="00000000" w:rsidRDefault="00000000"/>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59"/>
        <w:gridCol w:w="1134"/>
        <w:gridCol w:w="1134"/>
        <w:gridCol w:w="1134"/>
        <w:gridCol w:w="992"/>
      </w:tblGrid>
      <w:tr w:rsidR="00000000">
        <w:tblPrEx>
          <w:tblCellMar>
            <w:top w:w="0" w:type="dxa"/>
            <w:bottom w:w="0" w:type="dxa"/>
          </w:tblCellMar>
        </w:tblPrEx>
        <w:trPr>
          <w:trHeight w:val="360"/>
          <w:jc w:val="center"/>
        </w:trPr>
        <w:tc>
          <w:tcPr>
            <w:tcW w:w="1559" w:type="dxa"/>
            <w:tcBorders>
              <w:top w:val="single" w:sz="4" w:space="0" w:color="auto"/>
              <w:bottom w:val="single" w:sz="4" w:space="0" w:color="auto"/>
            </w:tcBorders>
          </w:tcPr>
          <w:p w:rsidR="00000000" w:rsidRDefault="00000000">
            <w:pPr>
              <w:jc w:val="center"/>
              <w:rPr>
                <w:rFonts w:ascii="Arial" w:hAnsi="Arial"/>
                <w:b/>
                <w:sz w:val="16"/>
              </w:rPr>
            </w:pPr>
            <w:r>
              <w:rPr>
                <w:rFonts w:ascii="Arial" w:hAnsi="Arial"/>
                <w:b/>
                <w:sz w:val="16"/>
              </w:rPr>
              <w:t>Grupo de Edad</w:t>
            </w:r>
          </w:p>
        </w:tc>
        <w:tc>
          <w:tcPr>
            <w:tcW w:w="1134" w:type="dxa"/>
            <w:tcBorders>
              <w:top w:val="single" w:sz="4" w:space="0" w:color="auto"/>
              <w:bottom w:val="single" w:sz="4" w:space="0" w:color="auto"/>
            </w:tcBorders>
          </w:tcPr>
          <w:p w:rsidR="00000000" w:rsidRDefault="00000000">
            <w:pPr>
              <w:jc w:val="center"/>
              <w:rPr>
                <w:rFonts w:ascii="Arial" w:hAnsi="Arial"/>
                <w:b/>
                <w:sz w:val="16"/>
              </w:rPr>
            </w:pPr>
            <w:r>
              <w:rPr>
                <w:rFonts w:ascii="Arial" w:hAnsi="Arial"/>
                <w:b/>
                <w:sz w:val="16"/>
              </w:rPr>
              <w:t>Cifras</w:t>
            </w:r>
          </w:p>
          <w:p w:rsidR="00000000" w:rsidRDefault="00000000">
            <w:pPr>
              <w:jc w:val="center"/>
              <w:rPr>
                <w:rFonts w:ascii="Arial" w:hAnsi="Arial"/>
                <w:b/>
                <w:sz w:val="16"/>
              </w:rPr>
            </w:pPr>
            <w:r>
              <w:rPr>
                <w:rFonts w:ascii="Arial" w:hAnsi="Arial"/>
                <w:b/>
                <w:sz w:val="16"/>
              </w:rPr>
              <w:t>Absolutas</w:t>
            </w:r>
          </w:p>
        </w:tc>
        <w:tc>
          <w:tcPr>
            <w:tcW w:w="1134" w:type="dxa"/>
            <w:tcBorders>
              <w:top w:val="single" w:sz="4" w:space="0" w:color="auto"/>
              <w:bottom w:val="single" w:sz="4" w:space="0" w:color="auto"/>
            </w:tcBorders>
          </w:tcPr>
          <w:p w:rsidR="00000000" w:rsidRDefault="00000000">
            <w:pPr>
              <w:jc w:val="center"/>
              <w:rPr>
                <w:rFonts w:ascii="Arial" w:hAnsi="Arial"/>
                <w:b/>
                <w:sz w:val="16"/>
              </w:rPr>
            </w:pPr>
            <w:r>
              <w:rPr>
                <w:rFonts w:ascii="Arial" w:hAnsi="Arial"/>
                <w:b/>
                <w:sz w:val="16"/>
              </w:rPr>
              <w:t>Porcentaje</w:t>
            </w:r>
          </w:p>
          <w:p w:rsidR="00000000" w:rsidRDefault="00000000">
            <w:pPr>
              <w:jc w:val="center"/>
              <w:rPr>
                <w:rFonts w:ascii="Arial" w:hAnsi="Arial"/>
                <w:b/>
                <w:sz w:val="16"/>
              </w:rPr>
            </w:pPr>
            <w:r>
              <w:rPr>
                <w:rFonts w:ascii="Arial" w:hAnsi="Arial"/>
                <w:b/>
                <w:sz w:val="16"/>
              </w:rPr>
              <w:t>Sobre total</w:t>
            </w:r>
          </w:p>
        </w:tc>
        <w:tc>
          <w:tcPr>
            <w:tcW w:w="1134" w:type="dxa"/>
            <w:tcBorders>
              <w:top w:val="single" w:sz="4" w:space="0" w:color="auto"/>
              <w:bottom w:val="single" w:sz="4" w:space="0" w:color="auto"/>
            </w:tcBorders>
          </w:tcPr>
          <w:p w:rsidR="00000000" w:rsidRDefault="00000000">
            <w:pPr>
              <w:jc w:val="center"/>
              <w:rPr>
                <w:rFonts w:ascii="Arial" w:hAnsi="Arial"/>
                <w:b/>
                <w:sz w:val="16"/>
              </w:rPr>
            </w:pPr>
            <w:r>
              <w:rPr>
                <w:rFonts w:ascii="Arial" w:hAnsi="Arial"/>
                <w:b/>
                <w:sz w:val="16"/>
              </w:rPr>
              <w:t>Hombres</w:t>
            </w:r>
          </w:p>
          <w:p w:rsidR="00000000" w:rsidRDefault="00000000">
            <w:pPr>
              <w:jc w:val="center"/>
              <w:rPr>
                <w:rFonts w:ascii="Arial" w:hAnsi="Arial"/>
                <w:b/>
                <w:sz w:val="16"/>
              </w:rPr>
            </w:pPr>
            <w:r>
              <w:rPr>
                <w:rFonts w:ascii="Arial" w:hAnsi="Arial"/>
                <w:b/>
                <w:sz w:val="16"/>
              </w:rPr>
              <w:t>Absoluto</w:t>
            </w:r>
          </w:p>
        </w:tc>
        <w:tc>
          <w:tcPr>
            <w:tcW w:w="992" w:type="dxa"/>
            <w:tcBorders>
              <w:top w:val="single" w:sz="4" w:space="0" w:color="auto"/>
              <w:bottom w:val="single" w:sz="4" w:space="0" w:color="auto"/>
            </w:tcBorders>
          </w:tcPr>
          <w:p w:rsidR="00000000" w:rsidRDefault="00000000">
            <w:pPr>
              <w:jc w:val="center"/>
              <w:rPr>
                <w:rFonts w:ascii="Arial" w:hAnsi="Arial"/>
                <w:b/>
                <w:sz w:val="16"/>
              </w:rPr>
            </w:pPr>
            <w:r>
              <w:rPr>
                <w:rFonts w:ascii="Arial" w:hAnsi="Arial"/>
                <w:b/>
                <w:sz w:val="16"/>
              </w:rPr>
              <w:t>Mujeres</w:t>
            </w:r>
          </w:p>
          <w:p w:rsidR="00000000" w:rsidRDefault="00000000">
            <w:pPr>
              <w:jc w:val="center"/>
              <w:rPr>
                <w:rFonts w:ascii="Arial" w:hAnsi="Arial"/>
                <w:b/>
                <w:sz w:val="16"/>
              </w:rPr>
            </w:pPr>
            <w:r>
              <w:rPr>
                <w:rFonts w:ascii="Arial" w:hAnsi="Arial"/>
                <w:b/>
                <w:sz w:val="16"/>
              </w:rPr>
              <w:t>Absoluto</w:t>
            </w:r>
          </w:p>
        </w:tc>
      </w:tr>
      <w:tr w:rsidR="00000000">
        <w:tblPrEx>
          <w:tblCellMar>
            <w:top w:w="0" w:type="dxa"/>
            <w:bottom w:w="0" w:type="dxa"/>
          </w:tblCellMar>
        </w:tblPrEx>
        <w:trPr>
          <w:trHeight w:val="240"/>
          <w:jc w:val="center"/>
        </w:trPr>
        <w:tc>
          <w:tcPr>
            <w:tcW w:w="1559" w:type="dxa"/>
            <w:tcBorders>
              <w:top w:val="nil"/>
            </w:tcBorders>
          </w:tcPr>
          <w:p w:rsidR="00000000" w:rsidRDefault="00000000">
            <w:pPr>
              <w:rPr>
                <w:rFonts w:ascii="Arial" w:hAnsi="Arial"/>
                <w:sz w:val="16"/>
              </w:rPr>
            </w:pPr>
            <w:r>
              <w:rPr>
                <w:rFonts w:ascii="Arial" w:hAnsi="Arial"/>
                <w:sz w:val="16"/>
              </w:rPr>
              <w:t>Menos de 6 años</w:t>
            </w:r>
          </w:p>
        </w:tc>
        <w:tc>
          <w:tcPr>
            <w:tcW w:w="1134" w:type="dxa"/>
            <w:tcBorders>
              <w:top w:val="nil"/>
            </w:tcBorders>
          </w:tcPr>
          <w:p w:rsidR="00000000" w:rsidRDefault="00000000">
            <w:pPr>
              <w:jc w:val="center"/>
              <w:rPr>
                <w:rFonts w:ascii="Arial" w:hAnsi="Arial"/>
                <w:sz w:val="16"/>
              </w:rPr>
            </w:pPr>
            <w:r>
              <w:rPr>
                <w:rFonts w:ascii="Arial" w:hAnsi="Arial"/>
                <w:sz w:val="16"/>
              </w:rPr>
              <w:t xml:space="preserve">     49.577</w:t>
            </w:r>
          </w:p>
        </w:tc>
        <w:tc>
          <w:tcPr>
            <w:tcW w:w="1134" w:type="dxa"/>
            <w:tcBorders>
              <w:top w:val="nil"/>
            </w:tcBorders>
          </w:tcPr>
          <w:p w:rsidR="00000000" w:rsidRDefault="00000000">
            <w:pPr>
              <w:jc w:val="center"/>
              <w:rPr>
                <w:rFonts w:ascii="Arial" w:hAnsi="Arial"/>
                <w:sz w:val="16"/>
              </w:rPr>
            </w:pPr>
            <w:r>
              <w:rPr>
                <w:rFonts w:ascii="Arial" w:hAnsi="Arial"/>
                <w:sz w:val="16"/>
              </w:rPr>
              <w:t xml:space="preserve">  1,41</w:t>
            </w:r>
          </w:p>
        </w:tc>
        <w:tc>
          <w:tcPr>
            <w:tcW w:w="1134" w:type="dxa"/>
            <w:tcBorders>
              <w:top w:val="nil"/>
            </w:tcBorders>
          </w:tcPr>
          <w:p w:rsidR="00000000" w:rsidRDefault="00000000">
            <w:pPr>
              <w:jc w:val="center"/>
              <w:rPr>
                <w:rFonts w:ascii="Arial" w:hAnsi="Arial"/>
                <w:sz w:val="16"/>
              </w:rPr>
            </w:pPr>
            <w:r>
              <w:rPr>
                <w:rFonts w:ascii="Arial" w:hAnsi="Arial"/>
                <w:sz w:val="16"/>
              </w:rPr>
              <w:t xml:space="preserve">     24.723</w:t>
            </w:r>
          </w:p>
        </w:tc>
        <w:tc>
          <w:tcPr>
            <w:tcW w:w="992" w:type="dxa"/>
            <w:tcBorders>
              <w:top w:val="nil"/>
            </w:tcBorders>
          </w:tcPr>
          <w:p w:rsidR="00000000" w:rsidRDefault="00000000">
            <w:pPr>
              <w:jc w:val="center"/>
              <w:rPr>
                <w:rFonts w:ascii="Arial" w:hAnsi="Arial"/>
                <w:sz w:val="16"/>
              </w:rPr>
            </w:pPr>
            <w:r>
              <w:rPr>
                <w:rFonts w:ascii="Arial" w:hAnsi="Arial"/>
                <w:sz w:val="16"/>
              </w:rPr>
              <w:t xml:space="preserve">    24.853</w:t>
            </w:r>
          </w:p>
        </w:tc>
      </w:tr>
      <w:tr w:rsidR="00000000">
        <w:tblPrEx>
          <w:tblCellMar>
            <w:top w:w="0" w:type="dxa"/>
            <w:bottom w:w="0" w:type="dxa"/>
          </w:tblCellMar>
        </w:tblPrEx>
        <w:trPr>
          <w:trHeight w:val="240"/>
          <w:jc w:val="center"/>
        </w:trPr>
        <w:tc>
          <w:tcPr>
            <w:tcW w:w="1559" w:type="dxa"/>
          </w:tcPr>
          <w:p w:rsidR="00000000" w:rsidRDefault="00000000">
            <w:pPr>
              <w:rPr>
                <w:rFonts w:ascii="Arial" w:hAnsi="Arial"/>
                <w:sz w:val="16"/>
              </w:rPr>
            </w:pPr>
            <w:r>
              <w:rPr>
                <w:rFonts w:ascii="Arial" w:hAnsi="Arial"/>
                <w:sz w:val="16"/>
              </w:rPr>
              <w:t>De 6 a 15 años</w:t>
            </w:r>
          </w:p>
        </w:tc>
        <w:tc>
          <w:tcPr>
            <w:tcW w:w="1134" w:type="dxa"/>
          </w:tcPr>
          <w:p w:rsidR="00000000" w:rsidRDefault="00000000">
            <w:pPr>
              <w:jc w:val="center"/>
              <w:rPr>
                <w:rFonts w:ascii="Arial" w:hAnsi="Arial"/>
                <w:sz w:val="16"/>
              </w:rPr>
            </w:pPr>
            <w:r>
              <w:rPr>
                <w:rFonts w:ascii="Arial" w:hAnsi="Arial"/>
                <w:sz w:val="16"/>
              </w:rPr>
              <w:t xml:space="preserve">     68.284</w:t>
            </w:r>
          </w:p>
        </w:tc>
        <w:tc>
          <w:tcPr>
            <w:tcW w:w="1134" w:type="dxa"/>
          </w:tcPr>
          <w:p w:rsidR="00000000" w:rsidRDefault="00000000">
            <w:pPr>
              <w:jc w:val="center"/>
              <w:rPr>
                <w:rFonts w:ascii="Arial" w:hAnsi="Arial"/>
                <w:sz w:val="16"/>
              </w:rPr>
            </w:pPr>
            <w:r>
              <w:rPr>
                <w:rFonts w:ascii="Arial" w:hAnsi="Arial"/>
                <w:sz w:val="16"/>
              </w:rPr>
              <w:t xml:space="preserve">  1,94</w:t>
            </w:r>
          </w:p>
        </w:tc>
        <w:tc>
          <w:tcPr>
            <w:tcW w:w="1134" w:type="dxa"/>
          </w:tcPr>
          <w:p w:rsidR="00000000" w:rsidRDefault="00000000">
            <w:pPr>
              <w:jc w:val="center"/>
              <w:rPr>
                <w:rFonts w:ascii="Arial" w:hAnsi="Arial"/>
                <w:sz w:val="16"/>
              </w:rPr>
            </w:pPr>
            <w:r>
              <w:rPr>
                <w:rFonts w:ascii="Arial" w:hAnsi="Arial"/>
                <w:sz w:val="16"/>
              </w:rPr>
              <w:t xml:space="preserve">     36.060</w:t>
            </w:r>
          </w:p>
        </w:tc>
        <w:tc>
          <w:tcPr>
            <w:tcW w:w="992" w:type="dxa"/>
          </w:tcPr>
          <w:p w:rsidR="00000000" w:rsidRDefault="00000000">
            <w:pPr>
              <w:jc w:val="center"/>
              <w:rPr>
                <w:rFonts w:ascii="Arial" w:hAnsi="Arial"/>
                <w:sz w:val="16"/>
              </w:rPr>
            </w:pPr>
            <w:r>
              <w:rPr>
                <w:rFonts w:ascii="Arial" w:hAnsi="Arial"/>
                <w:sz w:val="16"/>
              </w:rPr>
              <w:t xml:space="preserve">    32.224</w:t>
            </w:r>
          </w:p>
        </w:tc>
      </w:tr>
      <w:tr w:rsidR="00000000">
        <w:tblPrEx>
          <w:tblCellMar>
            <w:top w:w="0" w:type="dxa"/>
            <w:bottom w:w="0" w:type="dxa"/>
          </w:tblCellMar>
        </w:tblPrEx>
        <w:trPr>
          <w:trHeight w:val="240"/>
          <w:jc w:val="center"/>
        </w:trPr>
        <w:tc>
          <w:tcPr>
            <w:tcW w:w="1559" w:type="dxa"/>
          </w:tcPr>
          <w:p w:rsidR="00000000" w:rsidRDefault="00000000">
            <w:pPr>
              <w:rPr>
                <w:rFonts w:ascii="Arial" w:hAnsi="Arial"/>
                <w:sz w:val="16"/>
              </w:rPr>
            </w:pPr>
            <w:r>
              <w:rPr>
                <w:rFonts w:ascii="Arial" w:hAnsi="Arial"/>
                <w:sz w:val="16"/>
              </w:rPr>
              <w:t>De 16 a 44 años</w:t>
            </w:r>
          </w:p>
        </w:tc>
        <w:tc>
          <w:tcPr>
            <w:tcW w:w="1134" w:type="dxa"/>
          </w:tcPr>
          <w:p w:rsidR="00000000" w:rsidRDefault="00000000">
            <w:pPr>
              <w:jc w:val="center"/>
              <w:rPr>
                <w:rFonts w:ascii="Arial" w:hAnsi="Arial"/>
                <w:sz w:val="16"/>
              </w:rPr>
            </w:pPr>
            <w:r>
              <w:rPr>
                <w:rFonts w:ascii="Arial" w:hAnsi="Arial"/>
                <w:sz w:val="16"/>
              </w:rPr>
              <w:t xml:space="preserve">   519.495</w:t>
            </w:r>
          </w:p>
        </w:tc>
        <w:tc>
          <w:tcPr>
            <w:tcW w:w="1134" w:type="dxa"/>
          </w:tcPr>
          <w:p w:rsidR="00000000" w:rsidRDefault="00000000">
            <w:pPr>
              <w:jc w:val="center"/>
              <w:rPr>
                <w:rFonts w:ascii="Arial" w:hAnsi="Arial"/>
                <w:sz w:val="16"/>
              </w:rPr>
            </w:pPr>
            <w:r>
              <w:rPr>
                <w:rFonts w:ascii="Arial" w:hAnsi="Arial"/>
                <w:sz w:val="16"/>
              </w:rPr>
              <w:t>14,72</w:t>
            </w:r>
          </w:p>
        </w:tc>
        <w:tc>
          <w:tcPr>
            <w:tcW w:w="1134" w:type="dxa"/>
          </w:tcPr>
          <w:p w:rsidR="00000000" w:rsidRDefault="00000000">
            <w:pPr>
              <w:jc w:val="center"/>
              <w:rPr>
                <w:rFonts w:ascii="Arial" w:hAnsi="Arial"/>
                <w:sz w:val="16"/>
              </w:rPr>
            </w:pPr>
            <w:r>
              <w:rPr>
                <w:rFonts w:ascii="Arial" w:hAnsi="Arial"/>
                <w:sz w:val="16"/>
              </w:rPr>
              <w:t xml:space="preserve">   298.726</w:t>
            </w:r>
          </w:p>
        </w:tc>
        <w:tc>
          <w:tcPr>
            <w:tcW w:w="992" w:type="dxa"/>
          </w:tcPr>
          <w:p w:rsidR="00000000" w:rsidRDefault="00000000">
            <w:pPr>
              <w:jc w:val="center"/>
              <w:rPr>
                <w:rFonts w:ascii="Arial" w:hAnsi="Arial"/>
                <w:sz w:val="16"/>
              </w:rPr>
            </w:pPr>
            <w:r>
              <w:rPr>
                <w:rFonts w:ascii="Arial" w:hAnsi="Arial"/>
                <w:sz w:val="16"/>
              </w:rPr>
              <w:t xml:space="preserve">   220.769</w:t>
            </w:r>
          </w:p>
        </w:tc>
      </w:tr>
      <w:tr w:rsidR="00000000">
        <w:tblPrEx>
          <w:tblCellMar>
            <w:top w:w="0" w:type="dxa"/>
            <w:bottom w:w="0" w:type="dxa"/>
          </w:tblCellMar>
        </w:tblPrEx>
        <w:trPr>
          <w:trHeight w:val="240"/>
          <w:jc w:val="center"/>
        </w:trPr>
        <w:tc>
          <w:tcPr>
            <w:tcW w:w="1559" w:type="dxa"/>
          </w:tcPr>
          <w:p w:rsidR="00000000" w:rsidRDefault="00000000">
            <w:pPr>
              <w:rPr>
                <w:rFonts w:ascii="Arial" w:hAnsi="Arial"/>
                <w:sz w:val="16"/>
              </w:rPr>
            </w:pPr>
            <w:r>
              <w:rPr>
                <w:rFonts w:ascii="Arial" w:hAnsi="Arial"/>
                <w:sz w:val="16"/>
              </w:rPr>
              <w:t>De 45 a 64 años</w:t>
            </w:r>
          </w:p>
        </w:tc>
        <w:tc>
          <w:tcPr>
            <w:tcW w:w="1134" w:type="dxa"/>
          </w:tcPr>
          <w:p w:rsidR="00000000" w:rsidRDefault="00000000">
            <w:pPr>
              <w:jc w:val="center"/>
              <w:rPr>
                <w:rFonts w:ascii="Arial" w:hAnsi="Arial"/>
                <w:sz w:val="16"/>
              </w:rPr>
            </w:pPr>
            <w:r>
              <w:rPr>
                <w:rFonts w:ascii="Arial" w:hAnsi="Arial"/>
                <w:sz w:val="16"/>
              </w:rPr>
              <w:t xml:space="preserve">   818.213</w:t>
            </w:r>
          </w:p>
        </w:tc>
        <w:tc>
          <w:tcPr>
            <w:tcW w:w="1134" w:type="dxa"/>
          </w:tcPr>
          <w:p w:rsidR="00000000" w:rsidRDefault="00000000">
            <w:pPr>
              <w:jc w:val="center"/>
              <w:rPr>
                <w:rFonts w:ascii="Arial" w:hAnsi="Arial"/>
                <w:sz w:val="16"/>
              </w:rPr>
            </w:pPr>
            <w:r>
              <w:rPr>
                <w:rFonts w:ascii="Arial" w:hAnsi="Arial"/>
                <w:sz w:val="16"/>
              </w:rPr>
              <w:t>23,19</w:t>
            </w:r>
          </w:p>
        </w:tc>
        <w:tc>
          <w:tcPr>
            <w:tcW w:w="1134" w:type="dxa"/>
          </w:tcPr>
          <w:p w:rsidR="00000000" w:rsidRDefault="00000000">
            <w:pPr>
              <w:jc w:val="center"/>
              <w:rPr>
                <w:rFonts w:ascii="Arial" w:hAnsi="Arial"/>
                <w:sz w:val="16"/>
              </w:rPr>
            </w:pPr>
            <w:r>
              <w:rPr>
                <w:rFonts w:ascii="Arial" w:hAnsi="Arial"/>
                <w:sz w:val="16"/>
              </w:rPr>
              <w:t xml:space="preserve">   379.652</w:t>
            </w:r>
          </w:p>
        </w:tc>
        <w:tc>
          <w:tcPr>
            <w:tcW w:w="992" w:type="dxa"/>
          </w:tcPr>
          <w:p w:rsidR="00000000" w:rsidRDefault="00000000">
            <w:pPr>
              <w:jc w:val="center"/>
              <w:rPr>
                <w:rFonts w:ascii="Arial" w:hAnsi="Arial"/>
                <w:sz w:val="16"/>
              </w:rPr>
            </w:pPr>
            <w:r>
              <w:rPr>
                <w:rFonts w:ascii="Arial" w:hAnsi="Arial"/>
                <w:sz w:val="16"/>
              </w:rPr>
              <w:t xml:space="preserve">   438.561</w:t>
            </w:r>
          </w:p>
        </w:tc>
      </w:tr>
      <w:tr w:rsidR="00000000">
        <w:tblPrEx>
          <w:tblCellMar>
            <w:top w:w="0" w:type="dxa"/>
            <w:bottom w:w="0" w:type="dxa"/>
          </w:tblCellMar>
        </w:tblPrEx>
        <w:trPr>
          <w:trHeight w:val="240"/>
          <w:jc w:val="center"/>
        </w:trPr>
        <w:tc>
          <w:tcPr>
            <w:tcW w:w="1559" w:type="dxa"/>
          </w:tcPr>
          <w:p w:rsidR="00000000" w:rsidRDefault="00000000">
            <w:pPr>
              <w:rPr>
                <w:rFonts w:ascii="Arial" w:hAnsi="Arial"/>
                <w:sz w:val="16"/>
              </w:rPr>
            </w:pPr>
            <w:r>
              <w:rPr>
                <w:rFonts w:ascii="Arial" w:hAnsi="Arial"/>
                <w:sz w:val="16"/>
              </w:rPr>
              <w:t>De 65 y más años</w:t>
            </w:r>
          </w:p>
        </w:tc>
        <w:tc>
          <w:tcPr>
            <w:tcW w:w="1134" w:type="dxa"/>
          </w:tcPr>
          <w:p w:rsidR="00000000" w:rsidRDefault="00000000">
            <w:pPr>
              <w:jc w:val="center"/>
              <w:rPr>
                <w:rFonts w:ascii="Arial" w:hAnsi="Arial"/>
                <w:sz w:val="16"/>
              </w:rPr>
            </w:pPr>
            <w:r>
              <w:rPr>
                <w:rFonts w:ascii="Arial" w:hAnsi="Arial"/>
                <w:sz w:val="16"/>
              </w:rPr>
              <w:t>2.072.652</w:t>
            </w:r>
          </w:p>
        </w:tc>
        <w:tc>
          <w:tcPr>
            <w:tcW w:w="1134" w:type="dxa"/>
          </w:tcPr>
          <w:p w:rsidR="00000000" w:rsidRDefault="00000000">
            <w:pPr>
              <w:jc w:val="center"/>
              <w:rPr>
                <w:rFonts w:ascii="Arial" w:hAnsi="Arial"/>
                <w:sz w:val="16"/>
              </w:rPr>
            </w:pPr>
            <w:r>
              <w:rPr>
                <w:rFonts w:ascii="Arial" w:hAnsi="Arial"/>
                <w:sz w:val="16"/>
              </w:rPr>
              <w:t>58,74</w:t>
            </w:r>
          </w:p>
        </w:tc>
        <w:tc>
          <w:tcPr>
            <w:tcW w:w="1134" w:type="dxa"/>
          </w:tcPr>
          <w:p w:rsidR="00000000" w:rsidRDefault="00000000">
            <w:pPr>
              <w:jc w:val="center"/>
              <w:rPr>
                <w:rFonts w:ascii="Arial" w:hAnsi="Arial"/>
                <w:sz w:val="16"/>
              </w:rPr>
            </w:pPr>
            <w:r>
              <w:rPr>
                <w:rFonts w:ascii="Arial" w:hAnsi="Arial"/>
                <w:sz w:val="16"/>
              </w:rPr>
              <w:t xml:space="preserve">   733.809</w:t>
            </w:r>
          </w:p>
        </w:tc>
        <w:tc>
          <w:tcPr>
            <w:tcW w:w="992" w:type="dxa"/>
          </w:tcPr>
          <w:p w:rsidR="00000000" w:rsidRDefault="00000000">
            <w:pPr>
              <w:jc w:val="center"/>
              <w:rPr>
                <w:rFonts w:ascii="Arial" w:hAnsi="Arial"/>
                <w:sz w:val="16"/>
              </w:rPr>
            </w:pPr>
            <w:r>
              <w:rPr>
                <w:rFonts w:ascii="Arial" w:hAnsi="Arial"/>
                <w:sz w:val="16"/>
              </w:rPr>
              <w:t>1.333.843</w:t>
            </w:r>
          </w:p>
        </w:tc>
      </w:tr>
      <w:tr w:rsidR="00000000">
        <w:tblPrEx>
          <w:tblCellMar>
            <w:top w:w="0" w:type="dxa"/>
            <w:bottom w:w="0" w:type="dxa"/>
          </w:tblCellMar>
        </w:tblPrEx>
        <w:trPr>
          <w:trHeight w:val="240"/>
          <w:jc w:val="center"/>
        </w:trPr>
        <w:tc>
          <w:tcPr>
            <w:tcW w:w="1559" w:type="dxa"/>
          </w:tcPr>
          <w:p w:rsidR="00000000" w:rsidRDefault="00000000">
            <w:pPr>
              <w:jc w:val="center"/>
              <w:rPr>
                <w:rFonts w:ascii="Arial" w:hAnsi="Arial"/>
                <w:b/>
                <w:sz w:val="16"/>
              </w:rPr>
            </w:pPr>
            <w:r>
              <w:rPr>
                <w:rFonts w:ascii="Arial" w:hAnsi="Arial"/>
                <w:b/>
                <w:sz w:val="16"/>
              </w:rPr>
              <w:t>TOTAL</w:t>
            </w:r>
          </w:p>
        </w:tc>
        <w:tc>
          <w:tcPr>
            <w:tcW w:w="1134" w:type="dxa"/>
          </w:tcPr>
          <w:p w:rsidR="00000000" w:rsidRDefault="00000000">
            <w:pPr>
              <w:jc w:val="center"/>
              <w:rPr>
                <w:rFonts w:ascii="Arial" w:hAnsi="Arial"/>
                <w:b/>
                <w:sz w:val="16"/>
              </w:rPr>
            </w:pPr>
            <w:r>
              <w:rPr>
                <w:rFonts w:ascii="Arial" w:hAnsi="Arial"/>
                <w:b/>
                <w:sz w:val="16"/>
              </w:rPr>
              <w:t>3.528.221</w:t>
            </w:r>
          </w:p>
        </w:tc>
        <w:tc>
          <w:tcPr>
            <w:tcW w:w="1134" w:type="dxa"/>
          </w:tcPr>
          <w:p w:rsidR="00000000" w:rsidRDefault="00000000">
            <w:pPr>
              <w:jc w:val="center"/>
              <w:rPr>
                <w:rFonts w:ascii="Arial" w:hAnsi="Arial"/>
                <w:b/>
                <w:sz w:val="16"/>
              </w:rPr>
            </w:pPr>
            <w:r>
              <w:rPr>
                <w:rFonts w:ascii="Arial" w:hAnsi="Arial"/>
                <w:b/>
                <w:sz w:val="16"/>
              </w:rPr>
              <w:t>100</w:t>
            </w:r>
          </w:p>
        </w:tc>
        <w:tc>
          <w:tcPr>
            <w:tcW w:w="1134" w:type="dxa"/>
          </w:tcPr>
          <w:p w:rsidR="00000000" w:rsidRDefault="00000000">
            <w:pPr>
              <w:jc w:val="center"/>
              <w:rPr>
                <w:rFonts w:ascii="Arial" w:hAnsi="Arial"/>
                <w:b/>
                <w:sz w:val="16"/>
              </w:rPr>
            </w:pPr>
            <w:r>
              <w:rPr>
                <w:rFonts w:ascii="Arial" w:hAnsi="Arial"/>
                <w:b/>
                <w:sz w:val="16"/>
              </w:rPr>
              <w:t>1.472.970</w:t>
            </w:r>
          </w:p>
        </w:tc>
        <w:tc>
          <w:tcPr>
            <w:tcW w:w="992" w:type="dxa"/>
          </w:tcPr>
          <w:p w:rsidR="00000000" w:rsidRDefault="00000000">
            <w:pPr>
              <w:jc w:val="center"/>
              <w:rPr>
                <w:rFonts w:ascii="Arial" w:hAnsi="Arial"/>
                <w:b/>
                <w:sz w:val="16"/>
              </w:rPr>
            </w:pPr>
            <w:r>
              <w:rPr>
                <w:rFonts w:ascii="Arial" w:hAnsi="Arial"/>
                <w:b/>
                <w:sz w:val="16"/>
              </w:rPr>
              <w:t>2.055.251</w:t>
            </w:r>
          </w:p>
        </w:tc>
      </w:tr>
    </w:tbl>
    <w:p w:rsidR="00000000" w:rsidRDefault="00000000">
      <w:pPr>
        <w:ind w:left="1899" w:right="1930"/>
        <w:jc w:val="both"/>
        <w:rPr>
          <w:rFonts w:ascii="Arial" w:hAnsi="Arial"/>
          <w:sz w:val="16"/>
        </w:rPr>
      </w:pPr>
      <w:r>
        <w:rPr>
          <w:rFonts w:ascii="Arial" w:hAnsi="Arial"/>
          <w:sz w:val="16"/>
        </w:rPr>
        <w:t>Fuente: INE, Encuesta sobre Discapacidades, Deficiencias y Estado de Salud. Avance de resultados. Datos</w:t>
      </w:r>
    </w:p>
    <w:p w:rsidR="00000000" w:rsidRDefault="00000000">
      <w:pPr>
        <w:jc w:val="both"/>
        <w:rPr>
          <w:rFonts w:ascii="Arial" w:hAnsi="Arial"/>
        </w:rPr>
      </w:pPr>
    </w:p>
    <w:p w:rsidR="00000000" w:rsidRDefault="00000000">
      <w:pPr>
        <w:jc w:val="center"/>
        <w:rPr>
          <w:rFonts w:ascii="Arial" w:hAnsi="Arial"/>
          <w:b/>
          <w:sz w:val="16"/>
        </w:rPr>
      </w:pPr>
      <w:r>
        <w:rPr>
          <w:rFonts w:ascii="Arial" w:hAnsi="Arial"/>
        </w:rPr>
        <w:br w:type="page"/>
      </w:r>
      <w:r>
        <w:rPr>
          <w:rFonts w:ascii="Arial" w:hAnsi="Arial"/>
          <w:b/>
          <w:sz w:val="16"/>
        </w:rPr>
        <w:t>Personas con Discapacidades según Género y Grupos de Edad</w:t>
      </w:r>
    </w:p>
    <w:p w:rsidR="00000000" w:rsidRDefault="00000000">
      <w:pPr>
        <w:jc w:val="center"/>
        <w:rPr>
          <w:rFonts w:ascii="Arial" w:hAnsi="Arial"/>
          <w:b/>
          <w:sz w:val="16"/>
        </w:rPr>
      </w:pPr>
      <w:r>
        <w:rPr>
          <w:rFonts w:ascii="Arial" w:hAnsi="Arial"/>
          <w:b/>
          <w:sz w:val="16"/>
        </w:rPr>
        <w:t>Tasa por 1.000 habitantes</w:t>
      </w:r>
    </w:p>
    <w:p w:rsidR="00000000" w:rsidRDefault="00000000">
      <w:pPr>
        <w:jc w:val="center"/>
        <w:rPr>
          <w:rFonts w:ascii="Arial" w:hAnsi="Arial"/>
          <w:b/>
          <w:sz w:val="16"/>
        </w:rPr>
      </w:pP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842"/>
        <w:gridCol w:w="1560"/>
        <w:gridCol w:w="1417"/>
      </w:tblGrid>
      <w:tr w:rsidR="00000000">
        <w:tblPrEx>
          <w:tblCellMar>
            <w:top w:w="0" w:type="dxa"/>
            <w:bottom w:w="0" w:type="dxa"/>
          </w:tblCellMar>
        </w:tblPrEx>
        <w:trPr>
          <w:jc w:val="center"/>
        </w:trPr>
        <w:tc>
          <w:tcPr>
            <w:tcW w:w="1842" w:type="dxa"/>
            <w:tcBorders>
              <w:top w:val="single" w:sz="12" w:space="0" w:color="auto"/>
              <w:bottom w:val="single" w:sz="12" w:space="0" w:color="auto"/>
              <w:right w:val="single" w:sz="12" w:space="0" w:color="auto"/>
            </w:tcBorders>
          </w:tcPr>
          <w:p w:rsidR="00000000" w:rsidRDefault="00000000">
            <w:pPr>
              <w:pStyle w:val="Heading4"/>
              <w:ind w:left="0"/>
              <w:jc w:val="center"/>
              <w:rPr>
                <w:sz w:val="18"/>
              </w:rPr>
            </w:pPr>
            <w:r>
              <w:rPr>
                <w:sz w:val="18"/>
              </w:rPr>
              <w:t>Grupo de Edad</w:t>
            </w:r>
          </w:p>
        </w:tc>
        <w:tc>
          <w:tcPr>
            <w:tcW w:w="1560" w:type="dxa"/>
            <w:tcBorders>
              <w:top w:val="single" w:sz="12" w:space="0" w:color="auto"/>
              <w:left w:val="single" w:sz="12" w:space="0" w:color="auto"/>
              <w:bottom w:val="single" w:sz="12" w:space="0" w:color="auto"/>
              <w:right w:val="single" w:sz="12" w:space="0" w:color="auto"/>
            </w:tcBorders>
          </w:tcPr>
          <w:p w:rsidR="00000000" w:rsidRDefault="00000000">
            <w:pPr>
              <w:jc w:val="center"/>
              <w:rPr>
                <w:rFonts w:ascii="Arial" w:hAnsi="Arial"/>
                <w:b/>
                <w:sz w:val="18"/>
              </w:rPr>
            </w:pPr>
            <w:r>
              <w:rPr>
                <w:rFonts w:ascii="Arial" w:hAnsi="Arial"/>
                <w:b/>
                <w:sz w:val="18"/>
              </w:rPr>
              <w:t>Hombres</w:t>
            </w:r>
          </w:p>
        </w:tc>
        <w:tc>
          <w:tcPr>
            <w:tcW w:w="1417" w:type="dxa"/>
            <w:tcBorders>
              <w:top w:val="single" w:sz="12" w:space="0" w:color="auto"/>
              <w:left w:val="single" w:sz="12" w:space="0" w:color="auto"/>
              <w:bottom w:val="single" w:sz="12" w:space="0" w:color="auto"/>
            </w:tcBorders>
          </w:tcPr>
          <w:p w:rsidR="00000000" w:rsidRDefault="00000000">
            <w:pPr>
              <w:jc w:val="center"/>
              <w:rPr>
                <w:rFonts w:ascii="Arial" w:hAnsi="Arial"/>
                <w:b/>
                <w:sz w:val="18"/>
              </w:rPr>
            </w:pPr>
            <w:r>
              <w:rPr>
                <w:rFonts w:ascii="Arial" w:hAnsi="Arial"/>
                <w:b/>
                <w:sz w:val="18"/>
              </w:rPr>
              <w:t>Mujeres</w:t>
            </w:r>
          </w:p>
        </w:tc>
      </w:tr>
      <w:tr w:rsidR="00000000">
        <w:tblPrEx>
          <w:tblCellMar>
            <w:top w:w="0" w:type="dxa"/>
            <w:bottom w:w="0" w:type="dxa"/>
          </w:tblCellMar>
        </w:tblPrEx>
        <w:trPr>
          <w:jc w:val="center"/>
        </w:trPr>
        <w:tc>
          <w:tcPr>
            <w:tcW w:w="1842" w:type="dxa"/>
            <w:tcBorders>
              <w:top w:val="nil"/>
            </w:tcBorders>
          </w:tcPr>
          <w:p w:rsidR="00000000" w:rsidRDefault="00000000">
            <w:pPr>
              <w:rPr>
                <w:rFonts w:ascii="Arial" w:hAnsi="Arial"/>
                <w:sz w:val="18"/>
              </w:rPr>
            </w:pPr>
            <w:r>
              <w:rPr>
                <w:rFonts w:ascii="Arial" w:hAnsi="Arial"/>
                <w:sz w:val="18"/>
              </w:rPr>
              <w:t>Menos de 6 años</w:t>
            </w:r>
          </w:p>
        </w:tc>
        <w:tc>
          <w:tcPr>
            <w:tcW w:w="1560" w:type="dxa"/>
            <w:tcBorders>
              <w:top w:val="nil"/>
            </w:tcBorders>
          </w:tcPr>
          <w:p w:rsidR="00000000" w:rsidRDefault="00000000">
            <w:pPr>
              <w:jc w:val="center"/>
              <w:rPr>
                <w:rFonts w:ascii="Arial" w:hAnsi="Arial"/>
                <w:sz w:val="18"/>
              </w:rPr>
            </w:pPr>
            <w:r>
              <w:rPr>
                <w:rFonts w:ascii="Arial" w:hAnsi="Arial"/>
                <w:sz w:val="18"/>
              </w:rPr>
              <w:t xml:space="preserve">  21,71</w:t>
            </w:r>
          </w:p>
        </w:tc>
        <w:tc>
          <w:tcPr>
            <w:tcW w:w="1417" w:type="dxa"/>
            <w:tcBorders>
              <w:top w:val="nil"/>
            </w:tcBorders>
          </w:tcPr>
          <w:p w:rsidR="00000000" w:rsidRDefault="00000000">
            <w:pPr>
              <w:jc w:val="center"/>
              <w:rPr>
                <w:rFonts w:ascii="Arial" w:hAnsi="Arial"/>
                <w:sz w:val="18"/>
              </w:rPr>
            </w:pPr>
            <w:r>
              <w:rPr>
                <w:rFonts w:ascii="Arial" w:hAnsi="Arial"/>
                <w:sz w:val="18"/>
              </w:rPr>
              <w:t xml:space="preserve">  23,21</w:t>
            </w:r>
          </w:p>
        </w:tc>
      </w:tr>
      <w:tr w:rsidR="00000000">
        <w:tblPrEx>
          <w:tblCellMar>
            <w:top w:w="0" w:type="dxa"/>
            <w:bottom w:w="0" w:type="dxa"/>
          </w:tblCellMar>
        </w:tblPrEx>
        <w:trPr>
          <w:jc w:val="center"/>
        </w:trPr>
        <w:tc>
          <w:tcPr>
            <w:tcW w:w="1842" w:type="dxa"/>
          </w:tcPr>
          <w:p w:rsidR="00000000" w:rsidRDefault="00000000">
            <w:pPr>
              <w:rPr>
                <w:rFonts w:ascii="Arial" w:hAnsi="Arial"/>
                <w:sz w:val="18"/>
              </w:rPr>
            </w:pPr>
            <w:r>
              <w:rPr>
                <w:rFonts w:ascii="Arial" w:hAnsi="Arial"/>
                <w:sz w:val="18"/>
              </w:rPr>
              <w:t>De 6 a 15 años</w:t>
            </w:r>
          </w:p>
        </w:tc>
        <w:tc>
          <w:tcPr>
            <w:tcW w:w="1560" w:type="dxa"/>
          </w:tcPr>
          <w:p w:rsidR="00000000" w:rsidRDefault="00000000">
            <w:pPr>
              <w:jc w:val="center"/>
              <w:rPr>
                <w:rFonts w:ascii="Arial" w:hAnsi="Arial"/>
                <w:sz w:val="18"/>
              </w:rPr>
            </w:pPr>
            <w:r>
              <w:rPr>
                <w:rFonts w:ascii="Arial" w:hAnsi="Arial"/>
                <w:sz w:val="18"/>
              </w:rPr>
              <w:t xml:space="preserve">  16,72</w:t>
            </w:r>
          </w:p>
        </w:tc>
        <w:tc>
          <w:tcPr>
            <w:tcW w:w="1417" w:type="dxa"/>
          </w:tcPr>
          <w:p w:rsidR="00000000" w:rsidRDefault="00000000">
            <w:pPr>
              <w:jc w:val="center"/>
              <w:rPr>
                <w:rFonts w:ascii="Arial" w:hAnsi="Arial"/>
                <w:sz w:val="18"/>
              </w:rPr>
            </w:pPr>
            <w:r>
              <w:rPr>
                <w:rFonts w:ascii="Arial" w:hAnsi="Arial"/>
                <w:sz w:val="18"/>
              </w:rPr>
              <w:t xml:space="preserve">  15,83</w:t>
            </w:r>
          </w:p>
        </w:tc>
      </w:tr>
      <w:tr w:rsidR="00000000">
        <w:tblPrEx>
          <w:tblCellMar>
            <w:top w:w="0" w:type="dxa"/>
            <w:bottom w:w="0" w:type="dxa"/>
          </w:tblCellMar>
        </w:tblPrEx>
        <w:trPr>
          <w:jc w:val="center"/>
        </w:trPr>
        <w:tc>
          <w:tcPr>
            <w:tcW w:w="1842" w:type="dxa"/>
          </w:tcPr>
          <w:p w:rsidR="00000000" w:rsidRDefault="00000000">
            <w:pPr>
              <w:rPr>
                <w:rFonts w:ascii="Arial" w:hAnsi="Arial"/>
                <w:sz w:val="18"/>
              </w:rPr>
            </w:pPr>
            <w:r>
              <w:rPr>
                <w:rFonts w:ascii="Arial" w:hAnsi="Arial"/>
                <w:sz w:val="18"/>
              </w:rPr>
              <w:t>De 16 a 44 años</w:t>
            </w:r>
          </w:p>
        </w:tc>
        <w:tc>
          <w:tcPr>
            <w:tcW w:w="1560" w:type="dxa"/>
          </w:tcPr>
          <w:p w:rsidR="00000000" w:rsidRDefault="00000000">
            <w:pPr>
              <w:jc w:val="center"/>
              <w:rPr>
                <w:rFonts w:ascii="Arial" w:hAnsi="Arial"/>
                <w:sz w:val="18"/>
              </w:rPr>
            </w:pPr>
            <w:r>
              <w:rPr>
                <w:rFonts w:ascii="Arial" w:hAnsi="Arial"/>
                <w:sz w:val="18"/>
              </w:rPr>
              <w:t xml:space="preserve">  33,32</w:t>
            </w:r>
          </w:p>
        </w:tc>
        <w:tc>
          <w:tcPr>
            <w:tcW w:w="1417" w:type="dxa"/>
          </w:tcPr>
          <w:p w:rsidR="00000000" w:rsidRDefault="00000000">
            <w:pPr>
              <w:jc w:val="center"/>
              <w:rPr>
                <w:rFonts w:ascii="Arial" w:hAnsi="Arial"/>
                <w:sz w:val="18"/>
              </w:rPr>
            </w:pPr>
            <w:r>
              <w:rPr>
                <w:rFonts w:ascii="Arial" w:hAnsi="Arial"/>
                <w:sz w:val="18"/>
              </w:rPr>
              <w:t xml:space="preserve">  25,26</w:t>
            </w:r>
          </w:p>
        </w:tc>
      </w:tr>
      <w:tr w:rsidR="00000000">
        <w:tblPrEx>
          <w:tblCellMar>
            <w:top w:w="0" w:type="dxa"/>
            <w:bottom w:w="0" w:type="dxa"/>
          </w:tblCellMar>
        </w:tblPrEx>
        <w:trPr>
          <w:jc w:val="center"/>
        </w:trPr>
        <w:tc>
          <w:tcPr>
            <w:tcW w:w="1842" w:type="dxa"/>
          </w:tcPr>
          <w:p w:rsidR="00000000" w:rsidRDefault="00000000">
            <w:pPr>
              <w:rPr>
                <w:rFonts w:ascii="Arial" w:hAnsi="Arial"/>
                <w:sz w:val="18"/>
              </w:rPr>
            </w:pPr>
            <w:r>
              <w:rPr>
                <w:rFonts w:ascii="Arial" w:hAnsi="Arial"/>
                <w:sz w:val="18"/>
              </w:rPr>
              <w:t>De 45 a 64 años</w:t>
            </w:r>
          </w:p>
        </w:tc>
        <w:tc>
          <w:tcPr>
            <w:tcW w:w="1560" w:type="dxa"/>
          </w:tcPr>
          <w:p w:rsidR="00000000" w:rsidRDefault="00000000">
            <w:pPr>
              <w:jc w:val="center"/>
              <w:rPr>
                <w:rFonts w:ascii="Arial" w:hAnsi="Arial"/>
                <w:sz w:val="18"/>
              </w:rPr>
            </w:pPr>
            <w:r>
              <w:rPr>
                <w:rFonts w:ascii="Arial" w:hAnsi="Arial"/>
                <w:sz w:val="18"/>
              </w:rPr>
              <w:t xml:space="preserve">  89,10</w:t>
            </w:r>
          </w:p>
        </w:tc>
        <w:tc>
          <w:tcPr>
            <w:tcW w:w="1417" w:type="dxa"/>
          </w:tcPr>
          <w:p w:rsidR="00000000" w:rsidRDefault="00000000">
            <w:pPr>
              <w:jc w:val="center"/>
              <w:rPr>
                <w:rFonts w:ascii="Arial" w:hAnsi="Arial"/>
                <w:sz w:val="18"/>
              </w:rPr>
            </w:pPr>
            <w:r>
              <w:rPr>
                <w:rFonts w:ascii="Arial" w:hAnsi="Arial"/>
                <w:sz w:val="18"/>
              </w:rPr>
              <w:t xml:space="preserve">  98,67</w:t>
            </w:r>
          </w:p>
        </w:tc>
      </w:tr>
      <w:tr w:rsidR="00000000">
        <w:tblPrEx>
          <w:tblCellMar>
            <w:top w:w="0" w:type="dxa"/>
            <w:bottom w:w="0" w:type="dxa"/>
          </w:tblCellMar>
        </w:tblPrEx>
        <w:trPr>
          <w:jc w:val="center"/>
        </w:trPr>
        <w:tc>
          <w:tcPr>
            <w:tcW w:w="1842" w:type="dxa"/>
          </w:tcPr>
          <w:p w:rsidR="00000000" w:rsidRDefault="00000000">
            <w:pPr>
              <w:rPr>
                <w:rFonts w:ascii="Arial" w:hAnsi="Arial"/>
                <w:sz w:val="18"/>
              </w:rPr>
            </w:pPr>
            <w:r>
              <w:rPr>
                <w:rFonts w:ascii="Arial" w:hAnsi="Arial"/>
                <w:sz w:val="18"/>
              </w:rPr>
              <w:t>De 65 y más años</w:t>
            </w:r>
          </w:p>
        </w:tc>
        <w:tc>
          <w:tcPr>
            <w:tcW w:w="1560" w:type="dxa"/>
          </w:tcPr>
          <w:p w:rsidR="00000000" w:rsidRDefault="00000000">
            <w:pPr>
              <w:jc w:val="center"/>
              <w:rPr>
                <w:rFonts w:ascii="Arial" w:hAnsi="Arial"/>
                <w:sz w:val="18"/>
              </w:rPr>
            </w:pPr>
            <w:r>
              <w:rPr>
                <w:rFonts w:ascii="Arial" w:hAnsi="Arial"/>
                <w:sz w:val="18"/>
              </w:rPr>
              <w:t>246,93</w:t>
            </w:r>
          </w:p>
        </w:tc>
        <w:tc>
          <w:tcPr>
            <w:tcW w:w="1417" w:type="dxa"/>
          </w:tcPr>
          <w:p w:rsidR="00000000" w:rsidRDefault="00000000">
            <w:pPr>
              <w:jc w:val="center"/>
              <w:rPr>
                <w:rFonts w:ascii="Arial" w:hAnsi="Arial"/>
                <w:sz w:val="18"/>
              </w:rPr>
            </w:pPr>
            <w:r>
              <w:rPr>
                <w:rFonts w:ascii="Arial" w:hAnsi="Arial"/>
                <w:sz w:val="18"/>
              </w:rPr>
              <w:t>322,51</w:t>
            </w:r>
          </w:p>
        </w:tc>
      </w:tr>
      <w:tr w:rsidR="00000000">
        <w:tblPrEx>
          <w:tblCellMar>
            <w:top w:w="0" w:type="dxa"/>
            <w:bottom w:w="0" w:type="dxa"/>
          </w:tblCellMar>
        </w:tblPrEx>
        <w:trPr>
          <w:jc w:val="center"/>
        </w:trPr>
        <w:tc>
          <w:tcPr>
            <w:tcW w:w="1842" w:type="dxa"/>
          </w:tcPr>
          <w:p w:rsidR="00000000" w:rsidRDefault="00000000">
            <w:pPr>
              <w:rPr>
                <w:rFonts w:ascii="Arial" w:hAnsi="Arial"/>
                <w:b/>
                <w:sz w:val="18"/>
              </w:rPr>
            </w:pPr>
            <w:r>
              <w:rPr>
                <w:rFonts w:ascii="Arial" w:hAnsi="Arial"/>
                <w:b/>
                <w:sz w:val="18"/>
              </w:rPr>
              <w:t>TOTAL</w:t>
            </w:r>
          </w:p>
        </w:tc>
        <w:tc>
          <w:tcPr>
            <w:tcW w:w="1560" w:type="dxa"/>
          </w:tcPr>
          <w:p w:rsidR="00000000" w:rsidRDefault="00000000">
            <w:pPr>
              <w:jc w:val="center"/>
              <w:rPr>
                <w:rFonts w:ascii="Arial" w:hAnsi="Arial"/>
                <w:b/>
                <w:sz w:val="18"/>
              </w:rPr>
            </w:pPr>
            <w:r>
              <w:rPr>
                <w:rFonts w:ascii="Arial" w:hAnsi="Arial"/>
                <w:b/>
                <w:sz w:val="18"/>
              </w:rPr>
              <w:t xml:space="preserve">  76,60</w:t>
            </w:r>
          </w:p>
        </w:tc>
        <w:tc>
          <w:tcPr>
            <w:tcW w:w="1417" w:type="dxa"/>
          </w:tcPr>
          <w:p w:rsidR="00000000" w:rsidRDefault="00000000">
            <w:pPr>
              <w:jc w:val="center"/>
              <w:rPr>
                <w:rFonts w:ascii="Arial" w:hAnsi="Arial"/>
                <w:b/>
                <w:sz w:val="18"/>
              </w:rPr>
            </w:pPr>
            <w:r>
              <w:rPr>
                <w:rFonts w:ascii="Arial" w:hAnsi="Arial"/>
                <w:b/>
                <w:sz w:val="18"/>
              </w:rPr>
              <w:t>102,67</w:t>
            </w:r>
          </w:p>
        </w:tc>
      </w:tr>
    </w:tbl>
    <w:p w:rsidR="00000000" w:rsidRDefault="00000000">
      <w:pPr>
        <w:jc w:val="center"/>
        <w:rPr>
          <w:b/>
        </w:rPr>
      </w:pPr>
    </w:p>
    <w:p w:rsidR="00000000" w:rsidRDefault="00000000">
      <w:pPr>
        <w:jc w:val="both"/>
        <w:rPr>
          <w:rFonts w:ascii="Arial" w:hAnsi="Arial"/>
        </w:rPr>
      </w:pPr>
    </w:p>
    <w:p w:rsidR="00000000" w:rsidRDefault="00000000">
      <w:pPr>
        <w:pStyle w:val="Heading9"/>
      </w:pPr>
      <w:r>
        <w:t xml:space="preserve">Mayores de 65 años </w:t>
      </w:r>
    </w:p>
    <w:p w:rsidR="00000000" w:rsidRDefault="00000000"/>
    <w:p w:rsidR="00000000" w:rsidRDefault="00000000">
      <w:pPr>
        <w:jc w:val="both"/>
        <w:rPr>
          <w:rFonts w:ascii="Arial" w:hAnsi="Arial"/>
        </w:rPr>
      </w:pPr>
      <w:r>
        <w:rPr>
          <w:rFonts w:ascii="Arial" w:hAnsi="Arial"/>
        </w:rPr>
        <w:t>Respecto de las personas mayores de 65, cabe señalar que los datos disponibles de la década de los años 90 muestran que algo más de un millón de personas de 65 y más años viven solas, lo que representa casi un 16% del total de ese colectivo de mayores.</w:t>
      </w:r>
    </w:p>
    <w:p w:rsidR="00000000" w:rsidRDefault="00000000">
      <w:pPr>
        <w:jc w:val="both"/>
        <w:rPr>
          <w:rFonts w:ascii="Arial" w:hAnsi="Arial"/>
        </w:rPr>
      </w:pPr>
    </w:p>
    <w:p w:rsidR="00000000" w:rsidRDefault="00000000">
      <w:pPr>
        <w:jc w:val="both"/>
        <w:rPr>
          <w:rFonts w:ascii="Arial" w:hAnsi="Arial"/>
        </w:rPr>
      </w:pPr>
      <w:r>
        <w:rPr>
          <w:rFonts w:ascii="Arial" w:hAnsi="Arial"/>
        </w:rPr>
        <w:t>Sin embargo, es un dato muy significativo que del total de mujeres de 65 y más años viven en soledad un 22%, frente al caso de los hombres en los que la proporción es de sólo el 7%. De hecho, como puede deducirse del cuadro siguiente, 4 de cada 5 personas mayores que viven en soledad son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Los resultados detallados de la </w:t>
      </w:r>
      <w:r>
        <w:rPr>
          <w:rFonts w:ascii="Arial" w:hAnsi="Arial"/>
          <w:b/>
        </w:rPr>
        <w:t>Encuesta sobre Discapacidades, Deficiencias y Estado</w:t>
      </w:r>
      <w:r>
        <w:rPr>
          <w:rFonts w:ascii="Arial" w:hAnsi="Arial"/>
        </w:rPr>
        <w:t xml:space="preserve"> </w:t>
      </w:r>
      <w:r>
        <w:rPr>
          <w:rFonts w:ascii="Arial" w:hAnsi="Arial"/>
          <w:b/>
        </w:rPr>
        <w:t>de Salud</w:t>
      </w:r>
      <w:r>
        <w:rPr>
          <w:rFonts w:ascii="Arial" w:hAnsi="Arial"/>
        </w:rPr>
        <w:t xml:space="preserve"> (EDDS) muestran que el cuidado principal de las personas de 80 y más años que residen en viviendas familiares recae, en el 40 % de los casos, en sus hijas. Sólo un 6% de los mayores tiene como cuidador principal a un hijo varón.</w:t>
      </w:r>
    </w:p>
    <w:p w:rsidR="00000000" w:rsidRDefault="00000000">
      <w:pPr>
        <w:jc w:val="center"/>
        <w:rPr>
          <w:rFonts w:ascii="Arial" w:hAnsi="Arial"/>
        </w:rPr>
      </w:pPr>
    </w:p>
    <w:p w:rsidR="00000000" w:rsidRDefault="00000000">
      <w:pPr>
        <w:pStyle w:val="Heading2"/>
        <w:jc w:val="center"/>
        <w:rPr>
          <w:rFonts w:ascii="Arial" w:hAnsi="Arial"/>
          <w:sz w:val="16"/>
        </w:rPr>
      </w:pPr>
      <w:r>
        <w:rPr>
          <w:rFonts w:ascii="Arial" w:hAnsi="Arial"/>
          <w:sz w:val="16"/>
        </w:rPr>
        <w:t>Personas de 65 y más años que viven solas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7"/>
        <w:gridCol w:w="1008"/>
        <w:gridCol w:w="1134"/>
        <w:gridCol w:w="1026"/>
        <w:gridCol w:w="1080"/>
        <w:gridCol w:w="1089"/>
      </w:tblGrid>
      <w:tr w:rsidR="00000000">
        <w:tblPrEx>
          <w:tblCellMar>
            <w:top w:w="0" w:type="dxa"/>
            <w:bottom w:w="0" w:type="dxa"/>
          </w:tblCellMar>
        </w:tblPrEx>
        <w:trPr>
          <w:jc w:val="center"/>
        </w:trPr>
        <w:tc>
          <w:tcPr>
            <w:tcW w:w="977" w:type="dxa"/>
          </w:tcPr>
          <w:p w:rsidR="00000000" w:rsidRDefault="00000000">
            <w:pPr>
              <w:jc w:val="center"/>
              <w:rPr>
                <w:rFonts w:ascii="Arial" w:hAnsi="Arial"/>
                <w:b/>
                <w:sz w:val="18"/>
              </w:rPr>
            </w:pPr>
          </w:p>
        </w:tc>
        <w:tc>
          <w:tcPr>
            <w:tcW w:w="1008" w:type="dxa"/>
          </w:tcPr>
          <w:p w:rsidR="00000000" w:rsidRDefault="00000000">
            <w:pPr>
              <w:jc w:val="center"/>
              <w:rPr>
                <w:rFonts w:ascii="Arial" w:hAnsi="Arial"/>
                <w:b/>
                <w:sz w:val="18"/>
              </w:rPr>
            </w:pPr>
            <w:r>
              <w:rPr>
                <w:rFonts w:ascii="Arial" w:hAnsi="Arial"/>
                <w:b/>
                <w:sz w:val="18"/>
              </w:rPr>
              <w:t>1990</w:t>
            </w:r>
          </w:p>
        </w:tc>
        <w:tc>
          <w:tcPr>
            <w:tcW w:w="1134" w:type="dxa"/>
          </w:tcPr>
          <w:p w:rsidR="00000000" w:rsidRDefault="00000000">
            <w:pPr>
              <w:jc w:val="center"/>
              <w:rPr>
                <w:rFonts w:ascii="Arial" w:hAnsi="Arial"/>
                <w:b/>
                <w:sz w:val="18"/>
              </w:rPr>
            </w:pPr>
            <w:r>
              <w:rPr>
                <w:rFonts w:ascii="Arial" w:hAnsi="Arial"/>
                <w:b/>
                <w:sz w:val="18"/>
              </w:rPr>
              <w:t>1995</w:t>
            </w:r>
          </w:p>
        </w:tc>
        <w:tc>
          <w:tcPr>
            <w:tcW w:w="1026" w:type="dxa"/>
          </w:tcPr>
          <w:p w:rsidR="00000000" w:rsidRDefault="00000000">
            <w:pPr>
              <w:jc w:val="center"/>
              <w:rPr>
                <w:rFonts w:ascii="Arial" w:hAnsi="Arial"/>
                <w:b/>
                <w:sz w:val="18"/>
              </w:rPr>
            </w:pPr>
            <w:r>
              <w:rPr>
                <w:rFonts w:ascii="Arial" w:hAnsi="Arial"/>
                <w:b/>
                <w:sz w:val="18"/>
              </w:rPr>
              <w:t>1996</w:t>
            </w:r>
          </w:p>
        </w:tc>
        <w:tc>
          <w:tcPr>
            <w:tcW w:w="1080" w:type="dxa"/>
          </w:tcPr>
          <w:p w:rsidR="00000000" w:rsidRDefault="00000000">
            <w:pPr>
              <w:jc w:val="center"/>
              <w:rPr>
                <w:rFonts w:ascii="Arial" w:hAnsi="Arial"/>
                <w:b/>
                <w:sz w:val="18"/>
              </w:rPr>
            </w:pPr>
            <w:r>
              <w:rPr>
                <w:rFonts w:ascii="Arial" w:hAnsi="Arial"/>
                <w:b/>
                <w:sz w:val="18"/>
              </w:rPr>
              <w:t>1997</w:t>
            </w:r>
          </w:p>
        </w:tc>
        <w:tc>
          <w:tcPr>
            <w:tcW w:w="1089" w:type="dxa"/>
          </w:tcPr>
          <w:p w:rsidR="00000000" w:rsidRDefault="00000000">
            <w:pPr>
              <w:jc w:val="center"/>
              <w:rPr>
                <w:rFonts w:ascii="Arial" w:hAnsi="Arial"/>
                <w:b/>
                <w:sz w:val="18"/>
              </w:rPr>
            </w:pPr>
            <w:r>
              <w:rPr>
                <w:rFonts w:ascii="Arial" w:hAnsi="Arial"/>
                <w:b/>
                <w:sz w:val="18"/>
              </w:rPr>
              <w:t>1999</w:t>
            </w:r>
            <w:r>
              <w:rPr>
                <w:rFonts w:ascii="Arial" w:hAnsi="Arial"/>
                <w:sz w:val="18"/>
              </w:rPr>
              <w:t>(1)</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Total</w:t>
            </w:r>
          </w:p>
        </w:tc>
        <w:tc>
          <w:tcPr>
            <w:tcW w:w="1008" w:type="dxa"/>
          </w:tcPr>
          <w:p w:rsidR="00000000" w:rsidRDefault="00000000">
            <w:pPr>
              <w:jc w:val="center"/>
              <w:rPr>
                <w:rFonts w:ascii="Arial" w:hAnsi="Arial"/>
                <w:sz w:val="18"/>
              </w:rPr>
            </w:pPr>
            <w:r>
              <w:rPr>
                <w:rFonts w:ascii="Arial" w:hAnsi="Arial"/>
                <w:sz w:val="18"/>
              </w:rPr>
              <w:t>819.900</w:t>
            </w:r>
          </w:p>
        </w:tc>
        <w:tc>
          <w:tcPr>
            <w:tcW w:w="1134" w:type="dxa"/>
          </w:tcPr>
          <w:p w:rsidR="00000000" w:rsidRDefault="00000000">
            <w:pPr>
              <w:jc w:val="center"/>
              <w:rPr>
                <w:rFonts w:ascii="Arial" w:hAnsi="Arial"/>
                <w:sz w:val="18"/>
              </w:rPr>
            </w:pPr>
            <w:r>
              <w:rPr>
                <w:rFonts w:ascii="Arial" w:hAnsi="Arial"/>
                <w:sz w:val="18"/>
              </w:rPr>
              <w:t>1.033.300</w:t>
            </w:r>
          </w:p>
        </w:tc>
        <w:tc>
          <w:tcPr>
            <w:tcW w:w="1026" w:type="dxa"/>
          </w:tcPr>
          <w:p w:rsidR="00000000" w:rsidRDefault="00000000">
            <w:pPr>
              <w:jc w:val="center"/>
              <w:rPr>
                <w:rFonts w:ascii="Arial" w:hAnsi="Arial"/>
                <w:sz w:val="18"/>
              </w:rPr>
            </w:pPr>
            <w:r>
              <w:rPr>
                <w:rFonts w:ascii="Arial" w:hAnsi="Arial"/>
                <w:sz w:val="18"/>
              </w:rPr>
              <w:t>1.002.400</w:t>
            </w:r>
          </w:p>
        </w:tc>
        <w:tc>
          <w:tcPr>
            <w:tcW w:w="1080" w:type="dxa"/>
          </w:tcPr>
          <w:p w:rsidR="00000000" w:rsidRDefault="00000000">
            <w:pPr>
              <w:jc w:val="center"/>
              <w:rPr>
                <w:rFonts w:ascii="Arial" w:hAnsi="Arial"/>
                <w:sz w:val="18"/>
              </w:rPr>
            </w:pPr>
            <w:r>
              <w:rPr>
                <w:rFonts w:ascii="Arial" w:hAnsi="Arial"/>
                <w:sz w:val="18"/>
              </w:rPr>
              <w:t>1.026.400</w:t>
            </w:r>
          </w:p>
        </w:tc>
        <w:tc>
          <w:tcPr>
            <w:tcW w:w="1089" w:type="dxa"/>
          </w:tcPr>
          <w:p w:rsidR="00000000" w:rsidRDefault="00000000">
            <w:pPr>
              <w:jc w:val="center"/>
              <w:rPr>
                <w:rFonts w:ascii="Arial" w:hAnsi="Arial"/>
                <w:sz w:val="18"/>
              </w:rPr>
            </w:pPr>
            <w:r>
              <w:rPr>
                <w:rFonts w:ascii="Arial" w:hAnsi="Arial"/>
                <w:sz w:val="18"/>
              </w:rPr>
              <w:t>1.057.700</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Hombres</w:t>
            </w:r>
          </w:p>
        </w:tc>
        <w:tc>
          <w:tcPr>
            <w:tcW w:w="1008" w:type="dxa"/>
          </w:tcPr>
          <w:p w:rsidR="00000000" w:rsidRDefault="00000000">
            <w:pPr>
              <w:jc w:val="center"/>
              <w:rPr>
                <w:rFonts w:ascii="Arial" w:hAnsi="Arial"/>
                <w:sz w:val="18"/>
              </w:rPr>
            </w:pPr>
            <w:r>
              <w:rPr>
                <w:rFonts w:ascii="Arial" w:hAnsi="Arial"/>
                <w:sz w:val="18"/>
              </w:rPr>
              <w:t>136.800</w:t>
            </w:r>
          </w:p>
        </w:tc>
        <w:tc>
          <w:tcPr>
            <w:tcW w:w="1134" w:type="dxa"/>
          </w:tcPr>
          <w:p w:rsidR="00000000" w:rsidRDefault="00000000">
            <w:pPr>
              <w:jc w:val="center"/>
              <w:rPr>
                <w:rFonts w:ascii="Arial" w:hAnsi="Arial"/>
                <w:sz w:val="18"/>
              </w:rPr>
            </w:pPr>
            <w:r>
              <w:rPr>
                <w:rFonts w:ascii="Arial" w:hAnsi="Arial"/>
                <w:sz w:val="18"/>
              </w:rPr>
              <w:t>193.400</w:t>
            </w:r>
          </w:p>
        </w:tc>
        <w:tc>
          <w:tcPr>
            <w:tcW w:w="1026" w:type="dxa"/>
          </w:tcPr>
          <w:p w:rsidR="00000000" w:rsidRDefault="00000000">
            <w:pPr>
              <w:jc w:val="center"/>
              <w:rPr>
                <w:rFonts w:ascii="Arial" w:hAnsi="Arial"/>
                <w:sz w:val="18"/>
              </w:rPr>
            </w:pPr>
            <w:r>
              <w:rPr>
                <w:rFonts w:ascii="Arial" w:hAnsi="Arial"/>
                <w:sz w:val="18"/>
              </w:rPr>
              <w:t>186.100</w:t>
            </w:r>
          </w:p>
        </w:tc>
        <w:tc>
          <w:tcPr>
            <w:tcW w:w="1080" w:type="dxa"/>
          </w:tcPr>
          <w:p w:rsidR="00000000" w:rsidRDefault="00000000">
            <w:pPr>
              <w:jc w:val="center"/>
              <w:rPr>
                <w:rFonts w:ascii="Arial" w:hAnsi="Arial"/>
                <w:sz w:val="18"/>
              </w:rPr>
            </w:pPr>
            <w:r>
              <w:rPr>
                <w:rFonts w:ascii="Arial" w:hAnsi="Arial"/>
                <w:sz w:val="18"/>
              </w:rPr>
              <w:t>206.000</w:t>
            </w:r>
          </w:p>
        </w:tc>
        <w:tc>
          <w:tcPr>
            <w:tcW w:w="1089" w:type="dxa"/>
          </w:tcPr>
          <w:p w:rsidR="00000000" w:rsidRDefault="00000000">
            <w:pPr>
              <w:jc w:val="center"/>
              <w:rPr>
                <w:rFonts w:ascii="Arial" w:hAnsi="Arial"/>
                <w:sz w:val="18"/>
              </w:rPr>
            </w:pPr>
            <w:r>
              <w:rPr>
                <w:rFonts w:ascii="Arial" w:hAnsi="Arial"/>
                <w:sz w:val="18"/>
              </w:rPr>
              <w:t>212.200</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Mujeres</w:t>
            </w:r>
          </w:p>
        </w:tc>
        <w:tc>
          <w:tcPr>
            <w:tcW w:w="1008" w:type="dxa"/>
          </w:tcPr>
          <w:p w:rsidR="00000000" w:rsidRDefault="00000000">
            <w:pPr>
              <w:jc w:val="center"/>
              <w:rPr>
                <w:rFonts w:ascii="Arial" w:hAnsi="Arial"/>
                <w:sz w:val="18"/>
              </w:rPr>
            </w:pPr>
            <w:r>
              <w:rPr>
                <w:rFonts w:ascii="Arial" w:hAnsi="Arial"/>
                <w:sz w:val="18"/>
              </w:rPr>
              <w:t>683.100</w:t>
            </w:r>
          </w:p>
        </w:tc>
        <w:tc>
          <w:tcPr>
            <w:tcW w:w="1134" w:type="dxa"/>
          </w:tcPr>
          <w:p w:rsidR="00000000" w:rsidRDefault="00000000">
            <w:pPr>
              <w:jc w:val="center"/>
              <w:rPr>
                <w:rFonts w:ascii="Arial" w:hAnsi="Arial"/>
                <w:sz w:val="18"/>
              </w:rPr>
            </w:pPr>
            <w:r>
              <w:rPr>
                <w:rFonts w:ascii="Arial" w:hAnsi="Arial"/>
                <w:sz w:val="18"/>
              </w:rPr>
              <w:t>839.900</w:t>
            </w:r>
          </w:p>
        </w:tc>
        <w:tc>
          <w:tcPr>
            <w:tcW w:w="1026" w:type="dxa"/>
          </w:tcPr>
          <w:p w:rsidR="00000000" w:rsidRDefault="00000000">
            <w:pPr>
              <w:jc w:val="center"/>
              <w:rPr>
                <w:rFonts w:ascii="Arial" w:hAnsi="Arial"/>
                <w:sz w:val="18"/>
              </w:rPr>
            </w:pPr>
            <w:r>
              <w:rPr>
                <w:rFonts w:ascii="Arial" w:hAnsi="Arial"/>
                <w:sz w:val="18"/>
              </w:rPr>
              <w:t>816.200</w:t>
            </w:r>
          </w:p>
        </w:tc>
        <w:tc>
          <w:tcPr>
            <w:tcW w:w="1080" w:type="dxa"/>
          </w:tcPr>
          <w:p w:rsidR="00000000" w:rsidRDefault="00000000">
            <w:pPr>
              <w:jc w:val="center"/>
              <w:rPr>
                <w:rFonts w:ascii="Arial" w:hAnsi="Arial"/>
                <w:sz w:val="18"/>
              </w:rPr>
            </w:pPr>
            <w:r>
              <w:rPr>
                <w:rFonts w:ascii="Arial" w:hAnsi="Arial"/>
                <w:sz w:val="18"/>
              </w:rPr>
              <w:t>820.300</w:t>
            </w:r>
          </w:p>
        </w:tc>
        <w:tc>
          <w:tcPr>
            <w:tcW w:w="1089" w:type="dxa"/>
          </w:tcPr>
          <w:p w:rsidR="00000000" w:rsidRDefault="00000000">
            <w:pPr>
              <w:jc w:val="center"/>
              <w:rPr>
                <w:rFonts w:ascii="Arial" w:hAnsi="Arial"/>
                <w:sz w:val="18"/>
              </w:rPr>
            </w:pPr>
            <w:r>
              <w:rPr>
                <w:rFonts w:ascii="Arial" w:hAnsi="Arial"/>
                <w:sz w:val="18"/>
              </w:rPr>
              <w:t>845.500</w:t>
            </w:r>
          </w:p>
        </w:tc>
      </w:tr>
      <w:tr w:rsidR="00000000">
        <w:tblPrEx>
          <w:tblCellMar>
            <w:top w:w="0" w:type="dxa"/>
            <w:bottom w:w="0" w:type="dxa"/>
          </w:tblCellMar>
        </w:tblPrEx>
        <w:trPr>
          <w:cantSplit/>
          <w:jc w:val="center"/>
        </w:trPr>
        <w:tc>
          <w:tcPr>
            <w:tcW w:w="6314" w:type="dxa"/>
            <w:gridSpan w:val="6"/>
          </w:tcPr>
          <w:p w:rsidR="00000000" w:rsidRDefault="00000000">
            <w:pPr>
              <w:rPr>
                <w:rFonts w:ascii="Arial" w:hAnsi="Arial"/>
                <w:sz w:val="18"/>
              </w:rPr>
            </w:pPr>
            <w:r>
              <w:rPr>
                <w:rFonts w:ascii="Arial" w:hAnsi="Arial"/>
                <w:sz w:val="18"/>
              </w:rPr>
              <w:t>Porcentaje sobre la población de 65 y más años</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Total</w:t>
            </w:r>
          </w:p>
        </w:tc>
        <w:tc>
          <w:tcPr>
            <w:tcW w:w="1008" w:type="dxa"/>
          </w:tcPr>
          <w:p w:rsidR="00000000" w:rsidRDefault="00000000">
            <w:pPr>
              <w:jc w:val="center"/>
              <w:rPr>
                <w:rFonts w:ascii="Arial" w:hAnsi="Arial"/>
                <w:sz w:val="18"/>
              </w:rPr>
            </w:pPr>
            <w:r>
              <w:rPr>
                <w:rFonts w:ascii="Arial" w:hAnsi="Arial"/>
                <w:sz w:val="18"/>
              </w:rPr>
              <w:t>14,5%</w:t>
            </w:r>
          </w:p>
        </w:tc>
        <w:tc>
          <w:tcPr>
            <w:tcW w:w="1134" w:type="dxa"/>
          </w:tcPr>
          <w:p w:rsidR="00000000" w:rsidRDefault="00000000">
            <w:pPr>
              <w:jc w:val="center"/>
              <w:rPr>
                <w:rFonts w:ascii="Arial" w:hAnsi="Arial"/>
                <w:sz w:val="18"/>
              </w:rPr>
            </w:pPr>
            <w:r>
              <w:rPr>
                <w:rFonts w:ascii="Arial" w:hAnsi="Arial"/>
                <w:sz w:val="18"/>
              </w:rPr>
              <w:t>16,2%</w:t>
            </w:r>
          </w:p>
        </w:tc>
        <w:tc>
          <w:tcPr>
            <w:tcW w:w="1026" w:type="dxa"/>
          </w:tcPr>
          <w:p w:rsidR="00000000" w:rsidRDefault="00000000">
            <w:pPr>
              <w:jc w:val="center"/>
              <w:rPr>
                <w:rFonts w:ascii="Arial" w:hAnsi="Arial"/>
                <w:sz w:val="18"/>
              </w:rPr>
            </w:pPr>
            <w:r>
              <w:rPr>
                <w:rFonts w:ascii="Arial" w:hAnsi="Arial"/>
                <w:sz w:val="18"/>
              </w:rPr>
              <w:t>15,8%</w:t>
            </w:r>
          </w:p>
        </w:tc>
        <w:tc>
          <w:tcPr>
            <w:tcW w:w="1080" w:type="dxa"/>
          </w:tcPr>
          <w:p w:rsidR="00000000" w:rsidRDefault="00000000">
            <w:pPr>
              <w:jc w:val="center"/>
              <w:rPr>
                <w:rFonts w:ascii="Arial" w:hAnsi="Arial"/>
                <w:sz w:val="18"/>
              </w:rPr>
            </w:pPr>
            <w:r>
              <w:rPr>
                <w:rFonts w:ascii="Arial" w:hAnsi="Arial"/>
                <w:sz w:val="18"/>
              </w:rPr>
              <w:t>15,8%</w:t>
            </w:r>
          </w:p>
        </w:tc>
        <w:tc>
          <w:tcPr>
            <w:tcW w:w="1089" w:type="dxa"/>
          </w:tcPr>
          <w:p w:rsidR="00000000" w:rsidRDefault="00000000">
            <w:pPr>
              <w:jc w:val="center"/>
              <w:rPr>
                <w:rFonts w:ascii="Arial" w:hAnsi="Arial"/>
                <w:sz w:val="18"/>
              </w:rPr>
            </w:pPr>
            <w:r>
              <w:rPr>
                <w:rFonts w:ascii="Arial" w:hAnsi="Arial"/>
                <w:sz w:val="18"/>
              </w:rPr>
              <w:t xml:space="preserve">- </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Hombres</w:t>
            </w:r>
          </w:p>
        </w:tc>
        <w:tc>
          <w:tcPr>
            <w:tcW w:w="1008" w:type="dxa"/>
          </w:tcPr>
          <w:p w:rsidR="00000000" w:rsidRDefault="00000000">
            <w:pPr>
              <w:jc w:val="center"/>
              <w:rPr>
                <w:rFonts w:ascii="Arial" w:hAnsi="Arial"/>
                <w:sz w:val="18"/>
              </w:rPr>
            </w:pPr>
            <w:r>
              <w:rPr>
                <w:rFonts w:ascii="Arial" w:hAnsi="Arial"/>
                <w:sz w:val="18"/>
              </w:rPr>
              <w:t>5,9%</w:t>
            </w:r>
          </w:p>
        </w:tc>
        <w:tc>
          <w:tcPr>
            <w:tcW w:w="1134" w:type="dxa"/>
          </w:tcPr>
          <w:p w:rsidR="00000000" w:rsidRDefault="00000000">
            <w:pPr>
              <w:jc w:val="center"/>
              <w:rPr>
                <w:rFonts w:ascii="Arial" w:hAnsi="Arial"/>
                <w:sz w:val="18"/>
              </w:rPr>
            </w:pPr>
            <w:r>
              <w:rPr>
                <w:rFonts w:ascii="Arial" w:hAnsi="Arial"/>
                <w:sz w:val="18"/>
              </w:rPr>
              <w:t>7,2%</w:t>
            </w:r>
          </w:p>
        </w:tc>
        <w:tc>
          <w:tcPr>
            <w:tcW w:w="1026" w:type="dxa"/>
          </w:tcPr>
          <w:p w:rsidR="00000000" w:rsidRDefault="00000000">
            <w:pPr>
              <w:jc w:val="center"/>
              <w:rPr>
                <w:rFonts w:ascii="Arial" w:hAnsi="Arial"/>
                <w:sz w:val="18"/>
              </w:rPr>
            </w:pPr>
            <w:r>
              <w:rPr>
                <w:rFonts w:ascii="Arial" w:hAnsi="Arial"/>
                <w:sz w:val="18"/>
              </w:rPr>
              <w:t>6,9%</w:t>
            </w:r>
          </w:p>
        </w:tc>
        <w:tc>
          <w:tcPr>
            <w:tcW w:w="1080" w:type="dxa"/>
          </w:tcPr>
          <w:p w:rsidR="00000000" w:rsidRDefault="00000000">
            <w:pPr>
              <w:jc w:val="center"/>
              <w:rPr>
                <w:rFonts w:ascii="Arial" w:hAnsi="Arial"/>
                <w:sz w:val="18"/>
              </w:rPr>
            </w:pPr>
            <w:r>
              <w:rPr>
                <w:rFonts w:ascii="Arial" w:hAnsi="Arial"/>
                <w:sz w:val="18"/>
              </w:rPr>
              <w:t>7,4%</w:t>
            </w:r>
          </w:p>
        </w:tc>
        <w:tc>
          <w:tcPr>
            <w:tcW w:w="1089" w:type="dxa"/>
          </w:tcPr>
          <w:p w:rsidR="00000000" w:rsidRDefault="00000000">
            <w:pPr>
              <w:jc w:val="center"/>
              <w:rPr>
                <w:rFonts w:ascii="Arial" w:hAnsi="Arial"/>
                <w:sz w:val="18"/>
              </w:rPr>
            </w:pPr>
            <w:r>
              <w:rPr>
                <w:rFonts w:ascii="Arial" w:hAnsi="Arial"/>
                <w:sz w:val="18"/>
              </w:rPr>
              <w:t>-</w:t>
            </w:r>
          </w:p>
        </w:tc>
      </w:tr>
      <w:tr w:rsidR="00000000">
        <w:tblPrEx>
          <w:tblCellMar>
            <w:top w:w="0" w:type="dxa"/>
            <w:bottom w:w="0" w:type="dxa"/>
          </w:tblCellMar>
        </w:tblPrEx>
        <w:trPr>
          <w:jc w:val="center"/>
        </w:trPr>
        <w:tc>
          <w:tcPr>
            <w:tcW w:w="977" w:type="dxa"/>
          </w:tcPr>
          <w:p w:rsidR="00000000" w:rsidRDefault="00000000">
            <w:pPr>
              <w:jc w:val="center"/>
              <w:rPr>
                <w:rFonts w:ascii="Arial" w:hAnsi="Arial"/>
                <w:sz w:val="18"/>
              </w:rPr>
            </w:pPr>
            <w:r>
              <w:rPr>
                <w:rFonts w:ascii="Arial" w:hAnsi="Arial"/>
                <w:sz w:val="18"/>
              </w:rPr>
              <w:t>Mujeres</w:t>
            </w:r>
          </w:p>
        </w:tc>
        <w:tc>
          <w:tcPr>
            <w:tcW w:w="1008" w:type="dxa"/>
          </w:tcPr>
          <w:p w:rsidR="00000000" w:rsidRDefault="00000000">
            <w:pPr>
              <w:jc w:val="center"/>
              <w:rPr>
                <w:rFonts w:ascii="Arial" w:hAnsi="Arial"/>
                <w:sz w:val="18"/>
              </w:rPr>
            </w:pPr>
            <w:r>
              <w:rPr>
                <w:rFonts w:ascii="Arial" w:hAnsi="Arial"/>
                <w:sz w:val="18"/>
              </w:rPr>
              <w:t>20,6%</w:t>
            </w:r>
          </w:p>
        </w:tc>
        <w:tc>
          <w:tcPr>
            <w:tcW w:w="1134" w:type="dxa"/>
          </w:tcPr>
          <w:p w:rsidR="00000000" w:rsidRDefault="00000000">
            <w:pPr>
              <w:jc w:val="center"/>
              <w:rPr>
                <w:rFonts w:ascii="Arial" w:hAnsi="Arial"/>
                <w:sz w:val="18"/>
              </w:rPr>
            </w:pPr>
            <w:r>
              <w:rPr>
                <w:rFonts w:ascii="Arial" w:hAnsi="Arial"/>
                <w:sz w:val="18"/>
              </w:rPr>
              <w:t>22,8%</w:t>
            </w:r>
          </w:p>
        </w:tc>
        <w:tc>
          <w:tcPr>
            <w:tcW w:w="1026" w:type="dxa"/>
          </w:tcPr>
          <w:p w:rsidR="00000000" w:rsidRDefault="00000000">
            <w:pPr>
              <w:jc w:val="center"/>
              <w:rPr>
                <w:rFonts w:ascii="Arial" w:hAnsi="Arial"/>
                <w:sz w:val="18"/>
              </w:rPr>
            </w:pPr>
            <w:r>
              <w:rPr>
                <w:rFonts w:ascii="Arial" w:hAnsi="Arial"/>
                <w:sz w:val="18"/>
              </w:rPr>
              <w:t>22,4%</w:t>
            </w:r>
          </w:p>
        </w:tc>
        <w:tc>
          <w:tcPr>
            <w:tcW w:w="1080" w:type="dxa"/>
          </w:tcPr>
          <w:p w:rsidR="00000000" w:rsidRDefault="00000000">
            <w:pPr>
              <w:jc w:val="center"/>
              <w:rPr>
                <w:rFonts w:ascii="Arial" w:hAnsi="Arial"/>
                <w:sz w:val="18"/>
              </w:rPr>
            </w:pPr>
            <w:r>
              <w:rPr>
                <w:rFonts w:ascii="Arial" w:hAnsi="Arial"/>
                <w:sz w:val="18"/>
              </w:rPr>
              <w:t>22,1%</w:t>
            </w:r>
          </w:p>
        </w:tc>
        <w:tc>
          <w:tcPr>
            <w:tcW w:w="1089" w:type="dxa"/>
          </w:tcPr>
          <w:p w:rsidR="00000000" w:rsidRDefault="00000000">
            <w:pPr>
              <w:jc w:val="center"/>
              <w:rPr>
                <w:rFonts w:ascii="Arial" w:hAnsi="Arial"/>
                <w:sz w:val="18"/>
              </w:rPr>
            </w:pPr>
            <w:r>
              <w:rPr>
                <w:rFonts w:ascii="Arial" w:hAnsi="Arial"/>
                <w:sz w:val="18"/>
              </w:rPr>
              <w:t>-</w:t>
            </w:r>
          </w:p>
        </w:tc>
      </w:tr>
    </w:tbl>
    <w:p w:rsidR="00000000" w:rsidRDefault="00000000">
      <w:pPr>
        <w:pStyle w:val="BodyText"/>
        <w:ind w:left="1755" w:right="1768"/>
        <w:jc w:val="left"/>
        <w:rPr>
          <w:sz w:val="16"/>
        </w:rPr>
      </w:pPr>
      <w:r>
        <w:rPr>
          <w:sz w:val="16"/>
        </w:rPr>
        <w:t>Fuente: Las personas mayores en España. Informe 2000. Ministerio de Trabajo y Asu</w:t>
      </w:r>
      <w:r>
        <w:rPr>
          <w:sz w:val="16"/>
        </w:rPr>
        <w:t>n</w:t>
      </w:r>
      <w:r>
        <w:rPr>
          <w:sz w:val="16"/>
        </w:rPr>
        <w:t>tos Sociales, y (1) estimación propia.</w:t>
      </w:r>
    </w:p>
    <w:p w:rsidR="00000000" w:rsidRDefault="00000000">
      <w:pPr>
        <w:jc w:val="both"/>
        <w:rPr>
          <w:rFonts w:ascii="Arial" w:hAnsi="Arial"/>
        </w:rPr>
      </w:pPr>
    </w:p>
    <w:p w:rsidR="00000000" w:rsidRDefault="00000000">
      <w:pPr>
        <w:pStyle w:val="Heading9"/>
      </w:pPr>
    </w:p>
    <w:p w:rsidR="00000000" w:rsidRDefault="00000000">
      <w:pPr>
        <w:pStyle w:val="Heading9"/>
      </w:pPr>
      <w:r>
        <w:t>Familias monoparentales</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 las familias monoparentales, el 87,76%, están encabezadas por  mujeres en el año 2000, (86,23% en 1996), representando las encabezadas por hombres el 12,24% en el 2000 (13,77 %, en 1996).</w:t>
      </w:r>
    </w:p>
    <w:p w:rsidR="00000000" w:rsidRDefault="00000000">
      <w:pPr>
        <w:jc w:val="both"/>
        <w:rPr>
          <w:rFonts w:ascii="Arial" w:hAnsi="Arial"/>
        </w:rPr>
      </w:pPr>
      <w:r>
        <w:rPr>
          <w:rFonts w:ascii="Arial" w:hAnsi="Arial"/>
        </w:rPr>
        <w:t xml:space="preserve">Desde 1996 hasta 2000, han aumentado considerablemente, el número de familias monoparentales que tienen como referencia a una mujer ocupada y, en cambio, han disminuido de manera llamativa, también, las que están encabezadas por una mujer parada o inactiva. </w:t>
      </w:r>
    </w:p>
    <w:p w:rsidR="00000000" w:rsidRDefault="00000000">
      <w:pPr>
        <w:jc w:val="both"/>
        <w:rPr>
          <w:rFonts w:ascii="Arial" w:hAnsi="Arial"/>
        </w:rPr>
      </w:pPr>
      <w:r>
        <w:rPr>
          <w:rFonts w:ascii="Arial" w:hAnsi="Arial"/>
        </w:rPr>
        <w:t>En el caso de los hombres, ha habido una disminución, respecto a las diferentes situaciones laborales.</w:t>
      </w:r>
    </w:p>
    <w:p w:rsidR="00000000" w:rsidRDefault="00000000">
      <w:pPr>
        <w:jc w:val="center"/>
        <w:rPr>
          <w:rFonts w:ascii="Arial" w:hAnsi="Arial"/>
          <w:b/>
          <w:snapToGrid w:val="0"/>
          <w:color w:val="000000"/>
          <w:lang w:eastAsia="es-ES"/>
        </w:rPr>
      </w:pPr>
    </w:p>
    <w:p w:rsidR="00000000" w:rsidRDefault="00000000">
      <w:pPr>
        <w:jc w:val="center"/>
        <w:rPr>
          <w:rFonts w:ascii="Arial" w:hAnsi="Arial"/>
          <w:b/>
          <w:snapToGrid w:val="0"/>
          <w:color w:val="000000"/>
          <w:lang w:eastAsia="es-ES"/>
        </w:rPr>
      </w:pP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FAMILIAS MONOPARENTALES, SEGÚN LA SITUACIÓN LABORAL DE LA PERSONA DE REFERENCIA (en miles)</w:t>
      </w:r>
    </w:p>
    <w:p w:rsidR="00000000" w:rsidRDefault="00000000">
      <w:pPr>
        <w:jc w:val="center"/>
        <w:rPr>
          <w:rFonts w:ascii="Arial" w:hAnsi="Arial"/>
          <w:b/>
          <w:sz w:val="16"/>
        </w:rPr>
      </w:pPr>
    </w:p>
    <w:tbl>
      <w:tblPr>
        <w:tblW w:w="0" w:type="auto"/>
        <w:jc w:val="center"/>
        <w:tblLayout w:type="fixed"/>
        <w:tblCellMar>
          <w:left w:w="30" w:type="dxa"/>
          <w:right w:w="30" w:type="dxa"/>
        </w:tblCellMar>
        <w:tblLook w:val="0000" w:firstRow="0" w:lastRow="0" w:firstColumn="0" w:lastColumn="0" w:noHBand="0" w:noVBand="0"/>
      </w:tblPr>
      <w:tblGrid>
        <w:gridCol w:w="709"/>
        <w:gridCol w:w="850"/>
        <w:gridCol w:w="567"/>
        <w:gridCol w:w="851"/>
        <w:gridCol w:w="567"/>
        <w:gridCol w:w="850"/>
        <w:gridCol w:w="567"/>
        <w:gridCol w:w="851"/>
        <w:gridCol w:w="567"/>
        <w:gridCol w:w="992"/>
        <w:gridCol w:w="567"/>
        <w:gridCol w:w="850"/>
        <w:gridCol w:w="567"/>
      </w:tblGrid>
      <w:tr w:rsidR="00000000">
        <w:tblPrEx>
          <w:tblCellMar>
            <w:top w:w="0" w:type="dxa"/>
            <w:bottom w:w="0" w:type="dxa"/>
          </w:tblCellMar>
        </w:tblPrEx>
        <w:trPr>
          <w:cantSplit/>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c>
          <w:tcPr>
            <w:tcW w:w="4252" w:type="dxa"/>
            <w:gridSpan w:val="6"/>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1996</w:t>
            </w:r>
          </w:p>
        </w:tc>
        <w:tc>
          <w:tcPr>
            <w:tcW w:w="4394" w:type="dxa"/>
            <w:gridSpan w:val="6"/>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2000</w:t>
            </w:r>
          </w:p>
        </w:tc>
      </w:tr>
      <w:tr w:rsidR="00000000">
        <w:tblPrEx>
          <w:tblCellMar>
            <w:top w:w="0" w:type="dxa"/>
            <w:bottom w:w="0" w:type="dxa"/>
          </w:tblCellMar>
        </w:tblPrEx>
        <w:trPr>
          <w:trHeight w:val="233"/>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c>
          <w:tcPr>
            <w:tcW w:w="1417"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Ambos sexos</w:t>
            </w:r>
          </w:p>
        </w:tc>
        <w:tc>
          <w:tcPr>
            <w:tcW w:w="1418"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Mujeres</w:t>
            </w:r>
          </w:p>
        </w:tc>
        <w:tc>
          <w:tcPr>
            <w:tcW w:w="1417"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Hombres</w:t>
            </w:r>
          </w:p>
        </w:tc>
        <w:tc>
          <w:tcPr>
            <w:tcW w:w="1418"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Ambos sexos</w:t>
            </w:r>
          </w:p>
        </w:tc>
        <w:tc>
          <w:tcPr>
            <w:tcW w:w="1559"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Mujeres</w:t>
            </w:r>
          </w:p>
        </w:tc>
        <w:tc>
          <w:tcPr>
            <w:tcW w:w="1417" w:type="dxa"/>
            <w:gridSpan w:val="2"/>
            <w:tcBorders>
              <w:top w:val="single" w:sz="2" w:space="0" w:color="000000"/>
              <w:left w:val="single" w:sz="2" w:space="0" w:color="000000"/>
              <w:bottom w:val="doub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Hombres</w:t>
            </w:r>
          </w:p>
        </w:tc>
      </w:tr>
      <w:tr w:rsidR="00000000">
        <w:tblPrEx>
          <w:tblCellMar>
            <w:top w:w="0" w:type="dxa"/>
            <w:bottom w:w="0" w:type="dxa"/>
          </w:tblCellMar>
        </w:tblPrEx>
        <w:trPr>
          <w:trHeight w:val="262"/>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c>
          <w:tcPr>
            <w:tcW w:w="850"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Muj</w:t>
            </w:r>
          </w:p>
        </w:tc>
        <w:tc>
          <w:tcPr>
            <w:tcW w:w="851"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w:t>
            </w:r>
          </w:p>
        </w:tc>
        <w:tc>
          <w:tcPr>
            <w:tcW w:w="850"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w:t>
            </w:r>
          </w:p>
        </w:tc>
        <w:tc>
          <w:tcPr>
            <w:tcW w:w="851"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Muj</w:t>
            </w:r>
          </w:p>
        </w:tc>
        <w:tc>
          <w:tcPr>
            <w:tcW w:w="992"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w:t>
            </w:r>
          </w:p>
        </w:tc>
        <w:tc>
          <w:tcPr>
            <w:tcW w:w="850"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Absolutos</w:t>
            </w:r>
          </w:p>
        </w:tc>
        <w:tc>
          <w:tcPr>
            <w:tcW w:w="567" w:type="dxa"/>
            <w:tcBorders>
              <w:top w:val="double" w:sz="6" w:space="0" w:color="auto"/>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w:t>
            </w: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1"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1"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992"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rPr>
                <w:rFonts w:ascii="Arial" w:hAnsi="Arial"/>
                <w:snapToGrid w:val="0"/>
                <w:color w:val="000000"/>
                <w:sz w:val="15"/>
                <w:lang w:eastAsia="es-ES"/>
              </w:rPr>
            </w:pPr>
            <w:r>
              <w:rPr>
                <w:rFonts w:ascii="Arial" w:hAnsi="Arial"/>
                <w:snapToGrid w:val="0"/>
                <w:color w:val="000000"/>
                <w:sz w:val="15"/>
                <w:lang w:eastAsia="es-ES"/>
              </w:rPr>
              <w:t>Total</w:t>
            </w:r>
          </w:p>
        </w:tc>
        <w:tc>
          <w:tcPr>
            <w:tcW w:w="850"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287.6</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86.2</w:t>
            </w:r>
          </w:p>
        </w:tc>
        <w:tc>
          <w:tcPr>
            <w:tcW w:w="851"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248.1</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100.00</w:t>
            </w:r>
          </w:p>
        </w:tc>
        <w:tc>
          <w:tcPr>
            <w:tcW w:w="850"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39.5</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100.00</w:t>
            </w:r>
          </w:p>
        </w:tc>
        <w:tc>
          <w:tcPr>
            <w:tcW w:w="851"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265.5</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87.76</w:t>
            </w:r>
          </w:p>
        </w:tc>
        <w:tc>
          <w:tcPr>
            <w:tcW w:w="992"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233.1</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100.00</w:t>
            </w:r>
          </w:p>
        </w:tc>
        <w:tc>
          <w:tcPr>
            <w:tcW w:w="850"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32.4</w:t>
            </w:r>
          </w:p>
        </w:tc>
        <w:tc>
          <w:tcPr>
            <w:tcW w:w="567" w:type="dxa"/>
            <w:tcBorders>
              <w:top w:val="single" w:sz="2" w:space="0" w:color="000000"/>
              <w:left w:val="single" w:sz="2" w:space="0" w:color="000000"/>
              <w:bottom w:val="single" w:sz="6" w:space="0" w:color="auto"/>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100.00</w:t>
            </w:r>
          </w:p>
        </w:tc>
      </w:tr>
      <w:tr w:rsidR="00000000">
        <w:tblPrEx>
          <w:tblCellMar>
            <w:top w:w="0" w:type="dxa"/>
            <w:bottom w:w="0" w:type="dxa"/>
          </w:tblCellMar>
        </w:tblPrEx>
        <w:trPr>
          <w:trHeight w:val="247"/>
          <w:jc w:val="center"/>
        </w:trPr>
        <w:tc>
          <w:tcPr>
            <w:tcW w:w="709"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right"/>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1"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1"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992"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567" w:type="dxa"/>
            <w:tcBorders>
              <w:top w:val="single" w:sz="6" w:space="0" w:color="auto"/>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rPr>
                <w:rFonts w:ascii="Arial" w:hAnsi="Arial"/>
                <w:snapToGrid w:val="0"/>
                <w:color w:val="000000"/>
                <w:sz w:val="15"/>
                <w:lang w:eastAsia="es-ES"/>
              </w:rPr>
            </w:pPr>
            <w:r>
              <w:rPr>
                <w:rFonts w:ascii="Arial" w:hAnsi="Arial"/>
                <w:snapToGrid w:val="0"/>
                <w:color w:val="000000"/>
                <w:sz w:val="15"/>
                <w:lang w:eastAsia="es-ES"/>
              </w:rPr>
              <w:t>Activas/os</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208.0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84.6</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175.9</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32.1</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210.9</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87.20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183.9</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27.0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rPr>
                <w:rFonts w:ascii="Arial" w:hAnsi="Arial"/>
                <w:snapToGrid w:val="0"/>
                <w:color w:val="000000"/>
                <w:sz w:val="15"/>
                <w:lang w:eastAsia="es-ES"/>
              </w:rPr>
            </w:pPr>
            <w:r>
              <w:rPr>
                <w:rFonts w:ascii="Arial" w:hAnsi="Arial"/>
                <w:snapToGrid w:val="0"/>
                <w:color w:val="000000"/>
                <w:sz w:val="15"/>
                <w:lang w:eastAsia="es-ES"/>
              </w:rPr>
              <w:t>Ocupadas/os</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156.7</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82.3</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128.9</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51.95</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27.8</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70.38</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175.7</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86.34</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151.7</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65.11</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24.0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73.85</w:t>
            </w: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rPr>
                <w:rFonts w:ascii="Arial" w:hAnsi="Arial"/>
                <w:snapToGrid w:val="0"/>
                <w:color w:val="000000"/>
                <w:sz w:val="15"/>
                <w:lang w:eastAsia="es-ES"/>
              </w:rPr>
            </w:pPr>
            <w:r>
              <w:rPr>
                <w:rFonts w:ascii="Arial" w:hAnsi="Arial"/>
                <w:snapToGrid w:val="0"/>
                <w:color w:val="000000"/>
                <w:sz w:val="15"/>
                <w:lang w:eastAsia="es-ES"/>
              </w:rPr>
              <w:t>Paradas/os</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51.3</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91.8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47.1</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18.98</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4.2</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10.63</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35.2</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91.48</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32.2</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13.82</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9.23</w:t>
            </w:r>
          </w:p>
        </w:tc>
      </w:tr>
      <w:tr w:rsidR="00000000">
        <w:tblPrEx>
          <w:tblCellMar>
            <w:top w:w="0" w:type="dxa"/>
            <w:bottom w:w="0" w:type="dxa"/>
          </w:tblCellMar>
        </w:tblPrEx>
        <w:trPr>
          <w:trHeight w:val="247"/>
          <w:jc w:val="center"/>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rPr>
                <w:rFonts w:ascii="Arial" w:hAnsi="Arial"/>
                <w:snapToGrid w:val="0"/>
                <w:color w:val="000000"/>
                <w:sz w:val="15"/>
                <w:lang w:eastAsia="es-ES"/>
              </w:rPr>
            </w:pPr>
            <w:r>
              <w:rPr>
                <w:rFonts w:ascii="Arial" w:hAnsi="Arial"/>
                <w:snapToGrid w:val="0"/>
                <w:color w:val="000000"/>
                <w:sz w:val="15"/>
                <w:lang w:eastAsia="es-ES"/>
              </w:rPr>
              <w:t>Inactivas/os</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79.6</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90.6</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72.1</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29.07</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7.5</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18.99</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54.6</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90.11</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49.2</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21.12</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5.4</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000000" w:rsidRDefault="00000000">
            <w:pPr>
              <w:jc w:val="center"/>
              <w:rPr>
                <w:rFonts w:ascii="Arial" w:hAnsi="Arial"/>
                <w:snapToGrid w:val="0"/>
                <w:color w:val="000000"/>
                <w:sz w:val="15"/>
                <w:lang w:eastAsia="es-ES"/>
              </w:rPr>
            </w:pPr>
            <w:r>
              <w:rPr>
                <w:rFonts w:ascii="Arial" w:hAnsi="Arial"/>
                <w:snapToGrid w:val="0"/>
                <w:color w:val="000000"/>
                <w:sz w:val="15"/>
                <w:lang w:eastAsia="es-ES"/>
              </w:rPr>
              <w:t xml:space="preserve"> 16.62</w:t>
            </w:r>
          </w:p>
        </w:tc>
      </w:tr>
    </w:tbl>
    <w:p w:rsidR="00000000" w:rsidRDefault="00000000">
      <w:pPr>
        <w:ind w:left="234"/>
        <w:jc w:val="both"/>
        <w:rPr>
          <w:rFonts w:ascii="Arial" w:hAnsi="Arial"/>
          <w:sz w:val="16"/>
        </w:rPr>
      </w:pPr>
      <w:r>
        <w:rPr>
          <w:rFonts w:ascii="Arial" w:hAnsi="Arial"/>
          <w:snapToGrid w:val="0"/>
          <w:color w:val="000000"/>
          <w:sz w:val="16"/>
          <w:lang w:eastAsia="es-ES"/>
        </w:rPr>
        <w:t>FUENTE: Elaboración propia a partir de explotación específica de la Encuesta de Población Activa, IV Trimestre.  INE</w:t>
      </w:r>
    </w:p>
    <w:p w:rsidR="00000000" w:rsidRDefault="00000000">
      <w:pPr>
        <w:jc w:val="both"/>
        <w:rPr>
          <w:rFonts w:ascii="Arial" w:hAnsi="Arial"/>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Población reclusa</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En números absolutos, en 1996 había 4.055 </w:t>
      </w:r>
      <w:r>
        <w:rPr>
          <w:rFonts w:ascii="Arial" w:hAnsi="Arial"/>
          <w:b/>
        </w:rPr>
        <w:t>mujeres reclusas</w:t>
      </w:r>
      <w:r>
        <w:rPr>
          <w:rFonts w:ascii="Arial" w:hAnsi="Arial"/>
        </w:rPr>
        <w:t xml:space="preserve"> y, en 2000, había 2.742, lo que supone una reducción del 32´38%.</w:t>
      </w:r>
    </w:p>
    <w:p w:rsidR="00000000" w:rsidRDefault="00000000">
      <w:pPr>
        <w:jc w:val="both"/>
        <w:rPr>
          <w:rFonts w:ascii="Arial" w:hAnsi="Arial"/>
        </w:rPr>
      </w:pPr>
    </w:p>
    <w:p w:rsidR="00000000" w:rsidRDefault="00000000">
      <w:pPr>
        <w:jc w:val="both"/>
        <w:rPr>
          <w:rFonts w:ascii="Arial" w:hAnsi="Arial"/>
        </w:rPr>
      </w:pPr>
      <w:r>
        <w:rPr>
          <w:rFonts w:ascii="Arial" w:hAnsi="Arial"/>
        </w:rPr>
        <w:t>Desde 1996, con el paso del tiempo, el porcentaje de mujeres reclusas, respecto del total de esta población, ha ido disminuyendo, de forma que, en 1996, suponían el 9´34%; en 1998 el 8´94%; y en 1999 el 8´44%.</w:t>
      </w:r>
    </w:p>
    <w:p w:rsidR="00000000" w:rsidRDefault="00000000">
      <w:pPr>
        <w:jc w:val="both"/>
        <w:rPr>
          <w:rFonts w:ascii="Arial" w:hAnsi="Arial"/>
        </w:rPr>
      </w:pPr>
    </w:p>
    <w:p w:rsidR="00000000" w:rsidRDefault="00000000">
      <w:pPr>
        <w:jc w:val="both"/>
        <w:rPr>
          <w:rFonts w:ascii="Arial" w:hAnsi="Arial"/>
        </w:rPr>
      </w:pPr>
      <w:r>
        <w:rPr>
          <w:rFonts w:ascii="Arial" w:hAnsi="Arial"/>
        </w:rPr>
        <w:t>El mayor porcentaje de reclusas lo constituyen las preventivas, seguidas de las penadas. Entre las internas judiciales, las mujeres constituyen el 3´11%.</w:t>
      </w:r>
    </w:p>
    <w:p w:rsidR="00000000" w:rsidRDefault="00000000">
      <w:pPr>
        <w:jc w:val="both"/>
        <w:rPr>
          <w:rFonts w:ascii="Arial" w:hAnsi="Arial"/>
        </w:rPr>
      </w:pPr>
    </w:p>
    <w:p w:rsidR="00000000" w:rsidRDefault="00000000">
      <w:pPr>
        <w:rPr>
          <w:rFonts w:ascii="Arial" w:hAnsi="Arial"/>
          <w:b/>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797"/>
        <w:gridCol w:w="594"/>
        <w:gridCol w:w="873"/>
        <w:gridCol w:w="642"/>
        <w:gridCol w:w="780"/>
        <w:gridCol w:w="708"/>
        <w:gridCol w:w="851"/>
        <w:gridCol w:w="850"/>
        <w:gridCol w:w="851"/>
        <w:gridCol w:w="850"/>
      </w:tblGrid>
      <w:tr w:rsidR="00000000">
        <w:tblPrEx>
          <w:tblCellMar>
            <w:top w:w="0" w:type="dxa"/>
            <w:bottom w:w="0" w:type="dxa"/>
          </w:tblCellMar>
        </w:tblPrEx>
        <w:trPr>
          <w:cantSplit/>
          <w:trHeight w:val="320"/>
          <w:jc w:val="center"/>
        </w:trPr>
        <w:tc>
          <w:tcPr>
            <w:tcW w:w="709" w:type="dxa"/>
            <w:vMerge w:val="restart"/>
          </w:tcPr>
          <w:p w:rsidR="00000000" w:rsidRDefault="00000000">
            <w:pPr>
              <w:rPr>
                <w:rFonts w:ascii="Arial" w:hAnsi="Arial"/>
                <w:b/>
                <w:sz w:val="16"/>
              </w:rPr>
            </w:pPr>
          </w:p>
        </w:tc>
        <w:tc>
          <w:tcPr>
            <w:tcW w:w="1391" w:type="dxa"/>
            <w:gridSpan w:val="2"/>
          </w:tcPr>
          <w:p w:rsidR="00000000" w:rsidRDefault="00000000">
            <w:pPr>
              <w:pStyle w:val="Heading5"/>
              <w:ind w:left="0" w:right="0"/>
              <w:jc w:val="center"/>
            </w:pPr>
            <w:r>
              <w:t>Total</w:t>
            </w:r>
          </w:p>
          <w:p w:rsidR="00000000" w:rsidRDefault="00000000">
            <w:pPr>
              <w:rPr>
                <w:rFonts w:ascii="Arial" w:hAnsi="Arial"/>
                <w:b/>
                <w:sz w:val="16"/>
              </w:rPr>
            </w:pPr>
          </w:p>
        </w:tc>
        <w:tc>
          <w:tcPr>
            <w:tcW w:w="1515" w:type="dxa"/>
            <w:gridSpan w:val="2"/>
          </w:tcPr>
          <w:p w:rsidR="00000000" w:rsidRDefault="00000000">
            <w:pPr>
              <w:jc w:val="center"/>
              <w:rPr>
                <w:rFonts w:ascii="Arial" w:hAnsi="Arial"/>
                <w:b/>
                <w:sz w:val="16"/>
              </w:rPr>
            </w:pPr>
            <w:r>
              <w:rPr>
                <w:rFonts w:ascii="Arial" w:hAnsi="Arial"/>
                <w:b/>
                <w:sz w:val="16"/>
              </w:rPr>
              <w:t>Preventivos/as</w:t>
            </w:r>
          </w:p>
          <w:p w:rsidR="00000000" w:rsidRDefault="00000000">
            <w:pPr>
              <w:rPr>
                <w:rFonts w:ascii="Arial" w:hAnsi="Arial"/>
                <w:b/>
                <w:sz w:val="16"/>
              </w:rPr>
            </w:pPr>
          </w:p>
        </w:tc>
        <w:tc>
          <w:tcPr>
            <w:tcW w:w="1488" w:type="dxa"/>
            <w:gridSpan w:val="2"/>
          </w:tcPr>
          <w:p w:rsidR="00000000" w:rsidRDefault="00000000">
            <w:pPr>
              <w:jc w:val="center"/>
              <w:rPr>
                <w:rFonts w:ascii="Arial" w:hAnsi="Arial"/>
                <w:b/>
                <w:sz w:val="16"/>
              </w:rPr>
            </w:pPr>
            <w:r>
              <w:rPr>
                <w:rFonts w:ascii="Arial" w:hAnsi="Arial"/>
                <w:b/>
                <w:sz w:val="16"/>
              </w:rPr>
              <w:t>Penados/as</w:t>
            </w:r>
          </w:p>
          <w:p w:rsidR="00000000" w:rsidRDefault="00000000">
            <w:pPr>
              <w:jc w:val="center"/>
              <w:rPr>
                <w:rFonts w:ascii="Arial" w:hAnsi="Arial"/>
                <w:b/>
                <w:sz w:val="16"/>
              </w:rPr>
            </w:pPr>
          </w:p>
        </w:tc>
        <w:tc>
          <w:tcPr>
            <w:tcW w:w="1701" w:type="dxa"/>
            <w:gridSpan w:val="2"/>
          </w:tcPr>
          <w:p w:rsidR="00000000" w:rsidRDefault="00000000">
            <w:pPr>
              <w:jc w:val="center"/>
              <w:rPr>
                <w:rFonts w:ascii="Arial" w:hAnsi="Arial"/>
                <w:b/>
                <w:sz w:val="16"/>
              </w:rPr>
            </w:pPr>
            <w:r>
              <w:rPr>
                <w:rFonts w:ascii="Arial" w:hAnsi="Arial"/>
                <w:b/>
                <w:sz w:val="16"/>
              </w:rPr>
              <w:t>Internos/as</w:t>
            </w:r>
          </w:p>
          <w:p w:rsidR="00000000" w:rsidRDefault="00000000">
            <w:pPr>
              <w:jc w:val="center"/>
              <w:rPr>
                <w:rFonts w:ascii="Arial" w:hAnsi="Arial"/>
                <w:b/>
                <w:sz w:val="16"/>
              </w:rPr>
            </w:pPr>
            <w:r>
              <w:rPr>
                <w:rFonts w:ascii="Arial" w:hAnsi="Arial"/>
                <w:b/>
                <w:sz w:val="16"/>
              </w:rPr>
              <w:t>Judiciales</w:t>
            </w:r>
          </w:p>
        </w:tc>
        <w:tc>
          <w:tcPr>
            <w:tcW w:w="1701" w:type="dxa"/>
            <w:gridSpan w:val="2"/>
          </w:tcPr>
          <w:p w:rsidR="00000000" w:rsidRDefault="00000000">
            <w:pPr>
              <w:jc w:val="center"/>
              <w:rPr>
                <w:rFonts w:ascii="Arial" w:hAnsi="Arial"/>
                <w:b/>
                <w:sz w:val="16"/>
              </w:rPr>
            </w:pPr>
            <w:r>
              <w:rPr>
                <w:rFonts w:ascii="Arial" w:hAnsi="Arial"/>
                <w:b/>
                <w:sz w:val="16"/>
              </w:rPr>
              <w:t>Arrestos</w:t>
            </w:r>
          </w:p>
          <w:p w:rsidR="00000000" w:rsidRDefault="00000000">
            <w:pPr>
              <w:jc w:val="center"/>
              <w:rPr>
                <w:rFonts w:ascii="Arial" w:hAnsi="Arial"/>
                <w:b/>
                <w:sz w:val="16"/>
              </w:rPr>
            </w:pPr>
            <w:r>
              <w:rPr>
                <w:rFonts w:ascii="Arial" w:hAnsi="Arial"/>
                <w:b/>
                <w:sz w:val="16"/>
              </w:rPr>
              <w:t>Fin de semana</w:t>
            </w:r>
          </w:p>
          <w:p w:rsidR="00000000" w:rsidRDefault="00000000">
            <w:pPr>
              <w:rPr>
                <w:rFonts w:ascii="Arial" w:hAnsi="Arial"/>
                <w:b/>
                <w:sz w:val="16"/>
              </w:rPr>
            </w:pPr>
          </w:p>
        </w:tc>
      </w:tr>
      <w:tr w:rsidR="00000000">
        <w:tblPrEx>
          <w:tblCellMar>
            <w:top w:w="0" w:type="dxa"/>
            <w:bottom w:w="0" w:type="dxa"/>
          </w:tblCellMar>
        </w:tblPrEx>
        <w:trPr>
          <w:cantSplit/>
          <w:trHeight w:val="320"/>
          <w:jc w:val="center"/>
        </w:trPr>
        <w:tc>
          <w:tcPr>
            <w:tcW w:w="709" w:type="dxa"/>
            <w:vMerge/>
          </w:tcPr>
          <w:p w:rsidR="00000000" w:rsidRDefault="00000000">
            <w:pPr>
              <w:rPr>
                <w:rFonts w:ascii="Arial" w:hAnsi="Arial"/>
                <w:sz w:val="16"/>
              </w:rPr>
            </w:pPr>
          </w:p>
        </w:tc>
        <w:tc>
          <w:tcPr>
            <w:tcW w:w="797" w:type="dxa"/>
          </w:tcPr>
          <w:p w:rsidR="00000000" w:rsidRDefault="00000000">
            <w:pPr>
              <w:pStyle w:val="Heading5"/>
              <w:ind w:left="0" w:right="0"/>
            </w:pPr>
            <w:r>
              <w:t>Ambos Sexos</w:t>
            </w:r>
          </w:p>
        </w:tc>
        <w:tc>
          <w:tcPr>
            <w:tcW w:w="594" w:type="dxa"/>
          </w:tcPr>
          <w:p w:rsidR="00000000" w:rsidRDefault="00000000">
            <w:pPr>
              <w:jc w:val="center"/>
              <w:rPr>
                <w:rFonts w:ascii="Arial" w:hAnsi="Arial"/>
                <w:b/>
                <w:sz w:val="16"/>
              </w:rPr>
            </w:pPr>
            <w:r>
              <w:rPr>
                <w:rFonts w:ascii="Arial" w:hAnsi="Arial"/>
                <w:b/>
                <w:sz w:val="16"/>
              </w:rPr>
              <w:t>%Muj</w:t>
            </w:r>
          </w:p>
        </w:tc>
        <w:tc>
          <w:tcPr>
            <w:tcW w:w="873" w:type="dxa"/>
          </w:tcPr>
          <w:p w:rsidR="00000000" w:rsidRDefault="00000000">
            <w:pPr>
              <w:jc w:val="center"/>
              <w:rPr>
                <w:rFonts w:ascii="Arial" w:hAnsi="Arial"/>
                <w:b/>
                <w:sz w:val="16"/>
              </w:rPr>
            </w:pPr>
            <w:r>
              <w:rPr>
                <w:rFonts w:ascii="Arial" w:hAnsi="Arial"/>
                <w:b/>
                <w:sz w:val="16"/>
              </w:rPr>
              <w:t>Ambos</w:t>
            </w:r>
          </w:p>
          <w:p w:rsidR="00000000" w:rsidRDefault="00000000">
            <w:pPr>
              <w:pStyle w:val="Heading5"/>
              <w:ind w:left="0" w:right="0"/>
            </w:pPr>
            <w:r>
              <w:t>Sexos</w:t>
            </w:r>
          </w:p>
        </w:tc>
        <w:tc>
          <w:tcPr>
            <w:tcW w:w="642" w:type="dxa"/>
          </w:tcPr>
          <w:p w:rsidR="00000000" w:rsidRDefault="00000000">
            <w:pPr>
              <w:pStyle w:val="Heading5"/>
              <w:ind w:left="0" w:right="0"/>
            </w:pPr>
            <w:r>
              <w:t>%Muj</w:t>
            </w:r>
          </w:p>
        </w:tc>
        <w:tc>
          <w:tcPr>
            <w:tcW w:w="780" w:type="dxa"/>
          </w:tcPr>
          <w:p w:rsidR="00000000" w:rsidRDefault="00000000">
            <w:pPr>
              <w:pStyle w:val="Heading5"/>
              <w:ind w:left="0" w:right="0"/>
            </w:pPr>
            <w:r>
              <w:t>Ambos Sexos</w:t>
            </w:r>
          </w:p>
        </w:tc>
        <w:tc>
          <w:tcPr>
            <w:tcW w:w="708" w:type="dxa"/>
          </w:tcPr>
          <w:p w:rsidR="00000000" w:rsidRDefault="00000000">
            <w:pPr>
              <w:pStyle w:val="Heading5"/>
              <w:ind w:left="0" w:right="0"/>
            </w:pPr>
            <w:r>
              <w:t>%Muj</w:t>
            </w:r>
          </w:p>
        </w:tc>
        <w:tc>
          <w:tcPr>
            <w:tcW w:w="851" w:type="dxa"/>
          </w:tcPr>
          <w:p w:rsidR="00000000" w:rsidRDefault="00000000">
            <w:pPr>
              <w:pStyle w:val="Heading5"/>
              <w:ind w:left="0" w:right="0"/>
            </w:pPr>
            <w:r>
              <w:t>Ambos Sexos</w:t>
            </w:r>
          </w:p>
        </w:tc>
        <w:tc>
          <w:tcPr>
            <w:tcW w:w="850" w:type="dxa"/>
          </w:tcPr>
          <w:p w:rsidR="00000000" w:rsidRDefault="00000000">
            <w:pPr>
              <w:jc w:val="center"/>
              <w:rPr>
                <w:rFonts w:ascii="Arial" w:hAnsi="Arial"/>
                <w:b/>
                <w:sz w:val="16"/>
              </w:rPr>
            </w:pPr>
            <w:r>
              <w:rPr>
                <w:rFonts w:ascii="Arial" w:hAnsi="Arial"/>
                <w:b/>
                <w:sz w:val="16"/>
              </w:rPr>
              <w:t>%Muj</w:t>
            </w:r>
          </w:p>
          <w:p w:rsidR="00000000" w:rsidRDefault="00000000">
            <w:pPr>
              <w:pStyle w:val="Heading5"/>
              <w:ind w:left="0" w:right="0"/>
            </w:pPr>
          </w:p>
        </w:tc>
        <w:tc>
          <w:tcPr>
            <w:tcW w:w="851" w:type="dxa"/>
          </w:tcPr>
          <w:p w:rsidR="00000000" w:rsidRDefault="00000000">
            <w:pPr>
              <w:jc w:val="center"/>
              <w:rPr>
                <w:rFonts w:ascii="Arial" w:hAnsi="Arial"/>
                <w:b/>
                <w:sz w:val="16"/>
              </w:rPr>
            </w:pPr>
            <w:r>
              <w:rPr>
                <w:rFonts w:ascii="Arial" w:hAnsi="Arial"/>
                <w:b/>
                <w:sz w:val="16"/>
              </w:rPr>
              <w:t>Ambos</w:t>
            </w:r>
          </w:p>
          <w:p w:rsidR="00000000" w:rsidRDefault="00000000">
            <w:pPr>
              <w:pStyle w:val="Heading5"/>
              <w:ind w:left="0" w:right="0"/>
            </w:pPr>
            <w:r>
              <w:t>Sexos</w:t>
            </w:r>
          </w:p>
        </w:tc>
        <w:tc>
          <w:tcPr>
            <w:tcW w:w="850" w:type="dxa"/>
          </w:tcPr>
          <w:p w:rsidR="00000000" w:rsidRDefault="00000000">
            <w:pPr>
              <w:pStyle w:val="Heading5"/>
              <w:ind w:left="0" w:right="0"/>
            </w:pPr>
            <w:r>
              <w:t>%Muj</w:t>
            </w:r>
          </w:p>
        </w:tc>
      </w:tr>
      <w:tr w:rsidR="00000000">
        <w:tblPrEx>
          <w:tblCellMar>
            <w:top w:w="0" w:type="dxa"/>
            <w:bottom w:w="0" w:type="dxa"/>
          </w:tblCellMar>
        </w:tblPrEx>
        <w:trPr>
          <w:jc w:val="center"/>
        </w:trPr>
        <w:tc>
          <w:tcPr>
            <w:tcW w:w="709" w:type="dxa"/>
          </w:tcPr>
          <w:p w:rsidR="00000000" w:rsidRDefault="00000000">
            <w:pPr>
              <w:jc w:val="center"/>
              <w:rPr>
                <w:rFonts w:ascii="Arial" w:hAnsi="Arial"/>
                <w:b/>
                <w:sz w:val="16"/>
              </w:rPr>
            </w:pPr>
            <w:r>
              <w:rPr>
                <w:rFonts w:ascii="Arial" w:hAnsi="Arial"/>
                <w:b/>
                <w:sz w:val="16"/>
              </w:rPr>
              <w:t>1996</w:t>
            </w:r>
          </w:p>
        </w:tc>
        <w:tc>
          <w:tcPr>
            <w:tcW w:w="797" w:type="dxa"/>
          </w:tcPr>
          <w:p w:rsidR="00000000" w:rsidRDefault="00000000">
            <w:pPr>
              <w:jc w:val="center"/>
              <w:rPr>
                <w:rFonts w:ascii="Arial" w:hAnsi="Arial"/>
                <w:sz w:val="16"/>
              </w:rPr>
            </w:pPr>
            <w:r>
              <w:rPr>
                <w:rFonts w:ascii="Arial" w:hAnsi="Arial"/>
                <w:sz w:val="16"/>
              </w:rPr>
              <w:t>43.409</w:t>
            </w:r>
          </w:p>
        </w:tc>
        <w:tc>
          <w:tcPr>
            <w:tcW w:w="594" w:type="dxa"/>
          </w:tcPr>
          <w:p w:rsidR="00000000" w:rsidRDefault="00000000">
            <w:pPr>
              <w:jc w:val="center"/>
              <w:rPr>
                <w:rFonts w:ascii="Arial" w:hAnsi="Arial"/>
                <w:sz w:val="16"/>
              </w:rPr>
            </w:pPr>
            <w:r>
              <w:rPr>
                <w:rFonts w:ascii="Arial" w:hAnsi="Arial"/>
                <w:sz w:val="16"/>
              </w:rPr>
              <w:t>9,34</w:t>
            </w:r>
          </w:p>
        </w:tc>
        <w:tc>
          <w:tcPr>
            <w:tcW w:w="873" w:type="dxa"/>
          </w:tcPr>
          <w:p w:rsidR="00000000" w:rsidRDefault="00000000">
            <w:pPr>
              <w:jc w:val="center"/>
              <w:rPr>
                <w:rFonts w:ascii="Arial" w:hAnsi="Arial"/>
                <w:sz w:val="16"/>
              </w:rPr>
            </w:pPr>
            <w:r>
              <w:rPr>
                <w:rFonts w:ascii="Arial" w:hAnsi="Arial"/>
                <w:sz w:val="16"/>
              </w:rPr>
              <w:t>9.917</w:t>
            </w:r>
          </w:p>
        </w:tc>
        <w:tc>
          <w:tcPr>
            <w:tcW w:w="642" w:type="dxa"/>
          </w:tcPr>
          <w:p w:rsidR="00000000" w:rsidRDefault="00000000">
            <w:pPr>
              <w:jc w:val="center"/>
              <w:rPr>
                <w:rFonts w:ascii="Arial" w:hAnsi="Arial"/>
                <w:sz w:val="16"/>
              </w:rPr>
            </w:pPr>
            <w:r>
              <w:rPr>
                <w:rFonts w:ascii="Arial" w:hAnsi="Arial"/>
                <w:sz w:val="16"/>
              </w:rPr>
              <w:t>9,91</w:t>
            </w:r>
          </w:p>
        </w:tc>
        <w:tc>
          <w:tcPr>
            <w:tcW w:w="780" w:type="dxa"/>
          </w:tcPr>
          <w:p w:rsidR="00000000" w:rsidRDefault="00000000">
            <w:pPr>
              <w:jc w:val="center"/>
              <w:rPr>
                <w:rFonts w:ascii="Arial" w:hAnsi="Arial"/>
                <w:sz w:val="16"/>
              </w:rPr>
            </w:pPr>
            <w:r>
              <w:rPr>
                <w:rFonts w:ascii="Arial" w:hAnsi="Arial"/>
                <w:sz w:val="16"/>
              </w:rPr>
              <w:t>33.182</w:t>
            </w:r>
          </w:p>
        </w:tc>
        <w:tc>
          <w:tcPr>
            <w:tcW w:w="708" w:type="dxa"/>
          </w:tcPr>
          <w:p w:rsidR="00000000" w:rsidRDefault="00000000">
            <w:pPr>
              <w:jc w:val="center"/>
              <w:rPr>
                <w:rFonts w:ascii="Arial" w:hAnsi="Arial"/>
                <w:sz w:val="16"/>
              </w:rPr>
            </w:pPr>
            <w:r>
              <w:rPr>
                <w:rFonts w:ascii="Arial" w:hAnsi="Arial"/>
                <w:sz w:val="16"/>
              </w:rPr>
              <w:t>9,21</w:t>
            </w:r>
          </w:p>
        </w:tc>
        <w:tc>
          <w:tcPr>
            <w:tcW w:w="851" w:type="dxa"/>
          </w:tcPr>
          <w:p w:rsidR="00000000" w:rsidRDefault="00000000">
            <w:pPr>
              <w:jc w:val="center"/>
              <w:rPr>
                <w:rFonts w:ascii="Arial" w:hAnsi="Arial"/>
                <w:sz w:val="16"/>
              </w:rPr>
            </w:pPr>
            <w:r>
              <w:rPr>
                <w:rFonts w:ascii="Arial" w:hAnsi="Arial"/>
                <w:sz w:val="16"/>
              </w:rPr>
              <w:t>310</w:t>
            </w:r>
          </w:p>
        </w:tc>
        <w:tc>
          <w:tcPr>
            <w:tcW w:w="850" w:type="dxa"/>
          </w:tcPr>
          <w:p w:rsidR="00000000" w:rsidRDefault="00000000">
            <w:pPr>
              <w:jc w:val="center"/>
              <w:rPr>
                <w:rFonts w:ascii="Arial" w:hAnsi="Arial"/>
                <w:sz w:val="16"/>
              </w:rPr>
            </w:pPr>
            <w:r>
              <w:rPr>
                <w:rFonts w:ascii="Arial" w:hAnsi="Arial"/>
                <w:sz w:val="16"/>
              </w:rPr>
              <w:t>4,84</w:t>
            </w:r>
          </w:p>
        </w:tc>
        <w:tc>
          <w:tcPr>
            <w:tcW w:w="851" w:type="dxa"/>
          </w:tcPr>
          <w:p w:rsidR="00000000" w:rsidRDefault="00000000">
            <w:pPr>
              <w:jc w:val="center"/>
              <w:rPr>
                <w:rFonts w:ascii="Arial" w:hAnsi="Arial"/>
                <w:sz w:val="16"/>
              </w:rPr>
            </w:pPr>
            <w:r>
              <w:rPr>
                <w:rFonts w:ascii="Arial" w:hAnsi="Arial"/>
                <w:sz w:val="16"/>
              </w:rPr>
              <w:t>-</w:t>
            </w:r>
          </w:p>
        </w:tc>
        <w:tc>
          <w:tcPr>
            <w:tcW w:w="850" w:type="dxa"/>
          </w:tcPr>
          <w:p w:rsidR="00000000" w:rsidRDefault="00000000">
            <w:pPr>
              <w:jc w:val="center"/>
              <w:rPr>
                <w:rFonts w:ascii="Arial" w:hAnsi="Arial"/>
                <w:sz w:val="16"/>
              </w:rPr>
            </w:pPr>
            <w:r>
              <w:rPr>
                <w:rFonts w:ascii="Arial" w:hAnsi="Arial"/>
                <w:sz w:val="16"/>
              </w:rPr>
              <w:t>-</w:t>
            </w:r>
          </w:p>
        </w:tc>
      </w:tr>
      <w:tr w:rsidR="00000000">
        <w:tblPrEx>
          <w:tblCellMar>
            <w:top w:w="0" w:type="dxa"/>
            <w:bottom w:w="0" w:type="dxa"/>
          </w:tblCellMar>
        </w:tblPrEx>
        <w:trPr>
          <w:jc w:val="center"/>
        </w:trPr>
        <w:tc>
          <w:tcPr>
            <w:tcW w:w="709" w:type="dxa"/>
          </w:tcPr>
          <w:p w:rsidR="00000000" w:rsidRDefault="00000000">
            <w:pPr>
              <w:jc w:val="center"/>
              <w:rPr>
                <w:rFonts w:ascii="Arial" w:hAnsi="Arial"/>
                <w:b/>
                <w:sz w:val="16"/>
              </w:rPr>
            </w:pPr>
            <w:r>
              <w:rPr>
                <w:rFonts w:ascii="Arial" w:hAnsi="Arial"/>
                <w:b/>
                <w:sz w:val="16"/>
              </w:rPr>
              <w:t>1997</w:t>
            </w:r>
          </w:p>
        </w:tc>
        <w:tc>
          <w:tcPr>
            <w:tcW w:w="797" w:type="dxa"/>
          </w:tcPr>
          <w:p w:rsidR="00000000" w:rsidRDefault="00000000">
            <w:pPr>
              <w:jc w:val="center"/>
              <w:rPr>
                <w:rFonts w:ascii="Arial" w:hAnsi="Arial"/>
                <w:sz w:val="16"/>
              </w:rPr>
            </w:pPr>
            <w:r>
              <w:rPr>
                <w:rFonts w:ascii="Arial" w:hAnsi="Arial"/>
                <w:sz w:val="16"/>
              </w:rPr>
              <w:t>42.756</w:t>
            </w:r>
          </w:p>
        </w:tc>
        <w:tc>
          <w:tcPr>
            <w:tcW w:w="594" w:type="dxa"/>
          </w:tcPr>
          <w:p w:rsidR="00000000" w:rsidRDefault="00000000">
            <w:pPr>
              <w:jc w:val="center"/>
              <w:rPr>
                <w:rFonts w:ascii="Arial" w:hAnsi="Arial"/>
                <w:sz w:val="16"/>
              </w:rPr>
            </w:pPr>
            <w:r>
              <w:rPr>
                <w:rFonts w:ascii="Arial" w:hAnsi="Arial"/>
                <w:sz w:val="16"/>
              </w:rPr>
              <w:t>9,30</w:t>
            </w:r>
          </w:p>
        </w:tc>
        <w:tc>
          <w:tcPr>
            <w:tcW w:w="873" w:type="dxa"/>
          </w:tcPr>
          <w:p w:rsidR="00000000" w:rsidRDefault="00000000">
            <w:pPr>
              <w:jc w:val="center"/>
              <w:rPr>
                <w:rFonts w:ascii="Arial" w:hAnsi="Arial"/>
                <w:sz w:val="16"/>
              </w:rPr>
            </w:pPr>
            <w:r>
              <w:rPr>
                <w:rFonts w:ascii="Arial" w:hAnsi="Arial"/>
                <w:sz w:val="16"/>
              </w:rPr>
              <w:t>10.976</w:t>
            </w:r>
          </w:p>
        </w:tc>
        <w:tc>
          <w:tcPr>
            <w:tcW w:w="642" w:type="dxa"/>
          </w:tcPr>
          <w:p w:rsidR="00000000" w:rsidRDefault="00000000">
            <w:pPr>
              <w:jc w:val="center"/>
              <w:rPr>
                <w:rFonts w:ascii="Arial" w:hAnsi="Arial"/>
                <w:sz w:val="16"/>
              </w:rPr>
            </w:pPr>
            <w:r>
              <w:rPr>
                <w:rFonts w:ascii="Arial" w:hAnsi="Arial"/>
                <w:sz w:val="16"/>
              </w:rPr>
              <w:t>10,20</w:t>
            </w:r>
          </w:p>
        </w:tc>
        <w:tc>
          <w:tcPr>
            <w:tcW w:w="780" w:type="dxa"/>
          </w:tcPr>
          <w:p w:rsidR="00000000" w:rsidRDefault="00000000">
            <w:pPr>
              <w:jc w:val="center"/>
              <w:rPr>
                <w:rFonts w:ascii="Arial" w:hAnsi="Arial"/>
                <w:sz w:val="16"/>
              </w:rPr>
            </w:pPr>
            <w:r>
              <w:rPr>
                <w:rFonts w:ascii="Arial" w:hAnsi="Arial"/>
                <w:sz w:val="16"/>
              </w:rPr>
              <w:t>31.282</w:t>
            </w:r>
          </w:p>
        </w:tc>
        <w:tc>
          <w:tcPr>
            <w:tcW w:w="708" w:type="dxa"/>
          </w:tcPr>
          <w:p w:rsidR="00000000" w:rsidRDefault="00000000">
            <w:pPr>
              <w:jc w:val="center"/>
              <w:rPr>
                <w:rFonts w:ascii="Arial" w:hAnsi="Arial"/>
                <w:sz w:val="16"/>
              </w:rPr>
            </w:pPr>
            <w:r>
              <w:rPr>
                <w:rFonts w:ascii="Arial" w:hAnsi="Arial"/>
                <w:sz w:val="16"/>
              </w:rPr>
              <w:t>9,07</w:t>
            </w:r>
          </w:p>
        </w:tc>
        <w:tc>
          <w:tcPr>
            <w:tcW w:w="851" w:type="dxa"/>
          </w:tcPr>
          <w:p w:rsidR="00000000" w:rsidRDefault="00000000">
            <w:pPr>
              <w:jc w:val="center"/>
              <w:rPr>
                <w:rFonts w:ascii="Arial" w:hAnsi="Arial"/>
                <w:sz w:val="16"/>
              </w:rPr>
            </w:pPr>
            <w:r>
              <w:rPr>
                <w:rFonts w:ascii="Arial" w:hAnsi="Arial"/>
                <w:sz w:val="16"/>
              </w:rPr>
              <w:t>324</w:t>
            </w:r>
          </w:p>
        </w:tc>
        <w:tc>
          <w:tcPr>
            <w:tcW w:w="850" w:type="dxa"/>
          </w:tcPr>
          <w:p w:rsidR="00000000" w:rsidRDefault="00000000">
            <w:pPr>
              <w:jc w:val="center"/>
              <w:rPr>
                <w:rFonts w:ascii="Arial" w:hAnsi="Arial"/>
                <w:sz w:val="16"/>
              </w:rPr>
            </w:pPr>
            <w:r>
              <w:rPr>
                <w:rFonts w:ascii="Arial" w:hAnsi="Arial"/>
                <w:sz w:val="16"/>
              </w:rPr>
              <w:t>3,70</w:t>
            </w:r>
          </w:p>
        </w:tc>
        <w:tc>
          <w:tcPr>
            <w:tcW w:w="851" w:type="dxa"/>
          </w:tcPr>
          <w:p w:rsidR="00000000" w:rsidRDefault="00000000">
            <w:pPr>
              <w:jc w:val="center"/>
              <w:rPr>
                <w:rFonts w:ascii="Arial" w:hAnsi="Arial"/>
                <w:sz w:val="16"/>
              </w:rPr>
            </w:pPr>
            <w:r>
              <w:rPr>
                <w:rFonts w:ascii="Arial" w:hAnsi="Arial"/>
                <w:sz w:val="16"/>
              </w:rPr>
              <w:t>-</w:t>
            </w:r>
          </w:p>
        </w:tc>
        <w:tc>
          <w:tcPr>
            <w:tcW w:w="850" w:type="dxa"/>
          </w:tcPr>
          <w:p w:rsidR="00000000" w:rsidRDefault="00000000">
            <w:pPr>
              <w:jc w:val="center"/>
              <w:rPr>
                <w:rFonts w:ascii="Arial" w:hAnsi="Arial"/>
                <w:sz w:val="16"/>
              </w:rPr>
            </w:pPr>
            <w:r>
              <w:rPr>
                <w:rFonts w:ascii="Arial" w:hAnsi="Arial"/>
                <w:sz w:val="16"/>
              </w:rPr>
              <w:t>-</w:t>
            </w:r>
          </w:p>
        </w:tc>
      </w:tr>
      <w:tr w:rsidR="00000000">
        <w:tblPrEx>
          <w:tblCellMar>
            <w:top w:w="0" w:type="dxa"/>
            <w:bottom w:w="0" w:type="dxa"/>
          </w:tblCellMar>
        </w:tblPrEx>
        <w:trPr>
          <w:jc w:val="center"/>
        </w:trPr>
        <w:tc>
          <w:tcPr>
            <w:tcW w:w="709" w:type="dxa"/>
          </w:tcPr>
          <w:p w:rsidR="00000000" w:rsidRDefault="00000000">
            <w:pPr>
              <w:jc w:val="center"/>
              <w:rPr>
                <w:rFonts w:ascii="Arial" w:hAnsi="Arial"/>
                <w:b/>
                <w:sz w:val="16"/>
              </w:rPr>
            </w:pPr>
            <w:r>
              <w:rPr>
                <w:rFonts w:ascii="Arial" w:hAnsi="Arial"/>
                <w:b/>
                <w:sz w:val="16"/>
              </w:rPr>
              <w:t>1998</w:t>
            </w:r>
          </w:p>
        </w:tc>
        <w:tc>
          <w:tcPr>
            <w:tcW w:w="797" w:type="dxa"/>
          </w:tcPr>
          <w:p w:rsidR="00000000" w:rsidRDefault="00000000">
            <w:pPr>
              <w:jc w:val="center"/>
              <w:rPr>
                <w:rFonts w:ascii="Arial" w:hAnsi="Arial"/>
                <w:sz w:val="16"/>
              </w:rPr>
            </w:pPr>
            <w:r>
              <w:rPr>
                <w:rFonts w:ascii="Arial" w:hAnsi="Arial"/>
                <w:sz w:val="16"/>
              </w:rPr>
              <w:t>44.370</w:t>
            </w:r>
          </w:p>
        </w:tc>
        <w:tc>
          <w:tcPr>
            <w:tcW w:w="594" w:type="dxa"/>
          </w:tcPr>
          <w:p w:rsidR="00000000" w:rsidRDefault="00000000">
            <w:pPr>
              <w:jc w:val="center"/>
              <w:rPr>
                <w:rFonts w:ascii="Arial" w:hAnsi="Arial"/>
                <w:sz w:val="16"/>
              </w:rPr>
            </w:pPr>
            <w:r>
              <w:rPr>
                <w:rFonts w:ascii="Arial" w:hAnsi="Arial"/>
                <w:sz w:val="16"/>
              </w:rPr>
              <w:t>8,94</w:t>
            </w:r>
          </w:p>
        </w:tc>
        <w:tc>
          <w:tcPr>
            <w:tcW w:w="873" w:type="dxa"/>
          </w:tcPr>
          <w:p w:rsidR="00000000" w:rsidRDefault="00000000">
            <w:pPr>
              <w:jc w:val="center"/>
              <w:rPr>
                <w:rFonts w:ascii="Arial" w:hAnsi="Arial"/>
                <w:sz w:val="16"/>
              </w:rPr>
            </w:pPr>
            <w:r>
              <w:rPr>
                <w:rFonts w:ascii="Arial" w:hAnsi="Arial"/>
                <w:sz w:val="16"/>
              </w:rPr>
              <w:t>10.790</w:t>
            </w:r>
          </w:p>
        </w:tc>
        <w:tc>
          <w:tcPr>
            <w:tcW w:w="642" w:type="dxa"/>
          </w:tcPr>
          <w:p w:rsidR="00000000" w:rsidRDefault="00000000">
            <w:pPr>
              <w:jc w:val="center"/>
              <w:rPr>
                <w:rFonts w:ascii="Arial" w:hAnsi="Arial"/>
                <w:sz w:val="16"/>
              </w:rPr>
            </w:pPr>
            <w:r>
              <w:rPr>
                <w:rFonts w:ascii="Arial" w:hAnsi="Arial"/>
                <w:sz w:val="16"/>
              </w:rPr>
              <w:t>9,40</w:t>
            </w:r>
          </w:p>
        </w:tc>
        <w:tc>
          <w:tcPr>
            <w:tcW w:w="780" w:type="dxa"/>
          </w:tcPr>
          <w:p w:rsidR="00000000" w:rsidRDefault="00000000">
            <w:pPr>
              <w:jc w:val="center"/>
              <w:rPr>
                <w:rFonts w:ascii="Arial" w:hAnsi="Arial"/>
                <w:sz w:val="16"/>
              </w:rPr>
            </w:pPr>
            <w:r>
              <w:rPr>
                <w:rFonts w:ascii="Arial" w:hAnsi="Arial"/>
                <w:sz w:val="16"/>
              </w:rPr>
              <w:t>32.931</w:t>
            </w:r>
          </w:p>
        </w:tc>
        <w:tc>
          <w:tcPr>
            <w:tcW w:w="708" w:type="dxa"/>
          </w:tcPr>
          <w:p w:rsidR="00000000" w:rsidRDefault="00000000">
            <w:pPr>
              <w:jc w:val="center"/>
              <w:rPr>
                <w:rFonts w:ascii="Arial" w:hAnsi="Arial"/>
                <w:sz w:val="16"/>
              </w:rPr>
            </w:pPr>
            <w:r>
              <w:rPr>
                <w:rFonts w:ascii="Arial" w:hAnsi="Arial"/>
                <w:sz w:val="16"/>
              </w:rPr>
              <w:t>8,87</w:t>
            </w:r>
          </w:p>
        </w:tc>
        <w:tc>
          <w:tcPr>
            <w:tcW w:w="851" w:type="dxa"/>
          </w:tcPr>
          <w:p w:rsidR="00000000" w:rsidRDefault="00000000">
            <w:pPr>
              <w:jc w:val="center"/>
              <w:rPr>
                <w:rFonts w:ascii="Arial" w:hAnsi="Arial"/>
                <w:sz w:val="16"/>
              </w:rPr>
            </w:pPr>
            <w:r>
              <w:rPr>
                <w:rFonts w:ascii="Arial" w:hAnsi="Arial"/>
                <w:sz w:val="16"/>
              </w:rPr>
              <w:t>363</w:t>
            </w:r>
          </w:p>
        </w:tc>
        <w:tc>
          <w:tcPr>
            <w:tcW w:w="850" w:type="dxa"/>
          </w:tcPr>
          <w:p w:rsidR="00000000" w:rsidRDefault="00000000">
            <w:pPr>
              <w:jc w:val="center"/>
              <w:rPr>
                <w:rFonts w:ascii="Arial" w:hAnsi="Arial"/>
                <w:sz w:val="16"/>
              </w:rPr>
            </w:pPr>
            <w:r>
              <w:rPr>
                <w:rFonts w:ascii="Arial" w:hAnsi="Arial"/>
                <w:sz w:val="16"/>
              </w:rPr>
              <w:t>3,31</w:t>
            </w:r>
          </w:p>
        </w:tc>
        <w:tc>
          <w:tcPr>
            <w:tcW w:w="851" w:type="dxa"/>
          </w:tcPr>
          <w:p w:rsidR="00000000" w:rsidRDefault="00000000">
            <w:pPr>
              <w:jc w:val="center"/>
              <w:rPr>
                <w:rFonts w:ascii="Arial" w:hAnsi="Arial"/>
                <w:sz w:val="16"/>
              </w:rPr>
            </w:pPr>
            <w:r>
              <w:rPr>
                <w:rFonts w:ascii="Arial" w:hAnsi="Arial"/>
                <w:sz w:val="16"/>
              </w:rPr>
              <w:t>286</w:t>
            </w:r>
          </w:p>
        </w:tc>
        <w:tc>
          <w:tcPr>
            <w:tcW w:w="850" w:type="dxa"/>
          </w:tcPr>
          <w:p w:rsidR="00000000" w:rsidRDefault="00000000">
            <w:pPr>
              <w:jc w:val="center"/>
              <w:rPr>
                <w:rFonts w:ascii="Arial" w:hAnsi="Arial"/>
                <w:sz w:val="16"/>
              </w:rPr>
            </w:pPr>
            <w:r>
              <w:rPr>
                <w:rFonts w:ascii="Arial" w:hAnsi="Arial"/>
                <w:sz w:val="16"/>
              </w:rPr>
              <w:t>6,64</w:t>
            </w:r>
          </w:p>
        </w:tc>
      </w:tr>
      <w:tr w:rsidR="00000000">
        <w:tblPrEx>
          <w:tblCellMar>
            <w:top w:w="0" w:type="dxa"/>
            <w:bottom w:w="0" w:type="dxa"/>
          </w:tblCellMar>
        </w:tblPrEx>
        <w:trPr>
          <w:jc w:val="center"/>
        </w:trPr>
        <w:tc>
          <w:tcPr>
            <w:tcW w:w="709" w:type="dxa"/>
          </w:tcPr>
          <w:p w:rsidR="00000000" w:rsidRDefault="00000000">
            <w:pPr>
              <w:jc w:val="center"/>
              <w:rPr>
                <w:rFonts w:ascii="Arial" w:hAnsi="Arial"/>
                <w:b/>
                <w:sz w:val="16"/>
              </w:rPr>
            </w:pPr>
            <w:r>
              <w:rPr>
                <w:rFonts w:ascii="Arial" w:hAnsi="Arial"/>
                <w:b/>
                <w:sz w:val="16"/>
              </w:rPr>
              <w:t>1999</w:t>
            </w:r>
          </w:p>
        </w:tc>
        <w:tc>
          <w:tcPr>
            <w:tcW w:w="797" w:type="dxa"/>
          </w:tcPr>
          <w:p w:rsidR="00000000" w:rsidRDefault="00000000">
            <w:pPr>
              <w:jc w:val="center"/>
              <w:rPr>
                <w:rFonts w:ascii="Arial" w:hAnsi="Arial"/>
                <w:sz w:val="16"/>
              </w:rPr>
            </w:pPr>
            <w:r>
              <w:rPr>
                <w:rFonts w:ascii="Arial" w:hAnsi="Arial"/>
                <w:sz w:val="16"/>
              </w:rPr>
              <w:t>44.197</w:t>
            </w:r>
          </w:p>
        </w:tc>
        <w:tc>
          <w:tcPr>
            <w:tcW w:w="594" w:type="dxa"/>
          </w:tcPr>
          <w:p w:rsidR="00000000" w:rsidRDefault="00000000">
            <w:pPr>
              <w:jc w:val="center"/>
              <w:rPr>
                <w:rFonts w:ascii="Arial" w:hAnsi="Arial"/>
                <w:sz w:val="16"/>
              </w:rPr>
            </w:pPr>
            <w:r>
              <w:rPr>
                <w:rFonts w:ascii="Arial" w:hAnsi="Arial"/>
                <w:sz w:val="16"/>
              </w:rPr>
              <w:t>8,44</w:t>
            </w:r>
          </w:p>
        </w:tc>
        <w:tc>
          <w:tcPr>
            <w:tcW w:w="873" w:type="dxa"/>
          </w:tcPr>
          <w:p w:rsidR="00000000" w:rsidRDefault="00000000">
            <w:pPr>
              <w:jc w:val="center"/>
              <w:rPr>
                <w:rFonts w:ascii="Arial" w:hAnsi="Arial"/>
                <w:sz w:val="16"/>
              </w:rPr>
            </w:pPr>
            <w:r>
              <w:rPr>
                <w:rFonts w:ascii="Arial" w:hAnsi="Arial"/>
                <w:sz w:val="16"/>
              </w:rPr>
              <w:t>10.073</w:t>
            </w:r>
          </w:p>
        </w:tc>
        <w:tc>
          <w:tcPr>
            <w:tcW w:w="642" w:type="dxa"/>
          </w:tcPr>
          <w:p w:rsidR="00000000" w:rsidRDefault="00000000">
            <w:pPr>
              <w:jc w:val="center"/>
              <w:rPr>
                <w:rFonts w:ascii="Arial" w:hAnsi="Arial"/>
                <w:sz w:val="16"/>
              </w:rPr>
            </w:pPr>
            <w:r>
              <w:rPr>
                <w:rFonts w:ascii="Arial" w:hAnsi="Arial"/>
                <w:sz w:val="16"/>
              </w:rPr>
              <w:t>9,48</w:t>
            </w:r>
          </w:p>
        </w:tc>
        <w:tc>
          <w:tcPr>
            <w:tcW w:w="780" w:type="dxa"/>
          </w:tcPr>
          <w:p w:rsidR="00000000" w:rsidRDefault="00000000">
            <w:pPr>
              <w:jc w:val="center"/>
              <w:rPr>
                <w:rFonts w:ascii="Arial" w:hAnsi="Arial"/>
                <w:sz w:val="16"/>
              </w:rPr>
            </w:pPr>
            <w:r>
              <w:rPr>
                <w:rFonts w:ascii="Arial" w:hAnsi="Arial"/>
                <w:sz w:val="16"/>
              </w:rPr>
              <w:t>33.403</w:t>
            </w:r>
          </w:p>
        </w:tc>
        <w:tc>
          <w:tcPr>
            <w:tcW w:w="708" w:type="dxa"/>
          </w:tcPr>
          <w:p w:rsidR="00000000" w:rsidRDefault="00000000">
            <w:pPr>
              <w:jc w:val="center"/>
              <w:rPr>
                <w:rFonts w:ascii="Arial" w:hAnsi="Arial"/>
                <w:sz w:val="16"/>
              </w:rPr>
            </w:pPr>
            <w:r>
              <w:rPr>
                <w:rFonts w:ascii="Arial" w:hAnsi="Arial"/>
                <w:sz w:val="16"/>
              </w:rPr>
              <w:t>8,21</w:t>
            </w:r>
          </w:p>
        </w:tc>
        <w:tc>
          <w:tcPr>
            <w:tcW w:w="851" w:type="dxa"/>
          </w:tcPr>
          <w:p w:rsidR="00000000" w:rsidRDefault="00000000">
            <w:pPr>
              <w:jc w:val="center"/>
              <w:rPr>
                <w:rFonts w:ascii="Arial" w:hAnsi="Arial"/>
                <w:sz w:val="16"/>
              </w:rPr>
            </w:pPr>
            <w:r>
              <w:rPr>
                <w:rFonts w:ascii="Arial" w:hAnsi="Arial"/>
                <w:sz w:val="16"/>
              </w:rPr>
              <w:t>386</w:t>
            </w:r>
          </w:p>
        </w:tc>
        <w:tc>
          <w:tcPr>
            <w:tcW w:w="850" w:type="dxa"/>
          </w:tcPr>
          <w:p w:rsidR="00000000" w:rsidRDefault="00000000">
            <w:pPr>
              <w:jc w:val="center"/>
              <w:rPr>
                <w:rFonts w:ascii="Arial" w:hAnsi="Arial"/>
                <w:sz w:val="16"/>
              </w:rPr>
            </w:pPr>
            <w:r>
              <w:rPr>
                <w:rFonts w:ascii="Arial" w:hAnsi="Arial"/>
                <w:sz w:val="16"/>
              </w:rPr>
              <w:t>3,11</w:t>
            </w:r>
          </w:p>
        </w:tc>
        <w:tc>
          <w:tcPr>
            <w:tcW w:w="851" w:type="dxa"/>
          </w:tcPr>
          <w:p w:rsidR="00000000" w:rsidRDefault="00000000">
            <w:pPr>
              <w:jc w:val="center"/>
              <w:rPr>
                <w:rFonts w:ascii="Arial" w:hAnsi="Arial"/>
                <w:sz w:val="16"/>
              </w:rPr>
            </w:pPr>
            <w:r>
              <w:rPr>
                <w:rFonts w:ascii="Arial" w:hAnsi="Arial"/>
                <w:sz w:val="16"/>
              </w:rPr>
              <w:t>335</w:t>
            </w:r>
          </w:p>
        </w:tc>
        <w:tc>
          <w:tcPr>
            <w:tcW w:w="850" w:type="dxa"/>
          </w:tcPr>
          <w:p w:rsidR="00000000" w:rsidRDefault="00000000">
            <w:pPr>
              <w:jc w:val="center"/>
              <w:rPr>
                <w:rFonts w:ascii="Arial" w:hAnsi="Arial"/>
                <w:sz w:val="16"/>
              </w:rPr>
            </w:pPr>
            <w:r>
              <w:rPr>
                <w:rFonts w:ascii="Arial" w:hAnsi="Arial"/>
                <w:sz w:val="16"/>
              </w:rPr>
              <w:t>6,87</w:t>
            </w:r>
          </w:p>
        </w:tc>
      </w:tr>
    </w:tbl>
    <w:p w:rsidR="00000000" w:rsidRDefault="00000000">
      <w:pPr>
        <w:ind w:left="639" w:right="643"/>
        <w:jc w:val="both"/>
        <w:rPr>
          <w:rFonts w:ascii="Arial" w:hAnsi="Arial"/>
          <w:sz w:val="16"/>
        </w:rPr>
      </w:pPr>
      <w:r>
        <w:rPr>
          <w:rFonts w:ascii="Arial" w:hAnsi="Arial"/>
          <w:sz w:val="16"/>
        </w:rPr>
        <w:t>Fuente: elaboración propia a partir de datos facilitados por la Dirección General de Instituciones Penitenciarias, Ministerio del Interior</w:t>
      </w:r>
    </w:p>
    <w:p w:rsidR="00000000" w:rsidRDefault="00000000">
      <w:pPr>
        <w:jc w:val="both"/>
        <w:rPr>
          <w:rFonts w:ascii="Arial" w:hAnsi="Arial"/>
        </w:rPr>
      </w:pPr>
    </w:p>
    <w:p w:rsidR="00000000" w:rsidRDefault="00000000">
      <w:pPr>
        <w:jc w:val="both"/>
        <w:rPr>
          <w:rFonts w:ascii="Arial" w:hAnsi="Arial"/>
        </w:rPr>
      </w:pPr>
    </w:p>
    <w:p w:rsidR="00000000" w:rsidRDefault="00000000">
      <w:pPr>
        <w:keepNext/>
        <w:keepLines/>
        <w:jc w:val="both"/>
        <w:rPr>
          <w:rFonts w:ascii="Arial" w:hAnsi="Arial"/>
          <w:b/>
        </w:rPr>
      </w:pPr>
      <w:r>
        <w:rPr>
          <w:rFonts w:ascii="Arial" w:hAnsi="Arial"/>
          <w:b/>
        </w:rPr>
        <w:t>Problemas de Aprendizaje nuevas tecnologías.</w:t>
      </w:r>
    </w:p>
    <w:p w:rsidR="00000000" w:rsidRDefault="00000000">
      <w:pPr>
        <w:keepNext/>
        <w:keepLines/>
      </w:pPr>
    </w:p>
    <w:p w:rsidR="00000000" w:rsidRDefault="00000000">
      <w:pPr>
        <w:keepNext/>
        <w:keepLines/>
        <w:jc w:val="both"/>
        <w:rPr>
          <w:rFonts w:ascii="Arial" w:hAnsi="Arial"/>
        </w:rPr>
      </w:pPr>
      <w:r>
        <w:rPr>
          <w:rFonts w:ascii="Arial" w:hAnsi="Arial"/>
        </w:rPr>
        <w:t>La irrupción de las nuevas tecnologías de la información y la comunicación es un fenómeno global que genera nuevas desigualdades en función del diferente bagaje educativo y cultural que presentan los ciudadanos.</w:t>
      </w:r>
    </w:p>
    <w:p w:rsidR="00000000" w:rsidRDefault="00000000">
      <w:pPr>
        <w:jc w:val="both"/>
        <w:rPr>
          <w:rFonts w:ascii="Arial" w:hAnsi="Arial"/>
        </w:rPr>
      </w:pPr>
    </w:p>
    <w:p w:rsidR="00000000" w:rsidRDefault="00000000">
      <w:pPr>
        <w:jc w:val="both"/>
        <w:rPr>
          <w:rFonts w:ascii="Arial" w:hAnsi="Arial"/>
        </w:rPr>
      </w:pPr>
      <w:r>
        <w:rPr>
          <w:rFonts w:ascii="Arial" w:hAnsi="Arial"/>
        </w:rPr>
        <w:t>Por lo que al conjunto de la sociedad española se refiere, tan sólo un 30% de la población usa ordenador y que sólo uno de cada diez españoles tiene acceso a Internet y ha hecho uso de esa posibilidad de acceso en el último mes. Estos porcentajes experimentan un crecimiento anual de dos o tres puntos porcentuales, lo que no es suficiente para paliar la señalada brecha digital.</w:t>
      </w:r>
    </w:p>
    <w:p w:rsidR="00000000" w:rsidRDefault="00000000">
      <w:pPr>
        <w:jc w:val="both"/>
        <w:rPr>
          <w:rFonts w:ascii="Arial" w:hAnsi="Arial"/>
        </w:rPr>
      </w:pPr>
    </w:p>
    <w:p w:rsidR="00000000" w:rsidRDefault="00000000">
      <w:pPr>
        <w:jc w:val="both"/>
        <w:rPr>
          <w:rFonts w:ascii="Arial" w:hAnsi="Arial"/>
        </w:rPr>
      </w:pPr>
      <w:r>
        <w:rPr>
          <w:rFonts w:ascii="Arial" w:hAnsi="Arial"/>
        </w:rPr>
        <w:t>Los internautas son un colectivo con una presencia mayoritaria de hombres, puesto que las mujeres sólo representan el 32% del colectivo.</w:t>
      </w:r>
    </w:p>
    <w:p w:rsidR="00000000" w:rsidRDefault="00000000">
      <w:pPr>
        <w:jc w:val="both"/>
        <w:rPr>
          <w:rFonts w:ascii="Arial" w:hAnsi="Arial"/>
        </w:rPr>
      </w:pPr>
    </w:p>
    <w:p w:rsidR="00000000" w:rsidRDefault="00000000">
      <w:pPr>
        <w:jc w:val="both"/>
        <w:rPr>
          <w:rFonts w:ascii="Arial" w:hAnsi="Arial"/>
        </w:rPr>
      </w:pPr>
      <w:r>
        <w:rPr>
          <w:rFonts w:ascii="Arial" w:hAnsi="Arial"/>
        </w:rPr>
        <w:t>No obstante, la mayoritaria presencia de hombres en el conjunto de los usuarios de Internet, cabe también destacar que los usuarios de incorporación reciente (en los últimos tres meses) hay una proporción mucho más elevada de mujeres (42%), así como de los menores de 25 años (54%).</w:t>
      </w:r>
    </w:p>
    <w:p w:rsidR="00000000" w:rsidRDefault="00000000"/>
    <w:p w:rsidR="00000000" w:rsidRDefault="00000000">
      <w:pPr>
        <w:jc w:val="both"/>
        <w:rPr>
          <w:rFonts w:ascii="Arial" w:hAnsi="Arial"/>
        </w:rPr>
      </w:pPr>
      <w:r>
        <w:rPr>
          <w:rFonts w:ascii="Arial" w:hAnsi="Arial"/>
        </w:rPr>
        <w:t>En definitiva son las mujeres, los mayores de 45 años, quienes tienen bajos estudios, los que carecen de conocimientos de idioma, y los que viven en zonas rurales, los que tienen más probabilidades de ubicarse en la posición más desfavorable de la brecha digital que en términos de desigualdad social las nuevas tecnologías están creando.</w:t>
      </w:r>
    </w:p>
    <w:p w:rsidR="00000000" w:rsidRDefault="00000000"/>
    <w:p w:rsidR="00000000" w:rsidRDefault="00000000">
      <w:pPr>
        <w:pStyle w:val="Header"/>
      </w:pPr>
    </w:p>
    <w:p w:rsidR="00000000" w:rsidRDefault="00000000">
      <w:pPr>
        <w:pStyle w:val="Heading9"/>
      </w:pPr>
      <w:r>
        <w:t>II. Modificaciones en el Ordenamiento Jurídico respecto del conjunto de situaciones descritas.</w:t>
      </w:r>
    </w:p>
    <w:p w:rsidR="00000000" w:rsidRDefault="00000000"/>
    <w:p w:rsidR="00000000" w:rsidRDefault="00000000">
      <w:pPr>
        <w:pStyle w:val="BlockText"/>
        <w:ind w:left="0" w:right="0"/>
      </w:pPr>
      <w:r>
        <w:t>En este apartado hay que señalar, en primer lugar, que la regulación de los Servicios Sociales es una competencia de las Comunidades Autónomas. Sin embargo, algunas normas estatales aprob</w:t>
      </w:r>
      <w:r>
        <w:t>a</w:t>
      </w:r>
      <w:r>
        <w:t>das durante este período afectan a algunos de los colectivos estudiados en este capítulo. De este modo, se han aprobado las siguientes leyes:</w:t>
      </w:r>
    </w:p>
    <w:p w:rsidR="00000000" w:rsidRDefault="00000000">
      <w:pPr>
        <w:pStyle w:val="BlockText"/>
        <w:ind w:left="0" w:right="0"/>
      </w:pPr>
    </w:p>
    <w:p w:rsidR="00000000" w:rsidRDefault="00000000">
      <w:pPr>
        <w:pStyle w:val="BlockText"/>
        <w:ind w:left="0" w:right="0"/>
      </w:pPr>
      <w:r>
        <w:t xml:space="preserve">Ley 55/1999, de 29 de diciembre, de Medidas Fiscales, Administrativas y del Orden Social aprueba una medida importante: la autorización al Gobierno para la regulación reglamentaria de la relación laboral especial de reclusos/as que realicen actividades laborales en </w:t>
      </w:r>
      <w:r>
        <w:rPr>
          <w:b/>
        </w:rPr>
        <w:t>talleres penitenciarios</w:t>
      </w:r>
      <w:r>
        <w:t xml:space="preserve"> y su marco de protección de Seguridad Social, previendo que a las correspondientes cotizaciones se apliquen las bonificaciones para trabajadores/as con dificultades de inserción laboral o las que e</w:t>
      </w:r>
      <w:r>
        <w:t>s</w:t>
      </w:r>
      <w:r>
        <w:t>pecíficamente se fijen. También se habilita al Gobierno para regular la protección de Seguridad S</w:t>
      </w:r>
      <w:r>
        <w:t>o</w:t>
      </w:r>
      <w:r>
        <w:t>cial de los sometidos a penas de trabajo en beneficio de la comunidad.</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Ley 36/1999, 18 octubre, de Concesión del Subsidio de Desempleo y Garantías de Integración Sociolaboral para </w:t>
      </w:r>
      <w:r>
        <w:rPr>
          <w:rFonts w:ascii="Arial" w:hAnsi="Arial"/>
          <w:b/>
        </w:rPr>
        <w:t>Delincuentes Toxicómanos</w:t>
      </w:r>
      <w:r>
        <w:rPr>
          <w:rFonts w:ascii="Arial" w:hAnsi="Arial"/>
        </w:rPr>
        <w:t xml:space="preserve"> con suspensión de la ejecución de su pena a través del cumplimiento de un tratamiento de desintoxicación y que pueden ver definitivamente redimida, mediante la decisión judicial correspondiente. Esta Ley tiene un claro objetivo de incorporación social de los drogodependientes al regular la concesión del subsidio de desempleo, siempre que la privación de libertad haya sido por tiempo superior a seis meses.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Asimismo, como la sola percepción del subsidio no garantiza la integración social, deben recibir una atención pública específica en las políticas activas de empleo, acorde con el objetivo de recuperación e integración social. </w:t>
      </w:r>
    </w:p>
    <w:p w:rsidR="00000000" w:rsidRDefault="00000000">
      <w:pPr>
        <w:jc w:val="both"/>
        <w:rPr>
          <w:rFonts w:ascii="Arial" w:hAnsi="Arial"/>
        </w:rPr>
      </w:pPr>
    </w:p>
    <w:p w:rsidR="00000000" w:rsidRDefault="00000000">
      <w:pPr>
        <w:pStyle w:val="BodyTextIndent"/>
        <w:ind w:left="0"/>
      </w:pPr>
      <w:r>
        <w:t>El Real Decreto Ley 5/2002, de 24 de mayo, de Medidas Urgentes para la Reforma del Sistema de Protección por Desempleo y Mejora de la Ocupabilidad, mejora el concepto de colocación adecu</w:t>
      </w:r>
      <w:r>
        <w:t>a</w:t>
      </w:r>
      <w:r>
        <w:t>da, valorando ésta en función de las circunstancias personales, profesionales y la facilidad de de</w:t>
      </w:r>
      <w:r>
        <w:t>s</w:t>
      </w:r>
      <w:r>
        <w:t xml:space="preserve">plazamiento al lugar de trabajo. </w:t>
      </w:r>
    </w:p>
    <w:p w:rsidR="00000000" w:rsidRDefault="00000000">
      <w:pPr>
        <w:pStyle w:val="BodyTextIndent"/>
        <w:ind w:left="0"/>
      </w:pPr>
    </w:p>
    <w:p w:rsidR="00000000" w:rsidRDefault="00000000">
      <w:pPr>
        <w:pStyle w:val="BodyTextIndent"/>
        <w:ind w:left="0"/>
      </w:pPr>
      <w:r>
        <w:t xml:space="preserve">Asimismo, se reordena la protección de </w:t>
      </w:r>
      <w:r>
        <w:rPr>
          <w:b/>
        </w:rPr>
        <w:t>emigrantes retornados</w:t>
      </w:r>
      <w:r>
        <w:t>, reservando el subsidio específico a los que han trabajado al menos un año en países con los que España no tiene Convenio en esta materia, y estableciendo para los demás la posibilidad de incorporarse al Programa de Renta Activa de Inserción. (Ver Artículo 11)</w:t>
      </w:r>
    </w:p>
    <w:p w:rsidR="00000000" w:rsidRDefault="00000000">
      <w:pPr>
        <w:pStyle w:val="BodyTextIndent2"/>
        <w:ind w:left="0"/>
      </w:pPr>
    </w:p>
    <w:p w:rsidR="00000000" w:rsidRDefault="00000000">
      <w:pPr>
        <w:pStyle w:val="BodyTextIndent2"/>
        <w:ind w:left="0"/>
      </w:pPr>
      <w:r>
        <w:t>Asimismo, se amplía la protección a colectivos que actualmente carecen de ella. Para ello se est</w:t>
      </w:r>
      <w:r>
        <w:t>a</w:t>
      </w:r>
      <w:r>
        <w:t>blece una prestación contributiva por desempleo para los trabajadores eventuales agrarios del co</w:t>
      </w:r>
      <w:r>
        <w:t>n</w:t>
      </w:r>
      <w:r>
        <w:t>junto del territorio español y, por último, se regula el programa de Renta Activa de Inserción, a</w:t>
      </w:r>
      <w:r>
        <w:t>m</w:t>
      </w:r>
      <w:r>
        <w:t>pliando para 2002 el acceso a los parados que, teniendo más de cuarenta y cinco años, lleven más de doce meses en situación de desempleo, aun cuando no hubieran percibido prestación anterio</w:t>
      </w:r>
      <w:r>
        <w:t>r</w:t>
      </w:r>
      <w:r>
        <w:t xml:space="preserve">mente; o a parados de cualquier edad que sean discapacitados, emigrantes retornados o víctimas de violencia doméstica. </w:t>
      </w:r>
    </w:p>
    <w:p w:rsidR="00000000" w:rsidRDefault="00000000">
      <w:pPr>
        <w:tabs>
          <w:tab w:val="left" w:pos="8364"/>
        </w:tabs>
        <w:jc w:val="both"/>
        <w:rPr>
          <w:rFonts w:ascii="Arial" w:hAnsi="Arial"/>
        </w:rPr>
      </w:pPr>
    </w:p>
    <w:p w:rsidR="00000000" w:rsidRDefault="00000000">
      <w:pPr>
        <w:pStyle w:val="Heading9"/>
      </w:pPr>
      <w:r>
        <w:t>III. Políticas y Programas.</w:t>
      </w:r>
    </w:p>
    <w:p w:rsidR="00000000" w:rsidRDefault="00000000">
      <w:pPr>
        <w:jc w:val="both"/>
        <w:rPr>
          <w:rFonts w:ascii="Arial" w:hAnsi="Arial"/>
        </w:rPr>
      </w:pPr>
    </w:p>
    <w:p w:rsidR="00000000" w:rsidRDefault="00000000">
      <w:pPr>
        <w:jc w:val="both"/>
        <w:rPr>
          <w:rFonts w:ascii="Arial" w:hAnsi="Arial"/>
        </w:rPr>
      </w:pPr>
      <w:r>
        <w:rPr>
          <w:rFonts w:ascii="Arial" w:hAnsi="Arial"/>
        </w:rPr>
        <w:t>Con carácter general, para la aplicación de los diferentes programas y acciones dirigidos a combatir la exclusión social, se ha creado una amplia red de colaboración entre los distintos departamentos ministeriales, Comunidades Autónomas, asociaciones, ONG e instituciones diversas, dado el carácter multidimensional de los factores por los que se produce la exclusión.</w:t>
      </w:r>
    </w:p>
    <w:p w:rsidR="00000000" w:rsidRDefault="00000000">
      <w:pPr>
        <w:pStyle w:val="Heading9"/>
      </w:pPr>
    </w:p>
    <w:p w:rsidR="00000000" w:rsidRDefault="00000000">
      <w:pPr>
        <w:pStyle w:val="Heading9"/>
      </w:pPr>
      <w:r>
        <w:t>Plan de Inclusión Social</w:t>
      </w:r>
    </w:p>
    <w:p w:rsidR="00000000" w:rsidRDefault="00000000">
      <w:pPr>
        <w:jc w:val="both"/>
        <w:rPr>
          <w:rFonts w:ascii="Arial" w:hAnsi="Arial"/>
          <w:i/>
        </w:rPr>
      </w:pPr>
    </w:p>
    <w:p w:rsidR="00000000" w:rsidRDefault="00000000">
      <w:pPr>
        <w:jc w:val="both"/>
        <w:rPr>
          <w:rFonts w:ascii="Arial" w:hAnsi="Arial"/>
        </w:rPr>
      </w:pPr>
      <w:r>
        <w:rPr>
          <w:rFonts w:ascii="Arial" w:hAnsi="Arial"/>
        </w:rPr>
        <w:t>El 25 de mayo de 2001 se aprobó El Plan Nacional de Acción para la Inclusión Social del Reino de España 2001/2003 que presenta cuatro objetivos:</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 xml:space="preserve">El fomento del acceso al empleo y los demás recursos, derechos, bienes y servicios por parte de todos (vivienda, salud, educación, servicios sociales) </w:t>
      </w:r>
    </w:p>
    <w:p w:rsidR="00000000" w:rsidRDefault="00000000">
      <w:pPr>
        <w:numPr>
          <w:ilvl w:val="0"/>
          <w:numId w:val="75"/>
        </w:numPr>
        <w:tabs>
          <w:tab w:val="clear" w:pos="927"/>
        </w:tabs>
        <w:ind w:left="261" w:hanging="243"/>
        <w:jc w:val="both"/>
        <w:rPr>
          <w:rFonts w:ascii="Arial" w:hAnsi="Arial"/>
        </w:rPr>
      </w:pPr>
      <w:r>
        <w:rPr>
          <w:rFonts w:ascii="Arial" w:hAnsi="Arial"/>
        </w:rPr>
        <w:t xml:space="preserve">Prevención de los riesgos de exclusión. </w:t>
      </w:r>
    </w:p>
    <w:p w:rsidR="00000000" w:rsidRDefault="00000000">
      <w:pPr>
        <w:numPr>
          <w:ilvl w:val="0"/>
          <w:numId w:val="75"/>
        </w:numPr>
        <w:tabs>
          <w:tab w:val="clear" w:pos="927"/>
        </w:tabs>
        <w:ind w:left="261" w:hanging="243"/>
        <w:jc w:val="both"/>
        <w:rPr>
          <w:rFonts w:ascii="Arial" w:hAnsi="Arial"/>
        </w:rPr>
      </w:pPr>
      <w:r>
        <w:rPr>
          <w:rFonts w:ascii="Arial" w:hAnsi="Arial"/>
        </w:rPr>
        <w:t xml:space="preserve">Actuación a favor de los más vulnerables. </w:t>
      </w:r>
    </w:p>
    <w:p w:rsidR="00000000" w:rsidRDefault="00000000">
      <w:pPr>
        <w:numPr>
          <w:ilvl w:val="0"/>
          <w:numId w:val="75"/>
        </w:numPr>
        <w:tabs>
          <w:tab w:val="clear" w:pos="927"/>
        </w:tabs>
        <w:ind w:left="261" w:hanging="243"/>
        <w:jc w:val="both"/>
        <w:rPr>
          <w:rFonts w:ascii="Arial" w:hAnsi="Arial"/>
        </w:rPr>
      </w:pPr>
      <w:r>
        <w:rPr>
          <w:rFonts w:ascii="Arial" w:hAnsi="Arial"/>
        </w:rPr>
        <w:t xml:space="preserve">Movilización de todos los agentes. </w:t>
      </w:r>
    </w:p>
    <w:p w:rsidR="00000000" w:rsidRDefault="00000000">
      <w:pPr>
        <w:jc w:val="both"/>
        <w:rPr>
          <w:rFonts w:ascii="Arial" w:hAnsi="Arial"/>
        </w:rPr>
      </w:pPr>
    </w:p>
    <w:p w:rsidR="00000000" w:rsidRDefault="00000000">
      <w:pPr>
        <w:jc w:val="both"/>
        <w:rPr>
          <w:rFonts w:ascii="Arial" w:hAnsi="Arial"/>
        </w:rPr>
      </w:pPr>
      <w:r>
        <w:rPr>
          <w:rFonts w:ascii="Arial" w:hAnsi="Arial"/>
        </w:rPr>
        <w:t>En el Plan se dan cuatro elementos que pueden considerarse transversales:</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 xml:space="preserve">La familia, como soporte fundamental para situaciones de riesgo o exclusión social. </w:t>
      </w:r>
    </w:p>
    <w:p w:rsidR="00000000" w:rsidRDefault="00000000">
      <w:pPr>
        <w:numPr>
          <w:ilvl w:val="0"/>
          <w:numId w:val="75"/>
        </w:numPr>
        <w:tabs>
          <w:tab w:val="clear" w:pos="927"/>
        </w:tabs>
        <w:ind w:left="261" w:hanging="243"/>
        <w:jc w:val="both"/>
        <w:rPr>
          <w:rFonts w:ascii="Arial" w:hAnsi="Arial"/>
        </w:rPr>
      </w:pPr>
      <w:r>
        <w:rPr>
          <w:rFonts w:ascii="Arial" w:hAnsi="Arial"/>
        </w:rPr>
        <w:t xml:space="preserve">La </w:t>
      </w:r>
      <w:r>
        <w:rPr>
          <w:rFonts w:ascii="Arial" w:hAnsi="Arial"/>
          <w:b/>
        </w:rPr>
        <w:t>variable de género</w:t>
      </w:r>
      <w:r>
        <w:rPr>
          <w:rFonts w:ascii="Arial" w:hAnsi="Arial"/>
        </w:rPr>
        <w:t xml:space="preserve">, como elemento sustancial, dada la incidencia del riesgo de exclusión entre las mujeres. </w:t>
      </w:r>
    </w:p>
    <w:p w:rsidR="00000000" w:rsidRDefault="00000000">
      <w:pPr>
        <w:numPr>
          <w:ilvl w:val="0"/>
          <w:numId w:val="75"/>
        </w:numPr>
        <w:tabs>
          <w:tab w:val="clear" w:pos="927"/>
        </w:tabs>
        <w:ind w:left="261" w:hanging="243"/>
        <w:jc w:val="both"/>
        <w:rPr>
          <w:rFonts w:ascii="Arial" w:hAnsi="Arial"/>
        </w:rPr>
      </w:pPr>
      <w:r>
        <w:rPr>
          <w:rFonts w:ascii="Arial" w:hAnsi="Arial"/>
        </w:rPr>
        <w:t xml:space="preserve">Las nuevas tecnologías, como instrumento clave en el acceso a la información y a la comunicación, de gran importancia para la inclusión social. </w:t>
      </w:r>
    </w:p>
    <w:p w:rsidR="00000000" w:rsidRDefault="00000000">
      <w:pPr>
        <w:numPr>
          <w:ilvl w:val="0"/>
          <w:numId w:val="75"/>
        </w:numPr>
        <w:tabs>
          <w:tab w:val="clear" w:pos="927"/>
        </w:tabs>
        <w:ind w:left="261" w:hanging="243"/>
        <w:jc w:val="both"/>
        <w:rPr>
          <w:rFonts w:ascii="Arial" w:hAnsi="Arial"/>
        </w:rPr>
      </w:pPr>
      <w:r>
        <w:rPr>
          <w:rFonts w:ascii="Arial" w:hAnsi="Arial"/>
        </w:rPr>
        <w:t>La coordinación entre la administración estatal, regional y local y sociedad civil para la puesta en marcha de las diferentes políticas.</w:t>
      </w:r>
    </w:p>
    <w:p w:rsidR="00000000" w:rsidRDefault="00000000">
      <w:pPr>
        <w:jc w:val="both"/>
        <w:rPr>
          <w:rFonts w:ascii="Arial" w:hAnsi="Arial"/>
        </w:rPr>
      </w:pPr>
    </w:p>
    <w:p w:rsidR="00000000" w:rsidRDefault="00000000">
      <w:pPr>
        <w:jc w:val="both"/>
        <w:rPr>
          <w:rFonts w:ascii="Arial" w:hAnsi="Arial"/>
        </w:rPr>
      </w:pPr>
      <w:r>
        <w:rPr>
          <w:rFonts w:ascii="Arial" w:hAnsi="Arial"/>
        </w:rPr>
        <w:t>El plan que se desarrollará hasta el 2003 contará con un presupuesto de 25.242.508.384,1 euros, iniciándose una nueva forma de trabajar, con una triple coordinación entre las administraciones públicas, el sector público y la iniciativa privada.</w:t>
      </w:r>
    </w:p>
    <w:p w:rsidR="00000000" w:rsidRDefault="00000000">
      <w:pPr>
        <w:jc w:val="both"/>
        <w:rPr>
          <w:rFonts w:ascii="Arial" w:hAnsi="Arial"/>
        </w:rPr>
      </w:pPr>
      <w:r>
        <w:rPr>
          <w:rFonts w:ascii="Arial" w:hAnsi="Arial"/>
        </w:rPr>
        <w:t xml:space="preserve">Las Comunidades Autónomas y la Federación Española de Municipios y Provincias deben llevar a cabo en el periodo de vigencia del plan, planes de acción para la inclusión en todas las Comunidades Autónomas y planes municipales integrales con este mismo fin en un número significativo de Corporaciones Locales. </w:t>
      </w:r>
    </w:p>
    <w:p w:rsidR="00000000" w:rsidRDefault="00000000">
      <w:pPr>
        <w:jc w:val="both"/>
        <w:rPr>
          <w:rFonts w:ascii="Arial" w:hAnsi="Arial"/>
        </w:rPr>
      </w:pPr>
    </w:p>
    <w:p w:rsidR="00000000" w:rsidRDefault="00000000">
      <w:pPr>
        <w:pStyle w:val="BodyText3"/>
        <w:ind w:right="0"/>
        <w:rPr>
          <w:b/>
        </w:rPr>
      </w:pPr>
      <w:r>
        <w:t>El esfuerzo financiero de este plan de acción, tiene como base dos fuentes fundamentales: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aplicación de los Fondos e Iniciativas Europeas, y especialmente el Fondo Social Europeo y las </w:t>
      </w:r>
      <w:r>
        <w:rPr>
          <w:rFonts w:ascii="Arial" w:hAnsi="Arial"/>
          <w:b/>
        </w:rPr>
        <w:t>iniciativas</w:t>
      </w:r>
      <w:r>
        <w:rPr>
          <w:rFonts w:ascii="Arial" w:hAnsi="Arial"/>
        </w:rPr>
        <w:t xml:space="preserve"> </w:t>
      </w:r>
      <w:r>
        <w:rPr>
          <w:rFonts w:ascii="Arial" w:hAnsi="Arial"/>
          <w:b/>
        </w:rPr>
        <w:t>Equal</w:t>
      </w:r>
      <w:r>
        <w:rPr>
          <w:rFonts w:ascii="Arial" w:hAnsi="Arial"/>
        </w:rPr>
        <w:t xml:space="preserve"> y </w:t>
      </w:r>
      <w:r>
        <w:rPr>
          <w:rFonts w:ascii="Arial" w:hAnsi="Arial"/>
          <w:b/>
        </w:rPr>
        <w:t>Urban</w:t>
      </w:r>
      <w:r>
        <w:rPr>
          <w:rFonts w:ascii="Arial" w:hAnsi="Arial"/>
        </w:rPr>
        <w:t>, en lo que se refiere a los objetivos relacionados con la inclusión social, y las aportaciones de las Administraciones Públicas españolas.</w:t>
      </w:r>
    </w:p>
    <w:p w:rsidR="00000000" w:rsidRDefault="00000000">
      <w:pPr>
        <w:jc w:val="both"/>
        <w:rPr>
          <w:rFonts w:ascii="Arial" w:hAnsi="Arial"/>
        </w:rPr>
      </w:pPr>
    </w:p>
    <w:p w:rsidR="00000000" w:rsidRDefault="00000000">
      <w:pPr>
        <w:shd w:val="clear" w:color="auto" w:fill="FFFFFF"/>
        <w:jc w:val="center"/>
        <w:rPr>
          <w:rFonts w:ascii="Arial" w:hAnsi="Arial"/>
          <w:b/>
          <w:sz w:val="16"/>
        </w:rPr>
      </w:pPr>
      <w:r>
        <w:rPr>
          <w:rFonts w:ascii="Arial" w:hAnsi="Arial"/>
          <w:b/>
          <w:sz w:val="16"/>
        </w:rPr>
        <w:t>Cifras presupuestadas, en millones (a)</w:t>
      </w:r>
    </w:p>
    <w:p w:rsidR="00000000" w:rsidRDefault="00000000">
      <w:pPr>
        <w:shd w:val="clear" w:color="auto" w:fill="FFFFFF"/>
        <w:rPr>
          <w:rFonts w:ascii="Arial" w:hAnsi="Arial"/>
          <w:sz w:val="16"/>
        </w:rPr>
      </w:pPr>
    </w:p>
    <w:tbl>
      <w:tblPr>
        <w:tblW w:w="0" w:type="auto"/>
        <w:jc w:val="center"/>
        <w:tblLayout w:type="fixed"/>
        <w:tblCellMar>
          <w:left w:w="105" w:type="dxa"/>
          <w:right w:w="105" w:type="dxa"/>
        </w:tblCellMar>
        <w:tblLook w:val="0000" w:firstRow="0" w:lastRow="0" w:firstColumn="0" w:lastColumn="0" w:noHBand="0" w:noVBand="0"/>
      </w:tblPr>
      <w:tblGrid>
        <w:gridCol w:w="2835"/>
        <w:gridCol w:w="1286"/>
        <w:gridCol w:w="1124"/>
        <w:gridCol w:w="1286"/>
        <w:gridCol w:w="1425"/>
      </w:tblGrid>
      <w:tr w:rsidR="00000000">
        <w:tblPrEx>
          <w:tblCellMar>
            <w:top w:w="0" w:type="dxa"/>
            <w:bottom w:w="0" w:type="dxa"/>
          </w:tblCellMar>
        </w:tblPrEx>
        <w:trPr>
          <w:cantSplit/>
          <w:jc w:val="center"/>
        </w:trPr>
        <w:tc>
          <w:tcPr>
            <w:tcW w:w="2835" w:type="dxa"/>
            <w:vMerge w:val="restart"/>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rPr>
                <w:rFonts w:ascii="Arial" w:hAnsi="Arial"/>
                <w:sz w:val="16"/>
              </w:rPr>
            </w:pPr>
            <w:r>
              <w:rPr>
                <w:rFonts w:ascii="Arial" w:hAnsi="Arial"/>
                <w:b/>
                <w:sz w:val="16"/>
              </w:rPr>
              <w:t>Objetivo/Ambito de actuación</w:t>
            </w:r>
            <w:r>
              <w:rPr>
                <w:rFonts w:ascii="Arial" w:hAnsi="Arial"/>
                <w:sz w:val="16"/>
              </w:rPr>
              <w:t xml:space="preserve"> </w:t>
            </w:r>
          </w:p>
        </w:tc>
        <w:tc>
          <w:tcPr>
            <w:tcW w:w="2410" w:type="dxa"/>
            <w:gridSpan w:val="2"/>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sz w:val="16"/>
              </w:rPr>
            </w:pPr>
            <w:r>
              <w:rPr>
                <w:rFonts w:ascii="Arial" w:hAnsi="Arial"/>
                <w:b/>
                <w:sz w:val="16"/>
              </w:rPr>
              <w:t>Año 2000.</w:t>
            </w:r>
            <w:r>
              <w:rPr>
                <w:rFonts w:ascii="Arial" w:hAnsi="Arial"/>
                <w:b/>
                <w:sz w:val="16"/>
              </w:rPr>
              <w:br/>
              <w:t>Millones de:</w:t>
            </w:r>
          </w:p>
        </w:tc>
        <w:tc>
          <w:tcPr>
            <w:tcW w:w="2711" w:type="dxa"/>
            <w:gridSpan w:val="2"/>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b/>
                <w:sz w:val="16"/>
              </w:rPr>
            </w:pPr>
            <w:r>
              <w:rPr>
                <w:rFonts w:ascii="Arial" w:hAnsi="Arial"/>
                <w:b/>
                <w:sz w:val="16"/>
              </w:rPr>
              <w:t xml:space="preserve">Año 2001-2003. </w:t>
            </w:r>
          </w:p>
          <w:p w:rsidR="00000000" w:rsidRDefault="00000000">
            <w:pPr>
              <w:jc w:val="center"/>
              <w:rPr>
                <w:rFonts w:ascii="Arial" w:hAnsi="Arial"/>
                <w:sz w:val="16"/>
              </w:rPr>
            </w:pPr>
            <w:r>
              <w:rPr>
                <w:rFonts w:ascii="Arial" w:hAnsi="Arial"/>
                <w:b/>
                <w:sz w:val="16"/>
              </w:rPr>
              <w:t>Millones de:</w:t>
            </w:r>
          </w:p>
        </w:tc>
      </w:tr>
      <w:tr w:rsidR="00000000">
        <w:tblPrEx>
          <w:tblCellMar>
            <w:top w:w="0" w:type="dxa"/>
            <w:bottom w:w="0" w:type="dxa"/>
          </w:tblCellMar>
        </w:tblPrEx>
        <w:trPr>
          <w:cantSplit/>
          <w:jc w:val="center"/>
        </w:trPr>
        <w:tc>
          <w:tcPr>
            <w:tcW w:w="2835" w:type="dxa"/>
            <w:vMerge/>
            <w:tcBorders>
              <w:top w:val="threeDEmboss" w:sz="6" w:space="0" w:color="auto"/>
              <w:left w:val="threeDEmboss" w:sz="6" w:space="0" w:color="auto"/>
              <w:bottom w:val="threeDEmboss" w:sz="6" w:space="0" w:color="auto"/>
              <w:right w:val="threeDEmboss" w:sz="6" w:space="0" w:color="auto"/>
            </w:tcBorders>
            <w:shd w:val="clear" w:color="auto" w:fill="FFFFFF"/>
            <w:vAlign w:val="center"/>
          </w:tcPr>
          <w:p w:rsidR="00000000" w:rsidRDefault="00000000">
            <w:pPr>
              <w:rPr>
                <w:rFonts w:ascii="Arial" w:hAnsi="Arial"/>
                <w:sz w:val="16"/>
              </w:rPr>
            </w:pPr>
          </w:p>
        </w:tc>
        <w:tc>
          <w:tcPr>
            <w:tcW w:w="1286" w:type="dxa"/>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sz w:val="16"/>
              </w:rPr>
            </w:pPr>
            <w:r>
              <w:rPr>
                <w:rFonts w:ascii="Arial" w:hAnsi="Arial"/>
                <w:b/>
                <w:sz w:val="16"/>
              </w:rPr>
              <w:t>Pesetas</w:t>
            </w:r>
          </w:p>
        </w:tc>
        <w:tc>
          <w:tcPr>
            <w:tcW w:w="1124" w:type="dxa"/>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sz w:val="16"/>
              </w:rPr>
            </w:pPr>
            <w:r>
              <w:rPr>
                <w:rFonts w:ascii="Arial" w:hAnsi="Arial"/>
                <w:b/>
                <w:sz w:val="16"/>
              </w:rPr>
              <w:t>Euros</w:t>
            </w:r>
          </w:p>
        </w:tc>
        <w:tc>
          <w:tcPr>
            <w:tcW w:w="1286" w:type="dxa"/>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sz w:val="16"/>
              </w:rPr>
            </w:pPr>
            <w:r>
              <w:rPr>
                <w:rFonts w:ascii="Arial" w:hAnsi="Arial"/>
                <w:b/>
                <w:sz w:val="16"/>
              </w:rPr>
              <w:t>Pesetas</w:t>
            </w:r>
          </w:p>
        </w:tc>
        <w:tc>
          <w:tcPr>
            <w:tcW w:w="1425" w:type="dxa"/>
            <w:tcBorders>
              <w:top w:val="threeDEmboss" w:sz="6" w:space="0" w:color="auto"/>
              <w:left w:val="threeDEmboss" w:sz="6" w:space="0" w:color="auto"/>
              <w:bottom w:val="threeDEmboss" w:sz="6" w:space="0" w:color="auto"/>
              <w:right w:val="threeDEmboss" w:sz="6" w:space="0" w:color="auto"/>
            </w:tcBorders>
            <w:shd w:val="clear" w:color="auto" w:fill="FFFFFF"/>
          </w:tcPr>
          <w:p w:rsidR="00000000" w:rsidRDefault="00000000">
            <w:pPr>
              <w:jc w:val="center"/>
              <w:rPr>
                <w:rFonts w:ascii="Arial" w:hAnsi="Arial"/>
                <w:sz w:val="16"/>
              </w:rPr>
            </w:pPr>
            <w:r>
              <w:rPr>
                <w:rFonts w:ascii="Arial" w:hAnsi="Arial"/>
                <w:b/>
                <w:sz w:val="16"/>
              </w:rPr>
              <w:t>Euros</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b/>
                <w:sz w:val="16"/>
              </w:rPr>
              <w:t>Objetivo 1.1:</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159.247</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957,09</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482.008</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2.896,93</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rPr>
                <w:rFonts w:ascii="Arial" w:hAnsi="Arial"/>
                <w:sz w:val="16"/>
              </w:rPr>
            </w:pPr>
            <w:r>
              <w:rPr>
                <w:rFonts w:ascii="Arial" w:hAnsi="Arial"/>
                <w:sz w:val="16"/>
              </w:rPr>
              <w:t xml:space="preserve">Acceso al Empleo </w:t>
            </w:r>
          </w:p>
        </w:tc>
        <w:tc>
          <w:tcPr>
            <w:tcW w:w="1286"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159.247</w:t>
            </w:r>
          </w:p>
        </w:tc>
        <w:tc>
          <w:tcPr>
            <w:tcW w:w="1124"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957,09</w:t>
            </w:r>
          </w:p>
        </w:tc>
        <w:tc>
          <w:tcPr>
            <w:tcW w:w="1286"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482.008</w:t>
            </w:r>
          </w:p>
        </w:tc>
        <w:tc>
          <w:tcPr>
            <w:tcW w:w="1425" w:type="dxa"/>
            <w:tcBorders>
              <w:top w:val="threeDEmboss" w:sz="6" w:space="0" w:color="auto"/>
              <w:left w:val="threeDEmboss" w:sz="6" w:space="0" w:color="auto"/>
              <w:bottom w:val="threeDEmboss" w:sz="6" w:space="0" w:color="auto"/>
              <w:right w:val="threeDEmboss" w:sz="6" w:space="0" w:color="auto"/>
            </w:tcBorders>
            <w:vAlign w:val="bottom"/>
          </w:tcPr>
          <w:p w:rsidR="00000000" w:rsidRDefault="00000000">
            <w:pPr>
              <w:jc w:val="center"/>
              <w:rPr>
                <w:rFonts w:ascii="Arial" w:hAnsi="Arial"/>
                <w:sz w:val="16"/>
              </w:rPr>
            </w:pPr>
            <w:r>
              <w:rPr>
                <w:rFonts w:ascii="Arial" w:hAnsi="Arial"/>
                <w:sz w:val="16"/>
              </w:rPr>
              <w:t>2.896,93</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b/>
                <w:sz w:val="16"/>
              </w:rPr>
              <w:t>Objetivo 1.2:</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1.565.459</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9.408.60</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3.239.634</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19.470,59</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Garantia de Recursos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1.037.631</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6.236.29</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2.112.963</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12.699,16</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Serv.Soc. Atención Primaria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91.219</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548.24</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200.189</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1.203,16</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Acceso vivienda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74.334</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446.76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153.477</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922,41</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Educación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183.667</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1.103.86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389.371</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2.340,17</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Salud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178.608</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1.073.46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383.634</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2.305,69</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b/>
                <w:sz w:val="16"/>
              </w:rPr>
              <w:t>Objetivo 2:</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87.579</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526,36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189.089</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1.136,45</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Apoyo solidaridad familiar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85.479</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513,74</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184.634</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1.109,67</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Acceso nuevas tecnologías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2.100</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12,62</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4.455</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26,78</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b/>
                <w:sz w:val="16"/>
              </w:rPr>
              <w:t>Objetivo 3:</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144.133</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866.25</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301.142</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1.809,90</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Mayores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29.662</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178,27</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62.475</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375,48</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b/>
                <w:sz w:val="16"/>
              </w:rPr>
            </w:pPr>
            <w:r>
              <w:rPr>
                <w:rFonts w:ascii="Arial" w:hAnsi="Arial"/>
                <w:b/>
                <w:sz w:val="16"/>
              </w:rPr>
              <w:t xml:space="preserve">Mujeres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b/>
                <w:sz w:val="16"/>
              </w:rPr>
            </w:pPr>
            <w:r>
              <w:rPr>
                <w:rFonts w:ascii="Arial" w:hAnsi="Arial"/>
                <w:b/>
                <w:sz w:val="16"/>
              </w:rPr>
              <w:t>10.204</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b/>
                <w:sz w:val="16"/>
              </w:rPr>
            </w:pPr>
            <w:r>
              <w:rPr>
                <w:rFonts w:ascii="Arial" w:hAnsi="Arial"/>
                <w:b/>
                <w:sz w:val="16"/>
              </w:rPr>
              <w:t>61,33</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b/>
                <w:sz w:val="16"/>
              </w:rPr>
            </w:pPr>
            <w:r>
              <w:rPr>
                <w:rFonts w:ascii="Arial" w:hAnsi="Arial"/>
                <w:b/>
                <w:sz w:val="16"/>
              </w:rPr>
              <w:t>21.070</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b/>
                <w:sz w:val="16"/>
              </w:rPr>
            </w:pPr>
            <w:r>
              <w:rPr>
                <w:rFonts w:ascii="Arial" w:hAnsi="Arial"/>
                <w:b/>
                <w:sz w:val="16"/>
              </w:rPr>
              <w:t>126,63</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Jóvenes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6.982</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41,96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14.296</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85,92</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Infancia y familia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31.504</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189.34</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66.817</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401,58</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Población Gitana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1.520</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9,14</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3.058</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18,38</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Discapacitados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29.292</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176,05</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61.495</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369,59</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Personas sin hogar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1.161</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6,98</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2.335</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14,03</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Inmigrantes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33.287</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200.06</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68.611</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412,36</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Exreclusos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521</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3,13</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985</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5,92</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rPr>
                <w:rFonts w:ascii="Arial" w:hAnsi="Arial"/>
                <w:sz w:val="16"/>
              </w:rPr>
            </w:pPr>
            <w:r>
              <w:rPr>
                <w:rFonts w:ascii="Arial" w:hAnsi="Arial"/>
                <w:b/>
                <w:sz w:val="16"/>
              </w:rPr>
              <w:t>Objetivo 4:</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8.640</w:t>
            </w:r>
          </w:p>
        </w:tc>
        <w:tc>
          <w:tcPr>
            <w:tcW w:w="112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51,93</w:t>
            </w:r>
          </w:p>
        </w:tc>
        <w:tc>
          <w:tcPr>
            <w:tcW w:w="12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18.352</w:t>
            </w:r>
          </w:p>
        </w:tc>
        <w:tc>
          <w:tcPr>
            <w:tcW w:w="1425"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b/>
                <w:sz w:val="16"/>
              </w:rPr>
              <w:t>110,30</w:t>
            </w:r>
          </w:p>
        </w:tc>
      </w:tr>
      <w:tr w:rsidR="00000000">
        <w:tblPrEx>
          <w:tblCellMar>
            <w:top w:w="0" w:type="dxa"/>
            <w:bottom w:w="0" w:type="dxa"/>
          </w:tblCellMar>
        </w:tblPrEx>
        <w:trPr>
          <w:trHeight w:val="285"/>
          <w:jc w:val="center"/>
        </w:trPr>
        <w:tc>
          <w:tcPr>
            <w:tcW w:w="2835" w:type="dxa"/>
            <w:tcBorders>
              <w:top w:val="threeDEmboss" w:sz="6" w:space="0" w:color="auto"/>
              <w:left w:val="threeDEmboss" w:sz="6" w:space="0" w:color="auto"/>
              <w:right w:val="threeDEmboss" w:sz="6" w:space="0" w:color="auto"/>
            </w:tcBorders>
            <w:vAlign w:val="center"/>
          </w:tcPr>
          <w:p w:rsidR="00000000" w:rsidRDefault="00000000">
            <w:pPr>
              <w:rPr>
                <w:rFonts w:ascii="Arial" w:hAnsi="Arial"/>
                <w:sz w:val="16"/>
              </w:rPr>
            </w:pPr>
            <w:r>
              <w:rPr>
                <w:rFonts w:ascii="Arial" w:hAnsi="Arial"/>
                <w:sz w:val="16"/>
              </w:rPr>
              <w:t xml:space="preserve">Movilización agentes. </w:t>
            </w:r>
          </w:p>
        </w:tc>
        <w:tc>
          <w:tcPr>
            <w:tcW w:w="1286" w:type="dxa"/>
            <w:tcBorders>
              <w:top w:val="threeDEmboss" w:sz="6" w:space="0" w:color="auto"/>
              <w:left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8.640</w:t>
            </w:r>
          </w:p>
        </w:tc>
        <w:tc>
          <w:tcPr>
            <w:tcW w:w="1124" w:type="dxa"/>
            <w:tcBorders>
              <w:top w:val="threeDEmboss" w:sz="6" w:space="0" w:color="auto"/>
              <w:left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51,93</w:t>
            </w:r>
          </w:p>
        </w:tc>
        <w:tc>
          <w:tcPr>
            <w:tcW w:w="1286" w:type="dxa"/>
            <w:tcBorders>
              <w:top w:val="threeDEmboss" w:sz="6" w:space="0" w:color="auto"/>
              <w:left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18.353</w:t>
            </w:r>
          </w:p>
        </w:tc>
        <w:tc>
          <w:tcPr>
            <w:tcW w:w="1425" w:type="dxa"/>
            <w:tcBorders>
              <w:top w:val="threeDEmboss" w:sz="6" w:space="0" w:color="auto"/>
              <w:left w:val="threeDEmboss" w:sz="6" w:space="0" w:color="auto"/>
              <w:right w:val="threeDEmboss" w:sz="6" w:space="0" w:color="auto"/>
            </w:tcBorders>
            <w:vAlign w:val="center"/>
          </w:tcPr>
          <w:p w:rsidR="00000000" w:rsidRDefault="00000000">
            <w:pPr>
              <w:jc w:val="center"/>
              <w:rPr>
                <w:rFonts w:ascii="Arial" w:hAnsi="Arial"/>
                <w:sz w:val="16"/>
              </w:rPr>
            </w:pPr>
            <w:r>
              <w:rPr>
                <w:rFonts w:ascii="Arial" w:hAnsi="Arial"/>
                <w:sz w:val="16"/>
              </w:rPr>
              <w:t>110,30</w:t>
            </w:r>
          </w:p>
        </w:tc>
      </w:tr>
      <w:tr w:rsidR="00000000">
        <w:tblPrEx>
          <w:tblCellMar>
            <w:top w:w="0" w:type="dxa"/>
            <w:bottom w:w="0" w:type="dxa"/>
          </w:tblCellMar>
        </w:tblPrEx>
        <w:trPr>
          <w:trHeight w:val="90"/>
          <w:jc w:val="center"/>
        </w:trPr>
        <w:tc>
          <w:tcPr>
            <w:tcW w:w="2835" w:type="dxa"/>
            <w:tcBorders>
              <w:top w:val="threeDEmboss" w:sz="6" w:space="0" w:color="auto"/>
              <w:left w:val="threeDEmboss" w:sz="6" w:space="0" w:color="auto"/>
              <w:bottom w:val="threeDEmboss" w:sz="6" w:space="0" w:color="auto"/>
              <w:right w:val="threeDEmboss" w:sz="6" w:space="0" w:color="auto"/>
            </w:tcBorders>
            <w:shd w:val="clear" w:color="FFFFFF" w:fill="auto"/>
            <w:vAlign w:val="center"/>
          </w:tcPr>
          <w:p w:rsidR="00000000" w:rsidRDefault="00000000">
            <w:pPr>
              <w:rPr>
                <w:rFonts w:ascii="Arial" w:hAnsi="Arial"/>
                <w:sz w:val="16"/>
              </w:rPr>
            </w:pPr>
            <w:r>
              <w:rPr>
                <w:rFonts w:ascii="Arial" w:hAnsi="Arial"/>
                <w:b/>
                <w:sz w:val="16"/>
              </w:rPr>
              <w:t>TOTAL OBJETIVOS/MEDIDAS</w:t>
            </w:r>
            <w:r>
              <w:rPr>
                <w:rFonts w:ascii="Arial" w:hAnsi="Arial"/>
                <w:sz w:val="16"/>
              </w:rPr>
              <w:t xml:space="preserve"> </w:t>
            </w:r>
          </w:p>
        </w:tc>
        <w:tc>
          <w:tcPr>
            <w:tcW w:w="1286" w:type="dxa"/>
            <w:tcBorders>
              <w:top w:val="threeDEmboss" w:sz="6" w:space="0" w:color="auto"/>
              <w:left w:val="threeDEmboss" w:sz="6" w:space="0" w:color="auto"/>
              <w:bottom w:val="threeDEmboss" w:sz="6" w:space="0" w:color="auto"/>
              <w:right w:val="threeDEmboss" w:sz="6" w:space="0" w:color="auto"/>
            </w:tcBorders>
            <w:shd w:val="clear" w:color="FFFFFF" w:fill="auto"/>
            <w:vAlign w:val="center"/>
          </w:tcPr>
          <w:p w:rsidR="00000000" w:rsidRDefault="00000000">
            <w:pPr>
              <w:jc w:val="center"/>
              <w:rPr>
                <w:rFonts w:ascii="Arial" w:hAnsi="Arial"/>
                <w:sz w:val="16"/>
              </w:rPr>
            </w:pPr>
            <w:r>
              <w:rPr>
                <w:rFonts w:ascii="Arial" w:hAnsi="Arial"/>
                <w:b/>
                <w:sz w:val="16"/>
              </w:rPr>
              <w:t>1.965.058</w:t>
            </w:r>
          </w:p>
        </w:tc>
        <w:tc>
          <w:tcPr>
            <w:tcW w:w="1124" w:type="dxa"/>
            <w:tcBorders>
              <w:top w:val="threeDEmboss" w:sz="6" w:space="0" w:color="auto"/>
              <w:left w:val="threeDEmboss" w:sz="6" w:space="0" w:color="auto"/>
              <w:bottom w:val="threeDEmboss" w:sz="6" w:space="0" w:color="auto"/>
              <w:right w:val="threeDEmboss" w:sz="6" w:space="0" w:color="auto"/>
            </w:tcBorders>
            <w:shd w:val="clear" w:color="FFFFFF" w:fill="auto"/>
            <w:vAlign w:val="center"/>
          </w:tcPr>
          <w:p w:rsidR="00000000" w:rsidRDefault="00000000">
            <w:pPr>
              <w:jc w:val="center"/>
              <w:rPr>
                <w:rFonts w:ascii="Arial" w:hAnsi="Arial"/>
                <w:sz w:val="16"/>
              </w:rPr>
            </w:pPr>
            <w:r>
              <w:rPr>
                <w:rFonts w:ascii="Arial" w:hAnsi="Arial"/>
                <w:b/>
                <w:sz w:val="16"/>
              </w:rPr>
              <w:t>11.810,23</w:t>
            </w:r>
          </w:p>
        </w:tc>
        <w:tc>
          <w:tcPr>
            <w:tcW w:w="1286" w:type="dxa"/>
            <w:tcBorders>
              <w:top w:val="threeDEmboss" w:sz="6" w:space="0" w:color="auto"/>
              <w:left w:val="threeDEmboss" w:sz="6" w:space="0" w:color="auto"/>
              <w:bottom w:val="threeDEmboss" w:sz="6" w:space="0" w:color="auto"/>
              <w:right w:val="threeDEmboss" w:sz="6" w:space="0" w:color="auto"/>
            </w:tcBorders>
            <w:shd w:val="clear" w:color="FFFFFF" w:fill="auto"/>
            <w:vAlign w:val="center"/>
          </w:tcPr>
          <w:p w:rsidR="00000000" w:rsidRDefault="00000000">
            <w:pPr>
              <w:jc w:val="center"/>
              <w:rPr>
                <w:rFonts w:ascii="Arial" w:hAnsi="Arial"/>
                <w:sz w:val="16"/>
              </w:rPr>
            </w:pPr>
            <w:r>
              <w:rPr>
                <w:rFonts w:ascii="Arial" w:hAnsi="Arial"/>
                <w:b/>
                <w:sz w:val="16"/>
              </w:rPr>
              <w:t>4.230.225</w:t>
            </w:r>
          </w:p>
        </w:tc>
        <w:tc>
          <w:tcPr>
            <w:tcW w:w="1425" w:type="dxa"/>
            <w:tcBorders>
              <w:top w:val="threeDEmboss" w:sz="6" w:space="0" w:color="auto"/>
              <w:left w:val="threeDEmboss" w:sz="6" w:space="0" w:color="auto"/>
              <w:bottom w:val="threeDEmboss" w:sz="6" w:space="0" w:color="auto"/>
              <w:right w:val="threeDEmboss" w:sz="6" w:space="0" w:color="auto"/>
            </w:tcBorders>
            <w:shd w:val="clear" w:color="FFFFFF" w:fill="auto"/>
            <w:vAlign w:val="center"/>
          </w:tcPr>
          <w:p w:rsidR="00000000" w:rsidRDefault="00000000">
            <w:pPr>
              <w:jc w:val="center"/>
              <w:rPr>
                <w:rFonts w:ascii="Arial" w:hAnsi="Arial"/>
                <w:sz w:val="16"/>
              </w:rPr>
            </w:pPr>
            <w:r>
              <w:rPr>
                <w:rFonts w:ascii="Arial" w:hAnsi="Arial"/>
                <w:b/>
                <w:sz w:val="16"/>
              </w:rPr>
              <w:t>25.424,16</w:t>
            </w:r>
          </w:p>
        </w:tc>
      </w:tr>
    </w:tbl>
    <w:p w:rsidR="00000000" w:rsidRDefault="00000000">
      <w:pPr>
        <w:ind w:left="936"/>
        <w:jc w:val="both"/>
        <w:rPr>
          <w:rFonts w:ascii="Arial" w:hAnsi="Arial"/>
          <w:sz w:val="16"/>
        </w:rPr>
      </w:pPr>
      <w:r>
        <w:rPr>
          <w:rFonts w:ascii="Arial" w:hAnsi="Arial"/>
          <w:sz w:val="16"/>
        </w:rPr>
        <w:t>(a) Cifras estimadas en base a información de las AA.PP. y de Entidades colaboradoras.</w:t>
      </w:r>
    </w:p>
    <w:p w:rsidR="00000000" w:rsidRDefault="00000000">
      <w:pPr>
        <w:jc w:val="both"/>
        <w:rPr>
          <w:rFonts w:ascii="Arial" w:hAnsi="Arial"/>
        </w:rPr>
      </w:pPr>
      <w:r>
        <w:rPr>
          <w:rFonts w:ascii="Arial" w:hAnsi="Arial"/>
        </w:rPr>
        <w:t xml:space="preserve">Dentro del objetivo 3, que contempla actuaciones a favor de grupos específicos de las personas más vulnerables, y, aparte del </w:t>
      </w:r>
      <w:r>
        <w:rPr>
          <w:rFonts w:ascii="Arial" w:hAnsi="Arial"/>
          <w:b/>
        </w:rPr>
        <w:t>carácter transversal de la igualdad de oportunidades</w:t>
      </w:r>
      <w:r>
        <w:rPr>
          <w:rFonts w:ascii="Arial" w:hAnsi="Arial"/>
        </w:rPr>
        <w:t xml:space="preserve"> en todos los objetivos del Plan, se contemplan programas dirigidos a </w:t>
      </w:r>
      <w:r>
        <w:rPr>
          <w:rFonts w:ascii="Arial" w:hAnsi="Arial"/>
          <w:b/>
        </w:rPr>
        <w:t>mejorar la situación de las mujeres desfavorecidas</w:t>
      </w:r>
      <w:r>
        <w:rPr>
          <w:rFonts w:ascii="Arial" w:hAnsi="Arial"/>
        </w:rPr>
        <w:t>, que sufren una doble discriminación, una de índole general relacionada con el género y otra, particularizada, en función de circunstancias personales, sociales y culturales.</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Plan Concertado de Prestaciones Básicas de Servicios Sociales de Corporaciones Locales.</w:t>
      </w:r>
    </w:p>
    <w:p w:rsidR="00000000" w:rsidRDefault="00000000">
      <w:pPr>
        <w:jc w:val="both"/>
        <w:rPr>
          <w:rFonts w:ascii="Arial" w:hAnsi="Arial"/>
          <w:b/>
        </w:rPr>
      </w:pPr>
    </w:p>
    <w:p w:rsidR="00000000" w:rsidRDefault="00000000">
      <w:pPr>
        <w:jc w:val="both"/>
        <w:rPr>
          <w:rFonts w:ascii="Arial" w:hAnsi="Arial"/>
        </w:rPr>
      </w:pPr>
      <w:r>
        <w:rPr>
          <w:rFonts w:ascii="Arial" w:hAnsi="Arial"/>
        </w:rPr>
        <w:t>Se instrumenta a través de Convenios entre el Ministerio de Trabajo y Asuntos Sociales y las Comunidades Autónomas y las ciudades autónomas de Ceuta y Melilla, a excepción de País Vasco y Navarra, debido a su peculiar régimen económico-fiscal, y garantiza el acceso de los ciudadanos y ciudadanas a las prestaciones básicas de servicios sociales mediante la red Básica del Sistema Público de Servicios Sociales de Atención Primaria, cuya responsabilidad compete a las Corporaciones Locales, que detentan la titularidad de los equipamientos de dicha red.</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Dirección General de Acción Social, del Menor y de la Familia, en el marco de la cofinanciación del Plan, financió durante el año 1999, 9 </w:t>
      </w:r>
      <w:r>
        <w:rPr>
          <w:rFonts w:ascii="Arial" w:hAnsi="Arial"/>
          <w:b/>
        </w:rPr>
        <w:t xml:space="preserve">Centros de Acogida de Mujer </w:t>
      </w:r>
      <w:r>
        <w:rPr>
          <w:rFonts w:ascii="Arial" w:hAnsi="Arial"/>
        </w:rPr>
        <w:t xml:space="preserve">destinados a </w:t>
      </w:r>
      <w:r>
        <w:rPr>
          <w:rFonts w:ascii="Arial" w:hAnsi="Arial"/>
          <w:b/>
        </w:rPr>
        <w:t>mujeres maltratadas y a madres solteras</w:t>
      </w:r>
      <w:r>
        <w:rPr>
          <w:rFonts w:ascii="Arial" w:hAnsi="Arial"/>
        </w:rPr>
        <w:t>.</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este marco </w:t>
      </w:r>
      <w:r>
        <w:rPr>
          <w:rFonts w:ascii="Arial" w:hAnsi="Arial"/>
          <w:b/>
        </w:rPr>
        <w:t>el III Plan de Igualdad de Oportunidades entre Mujeres y Hombres</w:t>
      </w:r>
      <w:r>
        <w:rPr>
          <w:rFonts w:ascii="Arial" w:hAnsi="Arial"/>
        </w:rPr>
        <w:t>, estableció como un área de especial interés el de la exclusión social.</w:t>
      </w:r>
    </w:p>
    <w:p w:rsidR="00000000" w:rsidRDefault="00000000">
      <w:pPr>
        <w:jc w:val="both"/>
        <w:rPr>
          <w:rFonts w:ascii="Arial" w:hAnsi="Arial"/>
        </w:rPr>
      </w:pPr>
    </w:p>
    <w:p w:rsidR="00000000" w:rsidRDefault="00000000">
      <w:pPr>
        <w:jc w:val="both"/>
        <w:rPr>
          <w:rFonts w:ascii="Arial" w:hAnsi="Arial"/>
        </w:rPr>
      </w:pPr>
      <w:r>
        <w:rPr>
          <w:rFonts w:ascii="Arial" w:hAnsi="Arial"/>
        </w:rPr>
        <w:t>Los objetivos prioritarios de actuación en esta área se han dirigido a combatir el fenómeno de la feminización de la pobreza y a promover programas de inserción socio-laboral, dirigidos a mujeres en situación de exclusión.</w:t>
      </w:r>
    </w:p>
    <w:p w:rsidR="00000000" w:rsidRDefault="00000000">
      <w:pPr>
        <w:jc w:val="both"/>
        <w:rPr>
          <w:rFonts w:ascii="Arial" w:hAnsi="Arial"/>
        </w:rPr>
      </w:pPr>
    </w:p>
    <w:p w:rsidR="00000000" w:rsidRDefault="00000000">
      <w:pPr>
        <w:jc w:val="both"/>
        <w:rPr>
          <w:rFonts w:ascii="Arial" w:hAnsi="Arial"/>
        </w:rPr>
      </w:pPr>
      <w:r>
        <w:rPr>
          <w:rFonts w:ascii="Arial" w:hAnsi="Arial"/>
        </w:rPr>
        <w:t>Desde el año 1999, el Instituto de la Mujer, en el marco de la Iniciativa Comunitaria de Empleo Integra y en colaboración con los Organismos de Igualdad de las Comunidades Autónomas y el Instituto Nacional de Empleo, desarrolla el Programa CLARA, dirigido a mujeres responsables de núcleos familiares con bajo nivel formativo y escasos recursos económicos se trabaja en Itinerarios integrados de integración social e inserción laboral,  desde la perspectiva de género.</w:t>
      </w:r>
    </w:p>
    <w:p w:rsidR="00000000" w:rsidRDefault="00000000">
      <w:pPr>
        <w:jc w:val="both"/>
        <w:rPr>
          <w:rFonts w:ascii="Arial" w:hAnsi="Arial"/>
        </w:rPr>
      </w:pPr>
    </w:p>
    <w:p w:rsidR="00000000" w:rsidRDefault="00000000">
      <w:pPr>
        <w:jc w:val="both"/>
        <w:rPr>
          <w:rFonts w:ascii="Arial" w:hAnsi="Arial"/>
        </w:rPr>
      </w:pPr>
      <w:r>
        <w:rPr>
          <w:rFonts w:ascii="Arial" w:hAnsi="Arial"/>
        </w:rPr>
        <w:t>En el Programa estaban previstas becas de formación y para el cuidado de personas dependientes, ayudas a la contratación y al autoempleo, como acciones complementarias.</w:t>
      </w:r>
    </w:p>
    <w:p w:rsidR="00000000" w:rsidRDefault="00000000">
      <w:pPr>
        <w:jc w:val="both"/>
        <w:rPr>
          <w:rFonts w:ascii="Arial" w:hAnsi="Arial"/>
        </w:rPr>
      </w:pPr>
    </w:p>
    <w:p w:rsidR="00000000" w:rsidRDefault="00000000">
      <w:pPr>
        <w:jc w:val="both"/>
        <w:rPr>
          <w:rFonts w:ascii="Arial" w:hAnsi="Arial"/>
        </w:rPr>
      </w:pPr>
      <w:r>
        <w:rPr>
          <w:rFonts w:ascii="Arial" w:hAnsi="Arial"/>
        </w:rPr>
        <w:t>En el contexto del Programa se realizaron más de 500 entrevistas a mujeres del colectivo destinatario, de las cuales fueron seleccionadas y realizaron el itinerario completo 215. El nivel de inserción laboral alcanzado a los dos meses de la finalización del programa fue del 34,5% por cuenta ajena, mientras que el 3,2% creó su propia empresa.</w:t>
      </w:r>
    </w:p>
    <w:p w:rsidR="00000000" w:rsidRDefault="00000000">
      <w:pPr>
        <w:jc w:val="both"/>
        <w:rPr>
          <w:rFonts w:ascii="Arial" w:hAnsi="Arial"/>
        </w:rPr>
      </w:pPr>
    </w:p>
    <w:p w:rsidR="00000000" w:rsidRDefault="00000000">
      <w:pPr>
        <w:jc w:val="both"/>
        <w:rPr>
          <w:rFonts w:ascii="Arial" w:hAnsi="Arial"/>
        </w:rPr>
      </w:pPr>
      <w:r>
        <w:rPr>
          <w:rFonts w:ascii="Arial" w:hAnsi="Arial"/>
        </w:rPr>
        <w:t>El coste aproximado del Programa ascendió a 1.021.720,58 euros y contó con una cofinanciación del 75% por el FSE.</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Al finalizar la Iniciativa Comunitaria de Empleo Integra, el Programa Clara a partir del año 2001, y dado que la metodología había dado resultados satisfactorios, pasa a formar parte del Programa Operativo “Lucha contra la discriminación” de Marcos Comunitarios de Apoyo, para el periodo de programación 2000 – 2006. </w:t>
      </w:r>
    </w:p>
    <w:p w:rsidR="00000000" w:rsidRDefault="00000000">
      <w:pPr>
        <w:jc w:val="both"/>
        <w:rPr>
          <w:rFonts w:ascii="Arial" w:hAnsi="Arial"/>
        </w:rPr>
      </w:pPr>
    </w:p>
    <w:p w:rsidR="00000000" w:rsidRDefault="00000000">
      <w:pPr>
        <w:jc w:val="both"/>
        <w:rPr>
          <w:rFonts w:ascii="Arial" w:hAnsi="Arial"/>
        </w:rPr>
      </w:pPr>
      <w:r>
        <w:rPr>
          <w:rFonts w:ascii="Arial" w:hAnsi="Arial"/>
        </w:rPr>
        <w:br w:type="page"/>
        <w:t>En este nuevo marco, el Programa se amplía a los siguientes colectivos:</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víctimas de violencia de género,</w:t>
      </w:r>
    </w:p>
    <w:p w:rsidR="00000000" w:rsidRDefault="00000000">
      <w:pPr>
        <w:numPr>
          <w:ilvl w:val="0"/>
          <w:numId w:val="75"/>
        </w:numPr>
        <w:tabs>
          <w:tab w:val="clear" w:pos="927"/>
        </w:tabs>
        <w:ind w:left="261" w:hanging="243"/>
        <w:jc w:val="both"/>
        <w:rPr>
          <w:rFonts w:ascii="Arial" w:hAnsi="Arial"/>
        </w:rPr>
      </w:pPr>
      <w:r>
        <w:rPr>
          <w:rFonts w:ascii="Arial" w:hAnsi="Arial"/>
        </w:rPr>
        <w:t>mujeres con discapacidad,</w:t>
      </w:r>
    </w:p>
    <w:p w:rsidR="00000000" w:rsidRDefault="00000000">
      <w:pPr>
        <w:numPr>
          <w:ilvl w:val="0"/>
          <w:numId w:val="75"/>
        </w:numPr>
        <w:tabs>
          <w:tab w:val="clear" w:pos="927"/>
        </w:tabs>
        <w:ind w:left="261" w:hanging="243"/>
        <w:jc w:val="both"/>
        <w:rPr>
          <w:rFonts w:ascii="Arial" w:hAnsi="Arial"/>
        </w:rPr>
      </w:pPr>
      <w:r>
        <w:rPr>
          <w:rFonts w:ascii="Arial" w:hAnsi="Arial"/>
        </w:rPr>
        <w:t>reclusas</w:t>
      </w:r>
    </w:p>
    <w:p w:rsidR="00000000" w:rsidRDefault="00000000">
      <w:pPr>
        <w:pStyle w:val="BodyTextIndent"/>
        <w:ind w:left="0"/>
      </w:pPr>
    </w:p>
    <w:p w:rsidR="00000000" w:rsidRDefault="00000000">
      <w:pPr>
        <w:pStyle w:val="BodyText2"/>
        <w:ind w:right="0"/>
      </w:pPr>
      <w:r>
        <w:t xml:space="preserve">La inversión por parte del Instituto de la Mujer ha ascendido a 13.138’12 euros y ha contado con una subvención del INEM para la contratación de las técnicas del Programa. </w:t>
      </w:r>
    </w:p>
    <w:p w:rsidR="00000000" w:rsidRDefault="00000000">
      <w:pPr>
        <w:pStyle w:val="BodyText2"/>
        <w:ind w:right="0"/>
      </w:pPr>
    </w:p>
    <w:p w:rsidR="00000000" w:rsidRDefault="00000000">
      <w:pPr>
        <w:pStyle w:val="BodyText2"/>
        <w:ind w:right="0"/>
      </w:pPr>
      <w:r>
        <w:t>El coste del Programa para el año 2002 asciende a 398.852,57 euros.</w:t>
      </w:r>
    </w:p>
    <w:p w:rsidR="00000000" w:rsidRDefault="00000000">
      <w:pPr>
        <w:pStyle w:val="BodyText2"/>
        <w:ind w:right="0"/>
      </w:pPr>
    </w:p>
    <w:p w:rsidR="00000000" w:rsidRDefault="00000000">
      <w:pPr>
        <w:pStyle w:val="BodyText2"/>
        <w:ind w:right="0"/>
      </w:pPr>
      <w:r>
        <w:t>También en colaboración con las Comunidades Autónomas, el Instituto de la Mujer desarrolla el Programa Estancias de tiempo Libre para mujeres con hijas e hijos a su cargo exclusivamente, de</w:t>
      </w:r>
      <w:r>
        <w:t>s</w:t>
      </w:r>
      <w:r>
        <w:t>tinado a mujeres en situación de precariedad económica y social, con ingresos no superiores al sal</w:t>
      </w:r>
      <w:r>
        <w:t>a</w:t>
      </w:r>
      <w:r>
        <w:t>rio Mínimo Interprofesional, teniendo prioridad aquellas que residan o hayan residido en casas de acogida. Los objetivos de este programa son: que conozcan los recursos sociales de sus respect</w:t>
      </w:r>
      <w:r>
        <w:t>i</w:t>
      </w:r>
      <w:r>
        <w:t>vas administraciones, que convivan con otras mujeres con experiencias similares y que disfruten de unas vacaciones con sus hijas e hijos.</w:t>
      </w:r>
    </w:p>
    <w:p w:rsidR="00000000" w:rsidRDefault="00000000">
      <w:pPr>
        <w:pStyle w:val="BodyText2"/>
        <w:ind w:right="0"/>
      </w:pPr>
    </w:p>
    <w:p w:rsidR="00000000" w:rsidRDefault="00000000">
      <w:pPr>
        <w:pStyle w:val="BodyText2"/>
        <w:ind w:right="0"/>
      </w:pPr>
    </w:p>
    <w:p w:rsidR="00000000" w:rsidRDefault="00000000">
      <w:pPr>
        <w:jc w:val="both"/>
        <w:rPr>
          <w:rFonts w:ascii="Arial" w:hAnsi="Arial"/>
          <w:b/>
        </w:rPr>
      </w:pPr>
      <w:r>
        <w:rPr>
          <w:rFonts w:ascii="Arial" w:hAnsi="Arial"/>
          <w:b/>
        </w:rPr>
        <w:t>Convenio de colaboración con la Fundación Secretariado General Gitano</w:t>
      </w:r>
    </w:p>
    <w:p w:rsidR="00000000" w:rsidRDefault="00000000">
      <w:pPr>
        <w:jc w:val="both"/>
        <w:rPr>
          <w:rFonts w:ascii="Arial" w:hAnsi="Arial"/>
          <w:b/>
        </w:rPr>
      </w:pPr>
    </w:p>
    <w:p w:rsidR="00000000" w:rsidRDefault="00000000">
      <w:pPr>
        <w:jc w:val="both"/>
        <w:rPr>
          <w:rFonts w:ascii="Arial" w:hAnsi="Arial"/>
        </w:rPr>
      </w:pPr>
      <w:r>
        <w:rPr>
          <w:rFonts w:ascii="Arial" w:hAnsi="Arial"/>
        </w:rPr>
        <w:t>El Instituto de la Mujer, desde 1998, mantiene una colaboración con la Asociación Secretariado General Gitano, para desarrollar actividades que promuevan la participación social y la integración laboral de las mujeres gitanas.</w:t>
      </w:r>
    </w:p>
    <w:p w:rsidR="00000000" w:rsidRDefault="00000000">
      <w:pPr>
        <w:jc w:val="both"/>
        <w:rPr>
          <w:rFonts w:ascii="Arial" w:hAnsi="Arial"/>
        </w:rPr>
      </w:pPr>
    </w:p>
    <w:p w:rsidR="00000000" w:rsidRDefault="00000000">
      <w:pPr>
        <w:jc w:val="both"/>
        <w:rPr>
          <w:rFonts w:ascii="Arial" w:hAnsi="Arial"/>
        </w:rPr>
      </w:pPr>
      <w:r>
        <w:rPr>
          <w:rFonts w:ascii="Arial" w:hAnsi="Arial"/>
        </w:rPr>
        <w:t>En el marco del convenio se celebran encuentros sobre la participación social e integración laboral de las gitanas, dirigidos a hombres y mujeres vinculados al movimiento asociativo y participantes en iniciativas sociales de promoción de la mujer gitana, así como a profesionales de instituciones públicas o privadas que trabajan en ese ámbito.</w:t>
      </w:r>
    </w:p>
    <w:p w:rsidR="00000000" w:rsidRDefault="00000000">
      <w:pPr>
        <w:jc w:val="both"/>
        <w:rPr>
          <w:rFonts w:ascii="Arial" w:hAnsi="Arial"/>
        </w:rPr>
      </w:pPr>
    </w:p>
    <w:p w:rsidR="00000000" w:rsidRDefault="00000000">
      <w:pPr>
        <w:jc w:val="both"/>
        <w:rPr>
          <w:rFonts w:ascii="Arial" w:hAnsi="Arial"/>
        </w:rPr>
      </w:pPr>
      <w:r>
        <w:rPr>
          <w:rFonts w:ascii="Arial" w:hAnsi="Arial"/>
        </w:rPr>
        <w:t>En virtud del Convenio de colaboración entre el Ministerio de Trabajo y Asuntos Sociales, Comunidades Autónomas y Corporaciones Locales, para poner en marcha el denominado Programa de Desarrollo Gitano, se han venido subvencionando distintos proyectos de Intervención Social Integral para la atención, prevención de la marginación e inserción social del pueblo gitano, con actividades simultáneas en distintos ámbitos: educación, acción social, empleo, salud y otras. Participan y colaboran en su realización tanto Administraciones Públicas como Organizaciones No Gubernamentales.</w:t>
      </w:r>
    </w:p>
    <w:p w:rsidR="00000000" w:rsidRDefault="00000000">
      <w:pPr>
        <w:jc w:val="both"/>
        <w:rPr>
          <w:rFonts w:ascii="Arial" w:hAnsi="Arial"/>
        </w:rPr>
      </w:pPr>
    </w:p>
    <w:p w:rsidR="00000000" w:rsidRDefault="00000000">
      <w:pPr>
        <w:jc w:val="both"/>
        <w:rPr>
          <w:rFonts w:ascii="Arial" w:hAnsi="Arial"/>
        </w:rPr>
      </w:pPr>
      <w:r>
        <w:rPr>
          <w:rFonts w:ascii="Arial" w:hAnsi="Arial"/>
        </w:rPr>
        <w:t>Las principales actividades de este Programa son: trabajo social, apoyo y seguimiento escolar, alfabetización de personas adultas, talleres de salud, preparación y seguimiento de realojos, y en menor medida, cursos de formación, y fomento de empleo, combinados con habilidades sociales básicas.</w:t>
      </w:r>
    </w:p>
    <w:p w:rsidR="00000000" w:rsidRDefault="00000000">
      <w:pPr>
        <w:jc w:val="both"/>
        <w:rPr>
          <w:rFonts w:ascii="Arial" w:hAnsi="Arial"/>
        </w:rPr>
      </w:pPr>
    </w:p>
    <w:p w:rsidR="00000000" w:rsidRDefault="00000000">
      <w:pPr>
        <w:jc w:val="both"/>
        <w:rPr>
          <w:rFonts w:ascii="Arial" w:hAnsi="Arial"/>
        </w:rPr>
      </w:pPr>
      <w:r>
        <w:rPr>
          <w:rFonts w:ascii="Arial" w:hAnsi="Arial"/>
        </w:rPr>
        <w:t>En 1999, se cofinanciaron 122 proyectos procedentes de 14 Comunidades Autónomas.</w:t>
      </w:r>
    </w:p>
    <w:p w:rsidR="00000000" w:rsidRDefault="00000000">
      <w:pPr>
        <w:jc w:val="both"/>
        <w:rPr>
          <w:rFonts w:ascii="Arial" w:hAnsi="Arial"/>
        </w:rPr>
      </w:pPr>
    </w:p>
    <w:p w:rsidR="00000000" w:rsidRDefault="00000000">
      <w:pPr>
        <w:jc w:val="both"/>
        <w:rPr>
          <w:rFonts w:ascii="Arial" w:hAnsi="Arial"/>
        </w:rPr>
      </w:pPr>
      <w:r>
        <w:rPr>
          <w:rFonts w:ascii="Arial" w:hAnsi="Arial"/>
        </w:rPr>
        <w:t>En el área Pueblo gitano de la Convocatoria del IRPF de 1999, se subvencionaron 20 entidades para la realización de 130 programas, dentro de las prioridades de inserción laboral, inserción social y mujer. En el año 2000, se otorgaron subvenciones a 20 entidades para la realización de 150 programas, dentro de las mismas prioridades.</w:t>
      </w:r>
    </w:p>
    <w:p w:rsidR="00000000" w:rsidRDefault="00000000">
      <w:pPr>
        <w:jc w:val="both"/>
        <w:rPr>
          <w:rFonts w:ascii="Arial" w:hAnsi="Arial"/>
        </w:rPr>
      </w:pPr>
      <w:r>
        <w:rPr>
          <w:rFonts w:ascii="Arial" w:hAnsi="Arial"/>
        </w:rPr>
        <w:t xml:space="preserve">Se priorizaron especialmente programas de promoción y apoyo al desarrollo de la mujer gitana, cuyas acciones van dirigidas a reducir el analfabetismo, promover su acceso a los distintos ciclos educativos, facilitar su inserción en el mundo laboral y promover educación para la salud. </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9"/>
      </w:pPr>
      <w:r>
        <w:t xml:space="preserve">B. Inmigración </w:t>
      </w:r>
    </w:p>
    <w:p w:rsidR="00000000" w:rsidRDefault="00000000">
      <w:pPr>
        <w:pStyle w:val="Heading9"/>
        <w:rPr>
          <w:rFonts w:ascii="Arial" w:hAnsi="Arial"/>
          <w:b w:val="0"/>
        </w:rPr>
      </w:pPr>
    </w:p>
    <w:p w:rsidR="00000000" w:rsidRDefault="00000000">
      <w:pPr>
        <w:pStyle w:val="Heading9"/>
      </w:pPr>
      <w:r>
        <w:t>B. i. Situación actual</w:t>
      </w:r>
    </w:p>
    <w:p w:rsidR="00000000" w:rsidRDefault="00000000">
      <w:pPr>
        <w:jc w:val="both"/>
        <w:rPr>
          <w:rFonts w:ascii="Arial" w:hAnsi="Arial"/>
          <w:b/>
        </w:rPr>
      </w:pPr>
    </w:p>
    <w:p w:rsidR="00000000" w:rsidRDefault="00000000">
      <w:pPr>
        <w:jc w:val="both"/>
        <w:rPr>
          <w:rFonts w:ascii="Arial" w:hAnsi="Arial"/>
        </w:rPr>
      </w:pPr>
      <w:r>
        <w:rPr>
          <w:rFonts w:ascii="Arial" w:hAnsi="Arial"/>
        </w:rPr>
        <w:t>Desde la última década del Siglo XX, España comenzó a enfrentarse al fenómeno de la inmigración creciente, lo que en los últimos años ha supuesto la puesta en marcha de una nueva política de inmigración, capaz de afrontar y canalizar de forma positiva este fenómeno.</w:t>
      </w:r>
    </w:p>
    <w:p w:rsidR="00000000" w:rsidRDefault="00000000">
      <w:pPr>
        <w:jc w:val="both"/>
        <w:rPr>
          <w:rFonts w:ascii="Arial" w:hAnsi="Arial"/>
        </w:rPr>
      </w:pPr>
    </w:p>
    <w:p w:rsidR="00000000" w:rsidRDefault="00000000">
      <w:pPr>
        <w:jc w:val="both"/>
        <w:rPr>
          <w:rFonts w:ascii="Arial" w:hAnsi="Arial"/>
        </w:rPr>
      </w:pPr>
      <w:r>
        <w:rPr>
          <w:rFonts w:ascii="Arial" w:hAnsi="Arial"/>
        </w:rPr>
        <w:t>En términos generales, puede afirmarse que la población extranjera en España no ofrece un perfil muy desequilibrado por sexos. En el año 1999 había 375.078 mujeres y 508.772 varones. A 31 de diciembre del año 2000, 407.423 mujeres y 477.155 varones. Y a finales de diciembre de 2001, 494.843 mujeres y 606.018 varones.</w:t>
      </w:r>
    </w:p>
    <w:p w:rsidR="00000000" w:rsidRDefault="00000000">
      <w:pPr>
        <w:jc w:val="both"/>
        <w:rPr>
          <w:rFonts w:ascii="Arial" w:hAnsi="Arial"/>
        </w:rPr>
      </w:pPr>
    </w:p>
    <w:p w:rsidR="00000000" w:rsidRDefault="00000000">
      <w:pPr>
        <w:jc w:val="both"/>
        <w:rPr>
          <w:rFonts w:ascii="Arial" w:hAnsi="Arial"/>
        </w:rPr>
      </w:pPr>
      <w:r>
        <w:rPr>
          <w:rFonts w:ascii="Arial" w:hAnsi="Arial"/>
        </w:rPr>
        <w:t>En términos porcentuales, en el año 2000 el 46,06% de la población extranjera residente en España eran mujeres y a Diciembre del 2001 esa proporción desciende algo más de un punto, a un 44,95%.</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Ahora bien, si en términos numéricos, la diferencia no es muy importante, si lo es en cuanto al lugar de procedencia. </w:t>
      </w:r>
    </w:p>
    <w:p w:rsidR="00000000" w:rsidRDefault="00000000">
      <w:pPr>
        <w:jc w:val="both"/>
        <w:rPr>
          <w:rFonts w:ascii="Arial" w:hAnsi="Arial"/>
        </w:rPr>
      </w:pPr>
    </w:p>
    <w:p w:rsidR="00000000" w:rsidRDefault="00000000">
      <w:pPr>
        <w:jc w:val="both"/>
        <w:rPr>
          <w:rFonts w:ascii="Arial" w:hAnsi="Arial"/>
        </w:rPr>
      </w:pPr>
      <w:r>
        <w:rPr>
          <w:rFonts w:ascii="Arial" w:hAnsi="Arial"/>
        </w:rPr>
        <w:t>En términos porcentuales los datos son los siguientes:</w:t>
      </w:r>
    </w:p>
    <w:p w:rsidR="00000000" w:rsidRDefault="00000000">
      <w:pPr>
        <w:jc w:val="both"/>
        <w:rPr>
          <w:rFonts w:ascii="Arial" w:hAnsi="Arial"/>
        </w:rPr>
      </w:pPr>
    </w:p>
    <w:p w:rsidR="00000000" w:rsidRDefault="00000000">
      <w:pPr>
        <w:jc w:val="both"/>
        <w:rPr>
          <w:rFonts w:ascii="Arial" w:hAnsi="Arial"/>
        </w:rPr>
      </w:pPr>
      <w:r>
        <w:rPr>
          <w:rFonts w:ascii="Arial" w:hAnsi="Arial"/>
        </w:rPr>
        <w:t>El 42% de mujeres proceden de Europa; el 31,27% de América, el 19,79% de Africa y el 7,38% de Asia.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Respecto a los </w:t>
      </w:r>
      <w:r>
        <w:rPr>
          <w:rFonts w:ascii="Arial" w:hAnsi="Arial"/>
          <w:b/>
        </w:rPr>
        <w:t>estudiantes</w:t>
      </w:r>
      <w:r>
        <w:rPr>
          <w:rFonts w:ascii="Arial" w:hAnsi="Arial"/>
        </w:rPr>
        <w:t xml:space="preserve"> extranjeros en España, en el año 2000 la proporción de mujeres estudiantes era del 54.28%, mientras que los varones estudiantes representaban un 45.72%. La gran mayoría de las mujeres estudiantes (un total de 15.627) proceden de América Latina (10.785).</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 la </w:t>
      </w:r>
      <w:r>
        <w:rPr>
          <w:rFonts w:ascii="Arial" w:hAnsi="Arial"/>
          <w:b/>
        </w:rPr>
        <w:t>población laboral</w:t>
      </w:r>
      <w:r>
        <w:rPr>
          <w:rFonts w:ascii="Arial" w:hAnsi="Arial"/>
        </w:rPr>
        <w:t>, las diferencias son algo mayores. De los permisos de trabajo en vigor a finales de 1999, un 34,75% eran para trabajadoras del sexo femenino, mientras que un 65,25% eran para varones. En 1999, se otorgaron un total de 42.063 permisos de trabajo para mujeres, de los cuales 40.063 fueron por cuenta ajena y 2.577 por cuenta propia.</w:t>
      </w:r>
    </w:p>
    <w:p w:rsidR="00000000" w:rsidRDefault="00000000">
      <w:pPr>
        <w:jc w:val="both"/>
        <w:rPr>
          <w:rFonts w:ascii="Arial" w:hAnsi="Arial"/>
        </w:rPr>
      </w:pPr>
    </w:p>
    <w:p w:rsidR="00000000" w:rsidRDefault="00000000">
      <w:pPr>
        <w:jc w:val="both"/>
        <w:rPr>
          <w:rFonts w:ascii="Arial" w:hAnsi="Arial"/>
        </w:rPr>
      </w:pPr>
      <w:r>
        <w:rPr>
          <w:rFonts w:ascii="Arial" w:hAnsi="Arial"/>
        </w:rPr>
        <w:t>En el año 2000, las mujeres extranjeras afiliadas a la Seguridad Social ascendían a 157.780. Las mujeres iberoamericanas constituyen el grupo más importante (37,18%) y las mujeres comunitarias en alta laboral ocupan el segundo grupo, con un 34,19%. Las trabajadoras africanas sólo representan el12,94% del total. Madrid, Cataluña y Andalucía son las Comunidades Autónomas que más trabajadoras extranjeras reciben.</w:t>
      </w:r>
    </w:p>
    <w:p w:rsidR="00000000" w:rsidRDefault="00000000">
      <w:pPr>
        <w:jc w:val="both"/>
        <w:rPr>
          <w:rFonts w:ascii="Arial" w:hAnsi="Arial"/>
        </w:rPr>
      </w:pPr>
    </w:p>
    <w:p w:rsidR="00000000" w:rsidRDefault="00000000">
      <w:pPr>
        <w:jc w:val="both"/>
        <w:rPr>
          <w:rFonts w:ascii="Arial" w:hAnsi="Arial"/>
        </w:rPr>
      </w:pPr>
      <w:r>
        <w:rPr>
          <w:rFonts w:ascii="Arial" w:hAnsi="Arial"/>
        </w:rPr>
        <w:t>Del total de mujeres en alta laboral en el año 2000, 31.464 tenían entre 30 y 40 años y 107.720 se incluían en el grupo de edad de entre 20 y 39 años. Ello significa una población joven, en edades fértiles y con larga vida laboral.</w:t>
      </w:r>
    </w:p>
    <w:p w:rsidR="00000000" w:rsidRDefault="00000000">
      <w:pPr>
        <w:jc w:val="both"/>
        <w:rPr>
          <w:rFonts w:ascii="Arial" w:hAnsi="Arial"/>
        </w:rPr>
      </w:pPr>
    </w:p>
    <w:p w:rsidR="00000000" w:rsidRDefault="00000000">
      <w:pPr>
        <w:jc w:val="both"/>
        <w:rPr>
          <w:rFonts w:ascii="Arial" w:hAnsi="Arial"/>
        </w:rPr>
      </w:pPr>
      <w:r>
        <w:rPr>
          <w:rFonts w:ascii="Arial" w:hAnsi="Arial"/>
        </w:rPr>
        <w:t>En cuanto a los regímenes de Seguridad Social, que resultan indicativos del sector laboral donde prestan servicios, 42.692 estaban afiliadas al régimen especial de empleados de hogar; casi 20.000 en el régimen especial de trabajadores autónomos y unas 6.000, en el régimen especial agrario.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Respecto de los datos sobre </w:t>
      </w:r>
      <w:r>
        <w:rPr>
          <w:rFonts w:ascii="Arial" w:hAnsi="Arial"/>
          <w:b/>
        </w:rPr>
        <w:t>asilo y refugio</w:t>
      </w:r>
      <w:r>
        <w:rPr>
          <w:rFonts w:ascii="Arial" w:hAnsi="Arial"/>
        </w:rPr>
        <w:t>, en el año 2000, solicitaron asilo en España un total de 7.926 personas, de las cuales 3.144 eran mujeres (40,0%).</w:t>
      </w:r>
    </w:p>
    <w:p w:rsidR="00000000" w:rsidRDefault="00000000">
      <w:pPr>
        <w:jc w:val="both"/>
        <w:rPr>
          <w:rFonts w:ascii="Arial" w:hAnsi="Arial"/>
        </w:rPr>
      </w:pPr>
    </w:p>
    <w:p w:rsidR="00000000" w:rsidRDefault="00000000">
      <w:pPr>
        <w:jc w:val="both"/>
        <w:rPr>
          <w:rFonts w:ascii="Arial" w:hAnsi="Arial"/>
        </w:rPr>
      </w:pPr>
      <w:r>
        <w:rPr>
          <w:rFonts w:ascii="Arial" w:hAnsi="Arial"/>
        </w:rPr>
        <w:t>En el año 2001, los porcentajes se mantienen, y de un total de 9.490 solicitantes de asilo, 3.728 eran mujeres(39,28%).</w:t>
      </w:r>
    </w:p>
    <w:p w:rsidR="00000000" w:rsidRDefault="00000000">
      <w:pPr>
        <w:jc w:val="both"/>
        <w:rPr>
          <w:rFonts w:ascii="Arial" w:hAnsi="Arial"/>
        </w:rPr>
      </w:pPr>
    </w:p>
    <w:p w:rsidR="00000000" w:rsidRDefault="00000000">
      <w:pPr>
        <w:jc w:val="both"/>
        <w:rPr>
          <w:rFonts w:ascii="Arial" w:hAnsi="Arial"/>
        </w:rPr>
      </w:pPr>
      <w:r>
        <w:rPr>
          <w:rFonts w:ascii="Arial" w:hAnsi="Arial"/>
        </w:rPr>
        <w:t>Los principales países de origen de las mujeres solicitantes de asilo en nuestro país son: Colombia, Pakistán, Sierra Leona, Cuba, Nigeria, Armenia, Rusia, Rumania y Ucrania.</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9"/>
      </w:pPr>
      <w:r>
        <w:t>B. II. Modificaciones del Ordenamiento Jurídico.</w:t>
      </w:r>
    </w:p>
    <w:p w:rsidR="00000000" w:rsidRDefault="00000000">
      <w:pPr>
        <w:jc w:val="both"/>
        <w:rPr>
          <w:rFonts w:ascii="Arial" w:hAnsi="Arial"/>
        </w:rPr>
      </w:pPr>
    </w:p>
    <w:p w:rsidR="00000000" w:rsidRDefault="00000000">
      <w:pPr>
        <w:jc w:val="both"/>
        <w:rPr>
          <w:rFonts w:ascii="Arial" w:hAnsi="Arial"/>
        </w:rPr>
      </w:pPr>
      <w:r>
        <w:rPr>
          <w:rFonts w:ascii="Arial" w:hAnsi="Arial"/>
        </w:rPr>
        <w:t>La Ley Orgánica 4/2000, de 11 de Enero, modificada por Ley Orgánica 8/2000, de 22 de Diciembre, sobre derechos y libertades de los extranjeros en España, y su integración social, se fundamenta en el principio básico de igualdad y no discriminación y atribuye, sin distinción de género, un estatuto de derechos y libertades a los extranjeros en nuestro país.</w:t>
      </w:r>
    </w:p>
    <w:p w:rsidR="00000000" w:rsidRDefault="00000000">
      <w:pPr>
        <w:jc w:val="both"/>
        <w:rPr>
          <w:rFonts w:ascii="Arial" w:hAnsi="Arial"/>
        </w:rPr>
      </w:pPr>
    </w:p>
    <w:p w:rsidR="00000000" w:rsidRDefault="00000000">
      <w:pPr>
        <w:jc w:val="both"/>
        <w:rPr>
          <w:rFonts w:ascii="Arial" w:hAnsi="Arial"/>
        </w:rPr>
      </w:pPr>
      <w:r>
        <w:rPr>
          <w:rFonts w:ascii="Arial" w:hAnsi="Arial"/>
        </w:rPr>
        <w:t>Estos derechos vienen reconocidos en el Titulo I de la Ley y se articulan en dos grandes grupos: derechos cuya titularidad y ejercicio corresponden a todos los extranjeros, como derechos fundamentales de la persona; y aquellos que solamente corresponden a los residentes legales en España, conocidos como derechos sociales o de configuración legal.</w:t>
      </w:r>
    </w:p>
    <w:p w:rsidR="00000000" w:rsidRDefault="00000000">
      <w:pPr>
        <w:jc w:val="both"/>
        <w:rPr>
          <w:rFonts w:ascii="Arial" w:hAnsi="Arial"/>
        </w:rPr>
      </w:pPr>
    </w:p>
    <w:p w:rsidR="00000000" w:rsidRDefault="00000000">
      <w:pPr>
        <w:jc w:val="both"/>
        <w:rPr>
          <w:rFonts w:ascii="Arial" w:hAnsi="Arial"/>
        </w:rPr>
      </w:pPr>
      <w:r>
        <w:rPr>
          <w:rFonts w:ascii="Arial" w:hAnsi="Arial"/>
        </w:rPr>
        <w:t>En el primer apartado, tanto las mujeres como los varones extranjeros gozan del derecho a asistencia sanitaria, a los servicios y prestaciones básicas, del derecho a la tutela judicial efectiva, del acceso a la educación y del derecho a la asistencia jurídica.</w:t>
      </w:r>
    </w:p>
    <w:p w:rsidR="00000000" w:rsidRDefault="00000000">
      <w:pPr>
        <w:jc w:val="both"/>
        <w:rPr>
          <w:rFonts w:ascii="Arial" w:hAnsi="Arial"/>
        </w:rPr>
      </w:pPr>
    </w:p>
    <w:p w:rsidR="00000000" w:rsidRDefault="00000000">
      <w:pPr>
        <w:jc w:val="both"/>
        <w:rPr>
          <w:rFonts w:ascii="Arial" w:hAnsi="Arial"/>
        </w:rPr>
      </w:pPr>
      <w:r>
        <w:rPr>
          <w:rFonts w:ascii="Arial" w:hAnsi="Arial"/>
        </w:rPr>
        <w:t>Además de los derechos señalados, las mujeres y varones residentes o que se encuentran legalmente en España pueden ejercitar el derecho de sufragio en las elecciones municipales, si se da la condición de reciprocidad con su país de origen, el derecho de libertad de sindicación y huelga, de reunión y manifestación, el derecho a ejercer una actividad remunerada por cuenta propia o ajena, teniendo asimismo derecho a ayudas en materia de vivienda y derecho a la reagrupación familiar.</w:t>
      </w:r>
    </w:p>
    <w:p w:rsidR="00000000" w:rsidRDefault="00000000">
      <w:pPr>
        <w:jc w:val="both"/>
        <w:rPr>
          <w:rFonts w:ascii="Arial" w:hAnsi="Arial"/>
        </w:rPr>
      </w:pPr>
    </w:p>
    <w:p w:rsidR="00000000" w:rsidRDefault="00000000">
      <w:pPr>
        <w:jc w:val="both"/>
        <w:rPr>
          <w:rFonts w:ascii="Arial" w:hAnsi="Arial"/>
        </w:rPr>
      </w:pPr>
      <w:r>
        <w:rPr>
          <w:rFonts w:ascii="Arial" w:hAnsi="Arial"/>
        </w:rPr>
        <w:t>Además los extranjeros residentes que acrediten insuficiencia de recursos económicos tendrán derecho a la asistencia gratuita en iguales condiciones que los españoles, cualquiera que sea la jurisdicción en la que se sigan esos procesos.</w:t>
      </w:r>
    </w:p>
    <w:p w:rsidR="00000000" w:rsidRDefault="00000000">
      <w:pPr>
        <w:jc w:val="both"/>
        <w:rPr>
          <w:rFonts w:ascii="Arial" w:hAnsi="Arial"/>
        </w:rPr>
      </w:pPr>
    </w:p>
    <w:p w:rsidR="00000000" w:rsidRDefault="00000000">
      <w:pPr>
        <w:jc w:val="both"/>
        <w:rPr>
          <w:rFonts w:ascii="Arial" w:hAnsi="Arial"/>
        </w:rPr>
      </w:pPr>
      <w:r>
        <w:rPr>
          <w:rFonts w:ascii="Arial" w:hAnsi="Arial"/>
        </w:rPr>
        <w:t>Respeto a las mujeres refugiadas, al igual que para los varones, la normativa establece que la resolución favorable sobre la petición de asilo en España supondrá el reconocimiento de la condición de refugiada de la solicitante, que tendrá derecho de residir en España y a desarrollar actividades laborales, profesionales y mercantiles de conformidad con lo dispuesto en la Ley de 26 de Marzo de 1984, reguladora del Derecho de Asilo y de la Condición de Refugiado, modificada por la ley de 19 de Mayo de 1994 y su normativa de ejecución y desarrollo. Dicha condición supondrá su no expulsión, de acuerdo con lo establecido en la convención de Ginebra de 1951.</w:t>
      </w:r>
    </w:p>
    <w:p w:rsidR="00000000" w:rsidRDefault="00000000">
      <w:pPr>
        <w:jc w:val="both"/>
        <w:rPr>
          <w:rFonts w:ascii="Arial" w:hAnsi="Arial"/>
        </w:rPr>
      </w:pPr>
    </w:p>
    <w:p w:rsidR="00000000" w:rsidRDefault="00000000">
      <w:pPr>
        <w:jc w:val="both"/>
        <w:rPr>
          <w:rFonts w:ascii="Arial" w:hAnsi="Arial"/>
        </w:rPr>
      </w:pPr>
      <w:r>
        <w:rPr>
          <w:rFonts w:ascii="Arial" w:hAnsi="Arial"/>
        </w:rPr>
        <w:t>En este contexto, debe señalarse, además, el artículo 57.6 de la Ley Orgánica que establece que las mujeres embarazadas no podrán ser devueltas ni expulsadas" cuando la medida pueda suponer un riesgo para la gestación o la salud de la madre".</w:t>
      </w:r>
    </w:p>
    <w:p w:rsidR="00000000" w:rsidRDefault="00000000">
      <w:pPr>
        <w:jc w:val="both"/>
        <w:rPr>
          <w:rFonts w:ascii="Arial" w:hAnsi="Arial"/>
        </w:rPr>
      </w:pPr>
    </w:p>
    <w:p w:rsidR="00000000" w:rsidRDefault="00000000">
      <w:pPr>
        <w:jc w:val="both"/>
        <w:rPr>
          <w:rFonts w:ascii="Arial" w:hAnsi="Arial"/>
        </w:rPr>
      </w:pPr>
      <w:r>
        <w:rPr>
          <w:rFonts w:ascii="Arial" w:hAnsi="Arial"/>
        </w:rPr>
        <w:t>Igualmente, el artículo 58.3 establece que en el supuesto de que se formalice una solicitud de asilo y no se resuelva favorablemente, la devolución o la expulsión no podrá llevarse a cabo cuando la medida pueda suponer un riesgo para la gestación o para la salud de la madre, supuesto desarrollado en el artículo 138.4 a) del Reglamento de ejecución de la Ley Orgánica.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Con el fin de dar aplicación a la Proposición no de Ley aprobada por el Congreso de los Diputados, sobre medidas para la </w:t>
      </w:r>
      <w:r>
        <w:rPr>
          <w:rFonts w:ascii="Arial" w:hAnsi="Arial"/>
          <w:b/>
        </w:rPr>
        <w:t>erradicación de la mutilación genital femenina</w:t>
      </w:r>
      <w:r>
        <w:rPr>
          <w:rFonts w:ascii="Arial" w:hAnsi="Arial"/>
        </w:rPr>
        <w:t>, se ha procedido a incluir en todos los modelos oficiales de solicitud de permiso y tarjetas de extranjeros, un folleto en el que se informa, además de sus derechos y deberes como extranjero en España, de la tipificación penal en nuestro país de la mutilación genital en España,</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B. III. Políticas y Programas.</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Hay que tener en cuenta que este colectivo está también incluido en las políticas y programas ya descritos anteriormente, tales como el </w:t>
      </w:r>
      <w:r>
        <w:rPr>
          <w:rFonts w:ascii="Arial" w:hAnsi="Arial"/>
          <w:b/>
        </w:rPr>
        <w:t>Plan Nacional de acción para la inclusión social</w:t>
      </w:r>
      <w:r>
        <w:rPr>
          <w:rFonts w:ascii="Arial" w:hAnsi="Arial"/>
        </w:rPr>
        <w:t>, Iniciativa comunitaria Equal, etc. si bien cabe mencionar como específico: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Programa Global de Regulación y Coordinación de la Extranjería y la Inmigración en España (GRECO)</w:t>
      </w:r>
      <w:r>
        <w:rPr>
          <w:rFonts w:ascii="Arial" w:hAnsi="Arial"/>
        </w:rPr>
        <w:t>, recoge medidas destinadas a facilitar la integración e inserción laboral de los extranjeros residentes en España, que ha contado con un presupuesto de 226.978.231,34 euros</w:t>
      </w:r>
    </w:p>
    <w:p w:rsidR="00000000" w:rsidRDefault="00000000">
      <w:pPr>
        <w:jc w:val="both"/>
        <w:rPr>
          <w:rFonts w:ascii="Arial" w:hAnsi="Arial"/>
        </w:rPr>
      </w:pPr>
    </w:p>
    <w:p w:rsidR="00000000" w:rsidRDefault="00000000">
      <w:pPr>
        <w:jc w:val="both"/>
        <w:rPr>
          <w:rFonts w:ascii="Arial" w:hAnsi="Arial"/>
        </w:rPr>
      </w:pPr>
      <w:r>
        <w:rPr>
          <w:rFonts w:ascii="Arial" w:hAnsi="Arial"/>
        </w:rPr>
        <w:t>Este Programa fue aprobado por Acuerdo del Consejo de Ministros del 30 de Marzo de 2001, y representa la primera iniciativa preparada en nuestro país para afrontar el tratamiento de la extranjería y la inmigración desde todas sus vertientes, elaborado con la participación de todos los departamentos ministeriales con competencias en la materia. Tiene carácter plurianual, con duración del 2001 al 2004.</w:t>
      </w:r>
    </w:p>
    <w:p w:rsidR="00000000" w:rsidRDefault="00000000">
      <w:pPr>
        <w:jc w:val="both"/>
        <w:rPr>
          <w:rFonts w:ascii="Arial" w:hAnsi="Arial"/>
        </w:rPr>
      </w:pPr>
    </w:p>
    <w:p w:rsidR="00000000" w:rsidRDefault="00000000">
      <w:pPr>
        <w:jc w:val="both"/>
        <w:rPr>
          <w:rFonts w:ascii="Arial" w:hAnsi="Arial"/>
        </w:rPr>
      </w:pPr>
      <w:r>
        <w:rPr>
          <w:rFonts w:ascii="Arial" w:hAnsi="Arial"/>
        </w:rPr>
        <w:t>Su diseño se ha estructurado a partir de un enfoque global y coordinado de la inmigración que mantiene un sistema de protección para los refugiados e inmigrantes de ambos sexos sin discriminación alguna, atendiendo, al mismo tiempo, a las especiales características de las mujeres inmigrantes en aspectos especialmente sensibles, como la maternidad y gestación.</w:t>
      </w:r>
    </w:p>
    <w:p w:rsidR="00000000" w:rsidRDefault="00000000">
      <w:pPr>
        <w:jc w:val="both"/>
        <w:rPr>
          <w:rFonts w:ascii="Arial" w:hAnsi="Arial"/>
        </w:rPr>
      </w:pPr>
    </w:p>
    <w:p w:rsidR="00000000" w:rsidRDefault="00000000">
      <w:pPr>
        <w:jc w:val="both"/>
        <w:rPr>
          <w:rFonts w:ascii="Arial" w:hAnsi="Arial"/>
        </w:rPr>
      </w:pPr>
      <w:r>
        <w:rPr>
          <w:rFonts w:ascii="Arial" w:hAnsi="Arial"/>
        </w:rPr>
        <w:t>La formación de las mujeres inmigrantes se contempla como una de las prioridades de este Plan. Y en este concepto, se incluye, tanto la educación de las niñas y jóvenes, como la de las mujeres adultas.</w:t>
      </w:r>
    </w:p>
    <w:p w:rsidR="00000000" w:rsidRDefault="00000000">
      <w:pPr>
        <w:jc w:val="both"/>
        <w:rPr>
          <w:rFonts w:ascii="Arial" w:hAnsi="Arial"/>
        </w:rPr>
      </w:pPr>
    </w:p>
    <w:p w:rsidR="00000000" w:rsidRDefault="00000000">
      <w:pPr>
        <w:jc w:val="both"/>
        <w:rPr>
          <w:rFonts w:ascii="Arial" w:hAnsi="Arial"/>
        </w:rPr>
      </w:pPr>
      <w:r>
        <w:rPr>
          <w:rFonts w:ascii="Arial" w:hAnsi="Arial"/>
        </w:rPr>
        <w:t>Por otro lado, la incorporación de los y las inmigrantes al mercado de trabajo en igualdad de condiciones que los españoles y españolas, parte del diseño de itinerarios integrados de inserción, que contempla no sólo acciones formativas de capacitación, sino también actuaciones en educación y alfabetización de adultos.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protección temporal de las </w:t>
      </w:r>
      <w:r>
        <w:rPr>
          <w:rFonts w:ascii="Arial" w:hAnsi="Arial"/>
          <w:b/>
        </w:rPr>
        <w:t>refugiadas y desplazadas</w:t>
      </w:r>
      <w:r>
        <w:rPr>
          <w:rFonts w:ascii="Arial" w:hAnsi="Arial"/>
        </w:rPr>
        <w:t xml:space="preserve">, incluye igualmente, la especial necesidad de su capacitación laboral. El Programa GRECO contempla, entre sus medidas, la promoción profesional a través de la correspondiente formación ocupacional y su inserción en el mercado de trabajo. Entre los derechos de las </w:t>
      </w:r>
      <w:r>
        <w:rPr>
          <w:rFonts w:ascii="Arial" w:hAnsi="Arial"/>
          <w:b/>
        </w:rPr>
        <w:t>personas apátridas</w:t>
      </w:r>
      <w:r>
        <w:rPr>
          <w:rFonts w:ascii="Arial" w:hAnsi="Arial"/>
        </w:rPr>
        <w:t xml:space="preserve"> se reconoce el acceso a la educación en igualdad de condiciones que las nacionales.</w:t>
      </w:r>
    </w:p>
    <w:p w:rsidR="00000000" w:rsidRDefault="00000000">
      <w:pPr>
        <w:jc w:val="both"/>
        <w:rPr>
          <w:rFonts w:ascii="Arial" w:hAnsi="Arial"/>
        </w:rPr>
      </w:pPr>
    </w:p>
    <w:p w:rsidR="00000000" w:rsidRDefault="00000000">
      <w:pPr>
        <w:jc w:val="both"/>
        <w:rPr>
          <w:rFonts w:ascii="Arial" w:hAnsi="Arial"/>
        </w:rPr>
      </w:pPr>
      <w:r>
        <w:rPr>
          <w:rFonts w:ascii="Arial" w:hAnsi="Arial"/>
        </w:rPr>
        <w:t>El reconocimiento del valor de la educación para el desarrollo individual y para el desarrollo socioeconómico de los países de donde provienen los inmigrantes no termina en este programa GRECO. En los diversos acuerdos firmados en la materia con terceros países, es un tema siempre presente. Así podemos mencionar como ejemplo, el Acuerdo firmado en Noviembre de 2001, con la República federal de Nigeria. El Gobierno español se compromete a asistir al Gobierno del país africano y cooperar en materia de formación para el control del VIH/SIDA, y de otras enfermedades de transmisión sexual - dos aspectos que castigan especialmente la salud de la población femenina de la región - como parte del proceso de reinserción e integración en la sociedad de las personas interesadas.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Ministerio de Trabajo y Asuntos Sociales desarrolla, a través del IMSERSO, el </w:t>
      </w:r>
      <w:r>
        <w:rPr>
          <w:rFonts w:ascii="Arial" w:hAnsi="Arial"/>
          <w:b/>
        </w:rPr>
        <w:t>Plan para la Integración Social de los inmigrantes</w:t>
      </w:r>
      <w:r>
        <w:rPr>
          <w:rFonts w:ascii="Arial" w:hAnsi="Arial"/>
        </w:rPr>
        <w:t>, que tiene como objetivos prioritarios: eliminar la discriminación, promover la convivencia basada en valores democráticos, combatir las barreras que dificultan su integración y movilizar a la sociedad en su conjunto contra el racismo y la xenofobia.</w:t>
      </w:r>
    </w:p>
    <w:p w:rsidR="00000000" w:rsidRDefault="00000000">
      <w:pPr>
        <w:jc w:val="both"/>
        <w:rPr>
          <w:rFonts w:ascii="Arial" w:hAnsi="Arial"/>
        </w:rPr>
      </w:pPr>
    </w:p>
    <w:p w:rsidR="00000000" w:rsidRDefault="00000000">
      <w:pPr>
        <w:jc w:val="both"/>
        <w:rPr>
          <w:rFonts w:ascii="Arial" w:hAnsi="Arial"/>
        </w:rPr>
      </w:pPr>
      <w:r>
        <w:rPr>
          <w:rFonts w:ascii="Arial" w:hAnsi="Arial"/>
        </w:rPr>
        <w:t>Para la puesta en marcha de los Programas para la promoción e integración social de refugiados, inmigrantes, solicitantes de asilo y desplazados se conceden Subvenciones a ONG sometidas al Régimen General, así como subvenciones con cargo a la asignación tributaria del IRPF.</w:t>
      </w:r>
    </w:p>
    <w:p w:rsidR="00000000" w:rsidRDefault="00000000">
      <w:pPr>
        <w:jc w:val="both"/>
        <w:rPr>
          <w:rFonts w:ascii="Arial" w:hAnsi="Arial"/>
        </w:rPr>
      </w:pPr>
    </w:p>
    <w:p w:rsidR="00000000" w:rsidRDefault="00000000">
      <w:pPr>
        <w:jc w:val="both"/>
        <w:rPr>
          <w:rFonts w:ascii="Arial" w:hAnsi="Arial"/>
        </w:rPr>
      </w:pPr>
      <w:r>
        <w:rPr>
          <w:rFonts w:ascii="Arial" w:hAnsi="Arial"/>
        </w:rPr>
        <w:t>El Ministerio de Trabajo y Asuntos Sociales realiza también Convenios de colaboración con las Comunidades Autónomas para el desarrollo de acciones conjuntas en materia de atención a inmigrantes, refugiados, solicitantes de asilo y desplazados.</w:t>
      </w:r>
    </w:p>
    <w:p w:rsidR="00000000" w:rsidRDefault="00000000">
      <w:pPr>
        <w:jc w:val="both"/>
        <w:rPr>
          <w:rFonts w:ascii="Arial" w:hAnsi="Arial"/>
        </w:rPr>
      </w:pPr>
    </w:p>
    <w:p w:rsidR="00000000" w:rsidRDefault="00000000">
      <w:pPr>
        <w:jc w:val="both"/>
        <w:rPr>
          <w:rFonts w:ascii="Arial" w:hAnsi="Arial"/>
        </w:rPr>
      </w:pPr>
      <w:r>
        <w:rPr>
          <w:rFonts w:ascii="Arial" w:hAnsi="Arial"/>
        </w:rPr>
        <w:t>En 1999, la Conferencia Sectorial de Asuntos Sociales aprobó la distribución de 3.906.578,68 euros entre 10 Comunidades Autónomas para el desarrollo de actividades en la materia y en el año 2000 se aprobó la distribución de 3.005.060,52 euros entre 13 Comunidades con la misma finalidad. Se han suscrito asimismo Convenios de colaboración con otras instituciones como Cáritas, el Colegio de Abogados de Madrid, la Federación de Asociaciones Pro Inmigrantes e Iniciativas Solidarias, para la promoción de programas a favor de estos colectivos.</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 xml:space="preserve">Medidas realizadas para combatir la violencia contra las mujeres </w:t>
      </w:r>
    </w:p>
    <w:p w:rsidR="00000000" w:rsidRDefault="00000000">
      <w:pPr>
        <w:jc w:val="both"/>
        <w:rPr>
          <w:rFonts w:ascii="Arial" w:hAnsi="Arial"/>
        </w:rPr>
      </w:pPr>
    </w:p>
    <w:p w:rsidR="00000000" w:rsidRDefault="00000000">
      <w:pPr>
        <w:pStyle w:val="Heading9"/>
      </w:pPr>
      <w:r>
        <w:t>I. Situación actual</w:t>
      </w:r>
    </w:p>
    <w:p w:rsidR="00000000" w:rsidRDefault="00000000">
      <w:pPr>
        <w:jc w:val="both"/>
        <w:rPr>
          <w:rFonts w:ascii="Arial" w:hAnsi="Arial"/>
        </w:rPr>
      </w:pPr>
    </w:p>
    <w:p w:rsidR="00000000" w:rsidRDefault="00000000">
      <w:pPr>
        <w:jc w:val="both"/>
        <w:rPr>
          <w:rFonts w:ascii="Arial" w:hAnsi="Arial"/>
        </w:rPr>
      </w:pPr>
      <w:r>
        <w:rPr>
          <w:rFonts w:ascii="Arial" w:hAnsi="Arial"/>
        </w:rPr>
        <w:t>La violencia contra las mujeres es un problema generalizado que afecta a todos los países, independientemente de su nivel de desarrollo y que se produce en todos los sectores de la sociedad.</w:t>
      </w:r>
    </w:p>
    <w:p w:rsidR="00000000" w:rsidRDefault="00000000">
      <w:pPr>
        <w:jc w:val="both"/>
        <w:rPr>
          <w:rFonts w:ascii="Arial" w:hAnsi="Arial"/>
        </w:rPr>
      </w:pPr>
    </w:p>
    <w:p w:rsidR="00000000" w:rsidRDefault="00000000">
      <w:pPr>
        <w:jc w:val="both"/>
        <w:rPr>
          <w:rFonts w:ascii="Arial" w:hAnsi="Arial"/>
        </w:rPr>
      </w:pPr>
      <w:r>
        <w:rPr>
          <w:rFonts w:ascii="Arial" w:hAnsi="Arial"/>
        </w:rPr>
        <w:t>Así, en España, según los datos disponibles, desde 1998, año durante el cual  se presentaron un total de 19.535 denuncias por malos tratos, hasta el 2001 en el que se presentaron 24.285, puede apreciarse el incremento producido motivado por las políticas y campañas desarrolladas, tanto por el Gobierno central, como por los Gobiernos autonómicos y/o actuaciones de las ONG.</w:t>
      </w:r>
    </w:p>
    <w:p w:rsidR="00000000" w:rsidRDefault="00000000">
      <w:pPr>
        <w:jc w:val="both"/>
        <w:rPr>
          <w:rFonts w:ascii="Arial" w:hAnsi="Arial"/>
        </w:rPr>
      </w:pPr>
    </w:p>
    <w:p w:rsidR="00000000" w:rsidRDefault="00000000">
      <w:pPr>
        <w:jc w:val="both"/>
        <w:rPr>
          <w:rFonts w:ascii="Arial" w:hAnsi="Arial"/>
        </w:rPr>
      </w:pPr>
      <w:r>
        <w:rPr>
          <w:rFonts w:ascii="Arial" w:hAnsi="Arial"/>
        </w:rPr>
        <w:t>Según la última Memoria de la Fiscalía General del Estado, presentada con motivo de la apertura del año judicial, las denuncias por casos de maltrato familiar han aumentado durante el año 2000 por segundo año consecutivo. El incremento ha sido de un 35% pasando de las 11.890 causas abiertas en 1999 a 16.083 en el último año.</w:t>
      </w:r>
    </w:p>
    <w:p w:rsidR="00000000" w:rsidRDefault="00000000">
      <w:pPr>
        <w:jc w:val="both"/>
        <w:rPr>
          <w:rFonts w:ascii="Arial" w:hAnsi="Arial"/>
        </w:rPr>
      </w:pPr>
    </w:p>
    <w:p w:rsidR="00000000" w:rsidRDefault="00000000">
      <w:pPr>
        <w:pStyle w:val="BodyTextIndent"/>
        <w:ind w:left="0"/>
      </w:pPr>
      <w:r>
        <w:t xml:space="preserve">El número de </w:t>
      </w:r>
      <w:r>
        <w:rPr>
          <w:b/>
        </w:rPr>
        <w:t>denuncias</w:t>
      </w:r>
      <w:r>
        <w:t xml:space="preserve"> presentadas por mujeres </w:t>
      </w:r>
      <w:r>
        <w:rPr>
          <w:b/>
        </w:rPr>
        <w:t>por malos tratos</w:t>
      </w:r>
      <w:r>
        <w:t xml:space="preserve"> producidos por el cónyuge o análogo(*). 1998-2001 son:</w:t>
      </w:r>
      <w:r>
        <w:rPr>
          <w:rStyle w:val="FootnoteReference"/>
        </w:rPr>
        <w:footnoteReference w:customMarkFollows="1" w:id="5"/>
        <w:t>1</w:t>
      </w:r>
    </w:p>
    <w:p w:rsidR="00000000" w:rsidRDefault="00000000">
      <w:pPr>
        <w:jc w:val="both"/>
        <w:rPr>
          <w:rFonts w:ascii="Arial" w:hAnsi="Arial"/>
        </w:rPr>
      </w:pPr>
    </w:p>
    <w:tbl>
      <w:tblPr>
        <w:tblW w:w="0" w:type="auto"/>
        <w:tblInd w:w="241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30" w:type="dxa"/>
          <w:right w:w="30" w:type="dxa"/>
        </w:tblCellMar>
        <w:tblLook w:val="0000" w:firstRow="0" w:lastRow="0" w:firstColumn="0" w:lastColumn="0" w:noHBand="0" w:noVBand="0"/>
      </w:tblPr>
      <w:tblGrid>
        <w:gridCol w:w="1275"/>
        <w:gridCol w:w="992"/>
        <w:gridCol w:w="992"/>
        <w:gridCol w:w="992"/>
        <w:gridCol w:w="993"/>
      </w:tblGrid>
      <w:tr w:rsidR="00000000">
        <w:tblPrEx>
          <w:tblCellMar>
            <w:top w:w="0" w:type="dxa"/>
            <w:bottom w:w="0" w:type="dxa"/>
          </w:tblCellMar>
        </w:tblPrEx>
        <w:trPr>
          <w:trHeight w:val="338"/>
        </w:trPr>
        <w:tc>
          <w:tcPr>
            <w:tcW w:w="1275" w:type="dxa"/>
            <w:tcBorders>
              <w:top w:val="nil"/>
              <w:left w:val="nil"/>
            </w:tcBorders>
          </w:tcPr>
          <w:p w:rsidR="00000000" w:rsidRDefault="00000000">
            <w:pPr>
              <w:jc w:val="both"/>
              <w:rPr>
                <w:rFonts w:ascii="Arial" w:hAnsi="Arial"/>
                <w:snapToGrid w:val="0"/>
                <w:color w:val="000000"/>
                <w:sz w:val="16"/>
                <w:lang w:eastAsia="es-ES"/>
              </w:rPr>
            </w:pP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1998</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1999</w:t>
            </w:r>
          </w:p>
        </w:tc>
        <w:tc>
          <w:tcPr>
            <w:tcW w:w="992"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2000</w:t>
            </w:r>
          </w:p>
        </w:tc>
        <w:tc>
          <w:tcPr>
            <w:tcW w:w="993"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2001</w:t>
            </w:r>
          </w:p>
        </w:tc>
      </w:tr>
      <w:tr w:rsidR="00000000">
        <w:tblPrEx>
          <w:tblCellMar>
            <w:top w:w="0" w:type="dxa"/>
            <w:bottom w:w="0" w:type="dxa"/>
          </w:tblCellMar>
        </w:tblPrEx>
        <w:trPr>
          <w:trHeight w:val="322"/>
        </w:trPr>
        <w:tc>
          <w:tcPr>
            <w:tcW w:w="1275" w:type="dxa"/>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TOTAL</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19.535</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21.582</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22.397</w:t>
            </w:r>
          </w:p>
        </w:tc>
        <w:tc>
          <w:tcPr>
            <w:tcW w:w="993"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24.158</w:t>
            </w:r>
          </w:p>
        </w:tc>
      </w:tr>
      <w:tr w:rsidR="00000000">
        <w:tblPrEx>
          <w:tblCellMar>
            <w:top w:w="0" w:type="dxa"/>
            <w:bottom w:w="0" w:type="dxa"/>
          </w:tblCellMar>
        </w:tblPrEx>
        <w:trPr>
          <w:trHeight w:val="307"/>
        </w:trPr>
        <w:tc>
          <w:tcPr>
            <w:tcW w:w="1275" w:type="dxa"/>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DELITOS</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5.546</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6.554</w:t>
            </w:r>
          </w:p>
        </w:tc>
        <w:tc>
          <w:tcPr>
            <w:tcW w:w="992"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6.224</w:t>
            </w:r>
          </w:p>
        </w:tc>
        <w:tc>
          <w:tcPr>
            <w:tcW w:w="993" w:type="dxa"/>
            <w:shd w:val="clear" w:color="C0C0C0" w:fill="auto"/>
            <w:vAlign w:val="center"/>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5.983</w:t>
            </w:r>
          </w:p>
        </w:tc>
      </w:tr>
      <w:tr w:rsidR="00000000">
        <w:tblPrEx>
          <w:tblCellMar>
            <w:top w:w="0" w:type="dxa"/>
            <w:bottom w:w="0" w:type="dxa"/>
          </w:tblCellMar>
        </w:tblPrEx>
        <w:trPr>
          <w:trHeight w:val="307"/>
        </w:trPr>
        <w:tc>
          <w:tcPr>
            <w:tcW w:w="1275" w:type="dxa"/>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FALTAS</w:t>
            </w:r>
          </w:p>
        </w:tc>
        <w:tc>
          <w:tcPr>
            <w:tcW w:w="992" w:type="dxa"/>
            <w:shd w:val="clear" w:color="C0C0C0" w:fill="auto"/>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13.989</w:t>
            </w:r>
          </w:p>
        </w:tc>
        <w:tc>
          <w:tcPr>
            <w:tcW w:w="992" w:type="dxa"/>
            <w:shd w:val="clear" w:color="C0C0C0" w:fill="auto"/>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15.077</w:t>
            </w:r>
          </w:p>
        </w:tc>
        <w:tc>
          <w:tcPr>
            <w:tcW w:w="992" w:type="dxa"/>
            <w:shd w:val="clear" w:color="C0C0C0" w:fill="auto"/>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16.173</w:t>
            </w:r>
          </w:p>
        </w:tc>
        <w:tc>
          <w:tcPr>
            <w:tcW w:w="993" w:type="dxa"/>
            <w:shd w:val="clear" w:color="C0C0C0" w:fill="auto"/>
          </w:tcPr>
          <w:p w:rsidR="00000000" w:rsidRDefault="00000000">
            <w:pPr>
              <w:jc w:val="both"/>
              <w:rPr>
                <w:rFonts w:ascii="Arial" w:hAnsi="Arial"/>
                <w:snapToGrid w:val="0"/>
                <w:color w:val="000000"/>
                <w:sz w:val="16"/>
                <w:lang w:eastAsia="es-ES"/>
              </w:rPr>
            </w:pPr>
            <w:r>
              <w:rPr>
                <w:rFonts w:ascii="Arial" w:hAnsi="Arial"/>
                <w:snapToGrid w:val="0"/>
                <w:color w:val="000000"/>
                <w:sz w:val="16"/>
                <w:lang w:eastAsia="es-ES"/>
              </w:rPr>
              <w:t>18.175</w:t>
            </w:r>
          </w:p>
        </w:tc>
      </w:tr>
    </w:tbl>
    <w:p w:rsidR="00000000" w:rsidRDefault="00000000">
      <w:pPr>
        <w:tabs>
          <w:tab w:val="left" w:pos="7655"/>
        </w:tabs>
        <w:ind w:left="2394"/>
        <w:jc w:val="both"/>
        <w:rPr>
          <w:rFonts w:ascii="Arial" w:hAnsi="Arial"/>
          <w:sz w:val="16"/>
        </w:rPr>
      </w:pPr>
      <w:r>
        <w:rPr>
          <w:rFonts w:ascii="Arial" w:hAnsi="Arial"/>
          <w:snapToGrid w:val="0"/>
          <w:color w:val="000000"/>
          <w:sz w:val="16"/>
          <w:lang w:eastAsia="es-ES"/>
        </w:rPr>
        <w:t>Fuente: Elaboración propia a partir de datos del Ministerio del Interior</w:t>
      </w:r>
    </w:p>
    <w:p w:rsidR="00000000" w:rsidRDefault="00000000">
      <w:pPr>
        <w:jc w:val="both"/>
        <w:rPr>
          <w:rFonts w:ascii="Arial" w:hAnsi="Arial"/>
          <w:snapToGrid w:val="0"/>
          <w:color w:val="000000"/>
          <w:lang w:eastAsia="es-ES"/>
        </w:rPr>
      </w:pPr>
    </w:p>
    <w:p w:rsidR="00000000" w:rsidRDefault="00000000">
      <w:pPr>
        <w:jc w:val="both"/>
        <w:rPr>
          <w:rFonts w:ascii="Arial" w:hAnsi="Arial"/>
          <w:snapToGrid w:val="0"/>
          <w:color w:val="000000"/>
          <w:lang w:eastAsia="es-ES"/>
        </w:rPr>
      </w:pPr>
    </w:p>
    <w:p w:rsidR="00000000" w:rsidRDefault="00000000">
      <w:pPr>
        <w:pStyle w:val="BodyText"/>
        <w:rPr>
          <w:sz w:val="20"/>
        </w:rPr>
      </w:pPr>
      <w:r>
        <w:rPr>
          <w:sz w:val="20"/>
        </w:rPr>
        <w:t>Este aumento progresivo continúa en el año 2002, como se revela en las 14.997 denuncias presentadas de enero a mayo.</w:t>
      </w:r>
    </w:p>
    <w:p w:rsidR="00000000" w:rsidRDefault="00000000">
      <w:pPr>
        <w:pStyle w:val="BodyText"/>
        <w:rPr>
          <w:sz w:val="20"/>
        </w:rPr>
      </w:pPr>
    </w:p>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Personas muertas a manos de su cónyuge o análogo (*)1998-2001</w:t>
      </w: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708"/>
        <w:gridCol w:w="1043"/>
        <w:gridCol w:w="1044"/>
        <w:gridCol w:w="1044"/>
      </w:tblGrid>
      <w:tr w:rsidR="00000000">
        <w:tblPrEx>
          <w:tblCellMar>
            <w:top w:w="0" w:type="dxa"/>
            <w:bottom w:w="0" w:type="dxa"/>
          </w:tblCellMar>
        </w:tblPrEx>
        <w:trPr>
          <w:trHeight w:val="322"/>
          <w:jc w:val="center"/>
        </w:trPr>
        <w:tc>
          <w:tcPr>
            <w:tcW w:w="708" w:type="dxa"/>
            <w:shd w:val="clear" w:color="auto" w:fill="FFFFFF"/>
          </w:tcPr>
          <w:p w:rsidR="00000000" w:rsidRDefault="00000000">
            <w:pPr>
              <w:jc w:val="center"/>
              <w:rPr>
                <w:rFonts w:ascii="Arial" w:hAnsi="Arial"/>
                <w:snapToGrid w:val="0"/>
                <w:color w:val="000000"/>
                <w:sz w:val="16"/>
                <w:lang w:eastAsia="es-ES"/>
              </w:rPr>
            </w:pPr>
          </w:p>
        </w:tc>
        <w:tc>
          <w:tcPr>
            <w:tcW w:w="1043" w:type="dxa"/>
            <w:tcBorders>
              <w:top w:val="single" w:sz="12" w:space="0" w:color="auto"/>
              <w:left w:val="single" w:sz="12" w:space="0" w:color="auto"/>
              <w:bottom w:val="single" w:sz="12" w:space="0" w:color="auto"/>
              <w:right w:val="single" w:sz="4"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Total</w:t>
            </w:r>
          </w:p>
        </w:tc>
        <w:tc>
          <w:tcPr>
            <w:tcW w:w="1044" w:type="dxa"/>
            <w:tcBorders>
              <w:top w:val="single" w:sz="12" w:space="0" w:color="auto"/>
              <w:left w:val="nil"/>
              <w:bottom w:val="single" w:sz="12" w:space="0" w:color="auto"/>
              <w:right w:val="single" w:sz="4"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Mujeres</w:t>
            </w:r>
          </w:p>
        </w:tc>
        <w:tc>
          <w:tcPr>
            <w:tcW w:w="1044" w:type="dxa"/>
            <w:tcBorders>
              <w:top w:val="single" w:sz="12" w:space="0" w:color="auto"/>
              <w:left w:val="nil"/>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Hombres</w:t>
            </w:r>
          </w:p>
        </w:tc>
      </w:tr>
      <w:tr w:rsidR="00000000">
        <w:tblPrEx>
          <w:tblCellMar>
            <w:top w:w="0" w:type="dxa"/>
            <w:bottom w:w="0" w:type="dxa"/>
          </w:tblCellMar>
        </w:tblPrEx>
        <w:trPr>
          <w:trHeight w:val="307"/>
          <w:jc w:val="center"/>
        </w:trPr>
        <w:tc>
          <w:tcPr>
            <w:tcW w:w="708"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1043" w:type="dxa"/>
            <w:tcBorders>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52</w:t>
            </w:r>
          </w:p>
        </w:tc>
        <w:tc>
          <w:tcPr>
            <w:tcW w:w="1044" w:type="dxa"/>
            <w:tcBorders>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w:t>
            </w:r>
          </w:p>
        </w:tc>
        <w:tc>
          <w:tcPr>
            <w:tcW w:w="104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w:t>
            </w:r>
          </w:p>
        </w:tc>
      </w:tr>
      <w:tr w:rsidR="00000000">
        <w:tblPrEx>
          <w:tblCellMar>
            <w:top w:w="0" w:type="dxa"/>
            <w:bottom w:w="0" w:type="dxa"/>
          </w:tblCellMar>
        </w:tblPrEx>
        <w:trPr>
          <w:trHeight w:val="307"/>
          <w:jc w:val="center"/>
        </w:trPr>
        <w:tc>
          <w:tcPr>
            <w:tcW w:w="708"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1043"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48</w:t>
            </w:r>
          </w:p>
        </w:tc>
        <w:tc>
          <w:tcPr>
            <w:tcW w:w="104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w:t>
            </w:r>
          </w:p>
        </w:tc>
        <w:tc>
          <w:tcPr>
            <w:tcW w:w="104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6</w:t>
            </w:r>
          </w:p>
        </w:tc>
      </w:tr>
      <w:tr w:rsidR="00000000">
        <w:tblPrEx>
          <w:tblCellMar>
            <w:top w:w="0" w:type="dxa"/>
            <w:bottom w:w="0" w:type="dxa"/>
          </w:tblCellMar>
        </w:tblPrEx>
        <w:trPr>
          <w:trHeight w:val="338"/>
          <w:jc w:val="center"/>
        </w:trPr>
        <w:tc>
          <w:tcPr>
            <w:tcW w:w="708"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2001</w:t>
            </w:r>
          </w:p>
        </w:tc>
        <w:tc>
          <w:tcPr>
            <w:tcW w:w="1043"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45</w:t>
            </w:r>
          </w:p>
        </w:tc>
        <w:tc>
          <w:tcPr>
            <w:tcW w:w="104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42</w:t>
            </w:r>
          </w:p>
        </w:tc>
        <w:tc>
          <w:tcPr>
            <w:tcW w:w="104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w:t>
            </w:r>
          </w:p>
        </w:tc>
      </w:tr>
    </w:tbl>
    <w:p w:rsidR="00000000" w:rsidRDefault="00000000">
      <w:pPr>
        <w:pStyle w:val="BlockText"/>
        <w:ind w:left="2988" w:right="2965"/>
        <w:rPr>
          <w:sz w:val="16"/>
        </w:rPr>
      </w:pPr>
      <w:r>
        <w:rPr>
          <w:sz w:val="16"/>
        </w:rPr>
        <w:t>Fuente::Elaboración propia a partir de datos facilitados por el Ministerio del Interior</w:t>
      </w:r>
    </w:p>
    <w:p w:rsidR="00000000" w:rsidRDefault="00000000">
      <w:pPr>
        <w:jc w:val="both"/>
        <w:rPr>
          <w:rFonts w:ascii="Arial" w:hAnsi="Arial"/>
          <w:snapToGrid w:val="0"/>
          <w:color w:val="000000"/>
          <w:sz w:val="18"/>
          <w:lang w:eastAsia="es-ES"/>
        </w:rPr>
      </w:pPr>
    </w:p>
    <w:p w:rsidR="00000000" w:rsidRDefault="00000000">
      <w:pPr>
        <w:jc w:val="both"/>
        <w:rPr>
          <w:rFonts w:ascii="Arial" w:hAnsi="Arial"/>
          <w:snapToGrid w:val="0"/>
          <w:color w:val="000000"/>
          <w:sz w:val="18"/>
          <w:lang w:eastAsia="es-ES"/>
        </w:rPr>
      </w:pPr>
    </w:p>
    <w:p w:rsidR="00000000" w:rsidRDefault="00000000">
      <w:pPr>
        <w:jc w:val="both"/>
        <w:rPr>
          <w:rFonts w:ascii="Arial" w:hAnsi="Arial"/>
        </w:rPr>
      </w:pPr>
      <w:r>
        <w:rPr>
          <w:rFonts w:ascii="Arial" w:hAnsi="Arial"/>
        </w:rPr>
        <w:t xml:space="preserve">En 1999, y por encargo del Instituto de la Mujer, la Empresa Sigma Dos realizó una </w:t>
      </w:r>
      <w:r>
        <w:rPr>
          <w:rFonts w:ascii="Arial" w:hAnsi="Arial"/>
          <w:b/>
        </w:rPr>
        <w:t xml:space="preserve">Macroencuesta </w:t>
      </w:r>
      <w:r>
        <w:rPr>
          <w:rFonts w:ascii="Arial" w:hAnsi="Arial"/>
        </w:rPr>
        <w:t>sobre la violencia contra las mujeres, cuyo fin principal ha sido la cuantificación de los actos violentos contra las mujeres en el ámbito doméstico.</w:t>
      </w:r>
    </w:p>
    <w:p w:rsidR="00000000" w:rsidRDefault="00000000">
      <w:pPr>
        <w:jc w:val="both"/>
        <w:rPr>
          <w:rFonts w:ascii="Arial" w:hAnsi="Arial"/>
        </w:rPr>
      </w:pPr>
    </w:p>
    <w:p w:rsidR="00000000" w:rsidRDefault="00000000">
      <w:pPr>
        <w:jc w:val="both"/>
        <w:rPr>
          <w:rFonts w:ascii="Arial" w:hAnsi="Arial"/>
        </w:rPr>
      </w:pPr>
      <w:r>
        <w:rPr>
          <w:rFonts w:ascii="Arial" w:hAnsi="Arial"/>
        </w:rPr>
        <w:t>La macroencuesta ha arrojado los siguientes resultados:</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Un 4,2% de mujeres españolas encuestadas mayores de edad han declarado que han sido víctimas de malos tratos durante el último año.</w:t>
      </w:r>
    </w:p>
    <w:p w:rsidR="00000000" w:rsidRDefault="00000000">
      <w:pPr>
        <w:numPr>
          <w:ilvl w:val="0"/>
          <w:numId w:val="75"/>
        </w:numPr>
        <w:tabs>
          <w:tab w:val="clear" w:pos="927"/>
        </w:tabs>
        <w:ind w:left="261" w:hanging="243"/>
        <w:jc w:val="both"/>
        <w:rPr>
          <w:rFonts w:ascii="Arial" w:hAnsi="Arial"/>
        </w:rPr>
      </w:pPr>
      <w:r>
        <w:rPr>
          <w:rFonts w:ascii="Arial" w:hAnsi="Arial"/>
        </w:rPr>
        <w:t xml:space="preserve">Un 12,4% de mujeres españolas mayores de edad son consideradas "técnicamente" como maltratadas, es decir, aunque ellas no se consideran a sí mismas como maltratadas responden que son víctimas de determinados comportamientos considerados como indicativos de cierto grado de violencia por las personas expertas. </w:t>
      </w:r>
    </w:p>
    <w:p w:rsidR="00000000" w:rsidRDefault="00000000">
      <w:pPr>
        <w:numPr>
          <w:ilvl w:val="0"/>
          <w:numId w:val="75"/>
        </w:numPr>
        <w:tabs>
          <w:tab w:val="clear" w:pos="927"/>
        </w:tabs>
        <w:ind w:left="261" w:hanging="243"/>
        <w:jc w:val="both"/>
        <w:rPr>
          <w:rFonts w:ascii="Arial" w:hAnsi="Arial"/>
        </w:rPr>
      </w:pPr>
      <w:r>
        <w:rPr>
          <w:rFonts w:ascii="Arial" w:hAnsi="Arial"/>
        </w:rPr>
        <w:t>En más del 70% de los casos, las mujeres que son víctimas de actos violentos padecen tales actos desde hace más de 5 años.</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r>
        <w:rPr>
          <w:rFonts w:ascii="Arial" w:hAnsi="Arial"/>
        </w:rPr>
        <w:br w:type="page"/>
        <w:t xml:space="preserve">En relación con los datos relativos a la </w:t>
      </w:r>
      <w:r>
        <w:rPr>
          <w:rFonts w:ascii="Arial" w:hAnsi="Arial"/>
          <w:b/>
        </w:rPr>
        <w:t>violencia sexual,</w:t>
      </w:r>
      <w:r>
        <w:rPr>
          <w:rFonts w:ascii="Arial" w:hAnsi="Arial"/>
        </w:rPr>
        <w:t xml:space="preserve"> éstos son:</w:t>
      </w:r>
    </w:p>
    <w:p w:rsidR="00000000" w:rsidRDefault="00000000">
      <w:pPr>
        <w:jc w:val="both"/>
        <w:rPr>
          <w:rFonts w:ascii="Arial" w:hAnsi="Arial"/>
        </w:rPr>
      </w:pPr>
    </w:p>
    <w:tbl>
      <w:tblPr>
        <w:tblW w:w="0" w:type="auto"/>
        <w:jc w:val="center"/>
        <w:tblLayout w:type="fixed"/>
        <w:tblCellMar>
          <w:left w:w="30" w:type="dxa"/>
          <w:right w:w="30" w:type="dxa"/>
        </w:tblCellMar>
        <w:tblLook w:val="0000" w:firstRow="0" w:lastRow="0" w:firstColumn="0" w:lastColumn="0" w:noHBand="0" w:noVBand="0"/>
      </w:tblPr>
      <w:tblGrid>
        <w:gridCol w:w="709"/>
        <w:gridCol w:w="851"/>
        <w:gridCol w:w="1842"/>
        <w:gridCol w:w="1134"/>
        <w:gridCol w:w="1276"/>
        <w:gridCol w:w="1843"/>
        <w:gridCol w:w="850"/>
      </w:tblGrid>
      <w:tr w:rsidR="00000000">
        <w:tblPrEx>
          <w:tblCellMar>
            <w:top w:w="0" w:type="dxa"/>
            <w:bottom w:w="0" w:type="dxa"/>
          </w:tblCellMar>
        </w:tblPrEx>
        <w:trPr>
          <w:trHeight w:val="370"/>
          <w:jc w:val="center"/>
        </w:trPr>
        <w:tc>
          <w:tcPr>
            <w:tcW w:w="709" w:type="dxa"/>
            <w:shd w:val="clear" w:color="auto" w:fill="FFFFFF"/>
          </w:tcPr>
          <w:p w:rsidR="00000000" w:rsidRDefault="00000000">
            <w:pPr>
              <w:jc w:val="center"/>
              <w:rPr>
                <w:rFonts w:ascii="Arial" w:hAnsi="Arial"/>
                <w:b/>
                <w:snapToGrid w:val="0"/>
                <w:color w:val="000000"/>
                <w:sz w:val="16"/>
                <w:lang w:eastAsia="es-ES"/>
              </w:rPr>
            </w:pPr>
          </w:p>
        </w:tc>
        <w:tc>
          <w:tcPr>
            <w:tcW w:w="6946" w:type="dxa"/>
            <w:gridSpan w:val="5"/>
            <w:shd w:val="clear" w:color="auto" w:fill="FFFFFF"/>
          </w:tcPr>
          <w:p w:rsidR="00000000" w:rsidRDefault="00000000">
            <w:pPr>
              <w:jc w:val="center"/>
              <w:rPr>
                <w:rFonts w:ascii="Arial" w:hAnsi="Arial"/>
                <w:b/>
                <w:snapToGrid w:val="0"/>
                <w:sz w:val="16"/>
                <w:lang w:eastAsia="es-ES"/>
              </w:rPr>
            </w:pPr>
            <w:r>
              <w:rPr>
                <w:rFonts w:ascii="Arial" w:hAnsi="Arial"/>
                <w:b/>
                <w:snapToGrid w:val="0"/>
                <w:sz w:val="16"/>
                <w:lang w:eastAsia="es-ES"/>
              </w:rPr>
              <w:t>DELITOS CONOCIDOS DE ABUSO, ACOSO Y AGRESIÓN SEXUAL</w:t>
            </w:r>
          </w:p>
        </w:tc>
        <w:tc>
          <w:tcPr>
            <w:tcW w:w="850" w:type="dxa"/>
            <w:tcBorders>
              <w:right w:val="single" w:sz="12" w:space="0" w:color="auto"/>
            </w:tcBorders>
            <w:shd w:val="clear" w:color="auto" w:fill="FFFFFF"/>
          </w:tcPr>
          <w:p w:rsidR="00000000" w:rsidRDefault="00000000">
            <w:pPr>
              <w:jc w:val="center"/>
              <w:rPr>
                <w:rFonts w:ascii="Arial" w:hAnsi="Arial"/>
                <w:b/>
                <w:snapToGrid w:val="0"/>
                <w:sz w:val="16"/>
                <w:lang w:eastAsia="es-ES"/>
              </w:rPr>
            </w:pPr>
          </w:p>
        </w:tc>
      </w:tr>
      <w:tr w:rsidR="00000000">
        <w:tblPrEx>
          <w:tblCellMar>
            <w:top w:w="0" w:type="dxa"/>
            <w:bottom w:w="0" w:type="dxa"/>
          </w:tblCellMar>
        </w:tblPrEx>
        <w:trPr>
          <w:cantSplit/>
          <w:trHeight w:val="262"/>
          <w:jc w:val="center"/>
        </w:trPr>
        <w:tc>
          <w:tcPr>
            <w:tcW w:w="709" w:type="dxa"/>
            <w:tcBorders>
              <w:top w:val="single" w:sz="12" w:space="0" w:color="auto"/>
              <w:left w:val="single" w:sz="12" w:space="0" w:color="auto"/>
              <w:right w:val="single" w:sz="12" w:space="0" w:color="auto"/>
            </w:tcBorders>
            <w:shd w:val="clear" w:color="auto" w:fill="FFFFFF"/>
          </w:tcPr>
          <w:p w:rsidR="00000000" w:rsidRDefault="00000000">
            <w:pPr>
              <w:jc w:val="center"/>
              <w:rPr>
                <w:rFonts w:ascii="Arial" w:hAnsi="Arial"/>
                <w:b/>
                <w:snapToGrid w:val="0"/>
                <w:color w:val="000000"/>
                <w:sz w:val="16"/>
                <w:lang w:eastAsia="es-ES"/>
              </w:rPr>
            </w:pPr>
          </w:p>
        </w:tc>
        <w:tc>
          <w:tcPr>
            <w:tcW w:w="851"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ABUSO SEXUAL</w:t>
            </w:r>
          </w:p>
        </w:tc>
        <w:tc>
          <w:tcPr>
            <w:tcW w:w="1842"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ABUSO SEXUAL</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CON PENETRACION</w:t>
            </w:r>
          </w:p>
        </w:tc>
        <w:tc>
          <w:tcPr>
            <w:tcW w:w="1134"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ACOSO SEXUAL</w:t>
            </w:r>
          </w:p>
        </w:tc>
        <w:tc>
          <w:tcPr>
            <w:tcW w:w="1276"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AGRESION SEXUAL</w:t>
            </w:r>
          </w:p>
        </w:tc>
        <w:tc>
          <w:tcPr>
            <w:tcW w:w="1843"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AGRESION SEXUAL</w:t>
            </w:r>
          </w:p>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CON PENETRACION</w:t>
            </w:r>
          </w:p>
        </w:tc>
        <w:tc>
          <w:tcPr>
            <w:tcW w:w="850" w:type="dxa"/>
            <w:tcBorders>
              <w:top w:val="single" w:sz="12" w:space="0" w:color="auto"/>
              <w:left w:val="single" w:sz="12" w:space="0" w:color="auto"/>
              <w:right w:val="single" w:sz="12" w:space="0" w:color="auto"/>
            </w:tcBorders>
            <w:shd w:val="clear" w:color="auto" w:fill="FFFFFF"/>
            <w:vAlign w:val="center"/>
          </w:tcPr>
          <w:p w:rsidR="00000000" w:rsidRDefault="00000000">
            <w:pPr>
              <w:jc w:val="center"/>
              <w:rPr>
                <w:rFonts w:ascii="Arial" w:hAnsi="Arial"/>
                <w:b/>
                <w:snapToGrid w:val="0"/>
                <w:color w:val="000000"/>
                <w:sz w:val="16"/>
                <w:lang w:eastAsia="es-ES"/>
              </w:rPr>
            </w:pPr>
            <w:r>
              <w:rPr>
                <w:rFonts w:ascii="Arial" w:hAnsi="Arial"/>
                <w:b/>
                <w:snapToGrid w:val="0"/>
                <w:color w:val="000000"/>
                <w:sz w:val="16"/>
                <w:lang w:eastAsia="es-ES"/>
              </w:rPr>
              <w:t>TOTAL</w:t>
            </w:r>
          </w:p>
        </w:tc>
      </w:tr>
      <w:tr w:rsidR="00000000">
        <w:tblPrEx>
          <w:tblCellMar>
            <w:top w:w="0" w:type="dxa"/>
            <w:bottom w:w="0" w:type="dxa"/>
          </w:tblCellMar>
        </w:tblPrEx>
        <w:trPr>
          <w:trHeight w:val="338"/>
          <w:jc w:val="center"/>
        </w:trPr>
        <w:tc>
          <w:tcPr>
            <w:tcW w:w="709"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1999</w:t>
            </w:r>
          </w:p>
        </w:tc>
        <w:tc>
          <w:tcPr>
            <w:tcW w:w="851"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1,727</w:t>
            </w:r>
          </w:p>
        </w:tc>
        <w:tc>
          <w:tcPr>
            <w:tcW w:w="1842"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162</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362</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2,581</w:t>
            </w:r>
          </w:p>
        </w:tc>
        <w:tc>
          <w:tcPr>
            <w:tcW w:w="1843"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1,082</w:t>
            </w:r>
          </w:p>
        </w:tc>
        <w:tc>
          <w:tcPr>
            <w:tcW w:w="850"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5,914</w:t>
            </w:r>
          </w:p>
        </w:tc>
      </w:tr>
      <w:tr w:rsidR="00000000">
        <w:tblPrEx>
          <w:tblCellMar>
            <w:top w:w="0" w:type="dxa"/>
            <w:bottom w:w="0" w:type="dxa"/>
          </w:tblCellMar>
        </w:tblPrEx>
        <w:trPr>
          <w:trHeight w:val="307"/>
          <w:jc w:val="center"/>
        </w:trPr>
        <w:tc>
          <w:tcPr>
            <w:tcW w:w="709"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2000</w:t>
            </w:r>
          </w:p>
        </w:tc>
        <w:tc>
          <w:tcPr>
            <w:tcW w:w="851"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1.675</w:t>
            </w:r>
          </w:p>
        </w:tc>
        <w:tc>
          <w:tcPr>
            <w:tcW w:w="1842"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128</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348</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2.317</w:t>
            </w:r>
          </w:p>
        </w:tc>
        <w:tc>
          <w:tcPr>
            <w:tcW w:w="1843"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1.228</w:t>
            </w:r>
          </w:p>
        </w:tc>
        <w:tc>
          <w:tcPr>
            <w:tcW w:w="850"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5.750</w:t>
            </w:r>
          </w:p>
        </w:tc>
      </w:tr>
      <w:tr w:rsidR="00000000">
        <w:tblPrEx>
          <w:tblCellMar>
            <w:top w:w="0" w:type="dxa"/>
            <w:bottom w:w="0" w:type="dxa"/>
          </w:tblCellMar>
        </w:tblPrEx>
        <w:trPr>
          <w:trHeight w:val="338"/>
          <w:jc w:val="center"/>
        </w:trPr>
        <w:tc>
          <w:tcPr>
            <w:tcW w:w="709"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z w:val="16"/>
              </w:rPr>
              <w:t>2001</w:t>
            </w:r>
          </w:p>
        </w:tc>
        <w:tc>
          <w:tcPr>
            <w:tcW w:w="851"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1.685</w:t>
            </w:r>
          </w:p>
        </w:tc>
        <w:tc>
          <w:tcPr>
            <w:tcW w:w="1842"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163</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364</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2.231</w:t>
            </w:r>
          </w:p>
        </w:tc>
        <w:tc>
          <w:tcPr>
            <w:tcW w:w="1843"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1.219</w:t>
            </w:r>
          </w:p>
        </w:tc>
        <w:tc>
          <w:tcPr>
            <w:tcW w:w="850" w:type="dxa"/>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rFonts w:ascii="Arial" w:hAnsi="Arial"/>
                <w:snapToGrid w:val="0"/>
                <w:color w:val="000000"/>
                <w:sz w:val="16"/>
                <w:lang w:eastAsia="es-ES"/>
              </w:rPr>
            </w:pPr>
            <w:r>
              <w:rPr>
                <w:rFonts w:ascii="Arial" w:hAnsi="Arial"/>
                <w:snapToGrid w:val="0"/>
                <w:color w:val="000000"/>
                <w:sz w:val="16"/>
                <w:lang w:eastAsia="es-ES"/>
              </w:rPr>
              <w:t>5662</w:t>
            </w:r>
          </w:p>
        </w:tc>
      </w:tr>
    </w:tbl>
    <w:p w:rsidR="00000000" w:rsidRDefault="00000000">
      <w:pPr>
        <w:ind w:left="666" w:right="643"/>
        <w:jc w:val="both"/>
        <w:rPr>
          <w:rFonts w:ascii="Arial" w:hAnsi="Arial"/>
          <w:snapToGrid w:val="0"/>
          <w:color w:val="000000"/>
          <w:sz w:val="16"/>
          <w:lang w:eastAsia="es-ES"/>
        </w:rPr>
      </w:pPr>
      <w:r>
        <w:rPr>
          <w:rFonts w:ascii="Arial" w:hAnsi="Arial"/>
          <w:snapToGrid w:val="0"/>
          <w:color w:val="000000"/>
          <w:sz w:val="16"/>
          <w:lang w:eastAsia="es-ES"/>
        </w:rPr>
        <w:t>Nota: No se incluyen datos del País Vasco y Girona, referidos a todo el año, porque el Mº del Interior no dispone de ellos</w:t>
      </w:r>
    </w:p>
    <w:p w:rsidR="00000000" w:rsidRDefault="00000000">
      <w:pPr>
        <w:ind w:left="666" w:right="643"/>
        <w:jc w:val="both"/>
        <w:rPr>
          <w:rFonts w:ascii="Arial" w:hAnsi="Arial"/>
          <w:sz w:val="16"/>
        </w:rPr>
      </w:pPr>
      <w:r>
        <w:rPr>
          <w:rFonts w:ascii="Arial" w:hAnsi="Arial"/>
          <w:snapToGrid w:val="0"/>
          <w:color w:val="000000"/>
          <w:sz w:val="16"/>
          <w:lang w:eastAsia="es-ES"/>
        </w:rPr>
        <w:t>Fuente: Elaboración propia a partir de los datos facilitados por el Ministerio del Interior</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II. Modificaciones en el Ordenamiento Jurídico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 las reformas de la legislación penal, el Código Penal de 1995 ha sido modificado desde 1999 por tres Leyes Orgánicas: </w:t>
      </w:r>
    </w:p>
    <w:p w:rsidR="00000000" w:rsidRDefault="00000000">
      <w:pPr>
        <w:jc w:val="both"/>
        <w:rPr>
          <w:rFonts w:ascii="Arial" w:hAnsi="Arial"/>
        </w:rPr>
      </w:pPr>
    </w:p>
    <w:p w:rsidR="00000000" w:rsidRDefault="00000000">
      <w:pPr>
        <w:jc w:val="both"/>
        <w:rPr>
          <w:rFonts w:ascii="Arial" w:hAnsi="Arial"/>
        </w:rPr>
      </w:pPr>
      <w:r>
        <w:rPr>
          <w:rFonts w:ascii="Arial" w:hAnsi="Arial"/>
        </w:rPr>
        <w:t>Ley Orgánica 11/1999, de 30 de abril, de modificación del Título VIII del Libro II del Código Penal, aprobado por Ley Orgánica 10/1995, de 23 de noviembre (recogida ya en el informe anterior)</w:t>
      </w:r>
    </w:p>
    <w:p w:rsidR="00000000" w:rsidRDefault="00000000">
      <w:pPr>
        <w:jc w:val="both"/>
        <w:rPr>
          <w:rFonts w:ascii="Arial" w:hAnsi="Arial"/>
        </w:rPr>
      </w:pPr>
    </w:p>
    <w:p w:rsidR="00000000" w:rsidRDefault="00000000">
      <w:pPr>
        <w:jc w:val="both"/>
        <w:rPr>
          <w:rFonts w:ascii="Arial" w:hAnsi="Arial"/>
        </w:rPr>
      </w:pPr>
      <w:r>
        <w:rPr>
          <w:rFonts w:ascii="Arial" w:hAnsi="Arial"/>
        </w:rPr>
        <w:t>Ley Orgánica 14/1999, de 9 de junio, de modificación del Código Penal de 1995, en materia de protección a las víctimas de malos tratos y de la Ley de Enjuiciamiento Criminal.</w:t>
      </w:r>
    </w:p>
    <w:p w:rsidR="00000000" w:rsidRDefault="00000000">
      <w:pPr>
        <w:jc w:val="both"/>
        <w:rPr>
          <w:rFonts w:ascii="Arial" w:hAnsi="Arial"/>
        </w:rPr>
      </w:pPr>
    </w:p>
    <w:p w:rsidR="00000000" w:rsidRDefault="00000000">
      <w:pPr>
        <w:jc w:val="both"/>
        <w:rPr>
          <w:rFonts w:ascii="Arial" w:hAnsi="Arial"/>
        </w:rPr>
      </w:pPr>
      <w:r>
        <w:rPr>
          <w:rFonts w:ascii="Arial" w:hAnsi="Arial"/>
        </w:rPr>
        <w:t>Ley Orgánica 4/2000, de 11 de enero, sobre Derechos y Libertades de los Extranjeros en España y su integración social.</w:t>
      </w:r>
    </w:p>
    <w:p w:rsidR="00000000" w:rsidRDefault="00000000">
      <w:pPr>
        <w:jc w:val="both"/>
        <w:rPr>
          <w:rFonts w:ascii="Arial" w:hAnsi="Arial"/>
        </w:rPr>
      </w:pPr>
    </w:p>
    <w:p w:rsidR="00000000" w:rsidRDefault="00000000">
      <w:pPr>
        <w:jc w:val="both"/>
        <w:rPr>
          <w:rFonts w:ascii="Arial" w:hAnsi="Arial"/>
        </w:rPr>
      </w:pPr>
      <w:r>
        <w:rPr>
          <w:rFonts w:ascii="Arial" w:hAnsi="Arial"/>
        </w:rPr>
        <w:t>Asimismo, se ha modificado, recientemente, la Ley de Enjuiciamiento Criminal a través de la Ley 38/2002, de 24 de octubre de reforma parcial de la Ley de Enjuiciamiento Criminal, sobre procedimiento para el enjuiciamiento rápido e inmediato de determinados delitos y faltas, y de modificación del procedimiento abreviado.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Ley Orgánica 14/1999, de 9 de junio se promulga como medida de ejecución del II Plan de Integral contra la Violencia Doméstica. </w:t>
      </w:r>
    </w:p>
    <w:p w:rsidR="00000000" w:rsidRDefault="00000000">
      <w:pPr>
        <w:jc w:val="both"/>
        <w:rPr>
          <w:rFonts w:ascii="Arial" w:hAnsi="Arial"/>
        </w:rPr>
      </w:pPr>
    </w:p>
    <w:p w:rsidR="00000000" w:rsidRDefault="00000000">
      <w:pPr>
        <w:jc w:val="both"/>
        <w:rPr>
          <w:rFonts w:ascii="Arial" w:hAnsi="Arial"/>
        </w:rPr>
      </w:pPr>
      <w:r>
        <w:rPr>
          <w:rFonts w:ascii="Arial" w:hAnsi="Arial"/>
        </w:rPr>
        <w:t>Una de las modificaciones más relevantes ha sido la inclusión, bien como pena bien como medida de seguridad, de la prohibición de aproximación a la víctima o a sus familiares en cualquier lugar donde se encuentren, ni acercarse a su domicilio, lugar de trabajo u otros sitios frecuentados por la víctima.</w:t>
      </w:r>
    </w:p>
    <w:p w:rsidR="00000000" w:rsidRDefault="00000000">
      <w:pPr>
        <w:jc w:val="both"/>
        <w:rPr>
          <w:rFonts w:ascii="Arial" w:hAnsi="Arial"/>
        </w:rPr>
      </w:pPr>
    </w:p>
    <w:p w:rsidR="00000000" w:rsidRDefault="00000000">
      <w:pPr>
        <w:jc w:val="both"/>
        <w:rPr>
          <w:rFonts w:ascii="Arial" w:hAnsi="Arial"/>
          <w:snapToGrid w:val="0"/>
        </w:rPr>
      </w:pPr>
      <w:r>
        <w:rPr>
          <w:rFonts w:ascii="Arial" w:hAnsi="Arial"/>
        </w:rPr>
        <w:t xml:space="preserve">Otra novedad importante es la inclusión de la violencia psíquica en el delito de maltrato familiar habitual. Se </w:t>
      </w:r>
      <w:r>
        <w:rPr>
          <w:rFonts w:ascii="Arial" w:hAnsi="Arial"/>
          <w:snapToGrid w:val="0"/>
        </w:rPr>
        <w:t>posibilita el ejercicio de oficio de la acción penal en los supuestos de faltas, al mismo tiempo que se adecua la imposición de la sanción penal a las posibles consecuencias sobre la propia víctima y se elimina la obsoleta referencia que se contenía en dicho precepto a la desobediencia de las mujeres respecto de sus maridos o de los hijos respecto de sus padres.</w:t>
      </w:r>
    </w:p>
    <w:p w:rsidR="00000000" w:rsidRDefault="00000000">
      <w:pPr>
        <w:jc w:val="both"/>
        <w:rPr>
          <w:rFonts w:ascii="Arial" w:hAnsi="Arial"/>
          <w:snapToGrid w:val="0"/>
        </w:rPr>
      </w:pPr>
    </w:p>
    <w:p w:rsidR="00000000" w:rsidRDefault="00000000">
      <w:pPr>
        <w:jc w:val="both"/>
        <w:rPr>
          <w:rFonts w:ascii="Arial" w:hAnsi="Arial"/>
          <w:snapToGrid w:val="0"/>
        </w:rPr>
      </w:pPr>
      <w:r>
        <w:rPr>
          <w:rFonts w:ascii="Arial" w:hAnsi="Arial"/>
          <w:snapToGrid w:val="0"/>
        </w:rPr>
        <w:t xml:space="preserve">En cuanto a la Ley de Enjuiciamiento Criminal, la modificación de sus artículos 13 y 109, junto con la introducción de un nuevo artículo 544 bis, persiguen el objetivo de facilitar la inmediata protección de la víctima en los delitos de referencia, mediante la introducción de una nueva medida cautelar que permita el distanciamiento físico entre el agresor y la víctima, medida que podrá acordarse entre las primeras diligencias. </w:t>
      </w:r>
    </w:p>
    <w:p w:rsidR="00000000" w:rsidRDefault="00000000">
      <w:pPr>
        <w:jc w:val="both"/>
        <w:rPr>
          <w:rFonts w:ascii="Arial" w:hAnsi="Arial"/>
          <w:snapToGrid w:val="0"/>
        </w:rPr>
      </w:pPr>
    </w:p>
    <w:p w:rsidR="00000000" w:rsidRDefault="00000000">
      <w:pPr>
        <w:jc w:val="both"/>
        <w:rPr>
          <w:rFonts w:ascii="Arial" w:hAnsi="Arial"/>
          <w:snapToGrid w:val="0"/>
        </w:rPr>
      </w:pPr>
      <w:r>
        <w:rPr>
          <w:rFonts w:ascii="Arial" w:hAnsi="Arial"/>
          <w:snapToGrid w:val="0"/>
        </w:rPr>
        <w:t>Por último, también dentro de la reforma de la Ley de Enjuiciamiento Criminal, se ha introducido un aspecto altamente novedoso, de carácter procesal que puede redundar en una considerable minoración de las consecuencias que, sobre la propia víctima o sobre los testigos menores de edad, puede tener el desarrollo del proceso. En este sentido, se introduce la cobertura legal necesaria para que no se produzca confrontación visual entre aquellos y el procesado; la forma de llevarse a cabo podrá consistir en la utilización de medios audiovisuales. Por congruencia con este principio, la práctica de careos, cuando los testigos sean menores de edad, pasa a tener carácter excepcional.</w:t>
      </w:r>
    </w:p>
    <w:p w:rsidR="00000000" w:rsidRDefault="00000000">
      <w:pPr>
        <w:jc w:val="both"/>
        <w:rPr>
          <w:rFonts w:ascii="Arial" w:hAnsi="Arial"/>
          <w:snapToGrid w:val="0"/>
        </w:rPr>
      </w:pPr>
    </w:p>
    <w:p w:rsidR="00000000" w:rsidRDefault="00000000">
      <w:pPr>
        <w:jc w:val="both"/>
        <w:rPr>
          <w:rFonts w:ascii="Arial" w:hAnsi="Arial"/>
        </w:rPr>
      </w:pPr>
      <w:r>
        <w:rPr>
          <w:rFonts w:ascii="Arial" w:hAnsi="Arial"/>
        </w:rPr>
        <w:t xml:space="preserve">Por </w:t>
      </w:r>
      <w:r>
        <w:rPr>
          <w:rFonts w:ascii="Arial" w:hAnsi="Arial"/>
          <w:i/>
        </w:rPr>
        <w:t>Ley Orgánica 4/2000, de 11 de enero, sobre Derechos y libertades de los Extranjeros en España y su integración social</w:t>
      </w:r>
      <w:r>
        <w:rPr>
          <w:rFonts w:ascii="Arial" w:hAnsi="Arial"/>
        </w:rPr>
        <w:t xml:space="preserve"> se introduce en el Código Penal un nuevo Título XV bis en relación con el tráfico ilegal de personas extranjeras. Esta modificación se desarrolla en el apartado correspondiente al artículo 6 de éste informe.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 la última modificación de la Ley de Enjuiciamiento Criminal cabe destacar el establecimiento de un nuevo procedimiento para el </w:t>
      </w:r>
      <w:r>
        <w:rPr>
          <w:rFonts w:ascii="Arial" w:hAnsi="Arial"/>
          <w:b/>
        </w:rPr>
        <w:t>enjuiciamiento rápido de determinados delitos</w:t>
      </w:r>
      <w:r>
        <w:rPr>
          <w:rFonts w:ascii="Arial" w:hAnsi="Arial"/>
        </w:rPr>
        <w:t>, entre los que se encuentran los delitos de lesiones, coacciones, amenazas o violencia física o psíquica habitual, cometidos contra el cónyuge, excónyuge, persona que esté o haya estado unida de forma estable en análoga relación de afectividad, hijos propios o del cónyuge o conviviente, pupilos, ascendientes o incapaces que con él convivan o que se hallen sujetos a la potestad, tutela, curatela, acogimiento o guarda de hecho de uno u otro.</w:t>
      </w:r>
    </w:p>
    <w:p w:rsidR="00000000" w:rsidRDefault="00000000">
      <w:pPr>
        <w:jc w:val="both"/>
        <w:rPr>
          <w:rFonts w:ascii="Arial" w:hAnsi="Arial"/>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Modificaciones en las legislaciones autonómicas</w:t>
      </w:r>
    </w:p>
    <w:p w:rsidR="00000000" w:rsidRDefault="00000000">
      <w:pPr>
        <w:jc w:val="both"/>
        <w:rPr>
          <w:rFonts w:ascii="Arial" w:hAnsi="Arial"/>
        </w:rPr>
      </w:pPr>
    </w:p>
    <w:p w:rsidR="00000000" w:rsidRDefault="00000000">
      <w:pPr>
        <w:jc w:val="both"/>
        <w:rPr>
          <w:rFonts w:ascii="Arial" w:hAnsi="Arial"/>
          <w:i/>
        </w:rPr>
      </w:pPr>
      <w:r>
        <w:rPr>
          <w:rFonts w:ascii="Arial" w:hAnsi="Arial"/>
        </w:rPr>
        <w:t xml:space="preserve">En cuanto a la legislación autonómica cabe destacar la </w:t>
      </w:r>
      <w:r>
        <w:rPr>
          <w:rFonts w:ascii="Arial" w:hAnsi="Arial"/>
          <w:i/>
        </w:rPr>
        <w:t xml:space="preserve">Ley 5/2001, de 17 de mayo, de prevención de malos tratos y protección a las mujeres maltratadas </w:t>
      </w:r>
      <w:r>
        <w:rPr>
          <w:rFonts w:ascii="Arial" w:hAnsi="Arial"/>
        </w:rPr>
        <w:t>de Castilla la Mancha</w:t>
      </w:r>
      <w:r>
        <w:rPr>
          <w:rFonts w:ascii="Arial" w:hAnsi="Arial"/>
          <w:i/>
        </w:rPr>
        <w:t xml:space="preserve">. </w:t>
      </w:r>
    </w:p>
    <w:p w:rsidR="00000000" w:rsidRDefault="00000000">
      <w:pPr>
        <w:jc w:val="both"/>
        <w:rPr>
          <w:rFonts w:ascii="Arial" w:hAnsi="Arial"/>
        </w:rPr>
      </w:pPr>
    </w:p>
    <w:p w:rsidR="00000000" w:rsidRDefault="00000000">
      <w:pPr>
        <w:jc w:val="both"/>
        <w:rPr>
          <w:rFonts w:ascii="Arial" w:hAnsi="Arial"/>
        </w:rPr>
      </w:pPr>
      <w:r>
        <w:rPr>
          <w:rFonts w:ascii="Arial" w:hAnsi="Arial"/>
        </w:rPr>
        <w:t>Para alcanzar este objetivo, la Administración Regional se compromete a:</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Promover la investigación sobre las causas y consecuencias de la violencia contra las mujeres, así como sobre la eficacia de las medidas aplicadas para impedirla y para reparar sus efectos.</w:t>
      </w:r>
    </w:p>
    <w:p w:rsidR="00000000" w:rsidRDefault="00000000">
      <w:pPr>
        <w:numPr>
          <w:ilvl w:val="0"/>
          <w:numId w:val="75"/>
        </w:numPr>
        <w:tabs>
          <w:tab w:val="clear" w:pos="927"/>
        </w:tabs>
        <w:ind w:left="261" w:hanging="243"/>
        <w:jc w:val="both"/>
        <w:rPr>
          <w:rFonts w:ascii="Arial" w:hAnsi="Arial"/>
        </w:rPr>
      </w:pPr>
      <w:r>
        <w:rPr>
          <w:rFonts w:ascii="Arial" w:hAnsi="Arial"/>
        </w:rPr>
        <w:t>Garantizar la efectiva igualdad de derechos entre hombres y mujeres en el ámbito educativo, adaptando los contenidos, procedimientos, actitudes y valores que conforman el curriculum educativo.</w:t>
      </w:r>
    </w:p>
    <w:p w:rsidR="00000000" w:rsidRDefault="00000000">
      <w:pPr>
        <w:numPr>
          <w:ilvl w:val="0"/>
          <w:numId w:val="75"/>
        </w:numPr>
        <w:tabs>
          <w:tab w:val="clear" w:pos="927"/>
        </w:tabs>
        <w:ind w:left="261" w:hanging="243"/>
        <w:jc w:val="both"/>
        <w:rPr>
          <w:rFonts w:ascii="Arial" w:hAnsi="Arial"/>
        </w:rPr>
      </w:pPr>
      <w:r>
        <w:rPr>
          <w:rFonts w:ascii="Arial" w:hAnsi="Arial"/>
        </w:rPr>
        <w:t xml:space="preserve">Realizar campañas de sensibilización contra la violencia hacia las mujeres en Castilla la Mancha. </w:t>
      </w:r>
    </w:p>
    <w:p w:rsidR="00000000" w:rsidRDefault="00000000">
      <w:pPr>
        <w:numPr>
          <w:ilvl w:val="0"/>
          <w:numId w:val="75"/>
        </w:numPr>
        <w:tabs>
          <w:tab w:val="clear" w:pos="927"/>
        </w:tabs>
        <w:ind w:left="261" w:hanging="243"/>
        <w:jc w:val="both"/>
        <w:rPr>
          <w:rFonts w:ascii="Arial" w:hAnsi="Arial"/>
        </w:rPr>
      </w:pPr>
      <w:r>
        <w:rPr>
          <w:rFonts w:ascii="Arial" w:hAnsi="Arial"/>
        </w:rPr>
        <w:t>Remisión anual a las Cortes autonómicas de las sentencias firmes condenatorias en materia de violencia familiar con el consentimiento de la víctima y respetando el derecho a la intimidad de la víctima y de los menores.</w:t>
      </w:r>
    </w:p>
    <w:p w:rsidR="00000000" w:rsidRDefault="00000000">
      <w:pPr>
        <w:numPr>
          <w:ilvl w:val="0"/>
          <w:numId w:val="75"/>
        </w:numPr>
        <w:tabs>
          <w:tab w:val="clear" w:pos="927"/>
        </w:tabs>
        <w:ind w:left="261" w:hanging="243"/>
        <w:jc w:val="both"/>
        <w:rPr>
          <w:rFonts w:ascii="Arial" w:hAnsi="Arial"/>
        </w:rPr>
      </w:pPr>
      <w:r>
        <w:rPr>
          <w:rFonts w:ascii="Arial" w:hAnsi="Arial"/>
        </w:rPr>
        <w:t>Establecimiento de un centro de la mujer en cada municipio de más de 5000 habitantes donde se garantiza la asistencia jurídica y psicológica a todas las mujeres de Castilla la Mancha que lo soliciten.</w:t>
      </w:r>
    </w:p>
    <w:p w:rsidR="00000000" w:rsidRDefault="00000000">
      <w:pPr>
        <w:numPr>
          <w:ilvl w:val="0"/>
          <w:numId w:val="75"/>
        </w:numPr>
        <w:tabs>
          <w:tab w:val="clear" w:pos="927"/>
        </w:tabs>
        <w:ind w:left="261" w:hanging="243"/>
        <w:jc w:val="both"/>
        <w:rPr>
          <w:rFonts w:ascii="Arial" w:hAnsi="Arial"/>
        </w:rPr>
      </w:pPr>
      <w:r>
        <w:rPr>
          <w:rFonts w:ascii="Arial" w:hAnsi="Arial"/>
        </w:rPr>
        <w:t>Establecimiento en las capitales de provincia y municipios con más de 25000 habitantes de centros de urgencia o casas de acogida, para apoyo y protección a las mujeres y a sus hijos víctimas de violencia.</w:t>
      </w:r>
    </w:p>
    <w:p w:rsidR="00000000" w:rsidRDefault="00000000">
      <w:pPr>
        <w:jc w:val="both"/>
        <w:rPr>
          <w:rFonts w:ascii="Arial" w:hAnsi="Arial"/>
        </w:rPr>
      </w:pPr>
    </w:p>
    <w:p w:rsidR="00000000" w:rsidRDefault="00000000">
      <w:pPr>
        <w:jc w:val="both"/>
        <w:rPr>
          <w:rFonts w:ascii="Arial" w:hAnsi="Arial"/>
        </w:rPr>
      </w:pPr>
      <w:r>
        <w:rPr>
          <w:rFonts w:ascii="Arial" w:hAnsi="Arial"/>
        </w:rPr>
        <w:t>Esta Ley permite el ejercicio de la acción popular a la Administración Pública, cuando su intervención contribuya a defender los derechos de la víctima o a proteger los intereses públicos en los procedimientos penales y contempla un sistema de ayudas públicas para el acceso de las mujeres víctimas a la vivienda y al empleo.</w:t>
      </w: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b/>
        </w:rPr>
        <w:t>III. Políticas y Programas</w:t>
      </w:r>
    </w:p>
    <w:p w:rsidR="00000000" w:rsidRDefault="00000000">
      <w:pPr>
        <w:jc w:val="both"/>
        <w:rPr>
          <w:rFonts w:ascii="Arial" w:hAnsi="Arial"/>
        </w:rPr>
      </w:pPr>
    </w:p>
    <w:p w:rsidR="00000000" w:rsidRDefault="00000000">
      <w:pPr>
        <w:jc w:val="both"/>
        <w:rPr>
          <w:rFonts w:ascii="Arial" w:hAnsi="Arial"/>
        </w:rPr>
      </w:pPr>
      <w:r>
        <w:rPr>
          <w:rFonts w:ascii="Arial" w:hAnsi="Arial"/>
        </w:rPr>
        <w:t>En el marco de las políticas de Igualdad de Oportunidades entre hombres y mujeres la lucha contra la violencia doméstica se considera un eje fundamental de actuación, al constituirse simultaneamente como causa y efecto de la discriminación que padecen las mujeres en todos los ámbitos de la vida social y privada.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Durante este periodo de tiempo, cabe destacar la elaboración y puesta en marcha de los </w:t>
      </w:r>
      <w:r>
        <w:rPr>
          <w:rFonts w:ascii="Arial" w:hAnsi="Arial"/>
          <w:b/>
        </w:rPr>
        <w:t>Planes contra la violencia doméstica</w:t>
      </w:r>
      <w:r>
        <w:rPr>
          <w:rFonts w:ascii="Arial" w:hAnsi="Arial"/>
        </w:rPr>
        <w:t xml:space="preserve">, aprobados por el Gobierno español, bajo la coordinación del Instituto de la Mujer. En su elaboración han participado diferentes departamentos ministeriales: Educación, Interior, Justicia, Sanidad, las Comunidades Autónomas a través de los Organismos de Igualdad, y la Federación de Municipios y Provincias. </w:t>
      </w:r>
    </w:p>
    <w:p w:rsidR="00000000" w:rsidRDefault="00000000">
      <w:pPr>
        <w:jc w:val="both"/>
        <w:rPr>
          <w:rFonts w:ascii="Arial" w:hAnsi="Arial"/>
        </w:rPr>
      </w:pPr>
    </w:p>
    <w:p w:rsidR="00000000" w:rsidRDefault="00000000">
      <w:pPr>
        <w:jc w:val="both"/>
        <w:rPr>
          <w:rFonts w:ascii="Arial" w:hAnsi="Arial"/>
        </w:rPr>
      </w:pPr>
      <w:r>
        <w:rPr>
          <w:rFonts w:ascii="Arial" w:hAnsi="Arial"/>
        </w:rPr>
        <w:t>El I Plan tuvo un carácter innovador, en cuanto que implicó a los Ministerios con competencia en la materia y dinamizó a las instituciones privadas en un proyecto de alcance nacional, constituyéndose todos ellos en actores de la implementación de las medidas que contemplaba, poniendo en práctica el principio del mainstreaming, que subyace a lo largo de todo el texto.</w:t>
      </w:r>
    </w:p>
    <w:p w:rsidR="00000000" w:rsidRDefault="00000000">
      <w:pPr>
        <w:jc w:val="both"/>
        <w:rPr>
          <w:rFonts w:ascii="Arial" w:hAnsi="Arial"/>
        </w:rPr>
      </w:pPr>
    </w:p>
    <w:p w:rsidR="00000000" w:rsidRDefault="00000000">
      <w:pPr>
        <w:jc w:val="both"/>
        <w:rPr>
          <w:rFonts w:ascii="Arial" w:hAnsi="Arial"/>
        </w:rPr>
      </w:pPr>
      <w:r>
        <w:rPr>
          <w:rFonts w:ascii="Arial" w:hAnsi="Arial"/>
        </w:rPr>
        <w:t>El Plan dotado con 53.739.008´85 euros incluyó entre sus instrumentos, la sensibilización de la población en general y de las víctimas en particular, para promover en la sociedad española reacciones de " tolerancia cero" ante los actos de violencia contra las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evaluación de este Plan reveló que, durante su vigencia, se han incrementado notablemente los recursos disponibles a lo largo de toda la geografía española, para las mujeres víctimas de la violencia y sus hijas e hijos. Así se abrieron 39 Oficinas de </w:t>
      </w:r>
      <w:r>
        <w:rPr>
          <w:rFonts w:ascii="Arial" w:hAnsi="Arial"/>
          <w:b/>
        </w:rPr>
        <w:t>servicios de Atención especializados</w:t>
      </w:r>
      <w:r>
        <w:rPr>
          <w:rFonts w:ascii="Arial" w:hAnsi="Arial"/>
        </w:rPr>
        <w:t xml:space="preserve">  de la policía (SAM), 54 oficinas de </w:t>
      </w:r>
      <w:r>
        <w:rPr>
          <w:rFonts w:ascii="Arial" w:hAnsi="Arial"/>
          <w:b/>
        </w:rPr>
        <w:t>Equipos de Mujer y Menor</w:t>
      </w:r>
      <w:r>
        <w:rPr>
          <w:rFonts w:ascii="Arial" w:hAnsi="Arial"/>
        </w:rPr>
        <w:t xml:space="preserve"> de la Guardia Civil (EMUME), 32 </w:t>
      </w:r>
      <w:r>
        <w:rPr>
          <w:rFonts w:ascii="Arial" w:hAnsi="Arial"/>
          <w:b/>
        </w:rPr>
        <w:t xml:space="preserve">Centros de Información y Oficinas de atención a las víctimas </w:t>
      </w:r>
      <w:r>
        <w:rPr>
          <w:rFonts w:ascii="Arial" w:hAnsi="Arial"/>
        </w:rPr>
        <w:t xml:space="preserve">en los Juzgados y en las Fiscalías y 125 nuevos </w:t>
      </w:r>
      <w:r>
        <w:rPr>
          <w:rFonts w:ascii="Arial" w:hAnsi="Arial"/>
          <w:b/>
        </w:rPr>
        <w:t>Centros de Acogida</w:t>
      </w:r>
      <w:r>
        <w:rPr>
          <w:rFonts w:ascii="Arial" w:hAnsi="Arial"/>
        </w:rPr>
        <w:t xml:space="preserve">, y se remitieron Circulares entre el personal de la policía para orientar a los/as profesionales de las Fuerzas y Cuerpos de Seguridad del Estado, sobre la forma de actuar ante las situaciones de violencia. Además, se publicaron más de 95.000 materiales coeducativos dirigidos a la prevención de la violencia contra las mujeres, y al igual que en el área específica de violencia del III Plan de Igualdad de Oportunidades entre Mujeres y Hombres se han promovido </w:t>
      </w:r>
      <w:r>
        <w:rPr>
          <w:rFonts w:ascii="Arial" w:hAnsi="Arial"/>
          <w:b/>
        </w:rPr>
        <w:t>cursos de formación</w:t>
      </w:r>
      <w:r>
        <w:rPr>
          <w:rFonts w:ascii="Arial" w:hAnsi="Arial"/>
        </w:rPr>
        <w:t>, entre los y las profesionales que desempeñan un papel decisivo en la educación y en la atención de víctimas de violencia, tanto para prevenir las causas que originan la violencia de género como para mejorar la atención jurídica y sociosanitaria de las víctimas.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Una de las actuaciones fue la elaboración y difusión de un </w:t>
      </w:r>
      <w:r>
        <w:rPr>
          <w:rFonts w:ascii="Arial" w:hAnsi="Arial"/>
          <w:b/>
        </w:rPr>
        <w:t>Protocolo sanitario ante los malos tratos domésticos.</w:t>
      </w:r>
      <w:r>
        <w:rPr>
          <w:rFonts w:ascii="Arial" w:hAnsi="Arial"/>
        </w:rPr>
        <w:t xml:space="preserve"> Aprobado por el Consejo Interterritorial de Salud, se realizó con la colaboración de la Sociedad Española de Medicina Familiar y Comunitaria (SEMFYC), de la Sociedad Española de Ginecología y Obstetricia (SEGO), de la Sociedad Española de Medicina General (SEMG) y de la Sociedad Española de Medicina Rural (SEMERGEM), el apoyo técnico del Instituto de la Mujer y de la Dirección General de Relaciones con la Administración de Justicia, el Instituto Nacional de la Salud y algunas Comunidades Autónomas.</w:t>
      </w:r>
    </w:p>
    <w:p w:rsidR="00000000" w:rsidRDefault="00000000">
      <w:pPr>
        <w:jc w:val="both"/>
        <w:rPr>
          <w:rFonts w:ascii="Arial" w:hAnsi="Arial"/>
        </w:rPr>
      </w:pPr>
    </w:p>
    <w:p w:rsidR="00000000" w:rsidRDefault="00000000">
      <w:pPr>
        <w:jc w:val="both"/>
        <w:rPr>
          <w:rFonts w:ascii="Arial" w:hAnsi="Arial"/>
        </w:rPr>
      </w:pPr>
      <w:r>
        <w:rPr>
          <w:rFonts w:ascii="Arial" w:hAnsi="Arial"/>
        </w:rPr>
        <w:t>Este protocolo tiene como objetivo fijar las pautas de actuación del profesional sanitario ante una persona maltratada que acuda a consulta ya sea de urgencia, de atención primaria, de especialistas de medicina general, tanto del ámbito privado como de público.</w:t>
      </w:r>
    </w:p>
    <w:p w:rsidR="00000000" w:rsidRDefault="00000000">
      <w:pPr>
        <w:jc w:val="both"/>
        <w:rPr>
          <w:rFonts w:ascii="Arial" w:hAnsi="Arial"/>
        </w:rPr>
      </w:pPr>
    </w:p>
    <w:p w:rsidR="00000000" w:rsidRDefault="00000000">
      <w:pPr>
        <w:jc w:val="both"/>
        <w:rPr>
          <w:rFonts w:ascii="Arial" w:hAnsi="Arial"/>
        </w:rPr>
      </w:pPr>
      <w:r>
        <w:rPr>
          <w:rFonts w:ascii="Arial" w:hAnsi="Arial"/>
        </w:rPr>
        <w:t>Otras actuaciones concretas en desarrollo de este Plan han sido:</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La organización de una campaña nacional contra los malos tratos a mujeres bajo el lema “ la violencia contra las mujeres nos duele a todos. Nos duele a todas”.</w:t>
      </w:r>
    </w:p>
    <w:p w:rsidR="00000000" w:rsidRDefault="00000000">
      <w:pPr>
        <w:numPr>
          <w:ilvl w:val="0"/>
          <w:numId w:val="75"/>
        </w:numPr>
        <w:tabs>
          <w:tab w:val="clear" w:pos="927"/>
        </w:tabs>
        <w:ind w:left="261" w:hanging="243"/>
        <w:jc w:val="both"/>
        <w:rPr>
          <w:rFonts w:ascii="Arial" w:hAnsi="Arial"/>
        </w:rPr>
      </w:pPr>
      <w:r>
        <w:rPr>
          <w:rFonts w:ascii="Arial" w:hAnsi="Arial"/>
        </w:rPr>
        <w:t>La implantación en los Colegios de Abogados de 10 provincias de servicios de asistencia jurídica especializada a víctimas de violencia doméstica.</w:t>
      </w:r>
    </w:p>
    <w:p w:rsidR="00000000" w:rsidRDefault="00000000">
      <w:pPr>
        <w:numPr>
          <w:ilvl w:val="0"/>
          <w:numId w:val="75"/>
        </w:numPr>
        <w:tabs>
          <w:tab w:val="clear" w:pos="927"/>
        </w:tabs>
        <w:ind w:left="261" w:hanging="243"/>
        <w:jc w:val="both"/>
        <w:rPr>
          <w:rFonts w:ascii="Arial" w:hAnsi="Arial"/>
        </w:rPr>
      </w:pPr>
      <w:r>
        <w:rPr>
          <w:rFonts w:ascii="Arial" w:hAnsi="Arial"/>
        </w:rPr>
        <w:t>La financiación del programa integral Lucha contra la violencia doméstica.</w:t>
      </w:r>
    </w:p>
    <w:p w:rsidR="00000000" w:rsidRDefault="00000000">
      <w:pPr>
        <w:numPr>
          <w:ilvl w:val="0"/>
          <w:numId w:val="75"/>
        </w:numPr>
        <w:tabs>
          <w:tab w:val="clear" w:pos="927"/>
        </w:tabs>
        <w:ind w:left="261" w:hanging="243"/>
        <w:jc w:val="both"/>
        <w:rPr>
          <w:rFonts w:ascii="Arial" w:hAnsi="Arial"/>
        </w:rPr>
      </w:pPr>
      <w:r>
        <w:rPr>
          <w:rFonts w:ascii="Arial" w:hAnsi="Arial"/>
        </w:rPr>
        <w:t>La elaboración de la Memoria anual de las actuaciones contra la violencia doméstica.</w:t>
      </w:r>
    </w:p>
    <w:p w:rsidR="00000000" w:rsidRDefault="00000000">
      <w:pPr>
        <w:numPr>
          <w:ilvl w:val="0"/>
          <w:numId w:val="75"/>
        </w:numPr>
        <w:tabs>
          <w:tab w:val="clear" w:pos="927"/>
        </w:tabs>
        <w:ind w:left="261" w:hanging="243"/>
        <w:jc w:val="both"/>
        <w:rPr>
          <w:rFonts w:ascii="Arial" w:hAnsi="Arial"/>
        </w:rPr>
      </w:pPr>
      <w:r>
        <w:rPr>
          <w:rFonts w:ascii="Arial" w:hAnsi="Arial"/>
        </w:rPr>
        <w:t>La distribución de trípticos sobre recomendaciones a las víctimas de violencia doméstica,  dirigidos a los miembros de las Fuerzas y Cuerpos de Seguridad.</w:t>
      </w:r>
    </w:p>
    <w:p w:rsidR="00000000" w:rsidRDefault="00000000">
      <w:pPr>
        <w:ind w:hanging="284"/>
        <w:jc w:val="both"/>
        <w:rPr>
          <w:rFonts w:ascii="Arial" w:hAnsi="Arial"/>
        </w:rPr>
      </w:pPr>
    </w:p>
    <w:p w:rsidR="00000000" w:rsidRDefault="00000000">
      <w:pPr>
        <w:jc w:val="both"/>
        <w:rPr>
          <w:rFonts w:ascii="Arial" w:hAnsi="Arial"/>
        </w:rPr>
      </w:pPr>
      <w:r>
        <w:rPr>
          <w:rFonts w:ascii="Arial" w:hAnsi="Arial"/>
        </w:rPr>
        <w:t>La financiación, a través de las diversas convocatorias de subvenciones de los siguientes programas y actividades y seminarios:</w:t>
      </w:r>
    </w:p>
    <w:p w:rsidR="00000000" w:rsidRDefault="00000000">
      <w:pPr>
        <w:ind w:hanging="284"/>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 xml:space="preserve">"Mantenimiento y actividades habituales de la entidad”, Comisión para la Investigación de Malos Tratos a Mujeres </w:t>
      </w:r>
    </w:p>
    <w:p w:rsidR="00000000" w:rsidRDefault="00000000">
      <w:pPr>
        <w:numPr>
          <w:ilvl w:val="0"/>
          <w:numId w:val="75"/>
        </w:numPr>
        <w:tabs>
          <w:tab w:val="clear" w:pos="927"/>
        </w:tabs>
        <w:ind w:left="261" w:hanging="243"/>
        <w:jc w:val="both"/>
        <w:rPr>
          <w:rFonts w:ascii="Arial" w:hAnsi="Arial"/>
        </w:rPr>
      </w:pPr>
      <w:r>
        <w:rPr>
          <w:rFonts w:ascii="Arial" w:hAnsi="Arial"/>
        </w:rPr>
        <w:t>Publicación de 1000 ejemplares de un monográfico sobre el tratamiento de todos los aspectos que giran en torno a los malos tratos desde las perspectivas social, familiar, jurídica y sanitaria.</w:t>
      </w:r>
    </w:p>
    <w:p w:rsidR="00000000" w:rsidRDefault="00000000">
      <w:pPr>
        <w:numPr>
          <w:ilvl w:val="0"/>
          <w:numId w:val="75"/>
        </w:numPr>
        <w:tabs>
          <w:tab w:val="clear" w:pos="927"/>
        </w:tabs>
        <w:ind w:left="261" w:hanging="243"/>
        <w:jc w:val="both"/>
        <w:rPr>
          <w:rFonts w:ascii="Arial" w:hAnsi="Arial"/>
        </w:rPr>
      </w:pPr>
      <w:r>
        <w:rPr>
          <w:rFonts w:ascii="Arial" w:hAnsi="Arial"/>
        </w:rPr>
        <w:t>Programa de intervención con familias en situación de riesgo y/o violencia, de la Asociación de Mujeres Separadas y Divorciadas Carmen García Castellón.</w:t>
      </w:r>
    </w:p>
    <w:p w:rsidR="00000000" w:rsidRDefault="00000000">
      <w:pPr>
        <w:numPr>
          <w:ilvl w:val="0"/>
          <w:numId w:val="75"/>
        </w:numPr>
        <w:tabs>
          <w:tab w:val="clear" w:pos="927"/>
        </w:tabs>
        <w:ind w:left="261" w:hanging="243"/>
        <w:jc w:val="both"/>
        <w:rPr>
          <w:rFonts w:ascii="Arial" w:hAnsi="Arial"/>
        </w:rPr>
      </w:pPr>
      <w:r>
        <w:rPr>
          <w:rFonts w:ascii="Arial" w:hAnsi="Arial"/>
        </w:rPr>
        <w:t>Programa de Ayuda y Asistencia a víctimas de malos tratos, de la Asociación española de Mujeres Juristas.</w:t>
      </w:r>
    </w:p>
    <w:p w:rsidR="00000000" w:rsidRDefault="00000000">
      <w:pPr>
        <w:numPr>
          <w:ilvl w:val="0"/>
          <w:numId w:val="75"/>
        </w:numPr>
        <w:tabs>
          <w:tab w:val="clear" w:pos="927"/>
        </w:tabs>
        <w:ind w:left="261" w:hanging="243"/>
        <w:jc w:val="both"/>
        <w:rPr>
          <w:rFonts w:ascii="Arial" w:hAnsi="Arial"/>
          <w:color w:val="FF0000"/>
        </w:rPr>
      </w:pPr>
      <w:r>
        <w:rPr>
          <w:rFonts w:ascii="Arial" w:hAnsi="Arial"/>
        </w:rPr>
        <w:t>Elaboración, por parte de la asociación de mujeres juristas Themis, el Manual contra los Malos Tratos a Mujeres</w:t>
      </w:r>
      <w:r>
        <w:rPr>
          <w:rFonts w:ascii="Arial" w:hAnsi="Arial"/>
          <w:color w:val="FF0000"/>
        </w:rPr>
        <w:t>.</w:t>
      </w:r>
    </w:p>
    <w:p w:rsidR="00000000" w:rsidRDefault="00000000">
      <w:pPr>
        <w:numPr>
          <w:ilvl w:val="0"/>
          <w:numId w:val="75"/>
        </w:numPr>
        <w:tabs>
          <w:tab w:val="clear" w:pos="927"/>
        </w:tabs>
        <w:ind w:left="261" w:hanging="243"/>
        <w:jc w:val="both"/>
        <w:rPr>
          <w:rFonts w:ascii="Arial" w:hAnsi="Arial"/>
        </w:rPr>
      </w:pPr>
      <w:r>
        <w:rPr>
          <w:rFonts w:ascii="Arial" w:hAnsi="Arial"/>
        </w:rPr>
        <w:t>Programa de prevención de la violencia y atención integral a las mujeres maltratadas, de la Federación Nacional de Mujeres Separadas y Divorciadas.</w:t>
      </w:r>
    </w:p>
    <w:p w:rsidR="00000000" w:rsidRDefault="00000000">
      <w:pPr>
        <w:numPr>
          <w:ilvl w:val="0"/>
          <w:numId w:val="75"/>
        </w:numPr>
        <w:tabs>
          <w:tab w:val="clear" w:pos="927"/>
        </w:tabs>
        <w:ind w:left="261" w:hanging="243"/>
        <w:jc w:val="both"/>
        <w:rPr>
          <w:rFonts w:ascii="Arial" w:hAnsi="Arial"/>
        </w:rPr>
      </w:pPr>
      <w:r>
        <w:rPr>
          <w:rFonts w:ascii="Arial" w:hAnsi="Arial"/>
        </w:rPr>
        <w:t>Curso de Postgrado sobre Violencia doméstica: análisis y abordaje desde la intervención multidisciplinaria, Universidad Ramón Llull.</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Asimismo, cabe resaltar el apoyo prestado durante estos años a las ONG que trabajan en este ámbito. De este modo se han concedido las siguientes </w:t>
      </w:r>
      <w:r>
        <w:rPr>
          <w:rFonts w:ascii="Arial" w:hAnsi="Arial"/>
          <w:b/>
        </w:rPr>
        <w:t>ayudas</w:t>
      </w:r>
      <w:r>
        <w:rPr>
          <w:rFonts w:ascii="Arial" w:hAnsi="Arial"/>
        </w:rPr>
        <w:t>:</w:t>
      </w:r>
    </w:p>
    <w:p w:rsidR="00000000" w:rsidRDefault="00000000">
      <w:pPr>
        <w:tabs>
          <w:tab w:val="left" w:pos="4820"/>
        </w:tabs>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1275"/>
        <w:gridCol w:w="1418"/>
        <w:gridCol w:w="1134"/>
      </w:tblGrid>
      <w:tr w:rsidR="00000000">
        <w:tblPrEx>
          <w:tblCellMar>
            <w:top w:w="0" w:type="dxa"/>
            <w:bottom w:w="0" w:type="dxa"/>
          </w:tblCellMar>
        </w:tblPrEx>
        <w:trPr>
          <w:cantSplit/>
          <w:jc w:val="center"/>
        </w:trPr>
        <w:tc>
          <w:tcPr>
            <w:tcW w:w="2977" w:type="dxa"/>
          </w:tcPr>
          <w:p w:rsidR="00000000" w:rsidRDefault="00000000">
            <w:pPr>
              <w:jc w:val="both"/>
              <w:rPr>
                <w:rFonts w:ascii="Arial" w:hAnsi="Arial"/>
                <w:b/>
                <w:sz w:val="16"/>
              </w:rPr>
            </w:pPr>
          </w:p>
        </w:tc>
        <w:tc>
          <w:tcPr>
            <w:tcW w:w="1275" w:type="dxa"/>
          </w:tcPr>
          <w:p w:rsidR="00000000" w:rsidRDefault="00000000">
            <w:pPr>
              <w:ind w:hanging="72"/>
              <w:jc w:val="center"/>
              <w:rPr>
                <w:rFonts w:ascii="Arial" w:hAnsi="Arial"/>
                <w:b/>
                <w:sz w:val="16"/>
              </w:rPr>
            </w:pPr>
            <w:r>
              <w:rPr>
                <w:rFonts w:ascii="Arial" w:hAnsi="Arial"/>
                <w:b/>
                <w:sz w:val="16"/>
              </w:rPr>
              <w:t>1998</w:t>
            </w:r>
          </w:p>
        </w:tc>
        <w:tc>
          <w:tcPr>
            <w:tcW w:w="1418" w:type="dxa"/>
          </w:tcPr>
          <w:p w:rsidR="00000000" w:rsidRDefault="00000000">
            <w:pPr>
              <w:jc w:val="center"/>
              <w:rPr>
                <w:rFonts w:ascii="Arial" w:hAnsi="Arial"/>
                <w:b/>
                <w:sz w:val="16"/>
              </w:rPr>
            </w:pPr>
            <w:r>
              <w:rPr>
                <w:rFonts w:ascii="Arial" w:hAnsi="Arial"/>
                <w:b/>
                <w:sz w:val="16"/>
              </w:rPr>
              <w:t>1999</w:t>
            </w:r>
          </w:p>
        </w:tc>
        <w:tc>
          <w:tcPr>
            <w:tcW w:w="1134" w:type="dxa"/>
          </w:tcPr>
          <w:p w:rsidR="00000000" w:rsidRDefault="00000000">
            <w:pPr>
              <w:jc w:val="center"/>
              <w:rPr>
                <w:rFonts w:ascii="Arial" w:hAnsi="Arial"/>
                <w:b/>
                <w:sz w:val="16"/>
              </w:rPr>
            </w:pPr>
            <w:r>
              <w:rPr>
                <w:rFonts w:ascii="Arial" w:hAnsi="Arial"/>
                <w:b/>
                <w:sz w:val="16"/>
              </w:rPr>
              <w:t>2000</w:t>
            </w:r>
          </w:p>
        </w:tc>
      </w:tr>
      <w:tr w:rsidR="00000000">
        <w:tblPrEx>
          <w:tblCellMar>
            <w:top w:w="0" w:type="dxa"/>
            <w:bottom w:w="0" w:type="dxa"/>
          </w:tblCellMar>
        </w:tblPrEx>
        <w:trPr>
          <w:jc w:val="center"/>
        </w:trPr>
        <w:tc>
          <w:tcPr>
            <w:tcW w:w="2977" w:type="dxa"/>
          </w:tcPr>
          <w:p w:rsidR="00000000" w:rsidRDefault="00000000">
            <w:pPr>
              <w:jc w:val="both"/>
              <w:rPr>
                <w:rFonts w:ascii="Arial" w:hAnsi="Arial"/>
                <w:sz w:val="16"/>
              </w:rPr>
            </w:pPr>
            <w:r>
              <w:rPr>
                <w:rFonts w:ascii="Arial" w:hAnsi="Arial"/>
                <w:sz w:val="16"/>
              </w:rPr>
              <w:t>Subvenciones IRPF</w:t>
            </w:r>
          </w:p>
          <w:p w:rsidR="00000000" w:rsidRDefault="00000000">
            <w:pPr>
              <w:jc w:val="both"/>
              <w:rPr>
                <w:rFonts w:ascii="Arial" w:hAnsi="Arial"/>
                <w:sz w:val="16"/>
              </w:rPr>
            </w:pPr>
            <w:r>
              <w:rPr>
                <w:rFonts w:ascii="Arial" w:hAnsi="Arial"/>
                <w:sz w:val="16"/>
              </w:rPr>
              <w:t>(colectivo Infancia)</w:t>
            </w:r>
          </w:p>
        </w:tc>
        <w:tc>
          <w:tcPr>
            <w:tcW w:w="1275" w:type="dxa"/>
            <w:vAlign w:val="center"/>
          </w:tcPr>
          <w:p w:rsidR="00000000" w:rsidRDefault="00000000">
            <w:pPr>
              <w:ind w:hanging="118"/>
              <w:jc w:val="center"/>
              <w:rPr>
                <w:rFonts w:ascii="Arial" w:hAnsi="Arial"/>
                <w:sz w:val="16"/>
              </w:rPr>
            </w:pPr>
            <w:r>
              <w:rPr>
                <w:rFonts w:ascii="Arial" w:hAnsi="Arial"/>
                <w:sz w:val="16"/>
              </w:rPr>
              <w:t xml:space="preserve"> 7</w:t>
            </w:r>
          </w:p>
        </w:tc>
        <w:tc>
          <w:tcPr>
            <w:tcW w:w="1418" w:type="dxa"/>
            <w:vAlign w:val="center"/>
          </w:tcPr>
          <w:p w:rsidR="00000000" w:rsidRDefault="00000000">
            <w:pPr>
              <w:jc w:val="center"/>
              <w:rPr>
                <w:rFonts w:ascii="Arial" w:hAnsi="Arial"/>
                <w:sz w:val="16"/>
              </w:rPr>
            </w:pPr>
            <w:r>
              <w:rPr>
                <w:rFonts w:ascii="Arial" w:hAnsi="Arial"/>
                <w:sz w:val="16"/>
              </w:rPr>
              <w:t xml:space="preserve"> 8</w:t>
            </w:r>
          </w:p>
        </w:tc>
        <w:tc>
          <w:tcPr>
            <w:tcW w:w="1134" w:type="dxa"/>
            <w:vAlign w:val="center"/>
          </w:tcPr>
          <w:p w:rsidR="00000000" w:rsidRDefault="00000000">
            <w:pPr>
              <w:jc w:val="center"/>
              <w:rPr>
                <w:rFonts w:ascii="Arial" w:hAnsi="Arial"/>
                <w:sz w:val="16"/>
              </w:rPr>
            </w:pPr>
            <w:r>
              <w:rPr>
                <w:rFonts w:ascii="Arial" w:hAnsi="Arial"/>
                <w:sz w:val="16"/>
              </w:rPr>
              <w:t xml:space="preserve"> 7</w:t>
            </w:r>
          </w:p>
        </w:tc>
      </w:tr>
      <w:tr w:rsidR="00000000">
        <w:tblPrEx>
          <w:tblCellMar>
            <w:top w:w="0" w:type="dxa"/>
            <w:bottom w:w="0" w:type="dxa"/>
          </w:tblCellMar>
        </w:tblPrEx>
        <w:trPr>
          <w:jc w:val="center"/>
        </w:trPr>
        <w:tc>
          <w:tcPr>
            <w:tcW w:w="2977" w:type="dxa"/>
          </w:tcPr>
          <w:p w:rsidR="00000000" w:rsidRDefault="00000000">
            <w:pPr>
              <w:jc w:val="both"/>
              <w:rPr>
                <w:rFonts w:ascii="Arial" w:hAnsi="Arial"/>
                <w:sz w:val="16"/>
              </w:rPr>
            </w:pPr>
            <w:r>
              <w:rPr>
                <w:rFonts w:ascii="Arial" w:hAnsi="Arial"/>
                <w:sz w:val="16"/>
              </w:rPr>
              <w:t>Subvenciones Instituto de la Mujer</w:t>
            </w:r>
          </w:p>
        </w:tc>
        <w:tc>
          <w:tcPr>
            <w:tcW w:w="1275" w:type="dxa"/>
            <w:vAlign w:val="center"/>
          </w:tcPr>
          <w:p w:rsidR="00000000" w:rsidRDefault="00000000">
            <w:pPr>
              <w:ind w:hanging="118"/>
              <w:jc w:val="center"/>
              <w:rPr>
                <w:rFonts w:ascii="Arial" w:hAnsi="Arial"/>
                <w:sz w:val="16"/>
              </w:rPr>
            </w:pPr>
            <w:r>
              <w:rPr>
                <w:rFonts w:ascii="Arial" w:hAnsi="Arial"/>
                <w:sz w:val="16"/>
              </w:rPr>
              <w:t>12</w:t>
            </w:r>
          </w:p>
        </w:tc>
        <w:tc>
          <w:tcPr>
            <w:tcW w:w="1418" w:type="dxa"/>
            <w:vAlign w:val="center"/>
          </w:tcPr>
          <w:p w:rsidR="00000000" w:rsidRDefault="00000000">
            <w:pPr>
              <w:jc w:val="center"/>
              <w:rPr>
                <w:rFonts w:ascii="Arial" w:hAnsi="Arial"/>
                <w:sz w:val="16"/>
              </w:rPr>
            </w:pPr>
            <w:r>
              <w:rPr>
                <w:rFonts w:ascii="Arial" w:hAnsi="Arial"/>
                <w:sz w:val="16"/>
              </w:rPr>
              <w:t>12</w:t>
            </w:r>
          </w:p>
        </w:tc>
        <w:tc>
          <w:tcPr>
            <w:tcW w:w="1134" w:type="dxa"/>
            <w:vAlign w:val="center"/>
          </w:tcPr>
          <w:p w:rsidR="00000000" w:rsidRDefault="00000000">
            <w:pPr>
              <w:jc w:val="center"/>
              <w:rPr>
                <w:rFonts w:ascii="Arial" w:hAnsi="Arial"/>
                <w:sz w:val="16"/>
              </w:rPr>
            </w:pPr>
            <w:r>
              <w:rPr>
                <w:rFonts w:ascii="Arial" w:hAnsi="Arial"/>
                <w:sz w:val="16"/>
              </w:rPr>
              <w:t>16</w:t>
            </w:r>
          </w:p>
        </w:tc>
      </w:tr>
      <w:tr w:rsidR="00000000">
        <w:tblPrEx>
          <w:tblCellMar>
            <w:top w:w="0" w:type="dxa"/>
            <w:bottom w:w="0" w:type="dxa"/>
          </w:tblCellMar>
        </w:tblPrEx>
        <w:trPr>
          <w:jc w:val="center"/>
        </w:trPr>
        <w:tc>
          <w:tcPr>
            <w:tcW w:w="2977" w:type="dxa"/>
          </w:tcPr>
          <w:p w:rsidR="00000000" w:rsidRDefault="00000000">
            <w:pPr>
              <w:jc w:val="both"/>
              <w:rPr>
                <w:rFonts w:ascii="Arial" w:hAnsi="Arial"/>
                <w:sz w:val="16"/>
              </w:rPr>
            </w:pPr>
            <w:r>
              <w:rPr>
                <w:rFonts w:ascii="Arial" w:hAnsi="Arial"/>
                <w:sz w:val="16"/>
              </w:rPr>
              <w:t>Subvenciones IRPF</w:t>
            </w:r>
          </w:p>
          <w:p w:rsidR="00000000" w:rsidRDefault="00000000">
            <w:pPr>
              <w:jc w:val="both"/>
              <w:rPr>
                <w:rFonts w:ascii="Arial" w:hAnsi="Arial"/>
                <w:sz w:val="16"/>
              </w:rPr>
            </w:pPr>
            <w:r>
              <w:rPr>
                <w:rFonts w:ascii="Arial" w:hAnsi="Arial"/>
                <w:sz w:val="16"/>
              </w:rPr>
              <w:t>(colectivo mujer)</w:t>
            </w:r>
          </w:p>
        </w:tc>
        <w:tc>
          <w:tcPr>
            <w:tcW w:w="1275" w:type="dxa"/>
            <w:vAlign w:val="center"/>
          </w:tcPr>
          <w:p w:rsidR="00000000" w:rsidRDefault="00000000">
            <w:pPr>
              <w:ind w:hanging="118"/>
              <w:jc w:val="center"/>
              <w:rPr>
                <w:rFonts w:ascii="Arial" w:hAnsi="Arial"/>
                <w:sz w:val="16"/>
              </w:rPr>
            </w:pPr>
            <w:r>
              <w:rPr>
                <w:rFonts w:ascii="Arial" w:hAnsi="Arial"/>
                <w:sz w:val="16"/>
              </w:rPr>
              <w:t>25</w:t>
            </w:r>
          </w:p>
        </w:tc>
        <w:tc>
          <w:tcPr>
            <w:tcW w:w="1418" w:type="dxa"/>
            <w:vAlign w:val="center"/>
          </w:tcPr>
          <w:p w:rsidR="00000000" w:rsidRDefault="00000000">
            <w:pPr>
              <w:jc w:val="center"/>
              <w:rPr>
                <w:rFonts w:ascii="Arial" w:hAnsi="Arial"/>
                <w:sz w:val="16"/>
              </w:rPr>
            </w:pPr>
            <w:r>
              <w:rPr>
                <w:rFonts w:ascii="Arial" w:hAnsi="Arial"/>
                <w:sz w:val="16"/>
              </w:rPr>
              <w:t>29</w:t>
            </w:r>
          </w:p>
        </w:tc>
        <w:tc>
          <w:tcPr>
            <w:tcW w:w="1134" w:type="dxa"/>
            <w:vAlign w:val="center"/>
          </w:tcPr>
          <w:p w:rsidR="00000000" w:rsidRDefault="00000000">
            <w:pPr>
              <w:jc w:val="center"/>
              <w:rPr>
                <w:rFonts w:ascii="Arial" w:hAnsi="Arial"/>
                <w:sz w:val="16"/>
              </w:rPr>
            </w:pPr>
            <w:r>
              <w:rPr>
                <w:rFonts w:ascii="Arial" w:hAnsi="Arial"/>
                <w:sz w:val="16"/>
              </w:rPr>
              <w:t>31</w:t>
            </w:r>
          </w:p>
        </w:tc>
      </w:tr>
      <w:tr w:rsidR="00000000">
        <w:tblPrEx>
          <w:tblCellMar>
            <w:top w:w="0" w:type="dxa"/>
            <w:bottom w:w="0" w:type="dxa"/>
          </w:tblCellMar>
        </w:tblPrEx>
        <w:trPr>
          <w:jc w:val="center"/>
        </w:trPr>
        <w:tc>
          <w:tcPr>
            <w:tcW w:w="2977" w:type="dxa"/>
          </w:tcPr>
          <w:p w:rsidR="00000000" w:rsidRDefault="00000000">
            <w:pPr>
              <w:jc w:val="both"/>
              <w:rPr>
                <w:rFonts w:ascii="Arial" w:hAnsi="Arial"/>
                <w:sz w:val="16"/>
              </w:rPr>
            </w:pPr>
            <w:r>
              <w:rPr>
                <w:rFonts w:ascii="Arial" w:hAnsi="Arial"/>
                <w:sz w:val="16"/>
              </w:rPr>
              <w:t>Total</w:t>
            </w:r>
          </w:p>
        </w:tc>
        <w:tc>
          <w:tcPr>
            <w:tcW w:w="1275" w:type="dxa"/>
          </w:tcPr>
          <w:p w:rsidR="00000000" w:rsidRDefault="00000000">
            <w:pPr>
              <w:ind w:hanging="118"/>
              <w:jc w:val="center"/>
              <w:rPr>
                <w:rFonts w:ascii="Arial" w:hAnsi="Arial"/>
                <w:sz w:val="16"/>
              </w:rPr>
            </w:pPr>
            <w:r>
              <w:rPr>
                <w:rFonts w:ascii="Arial" w:hAnsi="Arial"/>
                <w:sz w:val="16"/>
              </w:rPr>
              <w:t>44</w:t>
            </w:r>
          </w:p>
        </w:tc>
        <w:tc>
          <w:tcPr>
            <w:tcW w:w="1418" w:type="dxa"/>
          </w:tcPr>
          <w:p w:rsidR="00000000" w:rsidRDefault="00000000">
            <w:pPr>
              <w:jc w:val="center"/>
              <w:rPr>
                <w:rFonts w:ascii="Arial" w:hAnsi="Arial"/>
                <w:sz w:val="16"/>
              </w:rPr>
            </w:pPr>
            <w:r>
              <w:rPr>
                <w:rFonts w:ascii="Arial" w:hAnsi="Arial"/>
                <w:sz w:val="16"/>
              </w:rPr>
              <w:t>49</w:t>
            </w:r>
          </w:p>
        </w:tc>
        <w:tc>
          <w:tcPr>
            <w:tcW w:w="1134" w:type="dxa"/>
          </w:tcPr>
          <w:p w:rsidR="00000000" w:rsidRDefault="00000000">
            <w:pPr>
              <w:jc w:val="center"/>
              <w:rPr>
                <w:rFonts w:ascii="Arial" w:hAnsi="Arial"/>
                <w:sz w:val="16"/>
              </w:rPr>
            </w:pPr>
            <w:r>
              <w:rPr>
                <w:rFonts w:ascii="Arial" w:hAnsi="Arial"/>
                <w:sz w:val="16"/>
              </w:rPr>
              <w:t>54</w:t>
            </w:r>
          </w:p>
        </w:tc>
      </w:tr>
    </w:tbl>
    <w:p w:rsidR="00000000" w:rsidRDefault="00000000">
      <w:pPr>
        <w:jc w:val="both"/>
        <w:rPr>
          <w:rFonts w:ascii="Arial" w:hAnsi="Arial"/>
        </w:rPr>
      </w:pPr>
    </w:p>
    <w:p w:rsidR="00000000" w:rsidRDefault="00000000">
      <w:pPr>
        <w:jc w:val="both"/>
        <w:rPr>
          <w:rFonts w:ascii="Arial" w:hAnsi="Arial"/>
        </w:rPr>
      </w:pPr>
      <w:r>
        <w:rPr>
          <w:rFonts w:ascii="Arial" w:hAnsi="Arial"/>
        </w:rPr>
        <w:t xml:space="preserve">También, se han celebrado </w:t>
      </w:r>
      <w:r>
        <w:rPr>
          <w:rFonts w:ascii="Arial" w:hAnsi="Arial"/>
          <w:b/>
        </w:rPr>
        <w:t>Convenios de colaboración</w:t>
      </w:r>
      <w:r>
        <w:rPr>
          <w:rFonts w:ascii="Arial" w:hAnsi="Arial"/>
        </w:rPr>
        <w:t xml:space="preserve"> con las diferentes Comunidades Autónomas para realizar programas de prevención y lucha contra la violencia familiar.</w:t>
      </w:r>
    </w:p>
    <w:p w:rsidR="00000000" w:rsidRDefault="00000000">
      <w:pPr>
        <w:jc w:val="both"/>
        <w:rPr>
          <w:rFonts w:ascii="Arial" w:hAnsi="Arial"/>
        </w:rPr>
      </w:pPr>
    </w:p>
    <w:p w:rsidR="00000000" w:rsidRDefault="00000000">
      <w:pPr>
        <w:jc w:val="both"/>
        <w:rPr>
          <w:rFonts w:ascii="Arial" w:hAnsi="Arial"/>
        </w:rPr>
      </w:pPr>
      <w:r>
        <w:rPr>
          <w:rFonts w:ascii="Arial" w:hAnsi="Arial"/>
        </w:rPr>
        <w:t>No obstante, a pesar de los avances conseguidos con el desarrollo del Plan, se hacía totalmente necesario continuar realizando acciones, y dedicar más recursos y esfuerzos para luchar contra la violencia doméstica.</w:t>
      </w:r>
    </w:p>
    <w:p w:rsidR="00000000" w:rsidRDefault="00000000">
      <w:pPr>
        <w:jc w:val="both"/>
        <w:rPr>
          <w:rFonts w:ascii="Arial" w:hAnsi="Arial"/>
        </w:rPr>
      </w:pPr>
      <w:r>
        <w:rPr>
          <w:rFonts w:ascii="Arial" w:hAnsi="Arial"/>
        </w:rPr>
        <w:t xml:space="preserve">Por ello, bajo la coordinación del Instituto de la Mujer, se elaboró el </w:t>
      </w:r>
      <w:r>
        <w:rPr>
          <w:rFonts w:ascii="Arial" w:hAnsi="Arial"/>
          <w:b/>
        </w:rPr>
        <w:t>II Plan contra la Violencia</w:t>
      </w:r>
      <w:r>
        <w:rPr>
          <w:rFonts w:ascii="Arial" w:hAnsi="Arial"/>
        </w:rPr>
        <w:t xml:space="preserve"> </w:t>
      </w:r>
      <w:r>
        <w:rPr>
          <w:rFonts w:ascii="Arial" w:hAnsi="Arial"/>
          <w:b/>
        </w:rPr>
        <w:t>Doméstica,</w:t>
      </w:r>
      <w:r>
        <w:rPr>
          <w:rFonts w:ascii="Arial" w:hAnsi="Arial"/>
        </w:rPr>
        <w:t xml:space="preserve"> aprobado por el Gobierno el 11 de Mayo de 2001, con vigencia entre el año 2001 al 2004, con un presupuesto de 78.566.508´19 euros, un 73% más que el anterior.</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II Plan Integral contra la Violencia Doméstica</w:t>
      </w:r>
      <w:r>
        <w:rPr>
          <w:rFonts w:ascii="Arial" w:hAnsi="Arial"/>
        </w:rPr>
        <w:t xml:space="preserve"> (2001-2004), pretende incidir en aspectos ya desarrollados en el I Plan, y  propone cuatro áreas de actuación prioritaria: medidas de carácter preventivo y de sensibilización, medidas en el ámbito legal y procedimental, medidas asistenciales y de intervención social, y un área de investigación.</w:t>
      </w:r>
    </w:p>
    <w:p w:rsidR="00000000" w:rsidRDefault="00000000">
      <w:pPr>
        <w:jc w:val="both"/>
        <w:rPr>
          <w:rFonts w:ascii="Arial" w:hAnsi="Arial"/>
        </w:rPr>
      </w:pPr>
    </w:p>
    <w:p w:rsidR="00000000" w:rsidRDefault="00000000">
      <w:pPr>
        <w:jc w:val="both"/>
        <w:rPr>
          <w:rFonts w:ascii="Arial" w:hAnsi="Arial"/>
        </w:rPr>
      </w:pPr>
      <w:r>
        <w:rPr>
          <w:rFonts w:ascii="Arial" w:hAnsi="Arial"/>
        </w:rPr>
        <w:t>Sus objetivos son:</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Fomentar una educación basada en los valores de diálogo, respeto y tolerancia</w:t>
      </w:r>
    </w:p>
    <w:p w:rsidR="00000000" w:rsidRDefault="00000000">
      <w:pPr>
        <w:numPr>
          <w:ilvl w:val="0"/>
          <w:numId w:val="75"/>
        </w:numPr>
        <w:tabs>
          <w:tab w:val="clear" w:pos="927"/>
        </w:tabs>
        <w:ind w:left="261" w:hanging="243"/>
        <w:jc w:val="both"/>
        <w:rPr>
          <w:rFonts w:ascii="Arial" w:hAnsi="Arial"/>
        </w:rPr>
      </w:pPr>
      <w:r>
        <w:rPr>
          <w:rFonts w:ascii="Arial" w:hAnsi="Arial"/>
        </w:rPr>
        <w:t>Mejorar la legislación y el procedimiento legal. los juicios rápidos, etc.</w:t>
      </w:r>
    </w:p>
    <w:p w:rsidR="00000000" w:rsidRDefault="00000000">
      <w:pPr>
        <w:numPr>
          <w:ilvl w:val="0"/>
          <w:numId w:val="75"/>
        </w:numPr>
        <w:tabs>
          <w:tab w:val="clear" w:pos="927"/>
        </w:tabs>
        <w:ind w:left="261" w:hanging="243"/>
        <w:jc w:val="both"/>
        <w:rPr>
          <w:rFonts w:ascii="Arial" w:hAnsi="Arial"/>
        </w:rPr>
      </w:pPr>
      <w:r>
        <w:rPr>
          <w:rFonts w:ascii="Arial" w:hAnsi="Arial"/>
        </w:rPr>
        <w:t>Completar el mapa de recursos sociales en todo el territorio nacional.</w:t>
      </w:r>
    </w:p>
    <w:p w:rsidR="00000000" w:rsidRDefault="00000000">
      <w:pPr>
        <w:numPr>
          <w:ilvl w:val="0"/>
          <w:numId w:val="75"/>
        </w:numPr>
        <w:tabs>
          <w:tab w:val="clear" w:pos="927"/>
        </w:tabs>
        <w:ind w:left="261" w:hanging="243"/>
        <w:jc w:val="both"/>
        <w:rPr>
          <w:rFonts w:ascii="Arial" w:hAnsi="Arial"/>
        </w:rPr>
      </w:pPr>
      <w:r>
        <w:rPr>
          <w:rFonts w:ascii="Arial" w:hAnsi="Arial"/>
        </w:rPr>
        <w:t>Potenciar la coordinación entre las actuaciones de los diferentes organismos y de las organizaciones sociales.</w:t>
      </w:r>
    </w:p>
    <w:p w:rsidR="00000000" w:rsidRDefault="00000000">
      <w:pPr>
        <w:tabs>
          <w:tab w:val="num" w:pos="644"/>
        </w:tabs>
        <w:jc w:val="both"/>
        <w:rPr>
          <w:rFonts w:ascii="Arial" w:hAnsi="Arial"/>
        </w:rPr>
      </w:pPr>
    </w:p>
    <w:p w:rsidR="00000000" w:rsidRDefault="00000000">
      <w:pPr>
        <w:jc w:val="both"/>
        <w:rPr>
          <w:rFonts w:ascii="Arial" w:hAnsi="Arial"/>
        </w:rPr>
      </w:pPr>
      <w:r>
        <w:rPr>
          <w:rFonts w:ascii="Arial" w:hAnsi="Arial"/>
        </w:rPr>
        <w:t>Así, y en relación con las propuestas de modificación legislativa, se propone la modificación del Código Penal para incorporar, entre otras medidas, la pena de inhabilitación especial para el ejercicio de la patria potestad, adecuar las penas para sustituir el arresto de fin de semana por trabajos en beneficio de la comunidad y regular la privación del derecho a la tenencia y porte de armas. Igualmente, se propone la modificación de la Ley de Enjuiciamiento Criminal para que los juzgados de guardia puedan adoptar medidas provisionalísimas en caso de separación y divorcio, con el fin de hacer efectiva la separación de hecho del agresor y simplificar, agilizar los procedimientos penales tanto en los delitos como en las faltas, etc.</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cuanto a las medidas procedimentales, se agilizarán los procesos judiciales de tal modo que, se pueda acumular la instrucción de las causas de violencia en un solo juzgado y la extensión a todos los colegios de abogados del Servicio de Orientación Jurídica de 24 horas, de carácter gratuito, garantizando la asistencia de un turno de oficio especializado.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Como se ha señalado anteriormente, una de las actuaciones del Instituto de la Mujer es profundizar e investigar los actos de violencia contra las mujeres y estimar los costes directos e indirectos que la misma produce. </w:t>
      </w:r>
    </w:p>
    <w:p w:rsidR="00000000" w:rsidRDefault="00000000">
      <w:pPr>
        <w:jc w:val="both"/>
        <w:rPr>
          <w:rFonts w:ascii="Arial" w:hAnsi="Arial"/>
        </w:rPr>
      </w:pPr>
    </w:p>
    <w:p w:rsidR="00000000" w:rsidRDefault="00000000">
      <w:pPr>
        <w:jc w:val="both"/>
        <w:rPr>
          <w:rFonts w:ascii="Arial" w:hAnsi="Arial"/>
        </w:rPr>
      </w:pPr>
      <w:r>
        <w:rPr>
          <w:rFonts w:ascii="Arial" w:hAnsi="Arial"/>
        </w:rPr>
        <w:t>De ahí que en los últimos años se hayan subvencionado, entre otras, las siguientes investigaciones sobre la violencia contra la mujer en la comunidad:</w:t>
      </w:r>
    </w:p>
    <w:p w:rsidR="00000000" w:rsidRDefault="00000000">
      <w:pPr>
        <w:jc w:val="both"/>
        <w:rPr>
          <w:rFonts w:ascii="Arial" w:hAnsi="Arial"/>
        </w:rPr>
      </w:pPr>
    </w:p>
    <w:p w:rsidR="00000000" w:rsidRDefault="00000000">
      <w:pPr>
        <w:numPr>
          <w:ilvl w:val="0"/>
          <w:numId w:val="75"/>
        </w:numPr>
        <w:tabs>
          <w:tab w:val="clear" w:pos="927"/>
        </w:tabs>
        <w:ind w:left="261" w:hanging="243"/>
        <w:jc w:val="both"/>
        <w:rPr>
          <w:rFonts w:ascii="Arial" w:hAnsi="Arial"/>
        </w:rPr>
      </w:pPr>
      <w:r>
        <w:rPr>
          <w:rFonts w:ascii="Arial" w:hAnsi="Arial"/>
        </w:rPr>
        <w:t>Estudio empírico de la violencia doméstica.</w:t>
      </w:r>
    </w:p>
    <w:p w:rsidR="00000000" w:rsidRDefault="00000000">
      <w:pPr>
        <w:numPr>
          <w:ilvl w:val="0"/>
          <w:numId w:val="75"/>
        </w:numPr>
        <w:tabs>
          <w:tab w:val="clear" w:pos="927"/>
        </w:tabs>
        <w:ind w:left="261" w:hanging="243"/>
        <w:jc w:val="both"/>
        <w:rPr>
          <w:rFonts w:ascii="Arial" w:hAnsi="Arial"/>
        </w:rPr>
      </w:pPr>
      <w:r>
        <w:rPr>
          <w:rFonts w:ascii="Arial" w:hAnsi="Arial"/>
        </w:rPr>
        <w:t>Consecuencia de la violencia doméstica en la salud de las mujeres</w:t>
      </w:r>
    </w:p>
    <w:p w:rsidR="00000000" w:rsidRDefault="00000000">
      <w:pPr>
        <w:numPr>
          <w:ilvl w:val="0"/>
          <w:numId w:val="75"/>
        </w:numPr>
        <w:tabs>
          <w:tab w:val="clear" w:pos="927"/>
        </w:tabs>
        <w:ind w:left="261" w:hanging="243"/>
        <w:jc w:val="both"/>
        <w:rPr>
          <w:rFonts w:ascii="Arial" w:hAnsi="Arial"/>
        </w:rPr>
      </w:pPr>
      <w:r>
        <w:rPr>
          <w:rFonts w:ascii="Arial" w:hAnsi="Arial"/>
        </w:rPr>
        <w:t>Variables psicológicas moduladoras de la relación víctima/agresor en el maltrato doméstico a mujeres.</w:t>
      </w:r>
    </w:p>
    <w:p w:rsidR="00000000" w:rsidRDefault="00000000">
      <w:pPr>
        <w:numPr>
          <w:ilvl w:val="0"/>
          <w:numId w:val="75"/>
        </w:numPr>
        <w:tabs>
          <w:tab w:val="clear" w:pos="927"/>
        </w:tabs>
        <w:ind w:left="261" w:hanging="243"/>
        <w:jc w:val="both"/>
        <w:rPr>
          <w:rFonts w:ascii="Arial" w:hAnsi="Arial"/>
        </w:rPr>
      </w:pPr>
      <w:r>
        <w:rPr>
          <w:rFonts w:ascii="Arial" w:hAnsi="Arial"/>
        </w:rPr>
        <w:t>Valoración forense de los factores medicopsicológicos que intervienen en la evolución de las víctimas de violencia familiar.</w:t>
      </w:r>
    </w:p>
    <w:p w:rsidR="00000000" w:rsidRDefault="00000000">
      <w:pPr>
        <w:numPr>
          <w:ilvl w:val="0"/>
          <w:numId w:val="75"/>
        </w:numPr>
        <w:tabs>
          <w:tab w:val="clear" w:pos="927"/>
        </w:tabs>
        <w:ind w:left="261" w:hanging="243"/>
        <w:jc w:val="both"/>
        <w:rPr>
          <w:rFonts w:ascii="Arial" w:hAnsi="Arial"/>
        </w:rPr>
      </w:pPr>
      <w:r>
        <w:rPr>
          <w:rFonts w:ascii="Arial" w:hAnsi="Arial"/>
        </w:rPr>
        <w:t>La violencia doméstica: su impacto en la salud física y mental de las mujeres</w:t>
      </w:r>
    </w:p>
    <w:p w:rsidR="00000000" w:rsidRDefault="00000000">
      <w:pPr>
        <w:numPr>
          <w:ilvl w:val="0"/>
          <w:numId w:val="75"/>
        </w:numPr>
        <w:tabs>
          <w:tab w:val="clear" w:pos="927"/>
        </w:tabs>
        <w:ind w:left="261" w:hanging="243"/>
        <w:jc w:val="both"/>
        <w:rPr>
          <w:rFonts w:ascii="Arial" w:hAnsi="Arial"/>
        </w:rPr>
      </w:pPr>
      <w:r>
        <w:rPr>
          <w:rFonts w:ascii="Arial" w:hAnsi="Arial"/>
        </w:rPr>
        <w:t>Predictores de ajuste psicosocial a mujeres víctimas de malos tratos.</w:t>
      </w:r>
    </w:p>
    <w:p w:rsidR="00000000" w:rsidRDefault="00000000">
      <w:pPr>
        <w:numPr>
          <w:ilvl w:val="0"/>
          <w:numId w:val="75"/>
        </w:numPr>
        <w:tabs>
          <w:tab w:val="clear" w:pos="927"/>
        </w:tabs>
        <w:ind w:left="261" w:hanging="243"/>
        <w:jc w:val="both"/>
        <w:rPr>
          <w:rFonts w:ascii="Arial" w:hAnsi="Arial"/>
        </w:rPr>
      </w:pPr>
      <w:r>
        <w:rPr>
          <w:rFonts w:ascii="Arial" w:hAnsi="Arial"/>
        </w:rPr>
        <w:t>Violencia contra las mujeres: una mirada a través de la imagen y la palabra.</w:t>
      </w:r>
    </w:p>
    <w:p w:rsidR="00000000" w:rsidRDefault="00000000">
      <w:pPr>
        <w:numPr>
          <w:ilvl w:val="0"/>
          <w:numId w:val="75"/>
        </w:numPr>
        <w:tabs>
          <w:tab w:val="clear" w:pos="927"/>
        </w:tabs>
        <w:ind w:left="261" w:hanging="243"/>
        <w:jc w:val="both"/>
        <w:rPr>
          <w:rFonts w:ascii="Arial" w:hAnsi="Arial"/>
        </w:rPr>
      </w:pPr>
      <w:r>
        <w:rPr>
          <w:rFonts w:ascii="Arial" w:hAnsi="Arial"/>
        </w:rPr>
        <w:t>Violencia simbólica en torno al cuerpo de las mujeres.</w:t>
      </w:r>
    </w:p>
    <w:p w:rsidR="00000000" w:rsidRDefault="00000000">
      <w:pPr>
        <w:numPr>
          <w:ilvl w:val="0"/>
          <w:numId w:val="75"/>
        </w:numPr>
        <w:tabs>
          <w:tab w:val="clear" w:pos="927"/>
        </w:tabs>
        <w:ind w:left="261" w:hanging="243"/>
        <w:jc w:val="both"/>
        <w:rPr>
          <w:rFonts w:ascii="Arial" w:hAnsi="Arial"/>
        </w:rPr>
      </w:pPr>
      <w:r>
        <w:rPr>
          <w:rFonts w:ascii="Arial" w:hAnsi="Arial"/>
        </w:rPr>
        <w:t>Estructura y dinámica de la personalidad en el estrés postraumático en mujeres maltratadas</w:t>
      </w:r>
    </w:p>
    <w:p w:rsidR="00000000" w:rsidRDefault="00000000">
      <w:pPr>
        <w:numPr>
          <w:ilvl w:val="0"/>
          <w:numId w:val="75"/>
        </w:numPr>
        <w:tabs>
          <w:tab w:val="clear" w:pos="927"/>
        </w:tabs>
        <w:ind w:left="261" w:hanging="243"/>
        <w:jc w:val="both"/>
        <w:rPr>
          <w:rFonts w:ascii="Arial" w:hAnsi="Arial"/>
        </w:rPr>
      </w:pPr>
      <w:r>
        <w:rPr>
          <w:rFonts w:ascii="Arial" w:hAnsi="Arial"/>
        </w:rPr>
        <w:t>Transmisión y apología del uso de la violencia contra las mujeres: refranes, dichos y textos persuasivos.</w:t>
      </w:r>
    </w:p>
    <w:p w:rsidR="00000000" w:rsidRDefault="00000000">
      <w:pPr>
        <w:jc w:val="both"/>
        <w:rPr>
          <w:rFonts w:ascii="Arial" w:hAnsi="Arial"/>
        </w:rPr>
      </w:pPr>
    </w:p>
    <w:p w:rsidR="00000000" w:rsidRDefault="00000000">
      <w:pPr>
        <w:jc w:val="both"/>
        <w:rPr>
          <w:rFonts w:ascii="Arial" w:hAnsi="Arial"/>
        </w:rPr>
      </w:pPr>
      <w:r>
        <w:rPr>
          <w:rFonts w:ascii="Arial" w:hAnsi="Arial"/>
        </w:rPr>
        <w:t>Asimismo, se han realizado dos macroencuestas contra la violencia a nivel nacional, que destacan, por una parte, por el gran tamaño de la muestra utilizada y, por otra, porque son los únicos estudios que proporcionan datos sobre el número de mujeres que son víctimas de malos tratos, dentro de la población femenina española mayor de edad.</w:t>
      </w:r>
    </w:p>
    <w:p w:rsidR="00000000" w:rsidRDefault="00000000">
      <w:pPr>
        <w:jc w:val="both"/>
        <w:rPr>
          <w:rFonts w:ascii="Arial" w:hAnsi="Arial"/>
        </w:rPr>
      </w:pPr>
    </w:p>
    <w:p w:rsidR="00000000" w:rsidRDefault="00000000">
      <w:pPr>
        <w:jc w:val="both"/>
        <w:rPr>
          <w:rFonts w:ascii="Arial" w:hAnsi="Arial"/>
        </w:rPr>
      </w:pPr>
      <w:r>
        <w:rPr>
          <w:rFonts w:ascii="Arial" w:hAnsi="Arial"/>
        </w:rPr>
        <w:t>Por otra parte, el Instituto de la Mujer considera fundamental la formación de los operadores jurídicos desde una óptica de género y por ello desde hace varios años, concretamente desde 1997, viene firmando, anualmente,  con el Centro de Estudios de la Administración de Justicia Convenios de colaboración para la realización de Jornadas de formación, dirigidas a Fiscales, Secretarios Judiciales y Médicos Forenses en materia de violencia contra las mujeres.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marco de las </w:t>
      </w:r>
      <w:r>
        <w:rPr>
          <w:rFonts w:ascii="Arial" w:hAnsi="Arial"/>
          <w:b/>
        </w:rPr>
        <w:t>actuaciones de otros organismos</w:t>
      </w:r>
      <w:r>
        <w:rPr>
          <w:rFonts w:ascii="Arial" w:hAnsi="Arial"/>
        </w:rPr>
        <w:t>, cabe destacar, entre otras, las acciones emprendidas por:</w:t>
      </w:r>
    </w:p>
    <w:p w:rsidR="00000000" w:rsidRDefault="00000000">
      <w:pPr>
        <w:jc w:val="both"/>
        <w:rPr>
          <w:rFonts w:ascii="Arial" w:hAnsi="Arial"/>
        </w:rPr>
      </w:pPr>
    </w:p>
    <w:p w:rsidR="00000000" w:rsidRDefault="00000000">
      <w:pPr>
        <w:jc w:val="both"/>
        <w:rPr>
          <w:rFonts w:ascii="Arial" w:hAnsi="Arial"/>
          <w:i/>
        </w:rPr>
      </w:pPr>
      <w:r>
        <w:rPr>
          <w:rFonts w:ascii="Arial" w:hAnsi="Arial"/>
        </w:rPr>
        <w:t xml:space="preserve">En 1998, el </w:t>
      </w:r>
      <w:r>
        <w:rPr>
          <w:rFonts w:ascii="Arial" w:hAnsi="Arial"/>
          <w:b/>
        </w:rPr>
        <w:t>Defensor del Pueblo y el Consejo General del Poder Judicial</w:t>
      </w:r>
      <w:r>
        <w:rPr>
          <w:rFonts w:ascii="Arial" w:hAnsi="Arial"/>
        </w:rPr>
        <w:t xml:space="preserve"> elaboraron sendos informes sobre la violencia que sufren las mujeres. El informe del Defensor del Pueblo, </w:t>
      </w:r>
      <w:r>
        <w:rPr>
          <w:rFonts w:ascii="Arial" w:hAnsi="Arial"/>
          <w:i/>
        </w:rPr>
        <w:t>La violencia doméstica contra las mujeres</w:t>
      </w:r>
      <w:r>
        <w:rPr>
          <w:rFonts w:ascii="Arial" w:hAnsi="Arial"/>
        </w:rPr>
        <w:t xml:space="preserve">, fue presentado ante las Cortes Generales y a raíz del estudio </w:t>
      </w:r>
      <w:r>
        <w:rPr>
          <w:rFonts w:ascii="Arial" w:hAnsi="Arial"/>
          <w:i/>
        </w:rPr>
        <w:t>Problemática jurídica derivada de la violencia doméstica</w:t>
      </w:r>
      <w:r>
        <w:rPr>
          <w:rFonts w:ascii="Arial" w:hAnsi="Arial"/>
        </w:rPr>
        <w:t xml:space="preserve"> realizado por el Consejo General del Poder Judicial, éste presentó una </w:t>
      </w:r>
      <w:r>
        <w:rPr>
          <w:rFonts w:ascii="Arial" w:hAnsi="Arial"/>
          <w:i/>
        </w:rPr>
        <w:t>Guía práctica de actuación contra la violencia doméstica.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Ministerio del Interior</w:t>
      </w:r>
      <w:r>
        <w:rPr>
          <w:rFonts w:ascii="Arial" w:hAnsi="Arial"/>
        </w:rPr>
        <w:t>, a través de la Secretaría de Estado de Seguridad, ha participado en diversos Foros seminarios, cursos y jornadas sobre aspectos de la violencia contra las mujeres. Además editó y distribuyó 180.000 folletos con directrices a seguir en los casos de agresión a una mujer.</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w:t>
      </w:r>
      <w:r>
        <w:rPr>
          <w:rFonts w:ascii="Arial" w:hAnsi="Arial"/>
          <w:b/>
        </w:rPr>
        <w:t>Dirección General de la Guardia Civil</w:t>
      </w:r>
      <w:r>
        <w:rPr>
          <w:rFonts w:ascii="Arial" w:hAnsi="Arial"/>
        </w:rPr>
        <w:t xml:space="preserve"> creó un servicio telefónico de emergencia de 24 horas, para informar y canalizar las demandas de las mujeres víctimas de violencia, organizó diversos cursos de formación sobre violencia, y participó como ponente en numerosas jornadas, coloquios, mesas redondas y otros actos organizados por las administraciones públicas relacionadas con este tema. Por otro lado la Jefatura de Enseñanza de la Guardia Civil imparte en los diferentes centros materias relacionadas con el III Plan de Igualdad de Oportunidades.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w:t>
      </w:r>
      <w:r>
        <w:rPr>
          <w:rFonts w:ascii="Arial" w:hAnsi="Arial"/>
          <w:b/>
        </w:rPr>
        <w:t>Dirección General de la Policía</w:t>
      </w:r>
      <w:r>
        <w:rPr>
          <w:rFonts w:ascii="Arial" w:hAnsi="Arial"/>
        </w:rPr>
        <w:t xml:space="preserve"> llevó a cabo diversas acciones formativas sobre violencia contra las mujeres, dirigidas a los cuerpos profesionales  de la Policía Nacional. </w:t>
      </w:r>
    </w:p>
    <w:p w:rsidR="00000000" w:rsidRDefault="00000000">
      <w:pPr>
        <w:jc w:val="both"/>
        <w:rPr>
          <w:rFonts w:ascii="Arial" w:hAnsi="Arial"/>
        </w:rPr>
      </w:pPr>
    </w:p>
    <w:p w:rsidR="00000000" w:rsidRDefault="00000000">
      <w:pPr>
        <w:jc w:val="both"/>
        <w:rPr>
          <w:rFonts w:ascii="Arial" w:hAnsi="Arial"/>
        </w:rPr>
      </w:pPr>
      <w:r>
        <w:rPr>
          <w:rFonts w:ascii="Arial" w:hAnsi="Arial"/>
        </w:rPr>
        <w:t>En el ámbito internacional y al margen de las actuaciones realizadas desde el Instituto de la Mujer en relación con los Convenios suscritos por España durante este período, (Ver artículo 2), nuestro país participa, además, como se ha indicado en el artículo 6, en el desarrollo de los programas europeos relacionados con la violencia contra las mujeres, en concreto el Programa Daphne y el Programa STOP.</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Finalmente, señalar que, una  de las prioridades en materia de igualdad de oportunidades de la Presidencia Española en el Consejo de Ministros de la Unión Europea, durante el primer semestre del año 2002, ha sido la lucha contra la violencia contra las mujeres. Así, entre las medidas emprendidas cabe destacar la celebración de una </w:t>
      </w:r>
      <w:r>
        <w:rPr>
          <w:rFonts w:ascii="Arial" w:hAnsi="Arial"/>
          <w:b/>
        </w:rPr>
        <w:t>Conferencia de Ministros y Ministras de Igualdad</w:t>
      </w:r>
      <w:r>
        <w:rPr>
          <w:rFonts w:ascii="Arial" w:hAnsi="Arial"/>
        </w:rPr>
        <w:t xml:space="preserve"> </w:t>
      </w:r>
      <w:r>
        <w:rPr>
          <w:rFonts w:ascii="Arial" w:hAnsi="Arial"/>
          <w:b/>
        </w:rPr>
        <w:t>de oportunidades</w:t>
      </w:r>
      <w:r>
        <w:rPr>
          <w:rFonts w:ascii="Arial" w:hAnsi="Arial"/>
        </w:rPr>
        <w:t xml:space="preserve"> en Santiago de Compostela durante los días 18 y 19 de febrero de 2002, con el objetivo de promover un intercambio de información y de experiencias, y para discutir sobre los pasos necesarios para erradicar la violencia contra la mujer. Además, se elaboró un estudio sobre la situación de la violencia contra las mujeres en cada uno de los Estados miembros y una </w:t>
      </w:r>
      <w:r>
        <w:rPr>
          <w:rFonts w:ascii="Arial" w:hAnsi="Arial"/>
          <w:b/>
          <w:i/>
        </w:rPr>
        <w:t>Guía de Buenas Practicas</w:t>
      </w:r>
      <w:r>
        <w:rPr>
          <w:rFonts w:ascii="Arial" w:hAnsi="Arial"/>
        </w:rPr>
        <w:t xml:space="preserve"> en la que se incluyen ejemplos de medidas puestas en marcha en los diferentes Estados para paliar los efectos de la violencia doméstica, sexual y en el trabajo y conseguir su erradicación. </w:t>
      </w:r>
    </w:p>
    <w:p w:rsidR="00000000" w:rsidRDefault="00000000">
      <w:pPr>
        <w:pStyle w:val="BodyTextIndent"/>
        <w:suppressAutoHyphens/>
        <w:ind w:left="0"/>
        <w:rPr>
          <w:sz w:val="20"/>
        </w:rPr>
      </w:pPr>
      <w:r>
        <w:rPr>
          <w:noProof/>
          <w:sz w:val="20"/>
        </w:rPr>
        <w:pict>
          <v:line id="_x0000_s2071" style="position:absolute;left:0;text-align:left;z-index:12;mso-position-horizontal:absolute;mso-position-horizontal-relative:page;mso-position-vertical:absolute;mso-position-vertical-relative:text" from="280.8pt,24pt" to="352.8pt,24pt" o:allowincell="f" strokeweight=".25pt">
            <w10:wrap anchorx="page"/>
          </v:line>
        </w:pict>
      </w:r>
    </w:p>
    <w:sectPr w:rsidR="00000000">
      <w:headerReference w:type="even" r:id="rId46"/>
      <w:headerReference w:type="default" r:id="rId47"/>
      <w:footerReference w:type="even" r:id="rId48"/>
      <w:footerReference w:type="default" r:id="rId49"/>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NO&gt;&gt;N0333030S&lt;&lt;ODS JOB NO&gt;&gt;</w:t>
      </w:r>
    </w:p>
    <w:p w:rsidR="00000000" w:rsidRDefault="00000000">
      <w:pPr>
        <w:pStyle w:val="CommentText"/>
      </w:pPr>
      <w:r>
        <w:t>&lt;&lt;ODS DOC SYMBOL1&gt;&gt;CEDAW/C/ESP/5&lt;&lt;ODS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03-33030 (S)    270803    280803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*0333030*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45</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ascii="Arial" w:hAnsi="Arial"/>
        </w:rPr>
      </w:pPr>
      <w:r>
        <w:rPr>
          <w:rStyle w:val="FootnoteReference"/>
          <w:rFonts w:ascii="Arial" w:hAnsi="Arial"/>
        </w:rPr>
        <w:footnoteRef/>
      </w:r>
      <w:r>
        <w:rPr>
          <w:rFonts w:ascii="Arial" w:hAnsi="Arial"/>
        </w:rPr>
        <w:t xml:space="preserve"> La Jurisprudencia se refiere a la Jurisprudencia Constitucional y del Tribunal Supremo</w:t>
      </w:r>
    </w:p>
  </w:footnote>
  <w:footnote w:id="2">
    <w:p w:rsidR="00000000" w:rsidRDefault="00000000">
      <w:pPr>
        <w:pStyle w:val="FootnoteText"/>
        <w:ind w:left="662" w:right="418" w:firstLine="0"/>
        <w:rPr>
          <w:sz w:val="16"/>
        </w:rPr>
      </w:pPr>
      <w:r>
        <w:rPr>
          <w:rStyle w:val="FootnoteReference"/>
          <w:sz w:val="16"/>
        </w:rPr>
        <w:t>1</w:t>
      </w:r>
      <w:r>
        <w:rPr>
          <w:sz w:val="16"/>
        </w:rPr>
        <w:t xml:space="preserve"> </w:t>
      </w:r>
      <w:r>
        <w:rPr>
          <w:snapToGrid w:val="0"/>
          <w:sz w:val="16"/>
          <w:lang w:eastAsia="es-ES"/>
        </w:rPr>
        <w:t>) Si es el primer contratado por un trabajador autónomo en alta desde antes del 2/1/2001 y que no haya tenido, para el desempeño de su actividad, asalariados a su cargo en los doce meses anteriores, la bonificación de cuotas se incrementa en 5 puntos porcentuales</w:t>
      </w:r>
    </w:p>
  </w:footnote>
  <w:footnote w:id="3">
    <w:p w:rsidR="00000000" w:rsidRDefault="00000000">
      <w:pPr>
        <w:pStyle w:val="FootnoteText"/>
        <w:ind w:left="662" w:right="418" w:firstLine="0"/>
        <w:rPr>
          <w:snapToGrid w:val="0"/>
          <w:sz w:val="16"/>
          <w:lang w:eastAsia="es-ES"/>
        </w:rPr>
      </w:pPr>
      <w:r>
        <w:rPr>
          <w:rStyle w:val="FootnoteReference"/>
          <w:sz w:val="16"/>
        </w:rPr>
        <w:t>2</w:t>
      </w:r>
      <w:r>
        <w:rPr>
          <w:sz w:val="16"/>
        </w:rPr>
        <w:t xml:space="preserve"> </w:t>
      </w:r>
      <w:r>
        <w:rPr>
          <w:snapToGrid w:val="0"/>
          <w:sz w:val="16"/>
          <w:lang w:eastAsia="es-ES"/>
        </w:rPr>
        <w:t>) Estos colectivos pueden, además, concertar el contrato para el fomento de la contratación indefinida, el cual tiene establecida una indemnización de 33 días de salario por año de servicio (máximo 24 mensualidades) en el supuesto de despido disciplinario improcedente. Los colectivos que pueden concertar el contrato para el fomento de la contratación indefinida</w:t>
      </w:r>
      <w:r>
        <w:rPr>
          <w:b/>
          <w:snapToGrid w:val="0"/>
          <w:sz w:val="16"/>
          <w:lang w:eastAsia="es-ES"/>
        </w:rPr>
        <w:t xml:space="preserve"> </w:t>
      </w:r>
      <w:r>
        <w:rPr>
          <w:snapToGrid w:val="0"/>
          <w:sz w:val="16"/>
          <w:lang w:eastAsia="es-ES"/>
        </w:rPr>
        <w:t>son: los jóvenes de 16 hasta 30 años, las mujeres contratadas en profesiones de bajo índice de empleo femenino, los mayores de 45 años, los desempleados inscritos durante 6 ó más meses y los trabajadores que, en la fecha de celebración del nuevo contrato de fomento de la contratación indefinida, estuvieran empleados en la misma empresa mediante un contrato de duración determinada o temporal, incluidos los contratos formativos, celebrado con anterioridad al 31 de diciembre de 2003.</w:t>
      </w:r>
    </w:p>
    <w:p w:rsidR="00000000" w:rsidRDefault="00000000">
      <w:pPr>
        <w:pStyle w:val="FootnoteText"/>
        <w:ind w:left="662" w:right="418" w:firstLine="0"/>
        <w:rPr>
          <w:sz w:val="16"/>
        </w:rPr>
      </w:pPr>
      <w:r>
        <w:rPr>
          <w:snapToGrid w:val="0"/>
          <w:sz w:val="16"/>
          <w:lang w:eastAsia="es-ES"/>
        </w:rPr>
        <w:t>(*) Las bonificaciones son incompatibles entre sí, debiendo el beneficiario optar por las correspondientes a sólo uno de los supuestos en los que se halle incluido un mismo trabajador. El fomento de la contratación de trabajadores</w:t>
      </w:r>
    </w:p>
  </w:footnote>
  <w:footnote w:id="4">
    <w:p w:rsidR="00000000" w:rsidRDefault="00000000">
      <w:pPr>
        <w:pStyle w:val="FootnoteText"/>
        <w:ind w:left="662" w:right="418" w:firstLine="0"/>
        <w:rPr>
          <w:sz w:val="16"/>
        </w:rPr>
      </w:pPr>
      <w:r>
        <w:rPr>
          <w:rStyle w:val="FootnoteReference"/>
          <w:sz w:val="16"/>
        </w:rPr>
        <w:t>3</w:t>
      </w:r>
      <w:r>
        <w:rPr>
          <w:sz w:val="16"/>
        </w:rPr>
        <w:t xml:space="preserve"> </w:t>
      </w:r>
      <w:r>
        <w:rPr>
          <w:snapToGrid w:val="0"/>
          <w:sz w:val="16"/>
          <w:lang w:eastAsia="es-ES"/>
        </w:rPr>
        <w:t>) Cuantía de la bonificación de cuotas en caso de que la contratación se realice a tiempo completo con una mujer. A esta cuantía se le puede sumar, en su caso, el incremento de la nota nº 1</w:t>
      </w:r>
    </w:p>
  </w:footnote>
  <w:footnote w:id="5">
    <w:p w:rsidR="00000000" w:rsidRDefault="00000000">
      <w:pPr>
        <w:pStyle w:val="FootnoteText"/>
        <w:ind w:left="662" w:right="562" w:firstLine="0"/>
        <w:jc w:val="both"/>
        <w:rPr>
          <w:sz w:val="16"/>
        </w:rPr>
      </w:pPr>
      <w:r>
        <w:rPr>
          <w:rStyle w:val="FootnoteReference"/>
        </w:rPr>
        <w:t>1</w:t>
      </w:r>
      <w:r>
        <w:rPr>
          <w:sz w:val="16"/>
        </w:rPr>
        <w:t xml:space="preserve"> (*) </w:t>
      </w:r>
      <w:r>
        <w:rPr>
          <w:rFonts w:ascii="Arial" w:hAnsi="Arial"/>
          <w:sz w:val="16"/>
        </w:rPr>
        <w:t>Hasta Enero</w:t>
      </w:r>
      <w:r>
        <w:rPr>
          <w:sz w:val="16"/>
        </w:rPr>
        <w:t xml:space="preserve"> 2002</w:t>
      </w:r>
      <w:r>
        <w:rPr>
          <w:rFonts w:ascii="Arial" w:hAnsi="Arial"/>
          <w:sz w:val="16"/>
        </w:rPr>
        <w:t xml:space="preserve">, en el concepto “análogo” sólo se incluía a la Pareja de Hecho. A partir de ésta se incluyen: excónyuge, (incluido) separado/a - divorciado/a, compañero/a sentimental, excompañero/a sentimental, novio/a o exnovio/a. No se incluyen datos del País Vasco, Girona y Lleida.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CEDAW/C/ESP/5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CEDAW/C/ESP/5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/C/ESP/5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abril de 2003</w:t>
          </w:r>
        </w:p>
        <w:p w:rsidR="00000000" w:rsidRDefault="00000000"/>
        <w:p w:rsidR="00000000" w:rsidRDefault="00000000">
          <w:r>
            <w:t>Original: español</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CEDAW/C/ESP/5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r>
                  <w:rPr>
                    <w:b w:val="0"/>
                    <w:sz w:val="14"/>
                  </w:rPr>
                  <w:tab/>
                </w:r>
                <w:r>
                  <w:fldChar w:fldCharType="begin"/>
                </w:r>
                <w:r>
                  <w:instrText xml:space="preserve"> PAGE  \* MERGEFORMAT </w:instrText>
                </w:r>
                <w:r>
                  <w:fldChar w:fldCharType="separate"/>
                </w:r>
                <w:r>
                  <w:t>30</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CEDAW/C/ESP/5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CEDAW/C/ESP/5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CEDAW/C/ESP/5</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30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p>
            </w:txbxContent>
          </v:textbox>
        </v:shape>
      </w:pict>
    </w:r>
    <w:r>
      <w:pict>
        <v:shape id="_x0000_s1041" type="#_x0000_t202" style="position:absolute;margin-left:627.05pt;margin-top:60pt;width:62.85pt;height:491.75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CEDAW/C/ESP/5</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0333030s.doc</w:t>
                </w:r>
                <w:r>
                  <w:rPr>
                    <w:b w:val="0"/>
                    <w:sz w:val="14"/>
                  </w:rPr>
                  <w:fldChar w:fldCharType="end"/>
                </w:r>
                <w:r>
                  <w:rPr>
                    <w:b w:val="0"/>
                    <w:sz w:val="14"/>
                  </w:rPr>
                  <w:tab/>
                </w:r>
                <w:r>
                  <w:fldChar w:fldCharType="begin"/>
                </w:r>
                <w:r>
                  <w:instrText xml:space="preserve"> PAGE  \* MERGEFORMAT </w:instrText>
                </w:r>
                <w:r>
                  <w:fldChar w:fldCharType="separate"/>
                </w:r>
                <w:r>
                  <w:t>47</w:t>
                </w:r>
                <w:r>
                  <w:fldChar w:fldCharType="end"/>
                </w:r>
              </w:p>
            </w:txbxContent>
          </v:textbox>
        </v:shape>
      </w:pict>
    </w:r>
    <w:r>
      <w:pict>
        <v:shape id="_x0000_s1039"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CEDAW/C/ESP/5</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CEDAW/C/ESP/5</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CEDAW/C/ESP/5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D24242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FE581A5E"/>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641ACC62"/>
    <w:lvl w:ilvl="0">
      <w:start w:val="1"/>
      <w:numFmt w:val="bullet"/>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0086F4C"/>
    <w:multiLevelType w:val="singleLevel"/>
    <w:tmpl w:val="1FF2E84C"/>
    <w:lvl w:ilvl="0">
      <w:start w:val="4"/>
      <w:numFmt w:val="decimal"/>
      <w:lvlText w:val="%1-"/>
      <w:lvlJc w:val="left"/>
      <w:pPr>
        <w:tabs>
          <w:tab w:val="num" w:pos="360"/>
        </w:tabs>
        <w:ind w:left="360" w:hanging="360"/>
      </w:pPr>
      <w:rPr>
        <w:rFonts w:hint="default"/>
      </w:rPr>
    </w:lvl>
  </w:abstractNum>
  <w:abstractNum w:abstractNumId="6">
    <w:nsid w:val="003D55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004E5077"/>
    <w:multiLevelType w:val="multilevel"/>
    <w:tmpl w:val="9FAE814A"/>
    <w:lvl w:ilvl="0">
      <w:start w:val="5"/>
      <w:numFmt w:val="decimal"/>
      <w:lvlText w:val="%1."/>
      <w:lvlJc w:val="left"/>
      <w:pPr>
        <w:tabs>
          <w:tab w:val="num" w:pos="400"/>
        </w:tabs>
        <w:ind w:left="400" w:hanging="40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0068523E"/>
    <w:multiLevelType w:val="multilevel"/>
    <w:tmpl w:val="A0F67254"/>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737654"/>
    <w:multiLevelType w:val="multilevel"/>
    <w:tmpl w:val="A5D0850E"/>
    <w:lvl w:ilvl="0">
      <w:start w:val="4"/>
      <w:numFmt w:val="decimal"/>
      <w:lvlText w:val="%1."/>
      <w:lvlJc w:val="left"/>
      <w:pPr>
        <w:tabs>
          <w:tab w:val="num" w:pos="411"/>
        </w:tabs>
        <w:ind w:left="411" w:hanging="411"/>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0AA1887"/>
    <w:multiLevelType w:val="singleLevel"/>
    <w:tmpl w:val="EFFE8AD2"/>
    <w:lvl w:ilvl="0">
      <w:numFmt w:val="bullet"/>
      <w:lvlText w:val="-"/>
      <w:lvlJc w:val="left"/>
      <w:pPr>
        <w:tabs>
          <w:tab w:val="num" w:pos="1068"/>
        </w:tabs>
        <w:ind w:left="1068" w:hanging="360"/>
      </w:pPr>
      <w:rPr>
        <w:rFonts w:ascii="Times New Roman" w:hAnsi="Times New Roman" w:hint="default"/>
      </w:rPr>
    </w:lvl>
  </w:abstractNum>
  <w:abstractNum w:abstractNumId="11">
    <w:nsid w:val="00BA7C4F"/>
    <w:multiLevelType w:val="multilevel"/>
    <w:tmpl w:val="54A238C8"/>
    <w:lvl w:ilvl="0">
      <w:start w:val="4"/>
      <w:numFmt w:val="decimal"/>
      <w:lvlText w:val="%1."/>
      <w:lvlJc w:val="left"/>
      <w:pPr>
        <w:tabs>
          <w:tab w:val="num" w:pos="570"/>
        </w:tabs>
        <w:ind w:left="570" w:hanging="57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00C243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00CE1288"/>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4">
    <w:nsid w:val="00D224E8"/>
    <w:multiLevelType w:val="singleLevel"/>
    <w:tmpl w:val="F8ECF7B8"/>
    <w:lvl w:ilvl="0">
      <w:start w:val="1"/>
      <w:numFmt w:val="bullet"/>
      <w:lvlText w:val="-"/>
      <w:lvlJc w:val="left"/>
      <w:pPr>
        <w:tabs>
          <w:tab w:val="num" w:pos="1785"/>
        </w:tabs>
        <w:ind w:left="1785" w:hanging="360"/>
      </w:pPr>
      <w:rPr>
        <w:rFonts w:hint="default"/>
      </w:rPr>
    </w:lvl>
  </w:abstractNum>
  <w:abstractNum w:abstractNumId="15">
    <w:nsid w:val="00DD4D35"/>
    <w:multiLevelType w:val="singleLevel"/>
    <w:tmpl w:val="0C0A000F"/>
    <w:lvl w:ilvl="0">
      <w:start w:val="1"/>
      <w:numFmt w:val="decimal"/>
      <w:lvlText w:val="%1."/>
      <w:lvlJc w:val="left"/>
      <w:pPr>
        <w:tabs>
          <w:tab w:val="num" w:pos="360"/>
        </w:tabs>
        <w:ind w:left="360" w:hanging="360"/>
      </w:pPr>
      <w:rPr>
        <w:rFonts w:hint="default"/>
      </w:rPr>
    </w:lvl>
  </w:abstractNum>
  <w:abstractNum w:abstractNumId="16">
    <w:nsid w:val="00E87A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00FC00F4"/>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8">
    <w:nsid w:val="00FC7618"/>
    <w:multiLevelType w:val="singleLevel"/>
    <w:tmpl w:val="7EE6C5CC"/>
    <w:lvl w:ilvl="0">
      <w:start w:val="2"/>
      <w:numFmt w:val="bullet"/>
      <w:lvlText w:val="-"/>
      <w:lvlJc w:val="left"/>
      <w:pPr>
        <w:tabs>
          <w:tab w:val="num" w:pos="360"/>
        </w:tabs>
        <w:ind w:left="360" w:hanging="360"/>
      </w:pPr>
      <w:rPr>
        <w:rFonts w:ascii="Times New Roman" w:hAnsi="Times New Roman" w:hint="default"/>
      </w:rPr>
    </w:lvl>
  </w:abstractNum>
  <w:abstractNum w:abstractNumId="19">
    <w:nsid w:val="01153C92"/>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20">
    <w:nsid w:val="012930BE"/>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21">
    <w:nsid w:val="01345D8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nsid w:val="01944A35"/>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23">
    <w:nsid w:val="019E3BF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4">
    <w:nsid w:val="01AF37D3"/>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25">
    <w:nsid w:val="01B707AC"/>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26">
    <w:nsid w:val="01C87AF5"/>
    <w:multiLevelType w:val="singleLevel"/>
    <w:tmpl w:val="F8ECF7B8"/>
    <w:lvl w:ilvl="0">
      <w:start w:val="1"/>
      <w:numFmt w:val="bullet"/>
      <w:lvlText w:val="-"/>
      <w:lvlJc w:val="left"/>
      <w:pPr>
        <w:tabs>
          <w:tab w:val="num" w:pos="1785"/>
        </w:tabs>
        <w:ind w:left="1785" w:hanging="360"/>
      </w:pPr>
      <w:rPr>
        <w:rFonts w:hint="default"/>
      </w:rPr>
    </w:lvl>
  </w:abstractNum>
  <w:abstractNum w:abstractNumId="27">
    <w:nsid w:val="01CE6BAA"/>
    <w:multiLevelType w:val="multilevel"/>
    <w:tmpl w:val="7186C65C"/>
    <w:lvl w:ilvl="0">
      <w:start w:val="6"/>
      <w:numFmt w:val="decimal"/>
      <w:lvlText w:val="%1"/>
      <w:lvlJc w:val="left"/>
      <w:pPr>
        <w:tabs>
          <w:tab w:val="num" w:pos="585"/>
        </w:tabs>
        <w:ind w:left="585" w:hanging="585"/>
      </w:pPr>
      <w:rPr>
        <w:rFonts w:hint="default"/>
      </w:rPr>
    </w:lvl>
    <w:lvl w:ilvl="1">
      <w:start w:val="2"/>
      <w:numFmt w:val="decimal"/>
      <w:lvlText w:val="%1.%2"/>
      <w:lvlJc w:val="left"/>
      <w:pPr>
        <w:tabs>
          <w:tab w:val="num" w:pos="1287"/>
        </w:tabs>
        <w:ind w:left="1287" w:hanging="585"/>
      </w:pPr>
      <w:rPr>
        <w:rFonts w:hint="default"/>
      </w:rPr>
    </w:lvl>
    <w:lvl w:ilvl="2">
      <w:start w:val="1"/>
      <w:numFmt w:val="decimal"/>
      <w:lvlText w:val="%1.%2.%3"/>
      <w:lvlJc w:val="left"/>
      <w:pPr>
        <w:tabs>
          <w:tab w:val="num" w:pos="2124"/>
        </w:tabs>
        <w:ind w:left="2124" w:hanging="720"/>
      </w:pPr>
      <w:rPr>
        <w:rFonts w:hint="default"/>
      </w:rPr>
    </w:lvl>
    <w:lvl w:ilvl="3">
      <w:start w:val="1"/>
      <w:numFmt w:val="decimal"/>
      <w:lvlText w:val="%1.%2.%3.%4"/>
      <w:lvlJc w:val="left"/>
      <w:pPr>
        <w:tabs>
          <w:tab w:val="num" w:pos="3186"/>
        </w:tabs>
        <w:ind w:left="3186" w:hanging="1080"/>
      </w:pPr>
      <w:rPr>
        <w:rFonts w:hint="default"/>
      </w:rPr>
    </w:lvl>
    <w:lvl w:ilvl="4">
      <w:start w:val="1"/>
      <w:numFmt w:val="decimal"/>
      <w:lvlText w:val="%1.%2.%3.%4.%5"/>
      <w:lvlJc w:val="left"/>
      <w:pPr>
        <w:tabs>
          <w:tab w:val="num" w:pos="3888"/>
        </w:tabs>
        <w:ind w:left="3888" w:hanging="1080"/>
      </w:pPr>
      <w:rPr>
        <w:rFonts w:hint="default"/>
      </w:rPr>
    </w:lvl>
    <w:lvl w:ilvl="5">
      <w:start w:val="1"/>
      <w:numFmt w:val="decimal"/>
      <w:lvlText w:val="%1.%2.%3.%4.%5.%6"/>
      <w:lvlJc w:val="left"/>
      <w:pPr>
        <w:tabs>
          <w:tab w:val="num" w:pos="4950"/>
        </w:tabs>
        <w:ind w:left="4950" w:hanging="1440"/>
      </w:pPr>
      <w:rPr>
        <w:rFonts w:hint="default"/>
      </w:rPr>
    </w:lvl>
    <w:lvl w:ilvl="6">
      <w:start w:val="1"/>
      <w:numFmt w:val="decimal"/>
      <w:lvlText w:val="%1.%2.%3.%4.%5.%6.%7"/>
      <w:lvlJc w:val="left"/>
      <w:pPr>
        <w:tabs>
          <w:tab w:val="num" w:pos="5652"/>
        </w:tabs>
        <w:ind w:left="5652" w:hanging="1440"/>
      </w:pPr>
      <w:rPr>
        <w:rFonts w:hint="default"/>
      </w:rPr>
    </w:lvl>
    <w:lvl w:ilvl="7">
      <w:start w:val="1"/>
      <w:numFmt w:val="decimal"/>
      <w:lvlText w:val="%1.%2.%3.%4.%5.%6.%7.%8"/>
      <w:lvlJc w:val="left"/>
      <w:pPr>
        <w:tabs>
          <w:tab w:val="num" w:pos="6714"/>
        </w:tabs>
        <w:ind w:left="6714" w:hanging="1800"/>
      </w:pPr>
      <w:rPr>
        <w:rFonts w:hint="default"/>
      </w:rPr>
    </w:lvl>
    <w:lvl w:ilvl="8">
      <w:start w:val="1"/>
      <w:numFmt w:val="decimal"/>
      <w:lvlText w:val="%1.%2.%3.%4.%5.%6.%7.%8.%9"/>
      <w:lvlJc w:val="left"/>
      <w:pPr>
        <w:tabs>
          <w:tab w:val="num" w:pos="7416"/>
        </w:tabs>
        <w:ind w:left="7416" w:hanging="1800"/>
      </w:pPr>
      <w:rPr>
        <w:rFonts w:hint="default"/>
      </w:rPr>
    </w:lvl>
  </w:abstractNum>
  <w:abstractNum w:abstractNumId="28">
    <w:nsid w:val="01D910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01E302E5"/>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0">
    <w:nsid w:val="01E55B75"/>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1">
    <w:nsid w:val="01FF33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nsid w:val="021D4A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02231B2B"/>
    <w:multiLevelType w:val="multilevel"/>
    <w:tmpl w:val="FBB6365C"/>
    <w:lvl w:ilvl="0">
      <w:start w:val="3"/>
      <w:numFmt w:val="decimal"/>
      <w:lvlText w:val="%1."/>
      <w:lvlJc w:val="left"/>
      <w:pPr>
        <w:tabs>
          <w:tab w:val="num" w:pos="390"/>
        </w:tabs>
        <w:ind w:left="390" w:hanging="390"/>
      </w:pPr>
      <w:rPr>
        <w:rFonts w:cs="Arial" w:hint="default"/>
      </w:rPr>
    </w:lvl>
    <w:lvl w:ilvl="1">
      <w:start w:val="3"/>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2160"/>
        </w:tabs>
        <w:ind w:left="2160" w:hanging="2160"/>
      </w:pPr>
      <w:rPr>
        <w:rFonts w:cs="Arial" w:hint="default"/>
      </w:rPr>
    </w:lvl>
  </w:abstractNum>
  <w:abstractNum w:abstractNumId="34">
    <w:nsid w:val="022C6E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023278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023E3E77"/>
    <w:multiLevelType w:val="singleLevel"/>
    <w:tmpl w:val="57F26D54"/>
    <w:lvl w:ilvl="0">
      <w:start w:val="3"/>
      <w:numFmt w:val="decimal"/>
      <w:lvlText w:val="2.%1. "/>
      <w:legacy w:legacy="1" w:legacySpace="0" w:legacyIndent="283"/>
      <w:lvlJc w:val="left"/>
      <w:pPr>
        <w:ind w:left="283" w:hanging="283"/>
      </w:pPr>
      <w:rPr>
        <w:rFonts w:ascii="Arial" w:hAnsi="Arial" w:hint="default"/>
        <w:b w:val="0"/>
        <w:i w:val="0"/>
        <w:sz w:val="24"/>
        <w:u w:val="none"/>
      </w:rPr>
    </w:lvl>
  </w:abstractNum>
  <w:abstractNum w:abstractNumId="37">
    <w:nsid w:val="025F162C"/>
    <w:multiLevelType w:val="singleLevel"/>
    <w:tmpl w:val="29DAF436"/>
    <w:lvl w:ilvl="0">
      <w:start w:val="6"/>
      <w:numFmt w:val="bullet"/>
      <w:lvlText w:val=""/>
      <w:lvlJc w:val="left"/>
      <w:pPr>
        <w:tabs>
          <w:tab w:val="num" w:pos="927"/>
        </w:tabs>
        <w:ind w:left="927" w:hanging="360"/>
      </w:pPr>
      <w:rPr>
        <w:rFonts w:ascii="Symbol" w:hAnsi="Symbol" w:hint="default"/>
      </w:rPr>
    </w:lvl>
  </w:abstractNum>
  <w:abstractNum w:abstractNumId="38">
    <w:nsid w:val="02674530"/>
    <w:multiLevelType w:val="singleLevel"/>
    <w:tmpl w:val="F9BC5D1A"/>
    <w:lvl w:ilvl="0">
      <w:start w:val="1"/>
      <w:numFmt w:val="bullet"/>
      <w:lvlText w:val="-"/>
      <w:lvlJc w:val="left"/>
      <w:pPr>
        <w:tabs>
          <w:tab w:val="num" w:pos="786"/>
        </w:tabs>
        <w:ind w:left="786" w:hanging="360"/>
      </w:pPr>
      <w:rPr>
        <w:rFonts w:ascii="Times New Roman" w:hAnsi="Times New Roman" w:hint="default"/>
      </w:rPr>
    </w:lvl>
  </w:abstractNum>
  <w:abstractNum w:abstractNumId="39">
    <w:nsid w:val="026E6B40"/>
    <w:multiLevelType w:val="singleLevel"/>
    <w:tmpl w:val="78224A6E"/>
    <w:lvl w:ilvl="0">
      <w:start w:val="1"/>
      <w:numFmt w:val="bullet"/>
      <w:lvlText w:val="-"/>
      <w:lvlJc w:val="left"/>
      <w:pPr>
        <w:tabs>
          <w:tab w:val="num" w:pos="1776"/>
        </w:tabs>
        <w:ind w:left="1776" w:hanging="360"/>
      </w:pPr>
      <w:rPr>
        <w:rFonts w:ascii="Times New Roman" w:hAnsi="Times New Roman" w:hint="default"/>
      </w:rPr>
    </w:lvl>
  </w:abstractNum>
  <w:abstractNum w:abstractNumId="40">
    <w:nsid w:val="02773A3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1">
    <w:nsid w:val="028604D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nsid w:val="029416ED"/>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3">
    <w:nsid w:val="02B15D26"/>
    <w:multiLevelType w:val="singleLevel"/>
    <w:tmpl w:val="0C0A000F"/>
    <w:lvl w:ilvl="0">
      <w:start w:val="1"/>
      <w:numFmt w:val="decimal"/>
      <w:lvlText w:val="%1."/>
      <w:lvlJc w:val="left"/>
      <w:pPr>
        <w:tabs>
          <w:tab w:val="num" w:pos="360"/>
        </w:tabs>
        <w:ind w:left="360" w:hanging="360"/>
      </w:pPr>
    </w:lvl>
  </w:abstractNum>
  <w:abstractNum w:abstractNumId="44">
    <w:nsid w:val="02D01900"/>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45">
    <w:nsid w:val="02FD5A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0311584D"/>
    <w:multiLevelType w:val="singleLevel"/>
    <w:tmpl w:val="0C0A0017"/>
    <w:lvl w:ilvl="0">
      <w:start w:val="1"/>
      <w:numFmt w:val="lowerLetter"/>
      <w:lvlText w:val="%1)"/>
      <w:lvlJc w:val="left"/>
      <w:pPr>
        <w:tabs>
          <w:tab w:val="num" w:pos="360"/>
        </w:tabs>
        <w:ind w:left="360" w:hanging="360"/>
      </w:pPr>
    </w:lvl>
  </w:abstractNum>
  <w:abstractNum w:abstractNumId="47">
    <w:nsid w:val="032C4B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033711A5"/>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49">
    <w:nsid w:val="034F180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50">
    <w:nsid w:val="03626D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036736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036F58DD"/>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53">
    <w:nsid w:val="038D57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03980D8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55">
    <w:nsid w:val="03A15FF8"/>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56">
    <w:nsid w:val="03B01648"/>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57">
    <w:nsid w:val="03B8539F"/>
    <w:multiLevelType w:val="singleLevel"/>
    <w:tmpl w:val="0C0A000F"/>
    <w:lvl w:ilvl="0">
      <w:start w:val="1"/>
      <w:numFmt w:val="decimal"/>
      <w:lvlText w:val="%1."/>
      <w:lvlJc w:val="left"/>
      <w:pPr>
        <w:tabs>
          <w:tab w:val="num" w:pos="360"/>
        </w:tabs>
        <w:ind w:left="360" w:hanging="360"/>
      </w:pPr>
    </w:lvl>
  </w:abstractNum>
  <w:abstractNum w:abstractNumId="58">
    <w:nsid w:val="03D068B8"/>
    <w:multiLevelType w:val="singleLevel"/>
    <w:tmpl w:val="6C1E5848"/>
    <w:lvl w:ilvl="0">
      <w:start w:val="4"/>
      <w:numFmt w:val="decimal"/>
      <w:lvlText w:val="3.%1. "/>
      <w:legacy w:legacy="1" w:legacySpace="0" w:legacyIndent="283"/>
      <w:lvlJc w:val="left"/>
      <w:pPr>
        <w:ind w:left="283" w:hanging="283"/>
      </w:pPr>
      <w:rPr>
        <w:rFonts w:ascii="Arial" w:hAnsi="Arial" w:hint="default"/>
        <w:b w:val="0"/>
        <w:i w:val="0"/>
        <w:sz w:val="24"/>
        <w:u w:val="none"/>
      </w:rPr>
    </w:lvl>
  </w:abstractNum>
  <w:abstractNum w:abstractNumId="59">
    <w:nsid w:val="03D1266A"/>
    <w:multiLevelType w:val="singleLevel"/>
    <w:tmpl w:val="EFFE8AD2"/>
    <w:lvl w:ilvl="0">
      <w:numFmt w:val="bullet"/>
      <w:lvlText w:val="-"/>
      <w:lvlJc w:val="left"/>
      <w:pPr>
        <w:tabs>
          <w:tab w:val="num" w:pos="1068"/>
        </w:tabs>
        <w:ind w:left="1068" w:hanging="360"/>
      </w:pPr>
      <w:rPr>
        <w:rFonts w:ascii="Times New Roman" w:hAnsi="Times New Roman" w:hint="default"/>
      </w:rPr>
    </w:lvl>
  </w:abstractNum>
  <w:abstractNum w:abstractNumId="60">
    <w:nsid w:val="03D3572E"/>
    <w:multiLevelType w:val="multilevel"/>
    <w:tmpl w:val="6EA2A31E"/>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03EA55D2"/>
    <w:multiLevelType w:val="singleLevel"/>
    <w:tmpl w:val="971ED780"/>
    <w:lvl w:ilvl="0">
      <w:start w:val="1"/>
      <w:numFmt w:val="lowerLetter"/>
      <w:lvlText w:val="%1)"/>
      <w:lvlJc w:val="left"/>
      <w:pPr>
        <w:tabs>
          <w:tab w:val="num" w:pos="2130"/>
        </w:tabs>
        <w:ind w:left="2130" w:hanging="705"/>
      </w:pPr>
      <w:rPr>
        <w:rFonts w:hint="default"/>
      </w:rPr>
    </w:lvl>
  </w:abstractNum>
  <w:abstractNum w:abstractNumId="62">
    <w:nsid w:val="03FE5965"/>
    <w:multiLevelType w:val="singleLevel"/>
    <w:tmpl w:val="0C0A000F"/>
    <w:lvl w:ilvl="0">
      <w:start w:val="1"/>
      <w:numFmt w:val="decimal"/>
      <w:lvlText w:val="%1."/>
      <w:lvlJc w:val="left"/>
      <w:pPr>
        <w:tabs>
          <w:tab w:val="num" w:pos="360"/>
        </w:tabs>
        <w:ind w:left="360" w:hanging="360"/>
      </w:pPr>
    </w:lvl>
  </w:abstractNum>
  <w:abstractNum w:abstractNumId="63">
    <w:nsid w:val="04247862"/>
    <w:multiLevelType w:val="singleLevel"/>
    <w:tmpl w:val="0C0A0017"/>
    <w:lvl w:ilvl="0">
      <w:start w:val="1"/>
      <w:numFmt w:val="lowerLetter"/>
      <w:lvlText w:val="%1)"/>
      <w:lvlJc w:val="left"/>
      <w:pPr>
        <w:tabs>
          <w:tab w:val="num" w:pos="360"/>
        </w:tabs>
        <w:ind w:left="360" w:hanging="360"/>
      </w:pPr>
    </w:lvl>
  </w:abstractNum>
  <w:abstractNum w:abstractNumId="64">
    <w:nsid w:val="043517C5"/>
    <w:multiLevelType w:val="singleLevel"/>
    <w:tmpl w:val="5EC637BA"/>
    <w:lvl w:ilvl="0">
      <w:numFmt w:val="bullet"/>
      <w:lvlText w:val="-"/>
      <w:lvlJc w:val="left"/>
      <w:pPr>
        <w:tabs>
          <w:tab w:val="num" w:pos="1068"/>
        </w:tabs>
        <w:ind w:left="1068" w:hanging="360"/>
      </w:pPr>
      <w:rPr>
        <w:rFonts w:hint="default"/>
      </w:rPr>
    </w:lvl>
  </w:abstractNum>
  <w:abstractNum w:abstractNumId="65">
    <w:nsid w:val="043B0C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04573CDD"/>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7">
    <w:nsid w:val="046E21B6"/>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68">
    <w:nsid w:val="0480426A"/>
    <w:multiLevelType w:val="singleLevel"/>
    <w:tmpl w:val="07824C0E"/>
    <w:lvl w:ilvl="0">
      <w:start w:val="1"/>
      <w:numFmt w:val="bullet"/>
      <w:lvlText w:val="-"/>
      <w:lvlJc w:val="left"/>
      <w:pPr>
        <w:tabs>
          <w:tab w:val="num" w:pos="1065"/>
        </w:tabs>
        <w:ind w:left="1065" w:hanging="360"/>
      </w:pPr>
      <w:rPr>
        <w:rFonts w:ascii="Times New Roman" w:hAnsi="Times New Roman" w:hint="default"/>
      </w:rPr>
    </w:lvl>
  </w:abstractNum>
  <w:abstractNum w:abstractNumId="69">
    <w:nsid w:val="048F1F4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0">
    <w:nsid w:val="04903BBE"/>
    <w:multiLevelType w:val="multilevel"/>
    <w:tmpl w:val="8A125C52"/>
    <w:lvl w:ilvl="0">
      <w:start w:val="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04A30810"/>
    <w:multiLevelType w:val="singleLevel"/>
    <w:tmpl w:val="0C80F4DA"/>
    <w:lvl w:ilvl="0">
      <w:start w:val="1"/>
      <w:numFmt w:val="bullet"/>
      <w:lvlText w:val=""/>
      <w:lvlJc w:val="left"/>
      <w:pPr>
        <w:tabs>
          <w:tab w:val="num" w:pos="360"/>
        </w:tabs>
        <w:ind w:left="360" w:hanging="360"/>
      </w:pPr>
      <w:rPr>
        <w:rFonts w:ascii="Symbol" w:hAnsi="Symbol" w:hint="default"/>
      </w:rPr>
    </w:lvl>
  </w:abstractNum>
  <w:abstractNum w:abstractNumId="72">
    <w:nsid w:val="04BE2D38"/>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3">
    <w:nsid w:val="04EC14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nsid w:val="04FE463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5">
    <w:nsid w:val="050E222E"/>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76">
    <w:nsid w:val="05234255"/>
    <w:multiLevelType w:val="singleLevel"/>
    <w:tmpl w:val="07C22242"/>
    <w:lvl w:ilvl="0">
      <w:start w:val="4"/>
      <w:numFmt w:val="decimal"/>
      <w:lvlText w:val="%1"/>
      <w:lvlJc w:val="left"/>
      <w:pPr>
        <w:tabs>
          <w:tab w:val="num" w:pos="360"/>
        </w:tabs>
        <w:ind w:left="360" w:hanging="360"/>
      </w:pPr>
      <w:rPr>
        <w:rFonts w:hint="default"/>
        <w:i w:val="0"/>
      </w:rPr>
    </w:lvl>
  </w:abstractNum>
  <w:abstractNum w:abstractNumId="77">
    <w:nsid w:val="05315B66"/>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78">
    <w:nsid w:val="05333343"/>
    <w:multiLevelType w:val="singleLevel"/>
    <w:tmpl w:val="F8ECF7B8"/>
    <w:lvl w:ilvl="0">
      <w:start w:val="1"/>
      <w:numFmt w:val="bullet"/>
      <w:lvlText w:val="-"/>
      <w:lvlJc w:val="left"/>
      <w:pPr>
        <w:tabs>
          <w:tab w:val="num" w:pos="1785"/>
        </w:tabs>
        <w:ind w:left="1785" w:hanging="360"/>
      </w:pPr>
      <w:rPr>
        <w:rFonts w:hint="default"/>
      </w:rPr>
    </w:lvl>
  </w:abstractNum>
  <w:abstractNum w:abstractNumId="79">
    <w:nsid w:val="054550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nsid w:val="05455056"/>
    <w:multiLevelType w:val="singleLevel"/>
    <w:tmpl w:val="633A4814"/>
    <w:lvl w:ilvl="0">
      <w:start w:val="1"/>
      <w:numFmt w:val="upperLetter"/>
      <w:lvlText w:val="%1)"/>
      <w:lvlJc w:val="left"/>
      <w:pPr>
        <w:tabs>
          <w:tab w:val="num" w:pos="361"/>
        </w:tabs>
        <w:ind w:left="361" w:hanging="360"/>
      </w:pPr>
      <w:rPr>
        <w:rFonts w:hint="default"/>
      </w:rPr>
    </w:lvl>
  </w:abstractNum>
  <w:abstractNum w:abstractNumId="81">
    <w:nsid w:val="05511A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
    <w:nsid w:val="05C62B51"/>
    <w:multiLevelType w:val="singleLevel"/>
    <w:tmpl w:val="A66274E6"/>
    <w:lvl w:ilvl="0">
      <w:start w:val="1"/>
      <w:numFmt w:val="bullet"/>
      <w:lvlText w:val=""/>
      <w:lvlJc w:val="left"/>
      <w:pPr>
        <w:tabs>
          <w:tab w:val="num" w:pos="360"/>
        </w:tabs>
        <w:ind w:left="360" w:hanging="360"/>
      </w:pPr>
      <w:rPr>
        <w:rFonts w:ascii="Wingdings" w:hAnsi="Wingdings" w:hint="default"/>
      </w:rPr>
    </w:lvl>
  </w:abstractNum>
  <w:abstractNum w:abstractNumId="83">
    <w:nsid w:val="05CB7DD6"/>
    <w:multiLevelType w:val="multilevel"/>
    <w:tmpl w:val="A634A44E"/>
    <w:lvl w:ilvl="0">
      <w:start w:val="39"/>
      <w:numFmt w:val="decimal"/>
      <w:lvlText w:val="%1"/>
      <w:lvlJc w:val="left"/>
      <w:pPr>
        <w:tabs>
          <w:tab w:val="num" w:pos="705"/>
        </w:tabs>
        <w:ind w:left="705" w:hanging="705"/>
      </w:pPr>
      <w:rPr>
        <w:rFonts w:hint="default"/>
      </w:rPr>
    </w:lvl>
    <w:lvl w:ilvl="1">
      <w:start w:val="3"/>
      <w:numFmt w:val="decimal"/>
      <w:lvlText w:val="%1.%2"/>
      <w:lvlJc w:val="left"/>
      <w:pPr>
        <w:tabs>
          <w:tab w:val="num" w:pos="1272"/>
        </w:tabs>
        <w:ind w:left="1272" w:hanging="70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84">
    <w:nsid w:val="05FA0A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
    <w:nsid w:val="060D4C3D"/>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86">
    <w:nsid w:val="061D2782"/>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87">
    <w:nsid w:val="06424B68"/>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8">
    <w:nsid w:val="064B0DF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9">
    <w:nsid w:val="06824736"/>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90">
    <w:nsid w:val="06C140A0"/>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91">
    <w:nsid w:val="06C85021"/>
    <w:multiLevelType w:val="multilevel"/>
    <w:tmpl w:val="97342A1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2">
    <w:nsid w:val="06CF6D64"/>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93">
    <w:nsid w:val="06E94BB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4">
    <w:nsid w:val="06EB21DE"/>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95">
    <w:nsid w:val="070F7D90"/>
    <w:multiLevelType w:val="singleLevel"/>
    <w:tmpl w:val="22767C7C"/>
    <w:lvl w:ilvl="0">
      <w:start w:val="7"/>
      <w:numFmt w:val="upperLetter"/>
      <w:lvlText w:val="%1)"/>
      <w:lvlJc w:val="left"/>
      <w:pPr>
        <w:tabs>
          <w:tab w:val="num" w:pos="361"/>
        </w:tabs>
        <w:ind w:left="361" w:hanging="360"/>
      </w:pPr>
      <w:rPr>
        <w:rFonts w:hint="default"/>
      </w:rPr>
    </w:lvl>
  </w:abstractNum>
  <w:abstractNum w:abstractNumId="96">
    <w:nsid w:val="070F7F7F"/>
    <w:multiLevelType w:val="singleLevel"/>
    <w:tmpl w:val="8E3E8650"/>
    <w:lvl w:ilvl="0">
      <w:start w:val="1"/>
      <w:numFmt w:val="bullet"/>
      <w:lvlText w:val="-"/>
      <w:lvlJc w:val="left"/>
      <w:pPr>
        <w:tabs>
          <w:tab w:val="num" w:pos="360"/>
        </w:tabs>
        <w:ind w:left="360" w:hanging="360"/>
      </w:pPr>
      <w:rPr>
        <w:rFonts w:ascii="Times New Roman" w:hAnsi="Times New Roman" w:hint="default"/>
      </w:rPr>
    </w:lvl>
  </w:abstractNum>
  <w:abstractNum w:abstractNumId="97">
    <w:nsid w:val="07353E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0744660D"/>
    <w:multiLevelType w:val="singleLevel"/>
    <w:tmpl w:val="B4DC123A"/>
    <w:lvl w:ilvl="0">
      <w:start w:val="1"/>
      <w:numFmt w:val="lowerLetter"/>
      <w:lvlText w:val="%1)"/>
      <w:lvlJc w:val="left"/>
      <w:pPr>
        <w:tabs>
          <w:tab w:val="num" w:pos="720"/>
        </w:tabs>
        <w:ind w:left="720" w:hanging="360"/>
      </w:pPr>
      <w:rPr>
        <w:rFonts w:hint="default"/>
      </w:rPr>
    </w:lvl>
  </w:abstractNum>
  <w:abstractNum w:abstractNumId="99">
    <w:nsid w:val="07462B22"/>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00">
    <w:nsid w:val="074F04BD"/>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1">
    <w:nsid w:val="07876523"/>
    <w:multiLevelType w:val="multilevel"/>
    <w:tmpl w:val="2BA4BFF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23"/>
        </w:tabs>
        <w:ind w:left="1123" w:hanging="840"/>
      </w:pPr>
      <w:rPr>
        <w:rFonts w:hint="default"/>
        <w:i w:val="0"/>
      </w:rPr>
    </w:lvl>
    <w:lvl w:ilvl="2">
      <w:start w:val="4"/>
      <w:numFmt w:val="decimal"/>
      <w:isLgl/>
      <w:lvlText w:val="%1.%2.%3."/>
      <w:lvlJc w:val="left"/>
      <w:pPr>
        <w:tabs>
          <w:tab w:val="num" w:pos="1406"/>
        </w:tabs>
        <w:ind w:left="1406" w:hanging="840"/>
      </w:pPr>
      <w:rPr>
        <w:rFonts w:hint="default"/>
        <w:i w:val="0"/>
      </w:rPr>
    </w:lvl>
    <w:lvl w:ilvl="3">
      <w:start w:val="1"/>
      <w:numFmt w:val="decimal"/>
      <w:isLgl/>
      <w:lvlText w:val="%1.%2.%3.%4."/>
      <w:lvlJc w:val="left"/>
      <w:pPr>
        <w:tabs>
          <w:tab w:val="num" w:pos="1929"/>
        </w:tabs>
        <w:ind w:left="1929" w:hanging="1080"/>
      </w:pPr>
      <w:rPr>
        <w:rFonts w:hint="default"/>
        <w:i w:val="0"/>
      </w:rPr>
    </w:lvl>
    <w:lvl w:ilvl="4">
      <w:start w:val="1"/>
      <w:numFmt w:val="decimal"/>
      <w:isLgl/>
      <w:lvlText w:val="%1.%2.%3.%4.%5."/>
      <w:lvlJc w:val="left"/>
      <w:pPr>
        <w:tabs>
          <w:tab w:val="num" w:pos="2212"/>
        </w:tabs>
        <w:ind w:left="2212" w:hanging="1080"/>
      </w:pPr>
      <w:rPr>
        <w:rFonts w:hint="default"/>
        <w:i w:val="0"/>
      </w:rPr>
    </w:lvl>
    <w:lvl w:ilvl="5">
      <w:start w:val="1"/>
      <w:numFmt w:val="decimal"/>
      <w:isLgl/>
      <w:lvlText w:val="%1.%2.%3.%4.%5.%6."/>
      <w:lvlJc w:val="left"/>
      <w:pPr>
        <w:tabs>
          <w:tab w:val="num" w:pos="2855"/>
        </w:tabs>
        <w:ind w:left="2855" w:hanging="1440"/>
      </w:pPr>
      <w:rPr>
        <w:rFonts w:hint="default"/>
        <w:i w:val="0"/>
      </w:rPr>
    </w:lvl>
    <w:lvl w:ilvl="6">
      <w:start w:val="1"/>
      <w:numFmt w:val="decimal"/>
      <w:isLgl/>
      <w:lvlText w:val="%1.%2.%3.%4.%5.%6.%7."/>
      <w:lvlJc w:val="left"/>
      <w:pPr>
        <w:tabs>
          <w:tab w:val="num" w:pos="3138"/>
        </w:tabs>
        <w:ind w:left="3138" w:hanging="1440"/>
      </w:pPr>
      <w:rPr>
        <w:rFonts w:hint="default"/>
        <w:i w:val="0"/>
      </w:rPr>
    </w:lvl>
    <w:lvl w:ilvl="7">
      <w:start w:val="1"/>
      <w:numFmt w:val="decimal"/>
      <w:isLgl/>
      <w:lvlText w:val="%1.%2.%3.%4.%5.%6.%7.%8."/>
      <w:lvlJc w:val="left"/>
      <w:pPr>
        <w:tabs>
          <w:tab w:val="num" w:pos="3781"/>
        </w:tabs>
        <w:ind w:left="3781" w:hanging="1800"/>
      </w:pPr>
      <w:rPr>
        <w:rFonts w:hint="default"/>
        <w:i w:val="0"/>
      </w:rPr>
    </w:lvl>
    <w:lvl w:ilvl="8">
      <w:start w:val="1"/>
      <w:numFmt w:val="decimal"/>
      <w:isLgl/>
      <w:lvlText w:val="%1.%2.%3.%4.%5.%6.%7.%8.%9."/>
      <w:lvlJc w:val="left"/>
      <w:pPr>
        <w:tabs>
          <w:tab w:val="num" w:pos="4424"/>
        </w:tabs>
        <w:ind w:left="4424" w:hanging="2160"/>
      </w:pPr>
      <w:rPr>
        <w:rFonts w:hint="default"/>
        <w:i w:val="0"/>
      </w:rPr>
    </w:lvl>
  </w:abstractNum>
  <w:abstractNum w:abstractNumId="102">
    <w:nsid w:val="07975C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
    <w:nsid w:val="07A0447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07E3411A"/>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05">
    <w:nsid w:val="07EA50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
    <w:nsid w:val="080A22E5"/>
    <w:multiLevelType w:val="singleLevel"/>
    <w:tmpl w:val="E83CFE02"/>
    <w:lvl w:ilvl="0">
      <w:start w:val="1"/>
      <w:numFmt w:val="bullet"/>
      <w:lvlText w:val=""/>
      <w:lvlJc w:val="left"/>
      <w:pPr>
        <w:tabs>
          <w:tab w:val="num" w:pos="360"/>
        </w:tabs>
        <w:ind w:left="360" w:hanging="360"/>
      </w:pPr>
      <w:rPr>
        <w:rFonts w:ascii="Marlett" w:hAnsi="Arial Black" w:hint="default"/>
      </w:rPr>
    </w:lvl>
  </w:abstractNum>
  <w:abstractNum w:abstractNumId="107">
    <w:nsid w:val="081710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
    <w:nsid w:val="081D64B3"/>
    <w:multiLevelType w:val="singleLevel"/>
    <w:tmpl w:val="9E3E5E5A"/>
    <w:lvl w:ilvl="0">
      <w:numFmt w:val="bullet"/>
      <w:lvlText w:val=""/>
      <w:lvlJc w:val="left"/>
      <w:pPr>
        <w:tabs>
          <w:tab w:val="num" w:pos="360"/>
        </w:tabs>
        <w:ind w:left="360" w:hanging="360"/>
      </w:pPr>
      <w:rPr>
        <w:rFonts w:ascii="Marlett" w:hAnsi="Marlett" w:hint="default"/>
      </w:rPr>
    </w:lvl>
  </w:abstractNum>
  <w:abstractNum w:abstractNumId="109">
    <w:nsid w:val="083510CB"/>
    <w:multiLevelType w:val="singleLevel"/>
    <w:tmpl w:val="E9CCDC6A"/>
    <w:lvl w:ilvl="0">
      <w:start w:val="6"/>
      <w:numFmt w:val="bullet"/>
      <w:lvlText w:val="-"/>
      <w:lvlJc w:val="left"/>
      <w:pPr>
        <w:tabs>
          <w:tab w:val="num" w:pos="1068"/>
        </w:tabs>
        <w:ind w:left="1068" w:hanging="360"/>
      </w:pPr>
      <w:rPr>
        <w:rFonts w:ascii="Times New Roman" w:hAnsi="Times New Roman" w:hint="default"/>
      </w:rPr>
    </w:lvl>
  </w:abstractNum>
  <w:abstractNum w:abstractNumId="110">
    <w:nsid w:val="08375DD8"/>
    <w:multiLevelType w:val="singleLevel"/>
    <w:tmpl w:val="0C0A000F"/>
    <w:lvl w:ilvl="0">
      <w:start w:val="1"/>
      <w:numFmt w:val="decimal"/>
      <w:lvlText w:val="%1."/>
      <w:lvlJc w:val="left"/>
      <w:pPr>
        <w:tabs>
          <w:tab w:val="num" w:pos="360"/>
        </w:tabs>
        <w:ind w:left="360" w:hanging="360"/>
      </w:pPr>
    </w:lvl>
  </w:abstractNum>
  <w:abstractNum w:abstractNumId="111">
    <w:nsid w:val="084168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
    <w:nsid w:val="08612F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
    <w:nsid w:val="0862520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14">
    <w:nsid w:val="08654B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08961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089C01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
    <w:nsid w:val="089E4DAF"/>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18">
    <w:nsid w:val="08A6796E"/>
    <w:multiLevelType w:val="singleLevel"/>
    <w:tmpl w:val="834C6856"/>
    <w:lvl w:ilvl="0">
      <w:numFmt w:val="bullet"/>
      <w:lvlText w:val="-"/>
      <w:lvlJc w:val="left"/>
      <w:pPr>
        <w:tabs>
          <w:tab w:val="num" w:pos="360"/>
        </w:tabs>
        <w:ind w:left="360" w:hanging="360"/>
      </w:pPr>
      <w:rPr>
        <w:rFonts w:hint="default"/>
        <w:b w:val="0"/>
      </w:rPr>
    </w:lvl>
  </w:abstractNum>
  <w:abstractNum w:abstractNumId="119">
    <w:nsid w:val="08AB3B6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20">
    <w:nsid w:val="08CA6C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
    <w:nsid w:val="08CE71E4"/>
    <w:multiLevelType w:val="singleLevel"/>
    <w:tmpl w:val="F716BE52"/>
    <w:lvl w:ilvl="0">
      <w:start w:val="1"/>
      <w:numFmt w:val="lowerLetter"/>
      <w:lvlText w:val="%1)"/>
      <w:lvlJc w:val="left"/>
      <w:pPr>
        <w:tabs>
          <w:tab w:val="num" w:pos="361"/>
        </w:tabs>
        <w:ind w:left="361" w:hanging="360"/>
      </w:pPr>
      <w:rPr>
        <w:rFonts w:hint="default"/>
      </w:rPr>
    </w:lvl>
  </w:abstractNum>
  <w:abstractNum w:abstractNumId="122">
    <w:nsid w:val="08D03518"/>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23">
    <w:nsid w:val="08FA02F1"/>
    <w:multiLevelType w:val="singleLevel"/>
    <w:tmpl w:val="07824C0E"/>
    <w:lvl w:ilvl="0">
      <w:start w:val="1"/>
      <w:numFmt w:val="bullet"/>
      <w:lvlText w:val="-"/>
      <w:lvlJc w:val="left"/>
      <w:pPr>
        <w:tabs>
          <w:tab w:val="num" w:pos="1065"/>
        </w:tabs>
        <w:ind w:left="1065" w:hanging="360"/>
      </w:pPr>
      <w:rPr>
        <w:rFonts w:ascii="Times New Roman" w:hAnsi="Times New Roman" w:hint="default"/>
      </w:rPr>
    </w:lvl>
  </w:abstractNum>
  <w:abstractNum w:abstractNumId="124">
    <w:nsid w:val="093A2860"/>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5">
    <w:nsid w:val="09407AA6"/>
    <w:multiLevelType w:val="singleLevel"/>
    <w:tmpl w:val="0C0A000F"/>
    <w:lvl w:ilvl="0">
      <w:start w:val="1"/>
      <w:numFmt w:val="decimal"/>
      <w:lvlText w:val="%1."/>
      <w:lvlJc w:val="left"/>
      <w:pPr>
        <w:tabs>
          <w:tab w:val="num" w:pos="360"/>
        </w:tabs>
        <w:ind w:left="360" w:hanging="360"/>
      </w:pPr>
    </w:lvl>
  </w:abstractNum>
  <w:abstractNum w:abstractNumId="126">
    <w:nsid w:val="094A19DB"/>
    <w:multiLevelType w:val="singleLevel"/>
    <w:tmpl w:val="62E2FE0C"/>
    <w:lvl w:ilvl="0">
      <w:start w:val="1"/>
      <w:numFmt w:val="bullet"/>
      <w:lvlText w:val=""/>
      <w:lvlJc w:val="left"/>
      <w:pPr>
        <w:tabs>
          <w:tab w:val="num" w:pos="1701"/>
        </w:tabs>
        <w:ind w:left="1701" w:hanging="850"/>
      </w:pPr>
      <w:rPr>
        <w:rFonts w:ascii="Symbol" w:hAnsi="Symbol" w:hint="default"/>
      </w:rPr>
    </w:lvl>
  </w:abstractNum>
  <w:abstractNum w:abstractNumId="127">
    <w:nsid w:val="097C0A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09A40B07"/>
    <w:multiLevelType w:val="singleLevel"/>
    <w:tmpl w:val="F8ECF7B8"/>
    <w:lvl w:ilvl="0">
      <w:start w:val="1"/>
      <w:numFmt w:val="bullet"/>
      <w:lvlText w:val="-"/>
      <w:lvlJc w:val="left"/>
      <w:pPr>
        <w:tabs>
          <w:tab w:val="num" w:pos="1785"/>
        </w:tabs>
        <w:ind w:left="1785" w:hanging="360"/>
      </w:pPr>
      <w:rPr>
        <w:rFonts w:hint="default"/>
      </w:rPr>
    </w:lvl>
  </w:abstractNum>
  <w:abstractNum w:abstractNumId="129">
    <w:nsid w:val="09BE0088"/>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130">
    <w:nsid w:val="09CC7860"/>
    <w:multiLevelType w:val="multilevel"/>
    <w:tmpl w:val="B67A1DC0"/>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092"/>
        </w:tabs>
        <w:ind w:left="1092" w:hanging="525"/>
      </w:pPr>
      <w:rPr>
        <w:rFonts w:hint="default"/>
      </w:rPr>
    </w:lvl>
    <w:lvl w:ilvl="2">
      <w:start w:val="3"/>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31">
    <w:nsid w:val="09D846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09E7010D"/>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33">
    <w:nsid w:val="09E708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0A1C12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0A312D13"/>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36">
    <w:nsid w:val="0A354641"/>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37">
    <w:nsid w:val="0A4C2EAA"/>
    <w:multiLevelType w:val="multilevel"/>
    <w:tmpl w:val="C87CB836"/>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0A4D6F1C"/>
    <w:multiLevelType w:val="singleLevel"/>
    <w:tmpl w:val="F628219A"/>
    <w:lvl w:ilvl="0">
      <w:numFmt w:val="bullet"/>
      <w:lvlText w:val=""/>
      <w:lvlJc w:val="left"/>
      <w:pPr>
        <w:tabs>
          <w:tab w:val="num" w:pos="570"/>
        </w:tabs>
        <w:ind w:left="570" w:hanging="570"/>
      </w:pPr>
      <w:rPr>
        <w:rFonts w:ascii="Wingdings" w:hAnsi="Wingdings" w:hint="default"/>
        <w:sz w:val="28"/>
      </w:rPr>
    </w:lvl>
  </w:abstractNum>
  <w:abstractNum w:abstractNumId="139">
    <w:nsid w:val="0A5052AC"/>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0">
    <w:nsid w:val="0A5215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0A550CDF"/>
    <w:multiLevelType w:val="multilevel"/>
    <w:tmpl w:val="E894F41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2">
    <w:nsid w:val="0A616C52"/>
    <w:multiLevelType w:val="multilevel"/>
    <w:tmpl w:val="D456731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3">
    <w:nsid w:val="0A63284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4">
    <w:nsid w:val="0A6F6B3E"/>
    <w:multiLevelType w:val="singleLevel"/>
    <w:tmpl w:val="8118D362"/>
    <w:lvl w:ilvl="0">
      <w:start w:val="6"/>
      <w:numFmt w:val="bullet"/>
      <w:lvlText w:val="-"/>
      <w:lvlJc w:val="left"/>
      <w:pPr>
        <w:tabs>
          <w:tab w:val="num" w:pos="360"/>
        </w:tabs>
        <w:ind w:left="360" w:hanging="360"/>
      </w:pPr>
      <w:rPr>
        <w:rFonts w:hint="default"/>
      </w:rPr>
    </w:lvl>
  </w:abstractNum>
  <w:abstractNum w:abstractNumId="145">
    <w:nsid w:val="0A9479B9"/>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46">
    <w:nsid w:val="0AEA5C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0B1316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8">
    <w:nsid w:val="0B167EBD"/>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9">
    <w:nsid w:val="0B555A8B"/>
    <w:multiLevelType w:val="singleLevel"/>
    <w:tmpl w:val="8788E488"/>
    <w:lvl w:ilvl="0">
      <w:start w:val="24"/>
      <w:numFmt w:val="bullet"/>
      <w:lvlText w:val="-"/>
      <w:lvlJc w:val="left"/>
      <w:pPr>
        <w:tabs>
          <w:tab w:val="num" w:pos="644"/>
        </w:tabs>
        <w:ind w:left="644" w:hanging="360"/>
      </w:pPr>
      <w:rPr>
        <w:rFonts w:ascii="Times New Roman" w:hAnsi="Times New Roman" w:hint="default"/>
        <w:b/>
      </w:rPr>
    </w:lvl>
  </w:abstractNum>
  <w:abstractNum w:abstractNumId="150">
    <w:nsid w:val="0B864145"/>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51">
    <w:nsid w:val="0B9636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2">
    <w:nsid w:val="0BCF37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3">
    <w:nsid w:val="0BE740F3"/>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54">
    <w:nsid w:val="0BFC77AD"/>
    <w:multiLevelType w:val="multilevel"/>
    <w:tmpl w:val="132C069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55">
    <w:nsid w:val="0C09712C"/>
    <w:multiLevelType w:val="singleLevel"/>
    <w:tmpl w:val="0C0A000F"/>
    <w:lvl w:ilvl="0">
      <w:start w:val="1"/>
      <w:numFmt w:val="decimal"/>
      <w:lvlText w:val="%1."/>
      <w:lvlJc w:val="left"/>
      <w:pPr>
        <w:tabs>
          <w:tab w:val="num" w:pos="360"/>
        </w:tabs>
        <w:ind w:left="360" w:hanging="360"/>
      </w:pPr>
    </w:lvl>
  </w:abstractNum>
  <w:abstractNum w:abstractNumId="156">
    <w:nsid w:val="0C204CE3"/>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57">
    <w:nsid w:val="0C2064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8">
    <w:nsid w:val="0C415B2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9">
    <w:nsid w:val="0C536E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0">
    <w:nsid w:val="0C560119"/>
    <w:multiLevelType w:val="multilevel"/>
    <w:tmpl w:val="8C80AB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0C857C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0C89272A"/>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63">
    <w:nsid w:val="0CA078F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4">
    <w:nsid w:val="0D163A70"/>
    <w:multiLevelType w:val="singleLevel"/>
    <w:tmpl w:val="0C0A000F"/>
    <w:lvl w:ilvl="0">
      <w:start w:val="4"/>
      <w:numFmt w:val="decimal"/>
      <w:lvlText w:val="%1."/>
      <w:lvlJc w:val="left"/>
      <w:pPr>
        <w:tabs>
          <w:tab w:val="num" w:pos="360"/>
        </w:tabs>
        <w:ind w:left="360" w:hanging="360"/>
      </w:pPr>
      <w:rPr>
        <w:rFonts w:hint="default"/>
      </w:rPr>
    </w:lvl>
  </w:abstractNum>
  <w:abstractNum w:abstractNumId="165">
    <w:nsid w:val="0D2A3F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0D327360"/>
    <w:multiLevelType w:val="singleLevel"/>
    <w:tmpl w:val="FA842E58"/>
    <w:lvl w:ilvl="0">
      <w:numFmt w:val="bullet"/>
      <w:lvlText w:val="-"/>
      <w:lvlJc w:val="left"/>
      <w:pPr>
        <w:tabs>
          <w:tab w:val="num" w:pos="825"/>
        </w:tabs>
        <w:ind w:left="825" w:hanging="360"/>
      </w:pPr>
      <w:rPr>
        <w:rFonts w:ascii="Times New Roman" w:hAnsi="Times New Roman" w:hint="default"/>
      </w:rPr>
    </w:lvl>
  </w:abstractNum>
  <w:abstractNum w:abstractNumId="167">
    <w:nsid w:val="0D4417DE"/>
    <w:multiLevelType w:val="multilevel"/>
    <w:tmpl w:val="CD6C4E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nsid w:val="0D4C499E"/>
    <w:multiLevelType w:val="singleLevel"/>
    <w:tmpl w:val="76AABEE6"/>
    <w:lvl w:ilvl="0">
      <w:numFmt w:val="bullet"/>
      <w:lvlText w:val="-"/>
      <w:lvlJc w:val="left"/>
      <w:pPr>
        <w:tabs>
          <w:tab w:val="num" w:pos="360"/>
        </w:tabs>
        <w:ind w:left="360" w:hanging="360"/>
      </w:pPr>
      <w:rPr>
        <w:rFonts w:ascii="Times New Roman" w:hAnsi="Times New Roman" w:hint="default"/>
      </w:rPr>
    </w:lvl>
  </w:abstractNum>
  <w:abstractNum w:abstractNumId="169">
    <w:nsid w:val="0D59398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70">
    <w:nsid w:val="0D621A9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1">
    <w:nsid w:val="0D773F25"/>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72">
    <w:nsid w:val="0D8C56A4"/>
    <w:multiLevelType w:val="singleLevel"/>
    <w:tmpl w:val="189EC70E"/>
    <w:lvl w:ilvl="0">
      <w:start w:val="3"/>
      <w:numFmt w:val="upperLetter"/>
      <w:lvlText w:val="%1)"/>
      <w:lvlJc w:val="left"/>
      <w:pPr>
        <w:tabs>
          <w:tab w:val="num" w:pos="361"/>
        </w:tabs>
        <w:ind w:left="361" w:hanging="360"/>
      </w:pPr>
      <w:rPr>
        <w:rFonts w:hint="default"/>
      </w:rPr>
    </w:lvl>
  </w:abstractNum>
  <w:abstractNum w:abstractNumId="173">
    <w:nsid w:val="0DA64F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4">
    <w:nsid w:val="0DA81077"/>
    <w:multiLevelType w:val="singleLevel"/>
    <w:tmpl w:val="D55CD328"/>
    <w:lvl w:ilvl="0">
      <w:start w:val="1"/>
      <w:numFmt w:val="bullet"/>
      <w:lvlText w:val=""/>
      <w:lvlJc w:val="left"/>
      <w:pPr>
        <w:tabs>
          <w:tab w:val="num" w:pos="360"/>
        </w:tabs>
        <w:ind w:left="360" w:hanging="360"/>
      </w:pPr>
      <w:rPr>
        <w:rFonts w:ascii="Marlett" w:hAnsi="Marlett" w:hint="default"/>
      </w:rPr>
    </w:lvl>
  </w:abstractNum>
  <w:abstractNum w:abstractNumId="175">
    <w:nsid w:val="0DCB5B8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6">
    <w:nsid w:val="0DD7289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77">
    <w:nsid w:val="0DEF4407"/>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78">
    <w:nsid w:val="0DF1044F"/>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79">
    <w:nsid w:val="0DF7729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0">
    <w:nsid w:val="0DFA665C"/>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81">
    <w:nsid w:val="0E3E019E"/>
    <w:multiLevelType w:val="singleLevel"/>
    <w:tmpl w:val="BB64759C"/>
    <w:lvl w:ilvl="0">
      <w:numFmt w:val="bullet"/>
      <w:lvlText w:val=""/>
      <w:lvlJc w:val="left"/>
      <w:pPr>
        <w:tabs>
          <w:tab w:val="num" w:pos="360"/>
        </w:tabs>
        <w:ind w:left="360" w:hanging="360"/>
      </w:pPr>
      <w:rPr>
        <w:rFonts w:ascii="Monotype Sorts" w:hAnsi="Monotype Sorts" w:hint="default"/>
      </w:rPr>
    </w:lvl>
  </w:abstractNum>
  <w:abstractNum w:abstractNumId="182">
    <w:nsid w:val="0E4365F1"/>
    <w:multiLevelType w:val="singleLevel"/>
    <w:tmpl w:val="43CC672A"/>
    <w:lvl w:ilvl="0">
      <w:start w:val="1"/>
      <w:numFmt w:val="upperLetter"/>
      <w:lvlText w:val="%1)"/>
      <w:lvlJc w:val="left"/>
      <w:pPr>
        <w:tabs>
          <w:tab w:val="num" w:pos="360"/>
        </w:tabs>
        <w:ind w:left="360" w:hanging="360"/>
      </w:pPr>
      <w:rPr>
        <w:rFonts w:hint="default"/>
      </w:rPr>
    </w:lvl>
  </w:abstractNum>
  <w:abstractNum w:abstractNumId="183">
    <w:nsid w:val="0E5C06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4">
    <w:nsid w:val="0E9B0791"/>
    <w:multiLevelType w:val="singleLevel"/>
    <w:tmpl w:val="68BC5372"/>
    <w:lvl w:ilvl="0">
      <w:numFmt w:val="bullet"/>
      <w:lvlText w:val="-"/>
      <w:lvlJc w:val="left"/>
      <w:pPr>
        <w:tabs>
          <w:tab w:val="num" w:pos="360"/>
        </w:tabs>
        <w:ind w:left="360" w:hanging="360"/>
      </w:pPr>
      <w:rPr>
        <w:rFonts w:hint="default"/>
      </w:rPr>
    </w:lvl>
  </w:abstractNum>
  <w:abstractNum w:abstractNumId="185">
    <w:nsid w:val="0EB30FFB"/>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186">
    <w:nsid w:val="0EF15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87">
    <w:nsid w:val="0EF80538"/>
    <w:multiLevelType w:val="singleLevel"/>
    <w:tmpl w:val="C22EF7DA"/>
    <w:lvl w:ilvl="0">
      <w:start w:val="3"/>
      <w:numFmt w:val="bullet"/>
      <w:lvlText w:val="-"/>
      <w:lvlJc w:val="left"/>
      <w:pPr>
        <w:tabs>
          <w:tab w:val="num" w:pos="1128"/>
        </w:tabs>
        <w:ind w:left="1128" w:hanging="360"/>
      </w:pPr>
      <w:rPr>
        <w:rFonts w:ascii="Times New Roman" w:hAnsi="Times New Roman" w:hint="default"/>
      </w:rPr>
    </w:lvl>
  </w:abstractNum>
  <w:abstractNum w:abstractNumId="188">
    <w:nsid w:val="0F0272D5"/>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89">
    <w:nsid w:val="0F0C00EB"/>
    <w:multiLevelType w:val="singleLevel"/>
    <w:tmpl w:val="0C80F4DA"/>
    <w:lvl w:ilvl="0">
      <w:start w:val="2"/>
      <w:numFmt w:val="bullet"/>
      <w:lvlText w:val=""/>
      <w:lvlJc w:val="left"/>
      <w:pPr>
        <w:tabs>
          <w:tab w:val="num" w:pos="360"/>
        </w:tabs>
        <w:ind w:left="360" w:hanging="360"/>
      </w:pPr>
      <w:rPr>
        <w:rFonts w:ascii="Symbol" w:hAnsi="Symbol" w:hint="default"/>
      </w:rPr>
    </w:lvl>
  </w:abstractNum>
  <w:abstractNum w:abstractNumId="190">
    <w:nsid w:val="0F364BA7"/>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91">
    <w:nsid w:val="0F364D77"/>
    <w:multiLevelType w:val="multilevel"/>
    <w:tmpl w:val="36746A0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3"/>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0F3775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3">
    <w:nsid w:val="0F502E4F"/>
    <w:multiLevelType w:val="multilevel"/>
    <w:tmpl w:val="66BC9F3E"/>
    <w:lvl w:ilvl="0">
      <w:start w:val="1"/>
      <w:numFmt w:val="decimal"/>
      <w:lvlText w:val="%1."/>
      <w:lvlJc w:val="left"/>
      <w:pPr>
        <w:tabs>
          <w:tab w:val="num" w:pos="360"/>
        </w:tabs>
        <w:ind w:left="360" w:hanging="360"/>
      </w:pPr>
    </w:lvl>
    <w:lvl w:ilvl="1">
      <w:start w:val="1"/>
      <w:numFmt w:val="decimal"/>
      <w:lvlText w:val="%1.%2."/>
      <w:lvlJc w:val="left"/>
      <w:pPr>
        <w:tabs>
          <w:tab w:val="num" w:pos="1588"/>
        </w:tabs>
        <w:ind w:left="1588" w:hanging="1228"/>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4">
    <w:nsid w:val="0F6D741A"/>
    <w:multiLevelType w:val="multilevel"/>
    <w:tmpl w:val="A086A46E"/>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1846"/>
        </w:tabs>
        <w:ind w:left="1846" w:hanging="570"/>
      </w:pPr>
      <w:rPr>
        <w:rFonts w:hint="default"/>
      </w:rPr>
    </w:lvl>
    <w:lvl w:ilvl="2">
      <w:start w:val="1"/>
      <w:numFmt w:val="lowerLetter"/>
      <w:lvlText w:val="%1.%2.%3"/>
      <w:lvlJc w:val="left"/>
      <w:pPr>
        <w:tabs>
          <w:tab w:val="num" w:pos="3272"/>
        </w:tabs>
        <w:ind w:left="3272" w:hanging="720"/>
      </w:pPr>
      <w:rPr>
        <w:rFonts w:hint="default"/>
      </w:rPr>
    </w:lvl>
    <w:lvl w:ilvl="3">
      <w:start w:val="1"/>
      <w:numFmt w:val="decimal"/>
      <w:lvlText w:val="%1.%2.%3.%4"/>
      <w:lvlJc w:val="left"/>
      <w:pPr>
        <w:tabs>
          <w:tab w:val="num" w:pos="4908"/>
        </w:tabs>
        <w:ind w:left="4908" w:hanging="1080"/>
      </w:pPr>
      <w:rPr>
        <w:rFonts w:hint="default"/>
      </w:rPr>
    </w:lvl>
    <w:lvl w:ilvl="4">
      <w:start w:val="1"/>
      <w:numFmt w:val="decimal"/>
      <w:lvlText w:val="%1.%2.%3.%4.%5"/>
      <w:lvlJc w:val="left"/>
      <w:pPr>
        <w:tabs>
          <w:tab w:val="num" w:pos="6184"/>
        </w:tabs>
        <w:ind w:left="6184" w:hanging="1080"/>
      </w:pPr>
      <w:rPr>
        <w:rFonts w:hint="default"/>
      </w:rPr>
    </w:lvl>
    <w:lvl w:ilvl="5">
      <w:start w:val="1"/>
      <w:numFmt w:val="decimal"/>
      <w:lvlText w:val="%1.%2.%3.%4.%5.%6"/>
      <w:lvlJc w:val="left"/>
      <w:pPr>
        <w:tabs>
          <w:tab w:val="num" w:pos="7820"/>
        </w:tabs>
        <w:ind w:left="7820" w:hanging="1440"/>
      </w:pPr>
      <w:rPr>
        <w:rFonts w:hint="default"/>
      </w:rPr>
    </w:lvl>
    <w:lvl w:ilvl="6">
      <w:start w:val="1"/>
      <w:numFmt w:val="decimal"/>
      <w:lvlText w:val="%1.%2.%3.%4.%5.%6.%7"/>
      <w:lvlJc w:val="left"/>
      <w:pPr>
        <w:tabs>
          <w:tab w:val="num" w:pos="9096"/>
        </w:tabs>
        <w:ind w:left="9096" w:hanging="1440"/>
      </w:pPr>
      <w:rPr>
        <w:rFonts w:hint="default"/>
      </w:rPr>
    </w:lvl>
    <w:lvl w:ilvl="7">
      <w:start w:val="1"/>
      <w:numFmt w:val="decimal"/>
      <w:lvlText w:val="%1.%2.%3.%4.%5.%6.%7.%8"/>
      <w:lvlJc w:val="left"/>
      <w:pPr>
        <w:tabs>
          <w:tab w:val="num" w:pos="10732"/>
        </w:tabs>
        <w:ind w:left="10732" w:hanging="1800"/>
      </w:pPr>
      <w:rPr>
        <w:rFonts w:hint="default"/>
      </w:rPr>
    </w:lvl>
    <w:lvl w:ilvl="8">
      <w:start w:val="1"/>
      <w:numFmt w:val="decimal"/>
      <w:lvlText w:val="%1.%2.%3.%4.%5.%6.%7.%8.%9"/>
      <w:lvlJc w:val="left"/>
      <w:pPr>
        <w:tabs>
          <w:tab w:val="num" w:pos="12008"/>
        </w:tabs>
        <w:ind w:left="12008" w:hanging="1800"/>
      </w:pPr>
      <w:rPr>
        <w:rFonts w:hint="default"/>
      </w:rPr>
    </w:lvl>
  </w:abstractNum>
  <w:abstractNum w:abstractNumId="195">
    <w:nsid w:val="0F777BB3"/>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96">
    <w:nsid w:val="0F8C2818"/>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197">
    <w:nsid w:val="0F94420D"/>
    <w:multiLevelType w:val="singleLevel"/>
    <w:tmpl w:val="72A21C4C"/>
    <w:lvl w:ilvl="0">
      <w:start w:val="2"/>
      <w:numFmt w:val="bullet"/>
      <w:lvlText w:val="-"/>
      <w:lvlJc w:val="left"/>
      <w:pPr>
        <w:tabs>
          <w:tab w:val="num" w:pos="502"/>
        </w:tabs>
        <w:ind w:left="502" w:hanging="360"/>
      </w:pPr>
      <w:rPr>
        <w:rFonts w:ascii="Times New Roman" w:hAnsi="Times New Roman" w:hint="default"/>
      </w:rPr>
    </w:lvl>
  </w:abstractNum>
  <w:abstractNum w:abstractNumId="198">
    <w:nsid w:val="0FCC2CBE"/>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99">
    <w:nsid w:val="0FE27FDD"/>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200">
    <w:nsid w:val="100E0961"/>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201">
    <w:nsid w:val="101C3D4E"/>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202">
    <w:nsid w:val="10234EE5"/>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203">
    <w:nsid w:val="102518B9"/>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204">
    <w:nsid w:val="10293497"/>
    <w:multiLevelType w:val="singleLevel"/>
    <w:tmpl w:val="E0EA0E82"/>
    <w:lvl w:ilvl="0">
      <w:start w:val="1"/>
      <w:numFmt w:val="bullet"/>
      <w:lvlText w:val="-"/>
      <w:lvlJc w:val="left"/>
      <w:pPr>
        <w:tabs>
          <w:tab w:val="num" w:pos="1069"/>
        </w:tabs>
        <w:ind w:left="1069" w:hanging="360"/>
      </w:pPr>
      <w:rPr>
        <w:rFonts w:ascii="Times New Roman" w:hAnsi="Times New Roman" w:hint="default"/>
      </w:rPr>
    </w:lvl>
  </w:abstractNum>
  <w:abstractNum w:abstractNumId="205">
    <w:nsid w:val="103856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6">
    <w:nsid w:val="1054298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07">
    <w:nsid w:val="107F1A6B"/>
    <w:multiLevelType w:val="singleLevel"/>
    <w:tmpl w:val="6046DEA6"/>
    <w:lvl w:ilvl="0">
      <w:start w:val="1"/>
      <w:numFmt w:val="decimal"/>
      <w:lvlText w:val="%1."/>
      <w:lvlJc w:val="left"/>
      <w:pPr>
        <w:tabs>
          <w:tab w:val="num" w:pos="644"/>
        </w:tabs>
        <w:ind w:left="644" w:hanging="360"/>
      </w:pPr>
      <w:rPr>
        <w:rFonts w:hint="default"/>
      </w:rPr>
    </w:lvl>
  </w:abstractNum>
  <w:abstractNum w:abstractNumId="208">
    <w:nsid w:val="10A37E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9">
    <w:nsid w:val="10AA100C"/>
    <w:multiLevelType w:val="multilevel"/>
    <w:tmpl w:val="B412B18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0">
    <w:nsid w:val="10AF2DA2"/>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211">
    <w:nsid w:val="10B5220A"/>
    <w:multiLevelType w:val="singleLevel"/>
    <w:tmpl w:val="47A84C8E"/>
    <w:lvl w:ilvl="0">
      <w:start w:val="5"/>
      <w:numFmt w:val="decimal"/>
      <w:lvlText w:val="%1."/>
      <w:lvlJc w:val="left"/>
      <w:pPr>
        <w:tabs>
          <w:tab w:val="num" w:pos="704"/>
        </w:tabs>
        <w:ind w:left="704" w:hanging="420"/>
      </w:pPr>
      <w:rPr>
        <w:rFonts w:hint="default"/>
      </w:rPr>
    </w:lvl>
  </w:abstractNum>
  <w:abstractNum w:abstractNumId="212">
    <w:nsid w:val="10B94A54"/>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213">
    <w:nsid w:val="10BA7380"/>
    <w:multiLevelType w:val="singleLevel"/>
    <w:tmpl w:val="A92EF3B2"/>
    <w:lvl w:ilvl="0">
      <w:start w:val="3"/>
      <w:numFmt w:val="bullet"/>
      <w:lvlText w:val="-"/>
      <w:lvlJc w:val="left"/>
      <w:pPr>
        <w:tabs>
          <w:tab w:val="num" w:pos="360"/>
        </w:tabs>
        <w:ind w:left="360" w:hanging="360"/>
      </w:pPr>
      <w:rPr>
        <w:rFonts w:ascii="Times New Roman" w:hAnsi="Times New Roman" w:hint="default"/>
        <w:b/>
      </w:rPr>
    </w:lvl>
  </w:abstractNum>
  <w:abstractNum w:abstractNumId="214">
    <w:nsid w:val="10D500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5">
    <w:nsid w:val="10DB431F"/>
    <w:multiLevelType w:val="singleLevel"/>
    <w:tmpl w:val="7EE6C5CC"/>
    <w:lvl w:ilvl="0">
      <w:start w:val="1"/>
      <w:numFmt w:val="bullet"/>
      <w:lvlText w:val="-"/>
      <w:lvlJc w:val="left"/>
      <w:pPr>
        <w:tabs>
          <w:tab w:val="num" w:pos="360"/>
        </w:tabs>
        <w:ind w:left="360" w:hanging="360"/>
      </w:pPr>
      <w:rPr>
        <w:rFonts w:ascii="Times New Roman" w:hAnsi="Times New Roman" w:hint="default"/>
      </w:rPr>
    </w:lvl>
  </w:abstractNum>
  <w:abstractNum w:abstractNumId="216">
    <w:nsid w:val="10E71DB5"/>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217">
    <w:nsid w:val="10FB271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18">
    <w:nsid w:val="11023A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9">
    <w:nsid w:val="110825C9"/>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220">
    <w:nsid w:val="113D0DE2"/>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221">
    <w:nsid w:val="114F43F6"/>
    <w:multiLevelType w:val="singleLevel"/>
    <w:tmpl w:val="68701C0E"/>
    <w:lvl w:ilvl="0">
      <w:start w:val="1"/>
      <w:numFmt w:val="bullet"/>
      <w:lvlText w:val=""/>
      <w:lvlJc w:val="left"/>
      <w:pPr>
        <w:tabs>
          <w:tab w:val="num" w:pos="360"/>
        </w:tabs>
        <w:ind w:left="360" w:hanging="360"/>
      </w:pPr>
      <w:rPr>
        <w:rFonts w:ascii="Symbol" w:hAnsi="Symbol" w:hint="default"/>
      </w:rPr>
    </w:lvl>
  </w:abstractNum>
  <w:abstractNum w:abstractNumId="222">
    <w:nsid w:val="118D06E7"/>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223">
    <w:nsid w:val="11C4424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4">
    <w:nsid w:val="11FB7971"/>
    <w:multiLevelType w:val="singleLevel"/>
    <w:tmpl w:val="7088AE4A"/>
    <w:lvl w:ilvl="0">
      <w:start w:val="1"/>
      <w:numFmt w:val="decimal"/>
      <w:lvlText w:val="%1."/>
      <w:lvlJc w:val="left"/>
      <w:pPr>
        <w:tabs>
          <w:tab w:val="num" w:pos="360"/>
        </w:tabs>
        <w:ind w:left="360" w:hanging="360"/>
      </w:pPr>
      <w:rPr>
        <w:b/>
        <w:i w:val="0"/>
      </w:rPr>
    </w:lvl>
  </w:abstractNum>
  <w:abstractNum w:abstractNumId="225">
    <w:nsid w:val="120D26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6">
    <w:nsid w:val="12591E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7">
    <w:nsid w:val="12711F49"/>
    <w:multiLevelType w:val="singleLevel"/>
    <w:tmpl w:val="0C80F4DA"/>
    <w:lvl w:ilvl="0">
      <w:start w:val="1"/>
      <w:numFmt w:val="bullet"/>
      <w:lvlText w:val=""/>
      <w:lvlJc w:val="left"/>
      <w:pPr>
        <w:tabs>
          <w:tab w:val="num" w:pos="360"/>
        </w:tabs>
        <w:ind w:left="360" w:hanging="360"/>
      </w:pPr>
      <w:rPr>
        <w:rFonts w:ascii="Symbol" w:hAnsi="Symbol" w:hint="default"/>
      </w:rPr>
    </w:lvl>
  </w:abstractNum>
  <w:abstractNum w:abstractNumId="228">
    <w:nsid w:val="1272483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9">
    <w:nsid w:val="128C2B6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30">
    <w:nsid w:val="12A85B54"/>
    <w:multiLevelType w:val="singleLevel"/>
    <w:tmpl w:val="0C0A000F"/>
    <w:lvl w:ilvl="0">
      <w:start w:val="1"/>
      <w:numFmt w:val="decimal"/>
      <w:lvlText w:val="%1."/>
      <w:lvlJc w:val="left"/>
      <w:pPr>
        <w:tabs>
          <w:tab w:val="num" w:pos="360"/>
        </w:tabs>
        <w:ind w:left="360" w:hanging="360"/>
      </w:pPr>
    </w:lvl>
  </w:abstractNum>
  <w:abstractNum w:abstractNumId="231">
    <w:nsid w:val="12D81EDA"/>
    <w:multiLevelType w:val="multilevel"/>
    <w:tmpl w:val="9CCA6BC8"/>
    <w:lvl w:ilvl="0">
      <w:start w:val="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133A54D0"/>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233">
    <w:nsid w:val="133D493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34">
    <w:nsid w:val="135E353D"/>
    <w:multiLevelType w:val="singleLevel"/>
    <w:tmpl w:val="2CDA122A"/>
    <w:lvl w:ilvl="0">
      <w:start w:val="1"/>
      <w:numFmt w:val="bullet"/>
      <w:lvlText w:val="-"/>
      <w:lvlJc w:val="left"/>
      <w:pPr>
        <w:tabs>
          <w:tab w:val="num" w:pos="1065"/>
        </w:tabs>
        <w:ind w:left="1065" w:hanging="360"/>
      </w:pPr>
      <w:rPr>
        <w:rFonts w:ascii="Times New Roman" w:hAnsi="Times New Roman" w:hint="default"/>
      </w:rPr>
    </w:lvl>
  </w:abstractNum>
  <w:abstractNum w:abstractNumId="235">
    <w:nsid w:val="139D2D8B"/>
    <w:multiLevelType w:val="multilevel"/>
    <w:tmpl w:val="DE6464CA"/>
    <w:lvl w:ilvl="0">
      <w:start w:val="2"/>
      <w:numFmt w:val="decimal"/>
      <w:lvlText w:val="%1"/>
      <w:lvlJc w:val="left"/>
      <w:pPr>
        <w:tabs>
          <w:tab w:val="num" w:pos="360"/>
        </w:tabs>
        <w:ind w:left="360" w:hanging="360"/>
      </w:pPr>
      <w:rPr>
        <w:rFonts w:hint="default"/>
        <w:i w:val="0"/>
      </w:rPr>
    </w:lvl>
    <w:lvl w:ilvl="1">
      <w:start w:val="2"/>
      <w:numFmt w:val="decimal"/>
      <w:lvlText w:val="%1.%2"/>
      <w:lvlJc w:val="left"/>
      <w:pPr>
        <w:tabs>
          <w:tab w:val="num" w:pos="312"/>
        </w:tabs>
        <w:ind w:left="312" w:hanging="360"/>
      </w:pPr>
      <w:rPr>
        <w:rFonts w:hint="default"/>
        <w:i w:val="0"/>
      </w:rPr>
    </w:lvl>
    <w:lvl w:ilvl="2">
      <w:start w:val="1"/>
      <w:numFmt w:val="decimal"/>
      <w:lvlText w:val="%1.%2.%3"/>
      <w:lvlJc w:val="left"/>
      <w:pPr>
        <w:tabs>
          <w:tab w:val="num" w:pos="624"/>
        </w:tabs>
        <w:ind w:left="624" w:hanging="720"/>
      </w:pPr>
      <w:rPr>
        <w:rFonts w:hint="default"/>
        <w:i w:val="0"/>
      </w:rPr>
    </w:lvl>
    <w:lvl w:ilvl="3">
      <w:start w:val="1"/>
      <w:numFmt w:val="decimal"/>
      <w:lvlText w:val="%1.%2.%3.%4"/>
      <w:lvlJc w:val="left"/>
      <w:pPr>
        <w:tabs>
          <w:tab w:val="num" w:pos="936"/>
        </w:tabs>
        <w:ind w:left="936" w:hanging="1080"/>
      </w:pPr>
      <w:rPr>
        <w:rFonts w:hint="default"/>
        <w:i w:val="0"/>
      </w:rPr>
    </w:lvl>
    <w:lvl w:ilvl="4">
      <w:start w:val="1"/>
      <w:numFmt w:val="decimal"/>
      <w:lvlText w:val="%1.%2.%3.%4.%5"/>
      <w:lvlJc w:val="left"/>
      <w:pPr>
        <w:tabs>
          <w:tab w:val="num" w:pos="888"/>
        </w:tabs>
        <w:ind w:left="888" w:hanging="1080"/>
      </w:pPr>
      <w:rPr>
        <w:rFonts w:hint="default"/>
        <w:i w:val="0"/>
      </w:rPr>
    </w:lvl>
    <w:lvl w:ilvl="5">
      <w:start w:val="1"/>
      <w:numFmt w:val="decimal"/>
      <w:lvlText w:val="%1.%2.%3.%4.%5.%6"/>
      <w:lvlJc w:val="left"/>
      <w:pPr>
        <w:tabs>
          <w:tab w:val="num" w:pos="1200"/>
        </w:tabs>
        <w:ind w:left="1200" w:hanging="1440"/>
      </w:pPr>
      <w:rPr>
        <w:rFonts w:hint="default"/>
        <w:i w:val="0"/>
      </w:rPr>
    </w:lvl>
    <w:lvl w:ilvl="6">
      <w:start w:val="1"/>
      <w:numFmt w:val="decimal"/>
      <w:lvlText w:val="%1.%2.%3.%4.%5.%6.%7"/>
      <w:lvlJc w:val="left"/>
      <w:pPr>
        <w:tabs>
          <w:tab w:val="num" w:pos="1152"/>
        </w:tabs>
        <w:ind w:left="1152" w:hanging="1440"/>
      </w:pPr>
      <w:rPr>
        <w:rFonts w:hint="default"/>
        <w:i w:val="0"/>
      </w:rPr>
    </w:lvl>
    <w:lvl w:ilvl="7">
      <w:start w:val="1"/>
      <w:numFmt w:val="decimal"/>
      <w:lvlText w:val="%1.%2.%3.%4.%5.%6.%7.%8"/>
      <w:lvlJc w:val="left"/>
      <w:pPr>
        <w:tabs>
          <w:tab w:val="num" w:pos="1464"/>
        </w:tabs>
        <w:ind w:left="1464" w:hanging="1800"/>
      </w:pPr>
      <w:rPr>
        <w:rFonts w:hint="default"/>
        <w:i w:val="0"/>
      </w:rPr>
    </w:lvl>
    <w:lvl w:ilvl="8">
      <w:start w:val="1"/>
      <w:numFmt w:val="decimal"/>
      <w:lvlText w:val="%1.%2.%3.%4.%5.%6.%7.%8.%9"/>
      <w:lvlJc w:val="left"/>
      <w:pPr>
        <w:tabs>
          <w:tab w:val="num" w:pos="1416"/>
        </w:tabs>
        <w:ind w:left="1416" w:hanging="1800"/>
      </w:pPr>
      <w:rPr>
        <w:rFonts w:hint="default"/>
        <w:i w:val="0"/>
      </w:rPr>
    </w:lvl>
  </w:abstractNum>
  <w:abstractNum w:abstractNumId="236">
    <w:nsid w:val="13BF4A9F"/>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237">
    <w:nsid w:val="13C4743E"/>
    <w:multiLevelType w:val="singleLevel"/>
    <w:tmpl w:val="D7A44FAE"/>
    <w:lvl w:ilvl="0">
      <w:start w:val="1"/>
      <w:numFmt w:val="bullet"/>
      <w:lvlText w:val=""/>
      <w:lvlJc w:val="left"/>
      <w:pPr>
        <w:tabs>
          <w:tab w:val="num" w:pos="927"/>
        </w:tabs>
        <w:ind w:left="567" w:firstLine="0"/>
      </w:pPr>
      <w:rPr>
        <w:rFonts w:ascii="Symbol" w:hAnsi="Symbol" w:hint="default"/>
        <w:b w:val="0"/>
        <w:i w:val="0"/>
      </w:rPr>
    </w:lvl>
  </w:abstractNum>
  <w:abstractNum w:abstractNumId="238">
    <w:nsid w:val="13CB0C66"/>
    <w:multiLevelType w:val="singleLevel"/>
    <w:tmpl w:val="93360D04"/>
    <w:lvl w:ilvl="0">
      <w:start w:val="1"/>
      <w:numFmt w:val="bullet"/>
      <w:lvlText w:val="-"/>
      <w:lvlJc w:val="left"/>
      <w:pPr>
        <w:tabs>
          <w:tab w:val="num" w:pos="360"/>
        </w:tabs>
        <w:ind w:left="360" w:hanging="360"/>
      </w:pPr>
      <w:rPr>
        <w:rFonts w:ascii="Times New Roman" w:hAnsi="Times New Roman" w:hint="default"/>
      </w:rPr>
    </w:lvl>
  </w:abstractNum>
  <w:abstractNum w:abstractNumId="239">
    <w:nsid w:val="13CE07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0">
    <w:nsid w:val="13CF13B6"/>
    <w:multiLevelType w:val="singleLevel"/>
    <w:tmpl w:val="8A320442"/>
    <w:lvl w:ilvl="0">
      <w:numFmt w:val="bullet"/>
      <w:lvlText w:val="-"/>
      <w:lvlJc w:val="left"/>
      <w:pPr>
        <w:tabs>
          <w:tab w:val="num" w:pos="1636"/>
        </w:tabs>
        <w:ind w:left="1636" w:hanging="360"/>
      </w:pPr>
      <w:rPr>
        <w:rFonts w:ascii="Times New Roman" w:hAnsi="Times New Roman" w:hint="default"/>
      </w:rPr>
    </w:lvl>
  </w:abstractNum>
  <w:abstractNum w:abstractNumId="241">
    <w:nsid w:val="13EE3FF8"/>
    <w:multiLevelType w:val="multilevel"/>
    <w:tmpl w:val="BFFCDC90"/>
    <w:lvl w:ilvl="0">
      <w:start w:val="2"/>
      <w:numFmt w:val="decimal"/>
      <w:lvlText w:val="%1."/>
      <w:lvlJc w:val="left"/>
      <w:pPr>
        <w:tabs>
          <w:tab w:val="num" w:pos="411"/>
        </w:tabs>
        <w:ind w:left="411" w:hanging="411"/>
      </w:pPr>
      <w:rPr>
        <w:rFonts w:hint="default"/>
      </w:rPr>
    </w:lvl>
    <w:lvl w:ilvl="1">
      <w:start w:val="2"/>
      <w:numFmt w:val="decimal"/>
      <w:lvlText w:val="%1.%2."/>
      <w:lvlJc w:val="left"/>
      <w:pPr>
        <w:tabs>
          <w:tab w:val="num" w:pos="721"/>
        </w:tabs>
        <w:ind w:left="721" w:hanging="720"/>
      </w:pPr>
      <w:rPr>
        <w:rFonts w:hint="default"/>
      </w:rPr>
    </w:lvl>
    <w:lvl w:ilvl="2">
      <w:start w:val="1"/>
      <w:numFmt w:val="decimal"/>
      <w:lvlText w:val="%1.%2.%3."/>
      <w:lvlJc w:val="left"/>
      <w:pPr>
        <w:tabs>
          <w:tab w:val="num" w:pos="722"/>
        </w:tabs>
        <w:ind w:left="722" w:hanging="720"/>
      </w:pPr>
      <w:rPr>
        <w:rFonts w:hint="default"/>
      </w:rPr>
    </w:lvl>
    <w:lvl w:ilvl="3">
      <w:start w:val="1"/>
      <w:numFmt w:val="decimal"/>
      <w:lvlText w:val="%1.%2.%3.%4."/>
      <w:lvlJc w:val="left"/>
      <w:pPr>
        <w:tabs>
          <w:tab w:val="num" w:pos="1083"/>
        </w:tabs>
        <w:ind w:left="1083" w:hanging="1080"/>
      </w:pPr>
      <w:rPr>
        <w:rFonts w:hint="default"/>
      </w:rPr>
    </w:lvl>
    <w:lvl w:ilvl="4">
      <w:start w:val="1"/>
      <w:numFmt w:val="decimal"/>
      <w:lvlText w:val="%1.%2.%3.%4.%5."/>
      <w:lvlJc w:val="left"/>
      <w:pPr>
        <w:tabs>
          <w:tab w:val="num" w:pos="1084"/>
        </w:tabs>
        <w:ind w:left="1084" w:hanging="1080"/>
      </w:pPr>
      <w:rPr>
        <w:rFonts w:hint="default"/>
      </w:rPr>
    </w:lvl>
    <w:lvl w:ilvl="5">
      <w:start w:val="1"/>
      <w:numFmt w:val="decimal"/>
      <w:lvlText w:val="%1.%2.%3.%4.%5.%6."/>
      <w:lvlJc w:val="left"/>
      <w:pPr>
        <w:tabs>
          <w:tab w:val="num" w:pos="1445"/>
        </w:tabs>
        <w:ind w:left="1445" w:hanging="1440"/>
      </w:pPr>
      <w:rPr>
        <w:rFonts w:hint="default"/>
      </w:rPr>
    </w:lvl>
    <w:lvl w:ilvl="6">
      <w:start w:val="1"/>
      <w:numFmt w:val="decimal"/>
      <w:lvlText w:val="%1.%2.%3.%4.%5.%6.%7."/>
      <w:lvlJc w:val="left"/>
      <w:pPr>
        <w:tabs>
          <w:tab w:val="num" w:pos="1446"/>
        </w:tabs>
        <w:ind w:left="1446" w:hanging="1440"/>
      </w:pPr>
      <w:rPr>
        <w:rFonts w:hint="default"/>
      </w:rPr>
    </w:lvl>
    <w:lvl w:ilvl="7">
      <w:start w:val="1"/>
      <w:numFmt w:val="decimal"/>
      <w:lvlText w:val="%1.%2.%3.%4.%5.%6.%7.%8."/>
      <w:lvlJc w:val="left"/>
      <w:pPr>
        <w:tabs>
          <w:tab w:val="num" w:pos="1807"/>
        </w:tabs>
        <w:ind w:left="1807" w:hanging="1800"/>
      </w:pPr>
      <w:rPr>
        <w:rFonts w:hint="default"/>
      </w:rPr>
    </w:lvl>
    <w:lvl w:ilvl="8">
      <w:start w:val="1"/>
      <w:numFmt w:val="decimal"/>
      <w:lvlText w:val="%1.%2.%3.%4.%5.%6.%7.%8.%9."/>
      <w:lvlJc w:val="left"/>
      <w:pPr>
        <w:tabs>
          <w:tab w:val="num" w:pos="2168"/>
        </w:tabs>
        <w:ind w:left="2168" w:hanging="2160"/>
      </w:pPr>
      <w:rPr>
        <w:rFonts w:hint="default"/>
      </w:rPr>
    </w:lvl>
  </w:abstractNum>
  <w:abstractNum w:abstractNumId="242">
    <w:nsid w:val="13EE524C"/>
    <w:multiLevelType w:val="singleLevel"/>
    <w:tmpl w:val="CE40EB6A"/>
    <w:lvl w:ilvl="0">
      <w:start w:val="1"/>
      <w:numFmt w:val="decimal"/>
      <w:lvlText w:val="%1."/>
      <w:lvlJc w:val="left"/>
      <w:pPr>
        <w:tabs>
          <w:tab w:val="num" w:pos="927"/>
        </w:tabs>
        <w:ind w:left="927" w:hanging="360"/>
      </w:pPr>
      <w:rPr>
        <w:rFonts w:hint="default"/>
      </w:rPr>
    </w:lvl>
  </w:abstractNum>
  <w:abstractNum w:abstractNumId="243">
    <w:nsid w:val="13F6098E"/>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244">
    <w:nsid w:val="140002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5">
    <w:nsid w:val="141062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6">
    <w:nsid w:val="143D161D"/>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247">
    <w:nsid w:val="145775B9"/>
    <w:multiLevelType w:val="singleLevel"/>
    <w:tmpl w:val="D55CD328"/>
    <w:lvl w:ilvl="0">
      <w:start w:val="1"/>
      <w:numFmt w:val="bullet"/>
      <w:lvlText w:val=""/>
      <w:lvlJc w:val="left"/>
      <w:pPr>
        <w:tabs>
          <w:tab w:val="num" w:pos="360"/>
        </w:tabs>
        <w:ind w:left="360" w:hanging="360"/>
      </w:pPr>
      <w:rPr>
        <w:rFonts w:ascii="Marlett" w:hAnsi="Marlett" w:hint="default"/>
      </w:rPr>
    </w:lvl>
  </w:abstractNum>
  <w:abstractNum w:abstractNumId="248">
    <w:nsid w:val="148D1F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9">
    <w:nsid w:val="149546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0">
    <w:nsid w:val="149706A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51">
    <w:nsid w:val="14D6050C"/>
    <w:multiLevelType w:val="multilevel"/>
    <w:tmpl w:val="829E6E2E"/>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072"/>
        </w:tabs>
        <w:ind w:left="4072" w:hanging="1800"/>
      </w:pPr>
      <w:rPr>
        <w:rFonts w:hint="default"/>
      </w:rPr>
    </w:lvl>
  </w:abstractNum>
  <w:abstractNum w:abstractNumId="252">
    <w:nsid w:val="14F93AC5"/>
    <w:multiLevelType w:val="singleLevel"/>
    <w:tmpl w:val="8788E488"/>
    <w:lvl w:ilvl="0">
      <w:start w:val="24"/>
      <w:numFmt w:val="bullet"/>
      <w:lvlText w:val="-"/>
      <w:lvlJc w:val="left"/>
      <w:pPr>
        <w:tabs>
          <w:tab w:val="num" w:pos="644"/>
        </w:tabs>
        <w:ind w:left="644" w:hanging="360"/>
      </w:pPr>
      <w:rPr>
        <w:rFonts w:ascii="Times New Roman" w:hAnsi="Times New Roman" w:hint="default"/>
        <w:b/>
      </w:rPr>
    </w:lvl>
  </w:abstractNum>
  <w:abstractNum w:abstractNumId="253">
    <w:nsid w:val="15050256"/>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254">
    <w:nsid w:val="151D325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55">
    <w:nsid w:val="1529770A"/>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256">
    <w:nsid w:val="158C464A"/>
    <w:multiLevelType w:val="singleLevel"/>
    <w:tmpl w:val="797C1C10"/>
    <w:lvl w:ilvl="0">
      <w:start w:val="2"/>
      <w:numFmt w:val="decimal"/>
      <w:lvlText w:val="%1- "/>
      <w:legacy w:legacy="1" w:legacySpace="0" w:legacyIndent="283"/>
      <w:lvlJc w:val="left"/>
      <w:pPr>
        <w:ind w:left="283" w:hanging="283"/>
      </w:pPr>
      <w:rPr>
        <w:rFonts w:ascii="Arial" w:hAnsi="Arial" w:hint="default"/>
        <w:b w:val="0"/>
        <w:i w:val="0"/>
        <w:sz w:val="24"/>
        <w:u w:val="none"/>
      </w:rPr>
    </w:lvl>
  </w:abstractNum>
  <w:abstractNum w:abstractNumId="257">
    <w:nsid w:val="15911029"/>
    <w:multiLevelType w:val="singleLevel"/>
    <w:tmpl w:val="2C6A316C"/>
    <w:lvl w:ilvl="0">
      <w:numFmt w:val="bullet"/>
      <w:lvlText w:val="-"/>
      <w:lvlJc w:val="left"/>
      <w:pPr>
        <w:tabs>
          <w:tab w:val="num" w:pos="644"/>
        </w:tabs>
        <w:ind w:left="644" w:hanging="360"/>
      </w:pPr>
      <w:rPr>
        <w:rFonts w:ascii="Times New Roman" w:hAnsi="Times New Roman" w:hint="default"/>
      </w:rPr>
    </w:lvl>
  </w:abstractNum>
  <w:abstractNum w:abstractNumId="258">
    <w:nsid w:val="159A742D"/>
    <w:multiLevelType w:val="multilevel"/>
    <w:tmpl w:val="5204F812"/>
    <w:lvl w:ilvl="0">
      <w:start w:val="5"/>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9">
    <w:nsid w:val="15A172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0">
    <w:nsid w:val="15A2155C"/>
    <w:multiLevelType w:val="singleLevel"/>
    <w:tmpl w:val="333AB196"/>
    <w:lvl w:ilvl="0">
      <w:start w:val="3"/>
      <w:numFmt w:val="bullet"/>
      <w:lvlText w:val="-"/>
      <w:lvlJc w:val="left"/>
      <w:pPr>
        <w:tabs>
          <w:tab w:val="num" w:pos="1755"/>
        </w:tabs>
        <w:ind w:left="1755" w:hanging="1755"/>
      </w:pPr>
      <w:rPr>
        <w:rFonts w:ascii="Times New Roman" w:hAnsi="Times New Roman" w:hint="default"/>
      </w:rPr>
    </w:lvl>
  </w:abstractNum>
  <w:abstractNum w:abstractNumId="261">
    <w:nsid w:val="15C01B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2">
    <w:nsid w:val="15DB2EEB"/>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63">
    <w:nsid w:val="15E2313E"/>
    <w:multiLevelType w:val="singleLevel"/>
    <w:tmpl w:val="0C0A0013"/>
    <w:lvl w:ilvl="0">
      <w:start w:val="1"/>
      <w:numFmt w:val="upperRoman"/>
      <w:lvlText w:val="%1."/>
      <w:lvlJc w:val="left"/>
      <w:pPr>
        <w:tabs>
          <w:tab w:val="num" w:pos="720"/>
        </w:tabs>
        <w:ind w:left="720" w:hanging="720"/>
      </w:pPr>
    </w:lvl>
  </w:abstractNum>
  <w:abstractNum w:abstractNumId="264">
    <w:nsid w:val="15EC30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5">
    <w:nsid w:val="15FB68F8"/>
    <w:multiLevelType w:val="singleLevel"/>
    <w:tmpl w:val="C93E03E6"/>
    <w:lvl w:ilvl="0">
      <w:numFmt w:val="bullet"/>
      <w:lvlText w:val="-"/>
      <w:lvlJc w:val="left"/>
      <w:pPr>
        <w:tabs>
          <w:tab w:val="num" w:pos="2041"/>
        </w:tabs>
        <w:ind w:left="2041" w:hanging="1190"/>
      </w:pPr>
    </w:lvl>
  </w:abstractNum>
  <w:abstractNum w:abstractNumId="266">
    <w:nsid w:val="16014B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7">
    <w:nsid w:val="162E1D94"/>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268">
    <w:nsid w:val="16381EF4"/>
    <w:multiLevelType w:val="singleLevel"/>
    <w:tmpl w:val="3C145A16"/>
    <w:lvl w:ilvl="0">
      <w:numFmt w:val="bullet"/>
      <w:lvlText w:val="-"/>
      <w:lvlJc w:val="left"/>
      <w:pPr>
        <w:tabs>
          <w:tab w:val="num" w:pos="2493"/>
        </w:tabs>
        <w:ind w:left="2493" w:hanging="360"/>
      </w:pPr>
      <w:rPr>
        <w:rFonts w:ascii="Times New Roman" w:hAnsi="Times New Roman" w:hint="default"/>
      </w:rPr>
    </w:lvl>
  </w:abstractNum>
  <w:abstractNum w:abstractNumId="269">
    <w:nsid w:val="166376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0">
    <w:nsid w:val="16963338"/>
    <w:multiLevelType w:val="multilevel"/>
    <w:tmpl w:val="45A2BCFA"/>
    <w:lvl w:ilvl="0">
      <w:start w:val="3"/>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1">
    <w:nsid w:val="16A74CD1"/>
    <w:multiLevelType w:val="singleLevel"/>
    <w:tmpl w:val="0C0A000F"/>
    <w:lvl w:ilvl="0">
      <w:start w:val="1"/>
      <w:numFmt w:val="decimal"/>
      <w:lvlText w:val="%1."/>
      <w:lvlJc w:val="left"/>
      <w:pPr>
        <w:tabs>
          <w:tab w:val="num" w:pos="360"/>
        </w:tabs>
        <w:ind w:left="360" w:hanging="360"/>
      </w:pPr>
    </w:lvl>
  </w:abstractNum>
  <w:abstractNum w:abstractNumId="272">
    <w:nsid w:val="16AF5ABE"/>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273">
    <w:nsid w:val="16DD5279"/>
    <w:multiLevelType w:val="multilevel"/>
    <w:tmpl w:val="63B48238"/>
    <w:lvl w:ilvl="0">
      <w:start w:val="2"/>
      <w:numFmt w:val="decimal"/>
      <w:lvlText w:val="%1."/>
      <w:lvlJc w:val="left"/>
      <w:pPr>
        <w:tabs>
          <w:tab w:val="num" w:pos="411"/>
        </w:tabs>
        <w:ind w:left="411" w:hanging="411"/>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4">
    <w:nsid w:val="16DE7E74"/>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275">
    <w:nsid w:val="16ED3808"/>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276">
    <w:nsid w:val="174262A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7">
    <w:nsid w:val="177176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8">
    <w:nsid w:val="17764D7A"/>
    <w:multiLevelType w:val="singleLevel"/>
    <w:tmpl w:val="0C0A0017"/>
    <w:lvl w:ilvl="0">
      <w:start w:val="1"/>
      <w:numFmt w:val="lowerLetter"/>
      <w:lvlText w:val="%1)"/>
      <w:lvlJc w:val="left"/>
      <w:pPr>
        <w:tabs>
          <w:tab w:val="num" w:pos="360"/>
        </w:tabs>
        <w:ind w:left="360" w:hanging="360"/>
      </w:pPr>
      <w:rPr>
        <w:rFonts w:hint="default"/>
      </w:rPr>
    </w:lvl>
  </w:abstractNum>
  <w:abstractNum w:abstractNumId="279">
    <w:nsid w:val="17803878"/>
    <w:multiLevelType w:val="singleLevel"/>
    <w:tmpl w:val="39BA08AE"/>
    <w:lvl w:ilvl="0">
      <w:start w:val="1"/>
      <w:numFmt w:val="lowerLetter"/>
      <w:lvlText w:val="%1."/>
      <w:lvlJc w:val="left"/>
      <w:pPr>
        <w:tabs>
          <w:tab w:val="num" w:pos="644"/>
        </w:tabs>
        <w:ind w:left="644" w:hanging="360"/>
      </w:pPr>
      <w:rPr>
        <w:rFonts w:hint="default"/>
      </w:rPr>
    </w:lvl>
  </w:abstractNum>
  <w:abstractNum w:abstractNumId="280">
    <w:nsid w:val="178208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1">
    <w:nsid w:val="17862921"/>
    <w:multiLevelType w:val="singleLevel"/>
    <w:tmpl w:val="CF9C1276"/>
    <w:lvl w:ilvl="0">
      <w:start w:val="1"/>
      <w:numFmt w:val="lowerLetter"/>
      <w:lvlText w:val="%1)"/>
      <w:lvlJc w:val="left"/>
      <w:pPr>
        <w:tabs>
          <w:tab w:val="num" w:pos="360"/>
        </w:tabs>
        <w:ind w:left="360" w:hanging="360"/>
      </w:pPr>
      <w:rPr>
        <w:rFonts w:hint="default"/>
      </w:rPr>
    </w:lvl>
  </w:abstractNum>
  <w:abstractNum w:abstractNumId="282">
    <w:nsid w:val="178A3E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3">
    <w:nsid w:val="17A433A1"/>
    <w:multiLevelType w:val="singleLevel"/>
    <w:tmpl w:val="DC320046"/>
    <w:lvl w:ilvl="0">
      <w:start w:val="1"/>
      <w:numFmt w:val="bullet"/>
      <w:lvlText w:val=""/>
      <w:lvlJc w:val="left"/>
      <w:pPr>
        <w:tabs>
          <w:tab w:val="num" w:pos="360"/>
        </w:tabs>
        <w:ind w:left="360" w:hanging="360"/>
      </w:pPr>
      <w:rPr>
        <w:rFonts w:ascii="Symbol" w:hAnsi="Symbol" w:hint="default"/>
      </w:rPr>
    </w:lvl>
  </w:abstractNum>
  <w:abstractNum w:abstractNumId="284">
    <w:nsid w:val="17AB21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85">
    <w:nsid w:val="17AF3789"/>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86">
    <w:nsid w:val="17BC4C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7">
    <w:nsid w:val="17D748FF"/>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288">
    <w:nsid w:val="17EE3079"/>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289">
    <w:nsid w:val="180B0652"/>
    <w:multiLevelType w:val="singleLevel"/>
    <w:tmpl w:val="797C1C10"/>
    <w:lvl w:ilvl="0">
      <w:start w:val="2"/>
      <w:numFmt w:val="decimal"/>
      <w:lvlText w:val="%1- "/>
      <w:legacy w:legacy="1" w:legacySpace="0" w:legacyIndent="283"/>
      <w:lvlJc w:val="left"/>
      <w:pPr>
        <w:ind w:left="283" w:hanging="283"/>
      </w:pPr>
      <w:rPr>
        <w:rFonts w:ascii="Arial" w:hAnsi="Arial" w:hint="default"/>
        <w:b w:val="0"/>
        <w:i w:val="0"/>
        <w:sz w:val="24"/>
        <w:u w:val="none"/>
      </w:rPr>
    </w:lvl>
  </w:abstractNum>
  <w:abstractNum w:abstractNumId="290">
    <w:nsid w:val="18134A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1">
    <w:nsid w:val="18164870"/>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292">
    <w:nsid w:val="1862106B"/>
    <w:multiLevelType w:val="singleLevel"/>
    <w:tmpl w:val="FE9A1B8A"/>
    <w:lvl w:ilvl="0">
      <w:start w:val="1"/>
      <w:numFmt w:val="lowerLetter"/>
      <w:lvlText w:val="%1)"/>
      <w:lvlJc w:val="left"/>
      <w:pPr>
        <w:tabs>
          <w:tab w:val="num" w:pos="1069"/>
        </w:tabs>
        <w:ind w:left="1069" w:hanging="360"/>
      </w:pPr>
      <w:rPr>
        <w:rFonts w:hint="default"/>
        <w:b/>
      </w:rPr>
    </w:lvl>
  </w:abstractNum>
  <w:abstractNum w:abstractNumId="293">
    <w:nsid w:val="18647BED"/>
    <w:multiLevelType w:val="multilevel"/>
    <w:tmpl w:val="0BEA4DE2"/>
    <w:lvl w:ilvl="0">
      <w:start w:val="3"/>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5"/>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94">
    <w:nsid w:val="18674A0D"/>
    <w:multiLevelType w:val="singleLevel"/>
    <w:tmpl w:val="A66274E6"/>
    <w:lvl w:ilvl="0">
      <w:start w:val="1"/>
      <w:numFmt w:val="bullet"/>
      <w:lvlText w:val=""/>
      <w:lvlJc w:val="left"/>
      <w:pPr>
        <w:tabs>
          <w:tab w:val="num" w:pos="360"/>
        </w:tabs>
        <w:ind w:left="360" w:hanging="360"/>
      </w:pPr>
      <w:rPr>
        <w:rFonts w:ascii="Wingdings" w:hAnsi="Wingdings" w:hint="default"/>
      </w:rPr>
    </w:lvl>
  </w:abstractNum>
  <w:abstractNum w:abstractNumId="295">
    <w:nsid w:val="187272A5"/>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96">
    <w:nsid w:val="18BF1B03"/>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297">
    <w:nsid w:val="18C979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8">
    <w:nsid w:val="18D677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9">
    <w:nsid w:val="19016C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0">
    <w:nsid w:val="190636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1">
    <w:nsid w:val="1907555F"/>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302">
    <w:nsid w:val="19087401"/>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303">
    <w:nsid w:val="191A26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4">
    <w:nsid w:val="19237E73"/>
    <w:multiLevelType w:val="singleLevel"/>
    <w:tmpl w:val="0C0A000F"/>
    <w:lvl w:ilvl="0">
      <w:start w:val="1"/>
      <w:numFmt w:val="decimal"/>
      <w:lvlText w:val="%1."/>
      <w:lvlJc w:val="left"/>
      <w:pPr>
        <w:tabs>
          <w:tab w:val="num" w:pos="360"/>
        </w:tabs>
        <w:ind w:left="360" w:hanging="360"/>
      </w:pPr>
    </w:lvl>
  </w:abstractNum>
  <w:abstractNum w:abstractNumId="305">
    <w:nsid w:val="195879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6">
    <w:nsid w:val="199350CF"/>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307">
    <w:nsid w:val="19946F3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08">
    <w:nsid w:val="19C37490"/>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309">
    <w:nsid w:val="1A0745D5"/>
    <w:multiLevelType w:val="singleLevel"/>
    <w:tmpl w:val="6046DEA6"/>
    <w:lvl w:ilvl="0">
      <w:start w:val="1"/>
      <w:numFmt w:val="decimal"/>
      <w:lvlText w:val="%1."/>
      <w:lvlJc w:val="left"/>
      <w:pPr>
        <w:tabs>
          <w:tab w:val="num" w:pos="644"/>
        </w:tabs>
        <w:ind w:left="644" w:hanging="360"/>
      </w:pPr>
      <w:rPr>
        <w:rFonts w:hint="default"/>
      </w:rPr>
    </w:lvl>
  </w:abstractNum>
  <w:abstractNum w:abstractNumId="310">
    <w:nsid w:val="1A0F7187"/>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311">
    <w:nsid w:val="1A6840C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2">
    <w:nsid w:val="1A6F46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3">
    <w:nsid w:val="1A805520"/>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314">
    <w:nsid w:val="1ACC3EF7"/>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315">
    <w:nsid w:val="1AEE51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6">
    <w:nsid w:val="1B105AA4"/>
    <w:multiLevelType w:val="singleLevel"/>
    <w:tmpl w:val="0C0A000F"/>
    <w:lvl w:ilvl="0">
      <w:start w:val="1"/>
      <w:numFmt w:val="decimal"/>
      <w:lvlText w:val="%1."/>
      <w:lvlJc w:val="left"/>
      <w:pPr>
        <w:tabs>
          <w:tab w:val="num" w:pos="360"/>
        </w:tabs>
        <w:ind w:left="360" w:hanging="360"/>
      </w:pPr>
      <w:rPr>
        <w:rFonts w:hint="default"/>
      </w:rPr>
    </w:lvl>
  </w:abstractNum>
  <w:abstractNum w:abstractNumId="317">
    <w:nsid w:val="1B2050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8">
    <w:nsid w:val="1B21086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9">
    <w:nsid w:val="1B3A35DB"/>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320">
    <w:nsid w:val="1B3B4B3F"/>
    <w:multiLevelType w:val="singleLevel"/>
    <w:tmpl w:val="D36EACBE"/>
    <w:lvl w:ilvl="0">
      <w:start w:val="8"/>
      <w:numFmt w:val="upperLetter"/>
      <w:lvlText w:val="%1)"/>
      <w:lvlJc w:val="left"/>
      <w:pPr>
        <w:tabs>
          <w:tab w:val="num" w:pos="360"/>
        </w:tabs>
        <w:ind w:left="360" w:hanging="360"/>
      </w:pPr>
      <w:rPr>
        <w:rFonts w:hint="default"/>
        <w:b w:val="0"/>
      </w:rPr>
    </w:lvl>
  </w:abstractNum>
  <w:abstractNum w:abstractNumId="321">
    <w:nsid w:val="1B430B8A"/>
    <w:multiLevelType w:val="multilevel"/>
    <w:tmpl w:val="038A0244"/>
    <w:lvl w:ilvl="0">
      <w:start w:val="5"/>
      <w:numFmt w:val="decimal"/>
      <w:lvlText w:val="%1."/>
      <w:lvlJc w:val="left"/>
      <w:pPr>
        <w:tabs>
          <w:tab w:val="num" w:pos="400"/>
        </w:tabs>
        <w:ind w:left="400" w:hanging="40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22">
    <w:nsid w:val="1B473072"/>
    <w:multiLevelType w:val="singleLevel"/>
    <w:tmpl w:val="96861158"/>
    <w:lvl w:ilvl="0">
      <w:start w:val="2"/>
      <w:numFmt w:val="bullet"/>
      <w:lvlText w:val="-"/>
      <w:lvlJc w:val="left"/>
      <w:pPr>
        <w:tabs>
          <w:tab w:val="num" w:pos="644"/>
        </w:tabs>
        <w:ind w:left="644" w:hanging="360"/>
      </w:pPr>
      <w:rPr>
        <w:rFonts w:ascii="Times New Roman" w:hAnsi="Times New Roman" w:hint="default"/>
      </w:rPr>
    </w:lvl>
  </w:abstractNum>
  <w:abstractNum w:abstractNumId="323">
    <w:nsid w:val="1B4F4950"/>
    <w:multiLevelType w:val="singleLevel"/>
    <w:tmpl w:val="6A408146"/>
    <w:lvl w:ilvl="0">
      <w:start w:val="1"/>
      <w:numFmt w:val="lowerLetter"/>
      <w:lvlText w:val="%1)"/>
      <w:lvlJc w:val="left"/>
      <w:pPr>
        <w:tabs>
          <w:tab w:val="num" w:pos="750"/>
        </w:tabs>
        <w:ind w:left="750" w:hanging="360"/>
      </w:pPr>
      <w:rPr>
        <w:rFonts w:hint="default"/>
      </w:rPr>
    </w:lvl>
  </w:abstractNum>
  <w:abstractNum w:abstractNumId="324">
    <w:nsid w:val="1B7635F7"/>
    <w:multiLevelType w:val="multilevel"/>
    <w:tmpl w:val="2180B0E2"/>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5">
    <w:nsid w:val="1B7F1F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6">
    <w:nsid w:val="1B8A3825"/>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327">
    <w:nsid w:val="1BD56F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8">
    <w:nsid w:val="1C4669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9">
    <w:nsid w:val="1C5D5891"/>
    <w:multiLevelType w:val="singleLevel"/>
    <w:tmpl w:val="1C7AECD6"/>
    <w:lvl w:ilvl="0">
      <w:start w:val="3"/>
      <w:numFmt w:val="decimal"/>
      <w:lvlText w:val="4.%1. "/>
      <w:legacy w:legacy="1" w:legacySpace="0" w:legacyIndent="283"/>
      <w:lvlJc w:val="left"/>
      <w:pPr>
        <w:ind w:left="283" w:hanging="283"/>
      </w:pPr>
      <w:rPr>
        <w:rFonts w:ascii="Arial" w:hAnsi="Arial" w:hint="default"/>
        <w:b w:val="0"/>
        <w:i w:val="0"/>
        <w:sz w:val="24"/>
        <w:u w:val="none"/>
      </w:rPr>
    </w:lvl>
  </w:abstractNum>
  <w:abstractNum w:abstractNumId="330">
    <w:nsid w:val="1C8A1E62"/>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331">
    <w:nsid w:val="1CA945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2">
    <w:nsid w:val="1CAA4A4D"/>
    <w:multiLevelType w:val="singleLevel"/>
    <w:tmpl w:val="62E2FE0C"/>
    <w:lvl w:ilvl="0">
      <w:start w:val="1"/>
      <w:numFmt w:val="bullet"/>
      <w:lvlText w:val=""/>
      <w:lvlJc w:val="left"/>
      <w:pPr>
        <w:tabs>
          <w:tab w:val="num" w:pos="1701"/>
        </w:tabs>
        <w:ind w:left="1701" w:hanging="850"/>
      </w:pPr>
      <w:rPr>
        <w:rFonts w:ascii="Symbol" w:hAnsi="Symbol" w:hint="default"/>
      </w:rPr>
    </w:lvl>
  </w:abstractNum>
  <w:abstractNum w:abstractNumId="333">
    <w:nsid w:val="1CCE5019"/>
    <w:multiLevelType w:val="singleLevel"/>
    <w:tmpl w:val="05FC1870"/>
    <w:lvl w:ilvl="0">
      <w:start w:val="5"/>
      <w:numFmt w:val="decimal"/>
      <w:lvlText w:val="2.%1. "/>
      <w:legacy w:legacy="1" w:legacySpace="0" w:legacyIndent="283"/>
      <w:lvlJc w:val="left"/>
      <w:pPr>
        <w:ind w:left="283" w:hanging="283"/>
      </w:pPr>
      <w:rPr>
        <w:rFonts w:ascii="Arial" w:hAnsi="Arial" w:hint="default"/>
        <w:b w:val="0"/>
        <w:i w:val="0"/>
        <w:sz w:val="24"/>
        <w:u w:val="none"/>
      </w:rPr>
    </w:lvl>
  </w:abstractNum>
  <w:abstractNum w:abstractNumId="334">
    <w:nsid w:val="1CE06EBE"/>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35">
    <w:nsid w:val="1CE47F8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36">
    <w:nsid w:val="1CFC23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7">
    <w:nsid w:val="1D0C0B5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38">
    <w:nsid w:val="1D2001E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9">
    <w:nsid w:val="1D3816F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0">
    <w:nsid w:val="1D4940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1">
    <w:nsid w:val="1D5C0D3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342">
    <w:nsid w:val="1D630D82"/>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43">
    <w:nsid w:val="1D6C5C79"/>
    <w:multiLevelType w:val="singleLevel"/>
    <w:tmpl w:val="B2C4972C"/>
    <w:lvl w:ilvl="0">
      <w:start w:val="1"/>
      <w:numFmt w:val="lowerLetter"/>
      <w:lvlText w:val="%1)"/>
      <w:lvlJc w:val="left"/>
      <w:pPr>
        <w:tabs>
          <w:tab w:val="num" w:pos="720"/>
        </w:tabs>
        <w:ind w:left="720" w:hanging="360"/>
      </w:pPr>
      <w:rPr>
        <w:rFonts w:hint="default"/>
      </w:rPr>
    </w:lvl>
  </w:abstractNum>
  <w:abstractNum w:abstractNumId="344">
    <w:nsid w:val="1D741D35"/>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345">
    <w:nsid w:val="1D7C546A"/>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346">
    <w:nsid w:val="1DA33FDC"/>
    <w:multiLevelType w:val="singleLevel"/>
    <w:tmpl w:val="4A1ED612"/>
    <w:lvl w:ilvl="0">
      <w:start w:val="11"/>
      <w:numFmt w:val="decimal"/>
      <w:lvlText w:val="%1"/>
      <w:lvlJc w:val="left"/>
      <w:pPr>
        <w:tabs>
          <w:tab w:val="num" w:pos="720"/>
        </w:tabs>
        <w:ind w:left="720" w:hanging="360"/>
      </w:pPr>
      <w:rPr>
        <w:rFonts w:hint="default"/>
      </w:rPr>
    </w:lvl>
  </w:abstractNum>
  <w:abstractNum w:abstractNumId="347">
    <w:nsid w:val="1DA86515"/>
    <w:multiLevelType w:val="multilevel"/>
    <w:tmpl w:val="20AE2D6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3204"/>
        </w:tabs>
        <w:ind w:left="3204" w:hanging="108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980"/>
        </w:tabs>
        <w:ind w:left="4980" w:hanging="144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756"/>
        </w:tabs>
        <w:ind w:left="6756" w:hanging="1800"/>
      </w:pPr>
      <w:rPr>
        <w:rFonts w:hint="default"/>
      </w:rPr>
    </w:lvl>
    <w:lvl w:ilvl="8">
      <w:start w:val="1"/>
      <w:numFmt w:val="decimal"/>
      <w:isLgl/>
      <w:lvlText w:val="%1.%2.%3.%4.%5.%6.%7.%8.%9."/>
      <w:lvlJc w:val="left"/>
      <w:pPr>
        <w:tabs>
          <w:tab w:val="num" w:pos="7824"/>
        </w:tabs>
        <w:ind w:left="7824" w:hanging="2160"/>
      </w:pPr>
      <w:rPr>
        <w:rFonts w:hint="default"/>
      </w:rPr>
    </w:lvl>
  </w:abstractNum>
  <w:abstractNum w:abstractNumId="348">
    <w:nsid w:val="1DB725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9">
    <w:nsid w:val="1DCC64D2"/>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350">
    <w:nsid w:val="1DCD0698"/>
    <w:multiLevelType w:val="singleLevel"/>
    <w:tmpl w:val="8DD25918"/>
    <w:lvl w:ilvl="0">
      <w:start w:val="10"/>
      <w:numFmt w:val="bullet"/>
      <w:lvlText w:val="-"/>
      <w:lvlJc w:val="left"/>
      <w:pPr>
        <w:tabs>
          <w:tab w:val="num" w:pos="360"/>
        </w:tabs>
        <w:ind w:left="360" w:hanging="360"/>
      </w:pPr>
      <w:rPr>
        <w:rFonts w:ascii="Times New Roman" w:hAnsi="Times New Roman" w:hint="default"/>
      </w:rPr>
    </w:lvl>
  </w:abstractNum>
  <w:abstractNum w:abstractNumId="351">
    <w:nsid w:val="1DCF46D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2">
    <w:nsid w:val="1DD65F7F"/>
    <w:multiLevelType w:val="multilevel"/>
    <w:tmpl w:val="BC02252E"/>
    <w:lvl w:ilvl="0">
      <w:start w:val="2"/>
      <w:numFmt w:val="decimal"/>
      <w:lvlText w:val="%1."/>
      <w:lvlJc w:val="left"/>
      <w:pPr>
        <w:tabs>
          <w:tab w:val="num" w:pos="840"/>
        </w:tabs>
        <w:ind w:left="840" w:hanging="840"/>
      </w:pPr>
      <w:rPr>
        <w:rFonts w:hint="default"/>
        <w:i w:val="0"/>
      </w:rPr>
    </w:lvl>
    <w:lvl w:ilvl="1">
      <w:start w:val="4"/>
      <w:numFmt w:val="decimal"/>
      <w:lvlText w:val="%1.%2."/>
      <w:lvlJc w:val="left"/>
      <w:pPr>
        <w:tabs>
          <w:tab w:val="num" w:pos="1123"/>
        </w:tabs>
        <w:ind w:left="1123" w:hanging="840"/>
      </w:pPr>
      <w:rPr>
        <w:rFonts w:hint="default"/>
        <w:i w:val="0"/>
      </w:rPr>
    </w:lvl>
    <w:lvl w:ilvl="2">
      <w:start w:val="3"/>
      <w:numFmt w:val="decimal"/>
      <w:lvlText w:val="%1.%2.%3."/>
      <w:lvlJc w:val="left"/>
      <w:pPr>
        <w:tabs>
          <w:tab w:val="num" w:pos="1406"/>
        </w:tabs>
        <w:ind w:left="1406" w:hanging="840"/>
      </w:pPr>
      <w:rPr>
        <w:rFonts w:hint="default"/>
        <w:i w:val="0"/>
      </w:rPr>
    </w:lvl>
    <w:lvl w:ilvl="3">
      <w:start w:val="1"/>
      <w:numFmt w:val="decimal"/>
      <w:lvlText w:val="%1.%2.%3.%4."/>
      <w:lvlJc w:val="left"/>
      <w:pPr>
        <w:tabs>
          <w:tab w:val="num" w:pos="1929"/>
        </w:tabs>
        <w:ind w:left="1929" w:hanging="1080"/>
      </w:pPr>
      <w:rPr>
        <w:rFonts w:hint="default"/>
        <w:i w:val="0"/>
      </w:rPr>
    </w:lvl>
    <w:lvl w:ilvl="4">
      <w:start w:val="1"/>
      <w:numFmt w:val="decimal"/>
      <w:lvlText w:val="%1.%2.%3.%4.%5."/>
      <w:lvlJc w:val="left"/>
      <w:pPr>
        <w:tabs>
          <w:tab w:val="num" w:pos="2212"/>
        </w:tabs>
        <w:ind w:left="2212" w:hanging="1080"/>
      </w:pPr>
      <w:rPr>
        <w:rFonts w:hint="default"/>
        <w:i w:val="0"/>
      </w:rPr>
    </w:lvl>
    <w:lvl w:ilvl="5">
      <w:start w:val="1"/>
      <w:numFmt w:val="decimal"/>
      <w:lvlText w:val="%1.%2.%3.%4.%5.%6."/>
      <w:lvlJc w:val="left"/>
      <w:pPr>
        <w:tabs>
          <w:tab w:val="num" w:pos="2855"/>
        </w:tabs>
        <w:ind w:left="2855" w:hanging="1440"/>
      </w:pPr>
      <w:rPr>
        <w:rFonts w:hint="default"/>
        <w:i w:val="0"/>
      </w:rPr>
    </w:lvl>
    <w:lvl w:ilvl="6">
      <w:start w:val="1"/>
      <w:numFmt w:val="decimal"/>
      <w:lvlText w:val="%1.%2.%3.%4.%5.%6.%7."/>
      <w:lvlJc w:val="left"/>
      <w:pPr>
        <w:tabs>
          <w:tab w:val="num" w:pos="3138"/>
        </w:tabs>
        <w:ind w:left="3138" w:hanging="1440"/>
      </w:pPr>
      <w:rPr>
        <w:rFonts w:hint="default"/>
        <w:i w:val="0"/>
      </w:rPr>
    </w:lvl>
    <w:lvl w:ilvl="7">
      <w:start w:val="1"/>
      <w:numFmt w:val="decimal"/>
      <w:lvlText w:val="%1.%2.%3.%4.%5.%6.%7.%8."/>
      <w:lvlJc w:val="left"/>
      <w:pPr>
        <w:tabs>
          <w:tab w:val="num" w:pos="3781"/>
        </w:tabs>
        <w:ind w:left="3781" w:hanging="1800"/>
      </w:pPr>
      <w:rPr>
        <w:rFonts w:hint="default"/>
        <w:i w:val="0"/>
      </w:rPr>
    </w:lvl>
    <w:lvl w:ilvl="8">
      <w:start w:val="1"/>
      <w:numFmt w:val="decimal"/>
      <w:lvlText w:val="%1.%2.%3.%4.%5.%6.%7.%8.%9."/>
      <w:lvlJc w:val="left"/>
      <w:pPr>
        <w:tabs>
          <w:tab w:val="num" w:pos="4424"/>
        </w:tabs>
        <w:ind w:left="4424" w:hanging="2160"/>
      </w:pPr>
      <w:rPr>
        <w:rFonts w:hint="default"/>
        <w:i w:val="0"/>
      </w:rPr>
    </w:lvl>
  </w:abstractNum>
  <w:abstractNum w:abstractNumId="353">
    <w:nsid w:val="1DDF19A4"/>
    <w:multiLevelType w:val="multilevel"/>
    <w:tmpl w:val="AAB08D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4">
    <w:nsid w:val="1DF03CF3"/>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355">
    <w:nsid w:val="1DF573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6">
    <w:nsid w:val="1E013315"/>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357">
    <w:nsid w:val="1E0722D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58">
    <w:nsid w:val="1E0C7A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9">
    <w:nsid w:val="1E1967E4"/>
    <w:multiLevelType w:val="singleLevel"/>
    <w:tmpl w:val="0C0A0015"/>
    <w:lvl w:ilvl="0">
      <w:start w:val="1"/>
      <w:numFmt w:val="upperLetter"/>
      <w:lvlText w:val="%1."/>
      <w:lvlJc w:val="left"/>
      <w:pPr>
        <w:tabs>
          <w:tab w:val="num" w:pos="360"/>
        </w:tabs>
        <w:ind w:left="360" w:hanging="360"/>
      </w:pPr>
      <w:rPr>
        <w:rFonts w:hint="default"/>
      </w:rPr>
    </w:lvl>
  </w:abstractNum>
  <w:abstractNum w:abstractNumId="360">
    <w:nsid w:val="1E305725"/>
    <w:multiLevelType w:val="singleLevel"/>
    <w:tmpl w:val="7EE6C5CC"/>
    <w:lvl w:ilvl="0">
      <w:start w:val="2"/>
      <w:numFmt w:val="bullet"/>
      <w:lvlText w:val="-"/>
      <w:lvlJc w:val="left"/>
      <w:pPr>
        <w:tabs>
          <w:tab w:val="num" w:pos="360"/>
        </w:tabs>
        <w:ind w:left="360" w:hanging="360"/>
      </w:pPr>
      <w:rPr>
        <w:rFonts w:ascii="Times New Roman" w:hAnsi="Times New Roman" w:hint="default"/>
      </w:rPr>
    </w:lvl>
  </w:abstractNum>
  <w:abstractNum w:abstractNumId="361">
    <w:nsid w:val="1E3505FC"/>
    <w:multiLevelType w:val="singleLevel"/>
    <w:tmpl w:val="8118D362"/>
    <w:lvl w:ilvl="0">
      <w:start w:val="6"/>
      <w:numFmt w:val="bullet"/>
      <w:lvlText w:val="-"/>
      <w:lvlJc w:val="left"/>
      <w:pPr>
        <w:tabs>
          <w:tab w:val="num" w:pos="360"/>
        </w:tabs>
        <w:ind w:left="360" w:hanging="360"/>
      </w:pPr>
      <w:rPr>
        <w:rFonts w:hint="default"/>
      </w:rPr>
    </w:lvl>
  </w:abstractNum>
  <w:abstractNum w:abstractNumId="362">
    <w:nsid w:val="1E363B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3">
    <w:nsid w:val="1E42041F"/>
    <w:multiLevelType w:val="singleLevel"/>
    <w:tmpl w:val="7826D29E"/>
    <w:lvl w:ilvl="0">
      <w:start w:val="1"/>
      <w:numFmt w:val="bullet"/>
      <w:lvlText w:val=""/>
      <w:lvlJc w:val="left"/>
      <w:pPr>
        <w:tabs>
          <w:tab w:val="num" w:pos="360"/>
        </w:tabs>
        <w:ind w:left="360" w:hanging="360"/>
      </w:pPr>
      <w:rPr>
        <w:rFonts w:ascii="Wingdings" w:hAnsi="Wingdings" w:hint="default"/>
        <w:shadow/>
        <w:emboss w:val="0"/>
        <w:imprint w:val="0"/>
        <w:sz w:val="22"/>
      </w:rPr>
    </w:lvl>
  </w:abstractNum>
  <w:abstractNum w:abstractNumId="364">
    <w:nsid w:val="1E5721B1"/>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365">
    <w:nsid w:val="1E875D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6">
    <w:nsid w:val="1E961F03"/>
    <w:multiLevelType w:val="singleLevel"/>
    <w:tmpl w:val="F8ECF7B8"/>
    <w:lvl w:ilvl="0">
      <w:start w:val="1"/>
      <w:numFmt w:val="bullet"/>
      <w:lvlText w:val="-"/>
      <w:lvlJc w:val="left"/>
      <w:pPr>
        <w:tabs>
          <w:tab w:val="num" w:pos="1785"/>
        </w:tabs>
        <w:ind w:left="1785" w:hanging="360"/>
      </w:pPr>
      <w:rPr>
        <w:rFonts w:hint="default"/>
      </w:rPr>
    </w:lvl>
  </w:abstractNum>
  <w:abstractNum w:abstractNumId="367">
    <w:nsid w:val="1EB117A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8">
    <w:nsid w:val="1EC77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9">
    <w:nsid w:val="1ED046D6"/>
    <w:multiLevelType w:val="singleLevel"/>
    <w:tmpl w:val="FA5098FC"/>
    <w:lvl w:ilvl="0">
      <w:start w:val="1"/>
      <w:numFmt w:val="bullet"/>
      <w:lvlText w:val=""/>
      <w:lvlJc w:val="left"/>
      <w:pPr>
        <w:tabs>
          <w:tab w:val="num" w:pos="360"/>
        </w:tabs>
        <w:ind w:left="360" w:hanging="360"/>
      </w:pPr>
      <w:rPr>
        <w:rFonts w:ascii="Symbol" w:hAnsi="Symbol" w:hint="default"/>
        <w:sz w:val="28"/>
      </w:rPr>
    </w:lvl>
  </w:abstractNum>
  <w:abstractNum w:abstractNumId="370">
    <w:nsid w:val="1EDF1531"/>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371">
    <w:nsid w:val="1EE56A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2">
    <w:nsid w:val="1EE74E7F"/>
    <w:multiLevelType w:val="multilevel"/>
    <w:tmpl w:val="C4D8455C"/>
    <w:lvl w:ilvl="0">
      <w:start w:val="7"/>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3"/>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3">
    <w:nsid w:val="1F1931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4">
    <w:nsid w:val="1F193A57"/>
    <w:multiLevelType w:val="singleLevel"/>
    <w:tmpl w:val="6180DB58"/>
    <w:lvl w:ilvl="0">
      <w:numFmt w:val="bullet"/>
      <w:lvlText w:val="-"/>
      <w:lvlJc w:val="left"/>
      <w:pPr>
        <w:tabs>
          <w:tab w:val="num" w:pos="360"/>
        </w:tabs>
        <w:ind w:left="0" w:firstLine="0"/>
      </w:pPr>
      <w:rPr>
        <w:rFonts w:ascii="Times New Roman" w:hAnsi="Times New Roman" w:hint="default"/>
      </w:rPr>
    </w:lvl>
  </w:abstractNum>
  <w:abstractNum w:abstractNumId="375">
    <w:nsid w:val="1F1B12C0"/>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376">
    <w:nsid w:val="1F617965"/>
    <w:multiLevelType w:val="singleLevel"/>
    <w:tmpl w:val="78D632D2"/>
    <w:lvl w:ilvl="0">
      <w:numFmt w:val="bullet"/>
      <w:lvlText w:val="-"/>
      <w:lvlJc w:val="left"/>
      <w:pPr>
        <w:tabs>
          <w:tab w:val="num" w:pos="360"/>
        </w:tabs>
        <w:ind w:left="360" w:hanging="360"/>
      </w:pPr>
      <w:rPr>
        <w:rFonts w:ascii="Times New Roman" w:hAnsi="Times New Roman" w:hint="default"/>
      </w:rPr>
    </w:lvl>
  </w:abstractNum>
  <w:abstractNum w:abstractNumId="377">
    <w:nsid w:val="1F7D29E1"/>
    <w:multiLevelType w:val="singleLevel"/>
    <w:tmpl w:val="0C0A000F"/>
    <w:lvl w:ilvl="0">
      <w:start w:val="1"/>
      <w:numFmt w:val="decimal"/>
      <w:lvlText w:val="%1."/>
      <w:lvlJc w:val="left"/>
      <w:pPr>
        <w:tabs>
          <w:tab w:val="num" w:pos="360"/>
        </w:tabs>
        <w:ind w:left="360" w:hanging="360"/>
      </w:pPr>
      <w:rPr>
        <w:rFonts w:hint="default"/>
      </w:rPr>
    </w:lvl>
  </w:abstractNum>
  <w:abstractNum w:abstractNumId="378">
    <w:nsid w:val="1FB10A5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9">
    <w:nsid w:val="1FD721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0">
    <w:nsid w:val="1FD900AC"/>
    <w:multiLevelType w:val="singleLevel"/>
    <w:tmpl w:val="F34EA738"/>
    <w:lvl w:ilvl="0">
      <w:start w:val="6"/>
      <w:numFmt w:val="bullet"/>
      <w:lvlText w:val="-"/>
      <w:lvlJc w:val="left"/>
      <w:pPr>
        <w:tabs>
          <w:tab w:val="num" w:pos="930"/>
        </w:tabs>
        <w:ind w:left="930" w:hanging="360"/>
      </w:pPr>
      <w:rPr>
        <w:rFonts w:ascii="Times New Roman" w:hAnsi="Times New Roman" w:hint="default"/>
      </w:rPr>
    </w:lvl>
  </w:abstractNum>
  <w:abstractNum w:abstractNumId="381">
    <w:nsid w:val="1FDE48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2">
    <w:nsid w:val="20017D14"/>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383">
    <w:nsid w:val="200E7EC3"/>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384">
    <w:nsid w:val="203974D0"/>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85">
    <w:nsid w:val="2040712D"/>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386">
    <w:nsid w:val="205D39E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387">
    <w:nsid w:val="20870BB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8">
    <w:nsid w:val="208B1F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9">
    <w:nsid w:val="209D5E80"/>
    <w:multiLevelType w:val="singleLevel"/>
    <w:tmpl w:val="19FACD4E"/>
    <w:lvl w:ilvl="0">
      <w:start w:val="4"/>
      <w:numFmt w:val="bullet"/>
      <w:lvlText w:val="-"/>
      <w:lvlJc w:val="left"/>
      <w:pPr>
        <w:tabs>
          <w:tab w:val="num" w:pos="1068"/>
        </w:tabs>
        <w:ind w:left="1068" w:hanging="360"/>
      </w:pPr>
      <w:rPr>
        <w:rFonts w:ascii="Times New Roman" w:hAnsi="Times New Roman" w:hint="default"/>
      </w:rPr>
    </w:lvl>
  </w:abstractNum>
  <w:abstractNum w:abstractNumId="390">
    <w:nsid w:val="20A16A2B"/>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391">
    <w:nsid w:val="20AD498A"/>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392">
    <w:nsid w:val="20D718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3">
    <w:nsid w:val="20F466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4">
    <w:nsid w:val="21015526"/>
    <w:multiLevelType w:val="singleLevel"/>
    <w:tmpl w:val="BF50F290"/>
    <w:lvl w:ilvl="0">
      <w:numFmt w:val="bullet"/>
      <w:lvlText w:val="-"/>
      <w:lvlJc w:val="left"/>
      <w:pPr>
        <w:tabs>
          <w:tab w:val="num" w:pos="360"/>
        </w:tabs>
        <w:ind w:left="360" w:hanging="360"/>
      </w:pPr>
      <w:rPr>
        <w:rFonts w:ascii="Times New Roman" w:hAnsi="Times New Roman" w:hint="default"/>
      </w:rPr>
    </w:lvl>
  </w:abstractNum>
  <w:abstractNum w:abstractNumId="395">
    <w:nsid w:val="2102131D"/>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396">
    <w:nsid w:val="21045D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7">
    <w:nsid w:val="21155B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8">
    <w:nsid w:val="211604A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9">
    <w:nsid w:val="211C5FCB"/>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400">
    <w:nsid w:val="213A63BE"/>
    <w:multiLevelType w:val="singleLevel"/>
    <w:tmpl w:val="88E6889A"/>
    <w:lvl w:ilvl="0">
      <w:start w:val="3"/>
      <w:numFmt w:val="bullet"/>
      <w:lvlText w:val="-"/>
      <w:lvlJc w:val="left"/>
      <w:pPr>
        <w:tabs>
          <w:tab w:val="num" w:pos="360"/>
        </w:tabs>
        <w:ind w:left="360" w:hanging="360"/>
      </w:pPr>
      <w:rPr>
        <w:rFonts w:ascii="Times New Roman" w:hAnsi="Times New Roman" w:hint="default"/>
      </w:rPr>
    </w:lvl>
  </w:abstractNum>
  <w:abstractNum w:abstractNumId="401">
    <w:nsid w:val="214B6A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2">
    <w:nsid w:val="214B7B4D"/>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03">
    <w:nsid w:val="215330D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4">
    <w:nsid w:val="216D11A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405">
    <w:nsid w:val="217715F4"/>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406">
    <w:nsid w:val="218349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7">
    <w:nsid w:val="219F093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8">
    <w:nsid w:val="21C824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9">
    <w:nsid w:val="22012FDD"/>
    <w:multiLevelType w:val="singleLevel"/>
    <w:tmpl w:val="0C0A0017"/>
    <w:lvl w:ilvl="0">
      <w:start w:val="1"/>
      <w:numFmt w:val="lowerLetter"/>
      <w:lvlText w:val="%1)"/>
      <w:lvlJc w:val="left"/>
      <w:pPr>
        <w:tabs>
          <w:tab w:val="num" w:pos="360"/>
        </w:tabs>
        <w:ind w:left="360" w:hanging="360"/>
      </w:pPr>
    </w:lvl>
  </w:abstractNum>
  <w:abstractNum w:abstractNumId="410">
    <w:nsid w:val="22415FCC"/>
    <w:multiLevelType w:val="multilevel"/>
    <w:tmpl w:val="0A5E0338"/>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1">
    <w:nsid w:val="225D0A2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12">
    <w:nsid w:val="22636006"/>
    <w:multiLevelType w:val="singleLevel"/>
    <w:tmpl w:val="0C0A000F"/>
    <w:lvl w:ilvl="0">
      <w:start w:val="1"/>
      <w:numFmt w:val="decimal"/>
      <w:lvlText w:val="%1."/>
      <w:lvlJc w:val="left"/>
      <w:pPr>
        <w:tabs>
          <w:tab w:val="num" w:pos="360"/>
        </w:tabs>
        <w:ind w:left="360" w:hanging="360"/>
      </w:pPr>
    </w:lvl>
  </w:abstractNum>
  <w:abstractNum w:abstractNumId="413">
    <w:nsid w:val="227F237E"/>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414">
    <w:nsid w:val="228C1D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5">
    <w:nsid w:val="22EC5E84"/>
    <w:multiLevelType w:val="singleLevel"/>
    <w:tmpl w:val="044AF406"/>
    <w:lvl w:ilvl="0">
      <w:start w:val="4"/>
      <w:numFmt w:val="decimal"/>
      <w:lvlText w:val="%1."/>
      <w:lvlJc w:val="left"/>
      <w:pPr>
        <w:tabs>
          <w:tab w:val="num" w:pos="360"/>
        </w:tabs>
        <w:ind w:left="360" w:hanging="360"/>
      </w:pPr>
      <w:rPr>
        <w:b/>
        <w:i w:val="0"/>
      </w:rPr>
    </w:lvl>
  </w:abstractNum>
  <w:abstractNum w:abstractNumId="416">
    <w:nsid w:val="22EC6D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7">
    <w:nsid w:val="2366473B"/>
    <w:multiLevelType w:val="singleLevel"/>
    <w:tmpl w:val="E0EA0E82"/>
    <w:lvl w:ilvl="0">
      <w:start w:val="1"/>
      <w:numFmt w:val="bullet"/>
      <w:lvlText w:val="-"/>
      <w:lvlJc w:val="left"/>
      <w:pPr>
        <w:tabs>
          <w:tab w:val="num" w:pos="1069"/>
        </w:tabs>
        <w:ind w:left="1069" w:hanging="360"/>
      </w:pPr>
      <w:rPr>
        <w:rFonts w:ascii="Times New Roman" w:hAnsi="Times New Roman" w:hint="default"/>
      </w:rPr>
    </w:lvl>
  </w:abstractNum>
  <w:abstractNum w:abstractNumId="418">
    <w:nsid w:val="23860D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9">
    <w:nsid w:val="23890A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0">
    <w:nsid w:val="239A0D76"/>
    <w:multiLevelType w:val="multilevel"/>
    <w:tmpl w:val="504E36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1">
    <w:nsid w:val="23D00E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2">
    <w:nsid w:val="23E66C9D"/>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423">
    <w:nsid w:val="23FB7A21"/>
    <w:multiLevelType w:val="singleLevel"/>
    <w:tmpl w:val="EE303DA0"/>
    <w:lvl w:ilvl="0">
      <w:start w:val="1"/>
      <w:numFmt w:val="bullet"/>
      <w:lvlText w:val=""/>
      <w:lvlJc w:val="left"/>
      <w:pPr>
        <w:tabs>
          <w:tab w:val="num" w:pos="2138"/>
        </w:tabs>
        <w:ind w:left="397" w:firstLine="1021"/>
      </w:pPr>
      <w:rPr>
        <w:rFonts w:ascii="Wingdings" w:hAnsi="Wingdings" w:hint="default"/>
      </w:rPr>
    </w:lvl>
  </w:abstractNum>
  <w:abstractNum w:abstractNumId="424">
    <w:nsid w:val="240206CD"/>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425">
    <w:nsid w:val="240A436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426">
    <w:nsid w:val="241C7FD4"/>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427">
    <w:nsid w:val="242B4FFC"/>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428">
    <w:nsid w:val="242F51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9">
    <w:nsid w:val="24452745"/>
    <w:multiLevelType w:val="singleLevel"/>
    <w:tmpl w:val="75002374"/>
    <w:lvl w:ilvl="0">
      <w:start w:val="1"/>
      <w:numFmt w:val="bullet"/>
      <w:lvlText w:val=""/>
      <w:lvlJc w:val="left"/>
      <w:pPr>
        <w:tabs>
          <w:tab w:val="num" w:pos="2138"/>
        </w:tabs>
        <w:ind w:left="1758" w:hanging="340"/>
      </w:pPr>
      <w:rPr>
        <w:rFonts w:ascii="Wingdings" w:hAnsi="Wingdings" w:hint="default"/>
      </w:rPr>
    </w:lvl>
  </w:abstractNum>
  <w:abstractNum w:abstractNumId="430">
    <w:nsid w:val="245220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1">
    <w:nsid w:val="24627F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2">
    <w:nsid w:val="24672B3F"/>
    <w:multiLevelType w:val="singleLevel"/>
    <w:tmpl w:val="598A90D6"/>
    <w:lvl w:ilvl="0">
      <w:start w:val="1"/>
      <w:numFmt w:val="decimal"/>
      <w:lvlText w:val="%1."/>
      <w:lvlJc w:val="left"/>
      <w:pPr>
        <w:tabs>
          <w:tab w:val="num" w:pos="360"/>
        </w:tabs>
        <w:ind w:left="360" w:hanging="360"/>
      </w:pPr>
      <w:rPr>
        <w:rFonts w:hint="default"/>
      </w:rPr>
    </w:lvl>
  </w:abstractNum>
  <w:abstractNum w:abstractNumId="433">
    <w:nsid w:val="24840747"/>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434">
    <w:nsid w:val="24A04DB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435">
    <w:nsid w:val="24B31DEB"/>
    <w:multiLevelType w:val="singleLevel"/>
    <w:tmpl w:val="06400778"/>
    <w:lvl w:ilvl="0">
      <w:start w:val="1"/>
      <w:numFmt w:val="decimal"/>
      <w:lvlText w:val="%1."/>
      <w:lvlJc w:val="left"/>
      <w:pPr>
        <w:tabs>
          <w:tab w:val="num" w:pos="390"/>
        </w:tabs>
        <w:ind w:left="390" w:hanging="390"/>
      </w:pPr>
      <w:rPr>
        <w:rFonts w:hint="default"/>
      </w:rPr>
    </w:lvl>
  </w:abstractNum>
  <w:abstractNum w:abstractNumId="436">
    <w:nsid w:val="24CA1D8D"/>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437">
    <w:nsid w:val="24D1294B"/>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438">
    <w:nsid w:val="24E21E01"/>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439">
    <w:nsid w:val="2510065D"/>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440">
    <w:nsid w:val="252A67F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41">
    <w:nsid w:val="25364BD6"/>
    <w:multiLevelType w:val="singleLevel"/>
    <w:tmpl w:val="1F4AE398"/>
    <w:lvl w:ilvl="0">
      <w:start w:val="1"/>
      <w:numFmt w:val="decimal"/>
      <w:lvlText w:val="%1."/>
      <w:legacy w:legacy="1" w:legacySpace="0" w:legacyIndent="283"/>
      <w:lvlJc w:val="left"/>
      <w:pPr>
        <w:ind w:left="283" w:hanging="283"/>
      </w:pPr>
    </w:lvl>
  </w:abstractNum>
  <w:abstractNum w:abstractNumId="442">
    <w:nsid w:val="25585111"/>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43">
    <w:nsid w:val="25612B44"/>
    <w:multiLevelType w:val="multilevel"/>
    <w:tmpl w:val="D64E2A7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44">
    <w:nsid w:val="256B2628"/>
    <w:multiLevelType w:val="multilevel"/>
    <w:tmpl w:val="24BEE748"/>
    <w:lvl w:ilvl="0">
      <w:start w:val="3"/>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5">
    <w:nsid w:val="25793AE9"/>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46">
    <w:nsid w:val="25804F69"/>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447">
    <w:nsid w:val="25A904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8">
    <w:nsid w:val="25B5396E"/>
    <w:multiLevelType w:val="singleLevel"/>
    <w:tmpl w:val="E9306D9C"/>
    <w:lvl w:ilvl="0">
      <w:numFmt w:val="bullet"/>
      <w:lvlText w:val="-"/>
      <w:lvlJc w:val="left"/>
      <w:pPr>
        <w:tabs>
          <w:tab w:val="num" w:pos="360"/>
        </w:tabs>
        <w:ind w:left="360" w:hanging="360"/>
      </w:pPr>
      <w:rPr>
        <w:rFonts w:hint="default"/>
      </w:rPr>
    </w:lvl>
  </w:abstractNum>
  <w:abstractNum w:abstractNumId="449">
    <w:nsid w:val="25C65B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0">
    <w:nsid w:val="25DB69A4"/>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451">
    <w:nsid w:val="25FD0A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2">
    <w:nsid w:val="265369BB"/>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453">
    <w:nsid w:val="265E26DC"/>
    <w:multiLevelType w:val="singleLevel"/>
    <w:tmpl w:val="13CE219A"/>
    <w:lvl w:ilvl="0">
      <w:start w:val="1"/>
      <w:numFmt w:val="lowerLetter"/>
      <w:lvlText w:val="%1)"/>
      <w:lvlJc w:val="left"/>
      <w:pPr>
        <w:tabs>
          <w:tab w:val="num" w:pos="1069"/>
        </w:tabs>
        <w:ind w:left="1069" w:hanging="360"/>
      </w:pPr>
      <w:rPr>
        <w:rFonts w:hint="default"/>
      </w:rPr>
    </w:lvl>
  </w:abstractNum>
  <w:abstractNum w:abstractNumId="454">
    <w:nsid w:val="266E7F6D"/>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455">
    <w:nsid w:val="2689070F"/>
    <w:multiLevelType w:val="singleLevel"/>
    <w:tmpl w:val="07824C0E"/>
    <w:lvl w:ilvl="0">
      <w:start w:val="1"/>
      <w:numFmt w:val="bullet"/>
      <w:lvlText w:val="-"/>
      <w:lvlJc w:val="left"/>
      <w:pPr>
        <w:tabs>
          <w:tab w:val="num" w:pos="1065"/>
        </w:tabs>
        <w:ind w:left="1065" w:hanging="360"/>
      </w:pPr>
      <w:rPr>
        <w:rFonts w:ascii="Times New Roman" w:hAnsi="Times New Roman" w:hint="default"/>
      </w:rPr>
    </w:lvl>
  </w:abstractNum>
  <w:abstractNum w:abstractNumId="456">
    <w:nsid w:val="26A23D3C"/>
    <w:multiLevelType w:val="multilevel"/>
    <w:tmpl w:val="CDDACD2E"/>
    <w:lvl w:ilvl="0">
      <w:start w:val="1"/>
      <w:numFmt w:val="bullet"/>
      <w:lvlText w:val=""/>
      <w:lvlJc w:val="left"/>
      <w:pPr>
        <w:tabs>
          <w:tab w:val="num" w:pos="795"/>
        </w:tabs>
        <w:ind w:left="795" w:hanging="360"/>
      </w:pPr>
      <w:rPr>
        <w:rFonts w:ascii="Symbol" w:hAnsi="Symbol" w:hint="default"/>
      </w:rPr>
    </w:lvl>
    <w:lvl w:ilvl="1">
      <w:start w:val="1"/>
      <w:numFmt w:val="bullet"/>
      <w:lvlText w:val=""/>
      <w:lvlJc w:val="left"/>
      <w:pPr>
        <w:tabs>
          <w:tab w:val="num" w:pos="1515"/>
        </w:tabs>
        <w:ind w:left="1515" w:hanging="360"/>
      </w:pPr>
      <w:rPr>
        <w:rFonts w:ascii="Symbol" w:hAnsi="Symbol" w:hint="default"/>
      </w:rPr>
    </w:lvl>
    <w:lvl w:ilvl="2" w:tentative="1">
      <w:start w:val="1"/>
      <w:numFmt w:val="bullet"/>
      <w:lvlText w:val=""/>
      <w:lvlJc w:val="left"/>
      <w:pPr>
        <w:tabs>
          <w:tab w:val="num" w:pos="2235"/>
        </w:tabs>
        <w:ind w:left="2235" w:hanging="360"/>
      </w:pPr>
      <w:rPr>
        <w:rFonts w:ascii="Wingdings" w:hAnsi="Wingdings" w:hint="default"/>
      </w:rPr>
    </w:lvl>
    <w:lvl w:ilvl="3" w:tentative="1">
      <w:start w:val="1"/>
      <w:numFmt w:val="bullet"/>
      <w:lvlText w:val=""/>
      <w:lvlJc w:val="left"/>
      <w:pPr>
        <w:tabs>
          <w:tab w:val="num" w:pos="2955"/>
        </w:tabs>
        <w:ind w:left="2955" w:hanging="360"/>
      </w:pPr>
      <w:rPr>
        <w:rFonts w:ascii="Symbol" w:hAnsi="Symbol" w:hint="default"/>
      </w:rPr>
    </w:lvl>
    <w:lvl w:ilvl="4" w:tentative="1">
      <w:start w:val="1"/>
      <w:numFmt w:val="bullet"/>
      <w:lvlText w:val="o"/>
      <w:lvlJc w:val="left"/>
      <w:pPr>
        <w:tabs>
          <w:tab w:val="num" w:pos="3675"/>
        </w:tabs>
        <w:ind w:left="3675" w:hanging="360"/>
      </w:pPr>
      <w:rPr>
        <w:rFonts w:ascii="Courier New" w:hAnsi="Courier New" w:hint="default"/>
      </w:rPr>
    </w:lvl>
    <w:lvl w:ilvl="5" w:tentative="1">
      <w:start w:val="1"/>
      <w:numFmt w:val="bullet"/>
      <w:lvlText w:val=""/>
      <w:lvlJc w:val="left"/>
      <w:pPr>
        <w:tabs>
          <w:tab w:val="num" w:pos="4395"/>
        </w:tabs>
        <w:ind w:left="4395" w:hanging="360"/>
      </w:pPr>
      <w:rPr>
        <w:rFonts w:ascii="Wingdings" w:hAnsi="Wingdings" w:hint="default"/>
      </w:rPr>
    </w:lvl>
    <w:lvl w:ilvl="6" w:tentative="1">
      <w:start w:val="1"/>
      <w:numFmt w:val="bullet"/>
      <w:lvlText w:val=""/>
      <w:lvlJc w:val="left"/>
      <w:pPr>
        <w:tabs>
          <w:tab w:val="num" w:pos="5115"/>
        </w:tabs>
        <w:ind w:left="5115" w:hanging="360"/>
      </w:pPr>
      <w:rPr>
        <w:rFonts w:ascii="Symbol" w:hAnsi="Symbol" w:hint="default"/>
      </w:rPr>
    </w:lvl>
    <w:lvl w:ilvl="7" w:tentative="1">
      <w:start w:val="1"/>
      <w:numFmt w:val="bullet"/>
      <w:lvlText w:val="o"/>
      <w:lvlJc w:val="left"/>
      <w:pPr>
        <w:tabs>
          <w:tab w:val="num" w:pos="5835"/>
        </w:tabs>
        <w:ind w:left="5835" w:hanging="360"/>
      </w:pPr>
      <w:rPr>
        <w:rFonts w:ascii="Courier New" w:hAnsi="Courier New" w:hint="default"/>
      </w:rPr>
    </w:lvl>
    <w:lvl w:ilvl="8" w:tentative="1">
      <w:start w:val="1"/>
      <w:numFmt w:val="bullet"/>
      <w:lvlText w:val=""/>
      <w:lvlJc w:val="left"/>
      <w:pPr>
        <w:tabs>
          <w:tab w:val="num" w:pos="6555"/>
        </w:tabs>
        <w:ind w:left="6555" w:hanging="360"/>
      </w:pPr>
      <w:rPr>
        <w:rFonts w:ascii="Wingdings" w:hAnsi="Wingdings" w:hint="default"/>
      </w:rPr>
    </w:lvl>
  </w:abstractNum>
  <w:abstractNum w:abstractNumId="457">
    <w:nsid w:val="26CB74BE"/>
    <w:multiLevelType w:val="singleLevel"/>
    <w:tmpl w:val="D0AAB336"/>
    <w:lvl w:ilvl="0">
      <w:start w:val="1"/>
      <w:numFmt w:val="bullet"/>
      <w:lvlText w:val=""/>
      <w:lvlJc w:val="left"/>
      <w:pPr>
        <w:tabs>
          <w:tab w:val="num" w:pos="360"/>
        </w:tabs>
        <w:ind w:left="360" w:hanging="360"/>
      </w:pPr>
      <w:rPr>
        <w:rFonts w:ascii="Symbol" w:hAnsi="Symbol" w:hint="default"/>
      </w:rPr>
    </w:lvl>
  </w:abstractNum>
  <w:abstractNum w:abstractNumId="458">
    <w:nsid w:val="26CE73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9">
    <w:nsid w:val="271A40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0">
    <w:nsid w:val="271D331A"/>
    <w:multiLevelType w:val="singleLevel"/>
    <w:tmpl w:val="F8ECF7B8"/>
    <w:lvl w:ilvl="0">
      <w:start w:val="1"/>
      <w:numFmt w:val="bullet"/>
      <w:lvlText w:val="-"/>
      <w:lvlJc w:val="left"/>
      <w:pPr>
        <w:tabs>
          <w:tab w:val="num" w:pos="1785"/>
        </w:tabs>
        <w:ind w:left="1785" w:hanging="360"/>
      </w:pPr>
      <w:rPr>
        <w:rFonts w:hint="default"/>
      </w:rPr>
    </w:lvl>
  </w:abstractNum>
  <w:abstractNum w:abstractNumId="461">
    <w:nsid w:val="272B57E1"/>
    <w:multiLevelType w:val="singleLevel"/>
    <w:tmpl w:val="0C0A0017"/>
    <w:lvl w:ilvl="0">
      <w:start w:val="1"/>
      <w:numFmt w:val="lowerLetter"/>
      <w:lvlText w:val="%1)"/>
      <w:lvlJc w:val="left"/>
      <w:pPr>
        <w:tabs>
          <w:tab w:val="num" w:pos="360"/>
        </w:tabs>
        <w:ind w:left="360" w:hanging="360"/>
      </w:pPr>
      <w:rPr>
        <w:rFonts w:hint="default"/>
      </w:rPr>
    </w:lvl>
  </w:abstractNum>
  <w:abstractNum w:abstractNumId="462">
    <w:nsid w:val="2762071F"/>
    <w:multiLevelType w:val="singleLevel"/>
    <w:tmpl w:val="0C0A000F"/>
    <w:lvl w:ilvl="0">
      <w:start w:val="1"/>
      <w:numFmt w:val="decimal"/>
      <w:lvlText w:val="%1."/>
      <w:lvlJc w:val="left"/>
      <w:pPr>
        <w:tabs>
          <w:tab w:val="num" w:pos="360"/>
        </w:tabs>
        <w:ind w:left="360" w:hanging="360"/>
      </w:pPr>
    </w:lvl>
  </w:abstractNum>
  <w:abstractNum w:abstractNumId="463">
    <w:nsid w:val="277449B3"/>
    <w:multiLevelType w:val="multilevel"/>
    <w:tmpl w:val="92D22FBE"/>
    <w:lvl w:ilvl="0">
      <w:start w:val="1"/>
      <w:numFmt w:val="upperRoman"/>
      <w:lvlText w:val="%1."/>
      <w:lvlJc w:val="left"/>
      <w:pPr>
        <w:tabs>
          <w:tab w:val="num" w:pos="720"/>
        </w:tabs>
        <w:ind w:left="720" w:hanging="720"/>
      </w:pPr>
      <w:rPr>
        <w:rFonts w:hint="default"/>
      </w:rPr>
    </w:lvl>
    <w:lvl w:ilvl="1">
      <w:start w:val="4"/>
      <w:numFmt w:val="decimal"/>
      <w:isLgl/>
      <w:lvlText w:val="%1.%2."/>
      <w:lvlJc w:val="left"/>
      <w:pPr>
        <w:tabs>
          <w:tab w:val="num" w:pos="720"/>
        </w:tabs>
        <w:ind w:left="720" w:hanging="720"/>
      </w:pPr>
      <w:rPr>
        <w:rFonts w:hint="default"/>
      </w:rPr>
    </w:lvl>
    <w:lvl w:ilvl="2">
      <w:start w:val="4"/>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64">
    <w:nsid w:val="27A225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5">
    <w:nsid w:val="27B168F1"/>
    <w:multiLevelType w:val="singleLevel"/>
    <w:tmpl w:val="81BEB41E"/>
    <w:lvl w:ilvl="0">
      <w:start w:val="1"/>
      <w:numFmt w:val="upperRoman"/>
      <w:lvlText w:val="%1."/>
      <w:lvlJc w:val="left"/>
      <w:pPr>
        <w:tabs>
          <w:tab w:val="num" w:pos="1004"/>
        </w:tabs>
        <w:ind w:left="1004" w:hanging="720"/>
      </w:pPr>
      <w:rPr>
        <w:rFonts w:hint="default"/>
      </w:rPr>
    </w:lvl>
  </w:abstractNum>
  <w:abstractNum w:abstractNumId="466">
    <w:nsid w:val="27BF09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7">
    <w:nsid w:val="27CD27E2"/>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468">
    <w:nsid w:val="27EB24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9">
    <w:nsid w:val="28200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0">
    <w:nsid w:val="283D53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1">
    <w:nsid w:val="284F08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2">
    <w:nsid w:val="288A5EEA"/>
    <w:multiLevelType w:val="multilevel"/>
    <w:tmpl w:val="00447D28"/>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3">
    <w:nsid w:val="28B857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4">
    <w:nsid w:val="28C41F9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75">
    <w:nsid w:val="28D12295"/>
    <w:multiLevelType w:val="singleLevel"/>
    <w:tmpl w:val="CF4ADFA2"/>
    <w:lvl w:ilvl="0">
      <w:start w:val="3"/>
      <w:numFmt w:val="decimal"/>
      <w:lvlText w:val="2.2.%1. "/>
      <w:legacy w:legacy="1" w:legacySpace="0" w:legacyIndent="283"/>
      <w:lvlJc w:val="left"/>
      <w:pPr>
        <w:ind w:left="283" w:hanging="283"/>
      </w:pPr>
      <w:rPr>
        <w:rFonts w:ascii="Arial" w:hAnsi="Arial" w:hint="default"/>
        <w:b w:val="0"/>
        <w:i w:val="0"/>
        <w:sz w:val="24"/>
        <w:u w:val="single"/>
      </w:rPr>
    </w:lvl>
  </w:abstractNum>
  <w:abstractNum w:abstractNumId="476">
    <w:nsid w:val="28DD53FF"/>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477">
    <w:nsid w:val="28EA5154"/>
    <w:multiLevelType w:val="singleLevel"/>
    <w:tmpl w:val="0AC69442"/>
    <w:lvl w:ilvl="0">
      <w:start w:val="1"/>
      <w:numFmt w:val="bullet"/>
      <w:lvlText w:val=""/>
      <w:lvlJc w:val="left"/>
      <w:pPr>
        <w:tabs>
          <w:tab w:val="num" w:pos="1701"/>
        </w:tabs>
        <w:ind w:left="1701" w:hanging="850"/>
      </w:pPr>
      <w:rPr>
        <w:rFonts w:ascii="Wingdings" w:hAnsi="Wingdings" w:hint="default"/>
      </w:rPr>
    </w:lvl>
  </w:abstractNum>
  <w:abstractNum w:abstractNumId="478">
    <w:nsid w:val="29500990"/>
    <w:multiLevelType w:val="multilevel"/>
    <w:tmpl w:val="19DEAD4E"/>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479">
    <w:nsid w:val="2954331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80">
    <w:nsid w:val="296121F8"/>
    <w:multiLevelType w:val="singleLevel"/>
    <w:tmpl w:val="0C0A000F"/>
    <w:lvl w:ilvl="0">
      <w:start w:val="1"/>
      <w:numFmt w:val="decimal"/>
      <w:lvlText w:val="%1."/>
      <w:lvlJc w:val="left"/>
      <w:pPr>
        <w:tabs>
          <w:tab w:val="num" w:pos="360"/>
        </w:tabs>
        <w:ind w:left="360" w:hanging="360"/>
      </w:pPr>
    </w:lvl>
  </w:abstractNum>
  <w:abstractNum w:abstractNumId="481">
    <w:nsid w:val="29863159"/>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82">
    <w:nsid w:val="29B95858"/>
    <w:multiLevelType w:val="singleLevel"/>
    <w:tmpl w:val="E0EA0E82"/>
    <w:lvl w:ilvl="0">
      <w:start w:val="1"/>
      <w:numFmt w:val="bullet"/>
      <w:lvlText w:val="-"/>
      <w:lvlJc w:val="left"/>
      <w:pPr>
        <w:tabs>
          <w:tab w:val="num" w:pos="1069"/>
        </w:tabs>
        <w:ind w:left="1069" w:hanging="360"/>
      </w:pPr>
      <w:rPr>
        <w:rFonts w:ascii="Times New Roman" w:hAnsi="Times New Roman" w:hint="default"/>
      </w:rPr>
    </w:lvl>
  </w:abstractNum>
  <w:abstractNum w:abstractNumId="483">
    <w:nsid w:val="29BC5171"/>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484">
    <w:nsid w:val="29C7028A"/>
    <w:multiLevelType w:val="multilevel"/>
    <w:tmpl w:val="9FAE814A"/>
    <w:lvl w:ilvl="0">
      <w:start w:val="5"/>
      <w:numFmt w:val="decimal"/>
      <w:lvlText w:val="%1."/>
      <w:lvlJc w:val="left"/>
      <w:pPr>
        <w:tabs>
          <w:tab w:val="num" w:pos="400"/>
        </w:tabs>
        <w:ind w:left="400" w:hanging="40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85">
    <w:nsid w:val="29F01BB7"/>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486">
    <w:nsid w:val="2A0D65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87">
    <w:nsid w:val="2A470F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8">
    <w:nsid w:val="2A6113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9">
    <w:nsid w:val="2A621D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0">
    <w:nsid w:val="2A8C6997"/>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491">
    <w:nsid w:val="2A9674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2">
    <w:nsid w:val="2A9E2145"/>
    <w:multiLevelType w:val="multilevel"/>
    <w:tmpl w:val="0B16AE4A"/>
    <w:lvl w:ilvl="0">
      <w:start w:val="5"/>
      <w:numFmt w:val="decimal"/>
      <w:lvlText w:val="%1."/>
      <w:lvlJc w:val="left"/>
      <w:pPr>
        <w:tabs>
          <w:tab w:val="num" w:pos="400"/>
        </w:tabs>
        <w:ind w:left="400" w:hanging="40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3">
    <w:nsid w:val="2ABE6353"/>
    <w:multiLevelType w:val="singleLevel"/>
    <w:tmpl w:val="50B8F17E"/>
    <w:lvl w:ilvl="0">
      <w:start w:val="5"/>
      <w:numFmt w:val="decimal"/>
      <w:lvlText w:val="%1."/>
      <w:lvlJc w:val="left"/>
      <w:pPr>
        <w:tabs>
          <w:tab w:val="num" w:pos="360"/>
        </w:tabs>
        <w:ind w:left="360" w:hanging="360"/>
      </w:pPr>
    </w:lvl>
  </w:abstractNum>
  <w:abstractNum w:abstractNumId="494">
    <w:nsid w:val="2AE30D05"/>
    <w:multiLevelType w:val="singleLevel"/>
    <w:tmpl w:val="2798402E"/>
    <w:lvl w:ilvl="0">
      <w:numFmt w:val="bullet"/>
      <w:lvlText w:val=""/>
      <w:lvlJc w:val="left"/>
      <w:pPr>
        <w:tabs>
          <w:tab w:val="num" w:pos="0"/>
        </w:tabs>
        <w:ind w:left="0" w:firstLine="0"/>
      </w:pPr>
      <w:rPr>
        <w:rFonts w:ascii="Wingdings" w:hAnsi="Wingdings" w:hint="default"/>
      </w:rPr>
    </w:lvl>
  </w:abstractNum>
  <w:abstractNum w:abstractNumId="495">
    <w:nsid w:val="2AF942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6">
    <w:nsid w:val="2AFB272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497">
    <w:nsid w:val="2B0936FD"/>
    <w:multiLevelType w:val="singleLevel"/>
    <w:tmpl w:val="0C0A000F"/>
    <w:lvl w:ilvl="0">
      <w:start w:val="1"/>
      <w:numFmt w:val="decimal"/>
      <w:lvlText w:val="%1."/>
      <w:lvlJc w:val="left"/>
      <w:pPr>
        <w:tabs>
          <w:tab w:val="num" w:pos="360"/>
        </w:tabs>
        <w:ind w:left="360" w:hanging="360"/>
      </w:pPr>
    </w:lvl>
  </w:abstractNum>
  <w:abstractNum w:abstractNumId="498">
    <w:nsid w:val="2B1D2388"/>
    <w:multiLevelType w:val="singleLevel"/>
    <w:tmpl w:val="0C0A0017"/>
    <w:lvl w:ilvl="0">
      <w:start w:val="1"/>
      <w:numFmt w:val="lowerLetter"/>
      <w:lvlText w:val="%1)"/>
      <w:lvlJc w:val="left"/>
      <w:pPr>
        <w:tabs>
          <w:tab w:val="num" w:pos="360"/>
        </w:tabs>
        <w:ind w:left="360" w:hanging="360"/>
      </w:pPr>
    </w:lvl>
  </w:abstractNum>
  <w:abstractNum w:abstractNumId="499">
    <w:nsid w:val="2B2B494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0">
    <w:nsid w:val="2B2F56C5"/>
    <w:multiLevelType w:val="singleLevel"/>
    <w:tmpl w:val="29DAF436"/>
    <w:lvl w:ilvl="0">
      <w:start w:val="6"/>
      <w:numFmt w:val="bullet"/>
      <w:lvlText w:val=""/>
      <w:lvlJc w:val="left"/>
      <w:pPr>
        <w:tabs>
          <w:tab w:val="num" w:pos="927"/>
        </w:tabs>
        <w:ind w:left="927" w:hanging="360"/>
      </w:pPr>
      <w:rPr>
        <w:rFonts w:ascii="Symbol" w:hAnsi="Symbol" w:hint="default"/>
      </w:rPr>
    </w:lvl>
  </w:abstractNum>
  <w:abstractNum w:abstractNumId="501">
    <w:nsid w:val="2B384B9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02">
    <w:nsid w:val="2B447EF6"/>
    <w:multiLevelType w:val="singleLevel"/>
    <w:tmpl w:val="4B7C235A"/>
    <w:lvl w:ilvl="0">
      <w:numFmt w:val="bullet"/>
      <w:lvlText w:val="-"/>
      <w:lvlJc w:val="left"/>
      <w:pPr>
        <w:tabs>
          <w:tab w:val="num" w:pos="1766"/>
        </w:tabs>
        <w:ind w:left="1766" w:hanging="360"/>
      </w:pPr>
      <w:rPr>
        <w:rFonts w:ascii="Times New Roman" w:hAnsi="Times New Roman" w:hint="default"/>
      </w:rPr>
    </w:lvl>
  </w:abstractNum>
  <w:abstractNum w:abstractNumId="503">
    <w:nsid w:val="2B4709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4">
    <w:nsid w:val="2B632B23"/>
    <w:multiLevelType w:val="singleLevel"/>
    <w:tmpl w:val="0C0A000F"/>
    <w:lvl w:ilvl="0">
      <w:start w:val="1"/>
      <w:numFmt w:val="decimal"/>
      <w:lvlText w:val="%1."/>
      <w:lvlJc w:val="left"/>
      <w:pPr>
        <w:tabs>
          <w:tab w:val="num" w:pos="360"/>
        </w:tabs>
        <w:ind w:left="360" w:hanging="360"/>
      </w:pPr>
    </w:lvl>
  </w:abstractNum>
  <w:abstractNum w:abstractNumId="505">
    <w:nsid w:val="2B633C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6">
    <w:nsid w:val="2B7A1963"/>
    <w:multiLevelType w:val="singleLevel"/>
    <w:tmpl w:val="47E21510"/>
    <w:lvl w:ilvl="0">
      <w:start w:val="1"/>
      <w:numFmt w:val="lowerLetter"/>
      <w:lvlText w:val="%1)"/>
      <w:legacy w:legacy="1" w:legacySpace="0" w:legacyIndent="283"/>
      <w:lvlJc w:val="left"/>
      <w:pPr>
        <w:ind w:left="283" w:hanging="283"/>
      </w:pPr>
    </w:lvl>
  </w:abstractNum>
  <w:abstractNum w:abstractNumId="507">
    <w:nsid w:val="2B811ED5"/>
    <w:multiLevelType w:val="singleLevel"/>
    <w:tmpl w:val="23365BBC"/>
    <w:lvl w:ilvl="0">
      <w:start w:val="3"/>
      <w:numFmt w:val="decimal"/>
      <w:lvlText w:val="%1"/>
      <w:lvlJc w:val="left"/>
      <w:pPr>
        <w:tabs>
          <w:tab w:val="num" w:pos="360"/>
        </w:tabs>
        <w:ind w:left="360" w:hanging="360"/>
      </w:pPr>
      <w:rPr>
        <w:rFonts w:hint="default"/>
      </w:rPr>
    </w:lvl>
  </w:abstractNum>
  <w:abstractNum w:abstractNumId="508">
    <w:nsid w:val="2B89732E"/>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509">
    <w:nsid w:val="2B8C5B3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10">
    <w:nsid w:val="2BA62DA3"/>
    <w:multiLevelType w:val="multilevel"/>
    <w:tmpl w:val="EC5884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1">
    <w:nsid w:val="2BD5400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12">
    <w:nsid w:val="2BE11E38"/>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513">
    <w:nsid w:val="2BEE14EC"/>
    <w:multiLevelType w:val="singleLevel"/>
    <w:tmpl w:val="0C0A000F"/>
    <w:lvl w:ilvl="0">
      <w:start w:val="1"/>
      <w:numFmt w:val="decimal"/>
      <w:lvlText w:val="%1."/>
      <w:lvlJc w:val="left"/>
      <w:pPr>
        <w:tabs>
          <w:tab w:val="num" w:pos="360"/>
        </w:tabs>
        <w:ind w:left="360" w:hanging="360"/>
      </w:pPr>
    </w:lvl>
  </w:abstractNum>
  <w:abstractNum w:abstractNumId="514">
    <w:nsid w:val="2C352E42"/>
    <w:multiLevelType w:val="singleLevel"/>
    <w:tmpl w:val="EFFE8AD2"/>
    <w:lvl w:ilvl="0">
      <w:numFmt w:val="bullet"/>
      <w:lvlText w:val="-"/>
      <w:lvlJc w:val="left"/>
      <w:pPr>
        <w:tabs>
          <w:tab w:val="num" w:pos="1068"/>
        </w:tabs>
        <w:ind w:left="1068" w:hanging="360"/>
      </w:pPr>
      <w:rPr>
        <w:rFonts w:ascii="Times New Roman" w:hAnsi="Times New Roman" w:hint="default"/>
      </w:rPr>
    </w:lvl>
  </w:abstractNum>
  <w:abstractNum w:abstractNumId="515">
    <w:nsid w:val="2C3945CF"/>
    <w:multiLevelType w:val="singleLevel"/>
    <w:tmpl w:val="D848BB92"/>
    <w:lvl w:ilvl="0">
      <w:numFmt w:val="bullet"/>
      <w:lvlText w:val="-"/>
      <w:lvlJc w:val="left"/>
      <w:pPr>
        <w:tabs>
          <w:tab w:val="num" w:pos="1065"/>
        </w:tabs>
        <w:ind w:left="1065" w:hanging="360"/>
      </w:pPr>
      <w:rPr>
        <w:rFonts w:ascii="Times New Roman" w:hAnsi="Times New Roman" w:hint="default"/>
      </w:rPr>
    </w:lvl>
  </w:abstractNum>
  <w:abstractNum w:abstractNumId="516">
    <w:nsid w:val="2C574A9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517">
    <w:nsid w:val="2C6C718A"/>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518">
    <w:nsid w:val="2C783E10"/>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519">
    <w:nsid w:val="2C92119D"/>
    <w:multiLevelType w:val="singleLevel"/>
    <w:tmpl w:val="F8ECF7B8"/>
    <w:lvl w:ilvl="0">
      <w:start w:val="1"/>
      <w:numFmt w:val="bullet"/>
      <w:lvlText w:val="-"/>
      <w:lvlJc w:val="left"/>
      <w:pPr>
        <w:tabs>
          <w:tab w:val="num" w:pos="1785"/>
        </w:tabs>
        <w:ind w:left="1785" w:hanging="360"/>
      </w:pPr>
      <w:rPr>
        <w:rFonts w:hint="default"/>
      </w:rPr>
    </w:lvl>
  </w:abstractNum>
  <w:abstractNum w:abstractNumId="520">
    <w:nsid w:val="2CA8532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1">
    <w:nsid w:val="2CBC5309"/>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522">
    <w:nsid w:val="2CC708E9"/>
    <w:multiLevelType w:val="singleLevel"/>
    <w:tmpl w:val="0C0A000F"/>
    <w:lvl w:ilvl="0">
      <w:start w:val="1"/>
      <w:numFmt w:val="decimal"/>
      <w:lvlText w:val="%1."/>
      <w:lvlJc w:val="left"/>
      <w:pPr>
        <w:tabs>
          <w:tab w:val="num" w:pos="360"/>
        </w:tabs>
        <w:ind w:left="360" w:hanging="360"/>
      </w:pPr>
    </w:lvl>
  </w:abstractNum>
  <w:abstractNum w:abstractNumId="523">
    <w:nsid w:val="2CC77A6E"/>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24">
    <w:nsid w:val="2CD23781"/>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525">
    <w:nsid w:val="2CDA4F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6">
    <w:nsid w:val="2CE225C2"/>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527">
    <w:nsid w:val="2CF62218"/>
    <w:multiLevelType w:val="singleLevel"/>
    <w:tmpl w:val="0C0A000F"/>
    <w:lvl w:ilvl="0">
      <w:start w:val="1"/>
      <w:numFmt w:val="decimal"/>
      <w:lvlText w:val="%1."/>
      <w:lvlJc w:val="left"/>
      <w:pPr>
        <w:tabs>
          <w:tab w:val="num" w:pos="360"/>
        </w:tabs>
        <w:ind w:left="360" w:hanging="360"/>
      </w:pPr>
    </w:lvl>
  </w:abstractNum>
  <w:abstractNum w:abstractNumId="528">
    <w:nsid w:val="2D1A7088"/>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529">
    <w:nsid w:val="2D22212E"/>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530">
    <w:nsid w:val="2D27650B"/>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531">
    <w:nsid w:val="2D4D2462"/>
    <w:multiLevelType w:val="singleLevel"/>
    <w:tmpl w:val="FBFA498C"/>
    <w:lvl w:ilvl="0">
      <w:start w:val="1"/>
      <w:numFmt w:val="bullet"/>
      <w:lvlText w:val="-"/>
      <w:lvlJc w:val="left"/>
      <w:pPr>
        <w:tabs>
          <w:tab w:val="num" w:pos="360"/>
        </w:tabs>
        <w:ind w:left="360" w:hanging="360"/>
      </w:pPr>
      <w:rPr>
        <w:rFonts w:ascii="Times New Roman" w:hAnsi="Times New Roman" w:hint="default"/>
      </w:rPr>
    </w:lvl>
  </w:abstractNum>
  <w:abstractNum w:abstractNumId="532">
    <w:nsid w:val="2D6945EF"/>
    <w:multiLevelType w:val="singleLevel"/>
    <w:tmpl w:val="5AE22728"/>
    <w:lvl w:ilvl="0">
      <w:start w:val="3"/>
      <w:numFmt w:val="lowerLetter"/>
      <w:lvlText w:val="%1)"/>
      <w:lvlJc w:val="left"/>
      <w:pPr>
        <w:tabs>
          <w:tab w:val="num" w:pos="945"/>
        </w:tabs>
        <w:ind w:left="945" w:hanging="360"/>
      </w:pPr>
      <w:rPr>
        <w:rFonts w:hint="default"/>
      </w:rPr>
    </w:lvl>
  </w:abstractNum>
  <w:abstractNum w:abstractNumId="533">
    <w:nsid w:val="2D7646DD"/>
    <w:multiLevelType w:val="singleLevel"/>
    <w:tmpl w:val="0C0A000F"/>
    <w:lvl w:ilvl="0">
      <w:start w:val="1"/>
      <w:numFmt w:val="decimal"/>
      <w:lvlText w:val="%1."/>
      <w:lvlJc w:val="left"/>
      <w:pPr>
        <w:tabs>
          <w:tab w:val="num" w:pos="360"/>
        </w:tabs>
        <w:ind w:left="360" w:hanging="360"/>
      </w:pPr>
      <w:rPr>
        <w:rFonts w:hint="default"/>
      </w:rPr>
    </w:lvl>
  </w:abstractNum>
  <w:abstractNum w:abstractNumId="534">
    <w:nsid w:val="2D9B3C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5">
    <w:nsid w:val="2D9C6B7C"/>
    <w:multiLevelType w:val="multilevel"/>
    <w:tmpl w:val="73C83DB4"/>
    <w:lvl w:ilvl="0">
      <w:start w:val="1"/>
      <w:numFmt w:val="decimal"/>
      <w:lvlText w:val="%1"/>
      <w:lvlJc w:val="left"/>
      <w:pPr>
        <w:tabs>
          <w:tab w:val="num" w:pos="705"/>
        </w:tabs>
        <w:ind w:left="705" w:hanging="705"/>
      </w:pPr>
      <w:rPr>
        <w:rFonts w:hint="default"/>
        <w:b/>
      </w:rPr>
    </w:lvl>
    <w:lvl w:ilvl="1">
      <w:start w:val="3"/>
      <w:numFmt w:val="decimal"/>
      <w:lvlText w:val="%1.%2"/>
      <w:lvlJc w:val="left"/>
      <w:pPr>
        <w:tabs>
          <w:tab w:val="num" w:pos="1626"/>
        </w:tabs>
        <w:ind w:left="1626" w:hanging="705"/>
      </w:pPr>
      <w:rPr>
        <w:rFonts w:hint="default"/>
        <w:b/>
      </w:rPr>
    </w:lvl>
    <w:lvl w:ilvl="2">
      <w:start w:val="1"/>
      <w:numFmt w:val="decimal"/>
      <w:lvlText w:val="%1.%2.%3"/>
      <w:lvlJc w:val="left"/>
      <w:pPr>
        <w:tabs>
          <w:tab w:val="num" w:pos="2562"/>
        </w:tabs>
        <w:ind w:left="2562" w:hanging="720"/>
      </w:pPr>
      <w:rPr>
        <w:rFonts w:hint="default"/>
        <w:b/>
      </w:rPr>
    </w:lvl>
    <w:lvl w:ilvl="3">
      <w:start w:val="1"/>
      <w:numFmt w:val="decimal"/>
      <w:lvlText w:val="%1.%2.%3.%4"/>
      <w:lvlJc w:val="left"/>
      <w:pPr>
        <w:tabs>
          <w:tab w:val="num" w:pos="3843"/>
        </w:tabs>
        <w:ind w:left="3843" w:hanging="1080"/>
      </w:pPr>
      <w:rPr>
        <w:rFonts w:hint="default"/>
        <w:b/>
      </w:rPr>
    </w:lvl>
    <w:lvl w:ilvl="4">
      <w:start w:val="1"/>
      <w:numFmt w:val="decimal"/>
      <w:lvlText w:val="%1.%2.%3.%4.%5"/>
      <w:lvlJc w:val="left"/>
      <w:pPr>
        <w:tabs>
          <w:tab w:val="num" w:pos="4764"/>
        </w:tabs>
        <w:ind w:left="4764" w:hanging="1080"/>
      </w:pPr>
      <w:rPr>
        <w:rFonts w:hint="default"/>
        <w:b/>
      </w:rPr>
    </w:lvl>
    <w:lvl w:ilvl="5">
      <w:start w:val="1"/>
      <w:numFmt w:val="decimal"/>
      <w:lvlText w:val="%1.%2.%3.%4.%5.%6"/>
      <w:lvlJc w:val="left"/>
      <w:pPr>
        <w:tabs>
          <w:tab w:val="num" w:pos="6045"/>
        </w:tabs>
        <w:ind w:left="6045" w:hanging="1440"/>
      </w:pPr>
      <w:rPr>
        <w:rFonts w:hint="default"/>
        <w:b/>
      </w:rPr>
    </w:lvl>
    <w:lvl w:ilvl="6">
      <w:start w:val="1"/>
      <w:numFmt w:val="decimal"/>
      <w:lvlText w:val="%1.%2.%3.%4.%5.%6.%7"/>
      <w:lvlJc w:val="left"/>
      <w:pPr>
        <w:tabs>
          <w:tab w:val="num" w:pos="6966"/>
        </w:tabs>
        <w:ind w:left="6966" w:hanging="1440"/>
      </w:pPr>
      <w:rPr>
        <w:rFonts w:hint="default"/>
        <w:b/>
      </w:rPr>
    </w:lvl>
    <w:lvl w:ilvl="7">
      <w:start w:val="1"/>
      <w:numFmt w:val="decimal"/>
      <w:lvlText w:val="%1.%2.%3.%4.%5.%6.%7.%8"/>
      <w:lvlJc w:val="left"/>
      <w:pPr>
        <w:tabs>
          <w:tab w:val="num" w:pos="8247"/>
        </w:tabs>
        <w:ind w:left="8247" w:hanging="1800"/>
      </w:pPr>
      <w:rPr>
        <w:rFonts w:hint="default"/>
        <w:b/>
      </w:rPr>
    </w:lvl>
    <w:lvl w:ilvl="8">
      <w:start w:val="1"/>
      <w:numFmt w:val="decimal"/>
      <w:lvlText w:val="%1.%2.%3.%4.%5.%6.%7.%8.%9"/>
      <w:lvlJc w:val="left"/>
      <w:pPr>
        <w:tabs>
          <w:tab w:val="num" w:pos="9168"/>
        </w:tabs>
        <w:ind w:left="9168" w:hanging="1800"/>
      </w:pPr>
      <w:rPr>
        <w:rFonts w:hint="default"/>
        <w:b/>
      </w:rPr>
    </w:lvl>
  </w:abstractNum>
  <w:abstractNum w:abstractNumId="536">
    <w:nsid w:val="2DA540D2"/>
    <w:multiLevelType w:val="multilevel"/>
    <w:tmpl w:val="F8928CFA"/>
    <w:lvl w:ilvl="0">
      <w:start w:val="3"/>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5"/>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37">
    <w:nsid w:val="2DD877C7"/>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538">
    <w:nsid w:val="2E0F2366"/>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539">
    <w:nsid w:val="2E3A2957"/>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40">
    <w:nsid w:val="2E425A1D"/>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541">
    <w:nsid w:val="2E5061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2">
    <w:nsid w:val="2E9D6D2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3">
    <w:nsid w:val="2ED8573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4">
    <w:nsid w:val="2EDB3446"/>
    <w:multiLevelType w:val="multilevel"/>
    <w:tmpl w:val="521674E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50"/>
        </w:tabs>
        <w:ind w:left="750" w:hanging="750"/>
      </w:pPr>
      <w:rPr>
        <w:rFonts w:hint="default"/>
      </w:rPr>
    </w:lvl>
    <w:lvl w:ilvl="2">
      <w:start w:val="1"/>
      <w:numFmt w:val="decimal"/>
      <w:isLgl/>
      <w:lvlText w:val="%1.%2.%3."/>
      <w:lvlJc w:val="left"/>
      <w:pPr>
        <w:tabs>
          <w:tab w:val="num" w:pos="750"/>
        </w:tabs>
        <w:ind w:left="750" w:hanging="750"/>
      </w:pPr>
      <w:rPr>
        <w:rFonts w:hint="default"/>
      </w:rPr>
    </w:lvl>
    <w:lvl w:ilvl="3">
      <w:start w:val="1"/>
      <w:numFmt w:val="decimal"/>
      <w:isLgl/>
      <w:lvlText w:val="%1.%2.%3.%4."/>
      <w:lvlJc w:val="left"/>
      <w:pPr>
        <w:tabs>
          <w:tab w:val="num" w:pos="750"/>
        </w:tabs>
        <w:ind w:left="750" w:hanging="75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45">
    <w:nsid w:val="2EE37E10"/>
    <w:multiLevelType w:val="singleLevel"/>
    <w:tmpl w:val="7088AE4A"/>
    <w:lvl w:ilvl="0">
      <w:start w:val="1"/>
      <w:numFmt w:val="decimal"/>
      <w:lvlText w:val="%1."/>
      <w:lvlJc w:val="left"/>
      <w:pPr>
        <w:tabs>
          <w:tab w:val="num" w:pos="360"/>
        </w:tabs>
        <w:ind w:left="360" w:hanging="360"/>
      </w:pPr>
      <w:rPr>
        <w:b/>
        <w:i w:val="0"/>
      </w:rPr>
    </w:lvl>
  </w:abstractNum>
  <w:abstractNum w:abstractNumId="546">
    <w:nsid w:val="2F2C7271"/>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547">
    <w:nsid w:val="2F3A6DDC"/>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548">
    <w:nsid w:val="2F516BA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49">
    <w:nsid w:val="2F9E6F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0">
    <w:nsid w:val="2FB6250E"/>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551">
    <w:nsid w:val="2FBD3220"/>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552">
    <w:nsid w:val="2FCA1D93"/>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553">
    <w:nsid w:val="2FDD5B4C"/>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554">
    <w:nsid w:val="2FED4E8B"/>
    <w:multiLevelType w:val="singleLevel"/>
    <w:tmpl w:val="FD1CE406"/>
    <w:lvl w:ilvl="0">
      <w:numFmt w:val="bullet"/>
      <w:lvlText w:val="-"/>
      <w:lvlJc w:val="left"/>
      <w:pPr>
        <w:tabs>
          <w:tab w:val="num" w:pos="360"/>
        </w:tabs>
        <w:ind w:left="360" w:hanging="360"/>
      </w:pPr>
      <w:rPr>
        <w:rFonts w:ascii="Times New Roman" w:hAnsi="Times New Roman" w:hint="default"/>
      </w:rPr>
    </w:lvl>
  </w:abstractNum>
  <w:abstractNum w:abstractNumId="555">
    <w:nsid w:val="302954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6">
    <w:nsid w:val="302C4777"/>
    <w:multiLevelType w:val="singleLevel"/>
    <w:tmpl w:val="29DAF436"/>
    <w:lvl w:ilvl="0">
      <w:start w:val="6"/>
      <w:numFmt w:val="bullet"/>
      <w:lvlText w:val=""/>
      <w:lvlJc w:val="left"/>
      <w:pPr>
        <w:tabs>
          <w:tab w:val="num" w:pos="927"/>
        </w:tabs>
        <w:ind w:left="927" w:hanging="360"/>
      </w:pPr>
      <w:rPr>
        <w:rFonts w:ascii="Symbol" w:hAnsi="Symbol" w:hint="default"/>
      </w:rPr>
    </w:lvl>
  </w:abstractNum>
  <w:abstractNum w:abstractNumId="557">
    <w:nsid w:val="304047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8">
    <w:nsid w:val="304B579D"/>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559">
    <w:nsid w:val="305B4642"/>
    <w:multiLevelType w:val="singleLevel"/>
    <w:tmpl w:val="39340BDE"/>
    <w:lvl w:ilvl="0">
      <w:start w:val="1"/>
      <w:numFmt w:val="decimal"/>
      <w:lvlText w:val="%1."/>
      <w:lvlJc w:val="left"/>
      <w:pPr>
        <w:tabs>
          <w:tab w:val="num" w:pos="644"/>
        </w:tabs>
        <w:ind w:left="644" w:hanging="360"/>
      </w:pPr>
      <w:rPr>
        <w:rFonts w:hint="default"/>
      </w:rPr>
    </w:lvl>
  </w:abstractNum>
  <w:abstractNum w:abstractNumId="560">
    <w:nsid w:val="3078154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561">
    <w:nsid w:val="308D5E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2">
    <w:nsid w:val="308D5E0E"/>
    <w:multiLevelType w:val="singleLevel"/>
    <w:tmpl w:val="0C0A000F"/>
    <w:lvl w:ilvl="0">
      <w:start w:val="1"/>
      <w:numFmt w:val="decimal"/>
      <w:lvlText w:val="%1."/>
      <w:lvlJc w:val="left"/>
      <w:pPr>
        <w:tabs>
          <w:tab w:val="num" w:pos="360"/>
        </w:tabs>
        <w:ind w:left="360" w:hanging="360"/>
      </w:pPr>
    </w:lvl>
  </w:abstractNum>
  <w:abstractNum w:abstractNumId="563">
    <w:nsid w:val="30946592"/>
    <w:multiLevelType w:val="multilevel"/>
    <w:tmpl w:val="050E4EDE"/>
    <w:lvl w:ilvl="0">
      <w:start w:val="1"/>
      <w:numFmt w:val="decimal"/>
      <w:lvlText w:val="%1"/>
      <w:lvlJc w:val="left"/>
      <w:pPr>
        <w:tabs>
          <w:tab w:val="num" w:pos="525"/>
        </w:tabs>
        <w:ind w:left="525" w:hanging="525"/>
      </w:pPr>
      <w:rPr>
        <w:rFonts w:hint="default"/>
      </w:rPr>
    </w:lvl>
    <w:lvl w:ilvl="1">
      <w:start w:val="3"/>
      <w:numFmt w:val="decimal"/>
      <w:lvlText w:val="%1.%2"/>
      <w:lvlJc w:val="left"/>
      <w:pPr>
        <w:tabs>
          <w:tab w:val="num" w:pos="851"/>
        </w:tabs>
        <w:ind w:left="0" w:firstLine="491"/>
      </w:pPr>
      <w:rPr>
        <w:rFonts w:hint="default"/>
      </w:rPr>
    </w:lvl>
    <w:lvl w:ilvl="2">
      <w:start w:val="1"/>
      <w:numFmt w:val="decimal"/>
      <w:lvlText w:val="%1.%2.%3"/>
      <w:lvlJc w:val="left"/>
      <w:pPr>
        <w:tabs>
          <w:tab w:val="num" w:pos="1702"/>
        </w:tabs>
        <w:ind w:left="1702" w:hanging="720"/>
      </w:pPr>
      <w:rPr>
        <w:rFonts w:hint="default"/>
      </w:rPr>
    </w:lvl>
    <w:lvl w:ilvl="3">
      <w:start w:val="1"/>
      <w:numFmt w:val="decimal"/>
      <w:lvlText w:val="%1.%2.%3.%4"/>
      <w:lvlJc w:val="left"/>
      <w:pPr>
        <w:tabs>
          <w:tab w:val="num" w:pos="2553"/>
        </w:tabs>
        <w:ind w:left="2553" w:hanging="1080"/>
      </w:pPr>
      <w:rPr>
        <w:rFonts w:hint="default"/>
      </w:rPr>
    </w:lvl>
    <w:lvl w:ilvl="4">
      <w:start w:val="1"/>
      <w:numFmt w:val="decimal"/>
      <w:lvlText w:val="%1.%2.%3.%4.%5"/>
      <w:lvlJc w:val="left"/>
      <w:pPr>
        <w:tabs>
          <w:tab w:val="num" w:pos="3044"/>
        </w:tabs>
        <w:ind w:left="3044" w:hanging="1080"/>
      </w:pPr>
      <w:rPr>
        <w:rFonts w:hint="default"/>
      </w:rPr>
    </w:lvl>
    <w:lvl w:ilvl="5">
      <w:start w:val="1"/>
      <w:numFmt w:val="decimal"/>
      <w:lvlText w:val="%1.%2.%3.%4.%5.%6"/>
      <w:lvlJc w:val="left"/>
      <w:pPr>
        <w:tabs>
          <w:tab w:val="num" w:pos="3895"/>
        </w:tabs>
        <w:ind w:left="3895" w:hanging="1440"/>
      </w:pPr>
      <w:rPr>
        <w:rFonts w:hint="default"/>
      </w:rPr>
    </w:lvl>
    <w:lvl w:ilvl="6">
      <w:start w:val="1"/>
      <w:numFmt w:val="decimal"/>
      <w:lvlText w:val="%1.%2.%3.%4.%5.%6.%7"/>
      <w:lvlJc w:val="left"/>
      <w:pPr>
        <w:tabs>
          <w:tab w:val="num" w:pos="4386"/>
        </w:tabs>
        <w:ind w:left="4386" w:hanging="1440"/>
      </w:pPr>
      <w:rPr>
        <w:rFonts w:hint="default"/>
      </w:rPr>
    </w:lvl>
    <w:lvl w:ilvl="7">
      <w:start w:val="1"/>
      <w:numFmt w:val="decimal"/>
      <w:lvlText w:val="%1.%2.%3.%4.%5.%6.%7.%8"/>
      <w:lvlJc w:val="left"/>
      <w:pPr>
        <w:tabs>
          <w:tab w:val="num" w:pos="5237"/>
        </w:tabs>
        <w:ind w:left="5237" w:hanging="1800"/>
      </w:pPr>
      <w:rPr>
        <w:rFonts w:hint="default"/>
      </w:rPr>
    </w:lvl>
    <w:lvl w:ilvl="8">
      <w:start w:val="1"/>
      <w:numFmt w:val="decimal"/>
      <w:lvlText w:val="%1.%2.%3.%4.%5.%6.%7.%8.%9"/>
      <w:lvlJc w:val="left"/>
      <w:pPr>
        <w:tabs>
          <w:tab w:val="num" w:pos="5728"/>
        </w:tabs>
        <w:ind w:left="5728" w:hanging="1800"/>
      </w:pPr>
      <w:rPr>
        <w:rFonts w:hint="default"/>
      </w:rPr>
    </w:lvl>
  </w:abstractNum>
  <w:abstractNum w:abstractNumId="564">
    <w:nsid w:val="30A55EA0"/>
    <w:multiLevelType w:val="singleLevel"/>
    <w:tmpl w:val="C7B884F0"/>
    <w:lvl w:ilvl="0">
      <w:start w:val="1"/>
      <w:numFmt w:val="bullet"/>
      <w:lvlText w:val=""/>
      <w:lvlJc w:val="left"/>
      <w:pPr>
        <w:tabs>
          <w:tab w:val="num" w:pos="360"/>
        </w:tabs>
        <w:ind w:left="360" w:hanging="360"/>
      </w:pPr>
      <w:rPr>
        <w:rFonts w:ascii="Marlett" w:hAnsi="Arial Narrow" w:hint="default"/>
      </w:rPr>
    </w:lvl>
  </w:abstractNum>
  <w:abstractNum w:abstractNumId="565">
    <w:nsid w:val="30B37671"/>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566">
    <w:nsid w:val="30BA0402"/>
    <w:multiLevelType w:val="multilevel"/>
    <w:tmpl w:val="BB24D0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7">
    <w:nsid w:val="30E57448"/>
    <w:multiLevelType w:val="multilevel"/>
    <w:tmpl w:val="7BEA2CEA"/>
    <w:lvl w:ilvl="0">
      <w:start w:val="4"/>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8">
    <w:nsid w:val="30EE65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9">
    <w:nsid w:val="310373F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70">
    <w:nsid w:val="311B14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1">
    <w:nsid w:val="31217C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2">
    <w:nsid w:val="3122148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73">
    <w:nsid w:val="31857C37"/>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574">
    <w:nsid w:val="319978F8"/>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575">
    <w:nsid w:val="31C75B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6">
    <w:nsid w:val="31D869A3"/>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77">
    <w:nsid w:val="320479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8">
    <w:nsid w:val="320C2B12"/>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579">
    <w:nsid w:val="322C0FA5"/>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80">
    <w:nsid w:val="322D145B"/>
    <w:multiLevelType w:val="singleLevel"/>
    <w:tmpl w:val="5A307078"/>
    <w:lvl w:ilvl="0">
      <w:start w:val="1"/>
      <w:numFmt w:val="decimal"/>
      <w:lvlText w:val="%1."/>
      <w:lvlJc w:val="left"/>
      <w:pPr>
        <w:tabs>
          <w:tab w:val="num" w:pos="644"/>
        </w:tabs>
        <w:ind w:left="644" w:hanging="360"/>
      </w:pPr>
      <w:rPr>
        <w:rFonts w:hint="default"/>
      </w:rPr>
    </w:lvl>
  </w:abstractNum>
  <w:abstractNum w:abstractNumId="581">
    <w:nsid w:val="322D2035"/>
    <w:multiLevelType w:val="singleLevel"/>
    <w:tmpl w:val="F8ECF7B8"/>
    <w:lvl w:ilvl="0">
      <w:start w:val="1"/>
      <w:numFmt w:val="bullet"/>
      <w:lvlText w:val="-"/>
      <w:lvlJc w:val="left"/>
      <w:pPr>
        <w:tabs>
          <w:tab w:val="num" w:pos="1785"/>
        </w:tabs>
        <w:ind w:left="1785" w:hanging="360"/>
      </w:pPr>
      <w:rPr>
        <w:rFonts w:hint="default"/>
      </w:rPr>
    </w:lvl>
  </w:abstractNum>
  <w:abstractNum w:abstractNumId="582">
    <w:nsid w:val="323261B3"/>
    <w:multiLevelType w:val="multilevel"/>
    <w:tmpl w:val="914472FA"/>
    <w:lvl w:ilvl="0">
      <w:start w:val="2"/>
      <w:numFmt w:val="decimal"/>
      <w:lvlText w:val="%1"/>
      <w:lvlJc w:val="left"/>
      <w:pPr>
        <w:tabs>
          <w:tab w:val="num" w:pos="360"/>
        </w:tabs>
        <w:ind w:left="360" w:hanging="360"/>
      </w:pPr>
      <w:rPr>
        <w:rFonts w:hint="default"/>
        <w:i w:val="0"/>
      </w:rPr>
    </w:lvl>
    <w:lvl w:ilvl="1">
      <w:start w:val="1"/>
      <w:numFmt w:val="decimal"/>
      <w:lvlText w:val="%1.%2"/>
      <w:lvlJc w:val="left"/>
      <w:pPr>
        <w:tabs>
          <w:tab w:val="num" w:pos="336"/>
        </w:tabs>
        <w:ind w:left="336" w:hanging="360"/>
      </w:pPr>
      <w:rPr>
        <w:rFonts w:hint="default"/>
        <w:i w:val="0"/>
      </w:rPr>
    </w:lvl>
    <w:lvl w:ilvl="2">
      <w:start w:val="1"/>
      <w:numFmt w:val="decimal"/>
      <w:lvlText w:val="%1.%2.%3"/>
      <w:lvlJc w:val="left"/>
      <w:pPr>
        <w:tabs>
          <w:tab w:val="num" w:pos="672"/>
        </w:tabs>
        <w:ind w:left="672" w:hanging="720"/>
      </w:pPr>
      <w:rPr>
        <w:rFonts w:hint="default"/>
        <w:i w:val="0"/>
      </w:rPr>
    </w:lvl>
    <w:lvl w:ilvl="3">
      <w:start w:val="1"/>
      <w:numFmt w:val="decimal"/>
      <w:lvlText w:val="%1.%2.%3.%4"/>
      <w:lvlJc w:val="left"/>
      <w:pPr>
        <w:tabs>
          <w:tab w:val="num" w:pos="1008"/>
        </w:tabs>
        <w:ind w:left="1008" w:hanging="1080"/>
      </w:pPr>
      <w:rPr>
        <w:rFonts w:hint="default"/>
        <w:i w:val="0"/>
      </w:rPr>
    </w:lvl>
    <w:lvl w:ilvl="4">
      <w:start w:val="1"/>
      <w:numFmt w:val="decimal"/>
      <w:lvlText w:val="%1.%2.%3.%4.%5"/>
      <w:lvlJc w:val="left"/>
      <w:pPr>
        <w:tabs>
          <w:tab w:val="num" w:pos="984"/>
        </w:tabs>
        <w:ind w:left="984" w:hanging="1080"/>
      </w:pPr>
      <w:rPr>
        <w:rFonts w:hint="default"/>
        <w:i w:val="0"/>
      </w:rPr>
    </w:lvl>
    <w:lvl w:ilvl="5">
      <w:start w:val="1"/>
      <w:numFmt w:val="decimal"/>
      <w:lvlText w:val="%1.%2.%3.%4.%5.%6"/>
      <w:lvlJc w:val="left"/>
      <w:pPr>
        <w:tabs>
          <w:tab w:val="num" w:pos="1320"/>
        </w:tabs>
        <w:ind w:left="1320" w:hanging="1440"/>
      </w:pPr>
      <w:rPr>
        <w:rFonts w:hint="default"/>
        <w:i w:val="0"/>
      </w:rPr>
    </w:lvl>
    <w:lvl w:ilvl="6">
      <w:start w:val="1"/>
      <w:numFmt w:val="decimal"/>
      <w:lvlText w:val="%1.%2.%3.%4.%5.%6.%7"/>
      <w:lvlJc w:val="left"/>
      <w:pPr>
        <w:tabs>
          <w:tab w:val="num" w:pos="1296"/>
        </w:tabs>
        <w:ind w:left="1296" w:hanging="1440"/>
      </w:pPr>
      <w:rPr>
        <w:rFonts w:hint="default"/>
        <w:i w:val="0"/>
      </w:rPr>
    </w:lvl>
    <w:lvl w:ilvl="7">
      <w:start w:val="1"/>
      <w:numFmt w:val="decimal"/>
      <w:lvlText w:val="%1.%2.%3.%4.%5.%6.%7.%8"/>
      <w:lvlJc w:val="left"/>
      <w:pPr>
        <w:tabs>
          <w:tab w:val="num" w:pos="1632"/>
        </w:tabs>
        <w:ind w:left="1632" w:hanging="1800"/>
      </w:pPr>
      <w:rPr>
        <w:rFonts w:hint="default"/>
        <w:i w:val="0"/>
      </w:rPr>
    </w:lvl>
    <w:lvl w:ilvl="8">
      <w:start w:val="1"/>
      <w:numFmt w:val="decimal"/>
      <w:lvlText w:val="%1.%2.%3.%4.%5.%6.%7.%8.%9"/>
      <w:lvlJc w:val="left"/>
      <w:pPr>
        <w:tabs>
          <w:tab w:val="num" w:pos="1608"/>
        </w:tabs>
        <w:ind w:left="1608" w:hanging="1800"/>
      </w:pPr>
      <w:rPr>
        <w:rFonts w:hint="default"/>
        <w:i w:val="0"/>
      </w:rPr>
    </w:lvl>
  </w:abstractNum>
  <w:abstractNum w:abstractNumId="583">
    <w:nsid w:val="323604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4">
    <w:nsid w:val="32437567"/>
    <w:multiLevelType w:val="singleLevel"/>
    <w:tmpl w:val="9F0E7342"/>
    <w:lvl w:ilvl="0">
      <w:numFmt w:val="bullet"/>
      <w:lvlText w:val="-"/>
      <w:lvlJc w:val="left"/>
      <w:pPr>
        <w:tabs>
          <w:tab w:val="num" w:pos="360"/>
        </w:tabs>
        <w:ind w:left="360" w:hanging="360"/>
      </w:pPr>
      <w:rPr>
        <w:rFonts w:hint="default"/>
      </w:rPr>
    </w:lvl>
  </w:abstractNum>
  <w:abstractNum w:abstractNumId="585">
    <w:nsid w:val="3258051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6">
    <w:nsid w:val="325809C0"/>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587">
    <w:nsid w:val="333F2E74"/>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588">
    <w:nsid w:val="334115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9">
    <w:nsid w:val="33435ABB"/>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590">
    <w:nsid w:val="33446C6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91">
    <w:nsid w:val="33476881"/>
    <w:multiLevelType w:val="singleLevel"/>
    <w:tmpl w:val="C09226EE"/>
    <w:lvl w:ilvl="0">
      <w:start w:val="6"/>
      <w:numFmt w:val="decimal"/>
      <w:lvlText w:val="%1. "/>
      <w:legacy w:legacy="1" w:legacySpace="0" w:legacyIndent="283"/>
      <w:lvlJc w:val="left"/>
      <w:pPr>
        <w:ind w:left="283" w:hanging="283"/>
      </w:pPr>
      <w:rPr>
        <w:rFonts w:ascii="Arial" w:hAnsi="Arial" w:hint="default"/>
        <w:b w:val="0"/>
        <w:i w:val="0"/>
        <w:sz w:val="24"/>
        <w:u w:val="none"/>
      </w:rPr>
    </w:lvl>
  </w:abstractNum>
  <w:abstractNum w:abstractNumId="592">
    <w:nsid w:val="33545AE4"/>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593">
    <w:nsid w:val="33876E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4">
    <w:nsid w:val="339520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5">
    <w:nsid w:val="33B2738A"/>
    <w:multiLevelType w:val="singleLevel"/>
    <w:tmpl w:val="988EF512"/>
    <w:lvl w:ilvl="0">
      <w:start w:val="1"/>
      <w:numFmt w:val="upperLetter"/>
      <w:lvlText w:val="%1)"/>
      <w:lvlJc w:val="left"/>
      <w:pPr>
        <w:tabs>
          <w:tab w:val="num" w:pos="360"/>
        </w:tabs>
        <w:ind w:left="360" w:hanging="360"/>
      </w:pPr>
      <w:rPr>
        <w:rFonts w:hint="default"/>
      </w:rPr>
    </w:lvl>
  </w:abstractNum>
  <w:abstractNum w:abstractNumId="596">
    <w:nsid w:val="33E16DF3"/>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597">
    <w:nsid w:val="33EC2D0D"/>
    <w:multiLevelType w:val="multilevel"/>
    <w:tmpl w:val="26E802D0"/>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98">
    <w:nsid w:val="33ED51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9">
    <w:nsid w:val="33FA2F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0">
    <w:nsid w:val="34491B22"/>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601">
    <w:nsid w:val="344D1E93"/>
    <w:multiLevelType w:val="multilevel"/>
    <w:tmpl w:val="66F89D0A"/>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2">
    <w:nsid w:val="346F46E5"/>
    <w:multiLevelType w:val="singleLevel"/>
    <w:tmpl w:val="0C0A000F"/>
    <w:lvl w:ilvl="0">
      <w:start w:val="1"/>
      <w:numFmt w:val="decimal"/>
      <w:lvlText w:val="%1."/>
      <w:lvlJc w:val="left"/>
      <w:pPr>
        <w:tabs>
          <w:tab w:val="num" w:pos="360"/>
        </w:tabs>
        <w:ind w:left="360" w:hanging="360"/>
      </w:pPr>
    </w:lvl>
  </w:abstractNum>
  <w:abstractNum w:abstractNumId="603">
    <w:nsid w:val="346F46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4">
    <w:nsid w:val="34880A0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05">
    <w:nsid w:val="34F8580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6">
    <w:nsid w:val="34FB4752"/>
    <w:multiLevelType w:val="multilevel"/>
    <w:tmpl w:val="95A2E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607">
    <w:nsid w:val="351077B7"/>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608">
    <w:nsid w:val="35147F2D"/>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609">
    <w:nsid w:val="354845D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10">
    <w:nsid w:val="354B3B15"/>
    <w:multiLevelType w:val="singleLevel"/>
    <w:tmpl w:val="D7D49220"/>
    <w:lvl w:ilvl="0">
      <w:start w:val="1"/>
      <w:numFmt w:val="bullet"/>
      <w:lvlText w:val="-"/>
      <w:lvlJc w:val="left"/>
      <w:pPr>
        <w:tabs>
          <w:tab w:val="num" w:pos="360"/>
        </w:tabs>
        <w:ind w:left="360" w:hanging="360"/>
      </w:pPr>
      <w:rPr>
        <w:rFonts w:ascii="Times New Roman" w:hAnsi="Times New Roman" w:hint="default"/>
      </w:rPr>
    </w:lvl>
  </w:abstractNum>
  <w:abstractNum w:abstractNumId="611">
    <w:nsid w:val="354C51CF"/>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12">
    <w:nsid w:val="354D781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613">
    <w:nsid w:val="358A205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14">
    <w:nsid w:val="358B4E63"/>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615">
    <w:nsid w:val="35B51204"/>
    <w:multiLevelType w:val="singleLevel"/>
    <w:tmpl w:val="C93E03E6"/>
    <w:lvl w:ilvl="0">
      <w:numFmt w:val="bullet"/>
      <w:lvlText w:val="-"/>
      <w:lvlJc w:val="left"/>
      <w:pPr>
        <w:tabs>
          <w:tab w:val="num" w:pos="2041"/>
        </w:tabs>
        <w:ind w:left="2041" w:hanging="1190"/>
      </w:pPr>
    </w:lvl>
  </w:abstractNum>
  <w:abstractNum w:abstractNumId="616">
    <w:nsid w:val="35DD1E43"/>
    <w:multiLevelType w:val="singleLevel"/>
    <w:tmpl w:val="3C32B372"/>
    <w:lvl w:ilvl="0">
      <w:start w:val="1"/>
      <w:numFmt w:val="lowerLetter"/>
      <w:lvlText w:val="%1)"/>
      <w:lvlJc w:val="left"/>
      <w:pPr>
        <w:tabs>
          <w:tab w:val="num" w:pos="644"/>
        </w:tabs>
        <w:ind w:left="644" w:hanging="360"/>
      </w:pPr>
      <w:rPr>
        <w:rFonts w:hint="default"/>
      </w:rPr>
    </w:lvl>
  </w:abstractNum>
  <w:abstractNum w:abstractNumId="617">
    <w:nsid w:val="35DF76D0"/>
    <w:multiLevelType w:val="singleLevel"/>
    <w:tmpl w:val="B3D21710"/>
    <w:lvl w:ilvl="0">
      <w:start w:val="1"/>
      <w:numFmt w:val="lowerLetter"/>
      <w:lvlText w:val="%1)"/>
      <w:lvlJc w:val="left"/>
      <w:pPr>
        <w:tabs>
          <w:tab w:val="num" w:pos="1211"/>
        </w:tabs>
        <w:ind w:left="1211" w:hanging="360"/>
      </w:pPr>
      <w:rPr>
        <w:rFonts w:hint="default"/>
      </w:rPr>
    </w:lvl>
  </w:abstractNum>
  <w:abstractNum w:abstractNumId="618">
    <w:nsid w:val="35EA10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9">
    <w:nsid w:val="360F262F"/>
    <w:multiLevelType w:val="singleLevel"/>
    <w:tmpl w:val="93360D04"/>
    <w:lvl w:ilvl="0">
      <w:start w:val="1"/>
      <w:numFmt w:val="bullet"/>
      <w:lvlText w:val="-"/>
      <w:lvlJc w:val="left"/>
      <w:pPr>
        <w:tabs>
          <w:tab w:val="num" w:pos="360"/>
        </w:tabs>
        <w:ind w:left="360" w:hanging="360"/>
      </w:pPr>
      <w:rPr>
        <w:rFonts w:ascii="Times New Roman" w:hAnsi="Times New Roman" w:hint="default"/>
      </w:rPr>
    </w:lvl>
  </w:abstractNum>
  <w:abstractNum w:abstractNumId="620">
    <w:nsid w:val="365A6420"/>
    <w:multiLevelType w:val="multilevel"/>
    <w:tmpl w:val="C382F0D4"/>
    <w:lvl w:ilvl="0">
      <w:start w:val="1"/>
      <w:numFmt w:val="decimal"/>
      <w:lvlText w:val="%1"/>
      <w:lvlJc w:val="left"/>
      <w:pPr>
        <w:tabs>
          <w:tab w:val="num" w:pos="360"/>
        </w:tabs>
        <w:ind w:left="360" w:hanging="360"/>
      </w:pPr>
      <w:rPr>
        <w:rFonts w:hint="default"/>
        <w:i w:val="0"/>
      </w:rPr>
    </w:lvl>
    <w:lvl w:ilvl="1">
      <w:start w:val="4"/>
      <w:numFmt w:val="decimal"/>
      <w:lvlText w:val="%1.%2"/>
      <w:lvlJc w:val="left"/>
      <w:pPr>
        <w:tabs>
          <w:tab w:val="num" w:pos="644"/>
        </w:tabs>
        <w:ind w:left="644" w:hanging="360"/>
      </w:pPr>
      <w:rPr>
        <w:rFonts w:hint="default"/>
        <w:i w:val="0"/>
      </w:rPr>
    </w:lvl>
    <w:lvl w:ilvl="2">
      <w:start w:val="1"/>
      <w:numFmt w:val="decimal"/>
      <w:lvlText w:val="%1.%2.%3"/>
      <w:lvlJc w:val="left"/>
      <w:pPr>
        <w:tabs>
          <w:tab w:val="num" w:pos="1288"/>
        </w:tabs>
        <w:ind w:left="1288" w:hanging="720"/>
      </w:pPr>
      <w:rPr>
        <w:rFonts w:hint="default"/>
        <w:i w:val="0"/>
      </w:rPr>
    </w:lvl>
    <w:lvl w:ilvl="3">
      <w:start w:val="1"/>
      <w:numFmt w:val="decimal"/>
      <w:lvlText w:val="%1.%2.%3.%4"/>
      <w:lvlJc w:val="left"/>
      <w:pPr>
        <w:tabs>
          <w:tab w:val="num" w:pos="1572"/>
        </w:tabs>
        <w:ind w:left="1572" w:hanging="720"/>
      </w:pPr>
      <w:rPr>
        <w:rFonts w:hint="default"/>
        <w:i w:val="0"/>
      </w:rPr>
    </w:lvl>
    <w:lvl w:ilvl="4">
      <w:start w:val="1"/>
      <w:numFmt w:val="decimal"/>
      <w:lvlText w:val="%1.%2.%3.%4.%5"/>
      <w:lvlJc w:val="left"/>
      <w:pPr>
        <w:tabs>
          <w:tab w:val="num" w:pos="2216"/>
        </w:tabs>
        <w:ind w:left="2216" w:hanging="1080"/>
      </w:pPr>
      <w:rPr>
        <w:rFonts w:hint="default"/>
        <w:i w:val="0"/>
      </w:rPr>
    </w:lvl>
    <w:lvl w:ilvl="5">
      <w:start w:val="1"/>
      <w:numFmt w:val="decimal"/>
      <w:lvlText w:val="%1.%2.%3.%4.%5.%6"/>
      <w:lvlJc w:val="left"/>
      <w:pPr>
        <w:tabs>
          <w:tab w:val="num" w:pos="2500"/>
        </w:tabs>
        <w:ind w:left="2500" w:hanging="1080"/>
      </w:pPr>
      <w:rPr>
        <w:rFonts w:hint="default"/>
        <w:i w:val="0"/>
      </w:rPr>
    </w:lvl>
    <w:lvl w:ilvl="6">
      <w:start w:val="1"/>
      <w:numFmt w:val="decimal"/>
      <w:lvlText w:val="%1.%2.%3.%4.%5.%6.%7"/>
      <w:lvlJc w:val="left"/>
      <w:pPr>
        <w:tabs>
          <w:tab w:val="num" w:pos="3144"/>
        </w:tabs>
        <w:ind w:left="3144" w:hanging="1440"/>
      </w:pPr>
      <w:rPr>
        <w:rFonts w:hint="default"/>
        <w:i w:val="0"/>
      </w:rPr>
    </w:lvl>
    <w:lvl w:ilvl="7">
      <w:start w:val="1"/>
      <w:numFmt w:val="decimal"/>
      <w:lvlText w:val="%1.%2.%3.%4.%5.%6.%7.%8"/>
      <w:lvlJc w:val="left"/>
      <w:pPr>
        <w:tabs>
          <w:tab w:val="num" w:pos="3428"/>
        </w:tabs>
        <w:ind w:left="3428" w:hanging="1440"/>
      </w:pPr>
      <w:rPr>
        <w:rFonts w:hint="default"/>
        <w:i w:val="0"/>
      </w:rPr>
    </w:lvl>
    <w:lvl w:ilvl="8">
      <w:start w:val="1"/>
      <w:numFmt w:val="decimal"/>
      <w:lvlText w:val="%1.%2.%3.%4.%5.%6.%7.%8.%9"/>
      <w:lvlJc w:val="left"/>
      <w:pPr>
        <w:tabs>
          <w:tab w:val="num" w:pos="4072"/>
        </w:tabs>
        <w:ind w:left="4072" w:hanging="1800"/>
      </w:pPr>
      <w:rPr>
        <w:rFonts w:hint="default"/>
        <w:i w:val="0"/>
      </w:rPr>
    </w:lvl>
  </w:abstractNum>
  <w:abstractNum w:abstractNumId="621">
    <w:nsid w:val="36663547"/>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622">
    <w:nsid w:val="36785450"/>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23">
    <w:nsid w:val="36AD46F8"/>
    <w:multiLevelType w:val="singleLevel"/>
    <w:tmpl w:val="D36EACBE"/>
    <w:lvl w:ilvl="0">
      <w:start w:val="8"/>
      <w:numFmt w:val="upperLetter"/>
      <w:lvlText w:val="%1)"/>
      <w:lvlJc w:val="left"/>
      <w:pPr>
        <w:tabs>
          <w:tab w:val="num" w:pos="360"/>
        </w:tabs>
        <w:ind w:left="360" w:hanging="360"/>
      </w:pPr>
      <w:rPr>
        <w:rFonts w:hint="default"/>
        <w:b w:val="0"/>
      </w:rPr>
    </w:lvl>
  </w:abstractNum>
  <w:abstractNum w:abstractNumId="624">
    <w:nsid w:val="36F75538"/>
    <w:multiLevelType w:val="singleLevel"/>
    <w:tmpl w:val="D36EACBE"/>
    <w:lvl w:ilvl="0">
      <w:start w:val="10"/>
      <w:numFmt w:val="upperLetter"/>
      <w:lvlText w:val="%1)"/>
      <w:lvlJc w:val="left"/>
      <w:pPr>
        <w:tabs>
          <w:tab w:val="num" w:pos="360"/>
        </w:tabs>
        <w:ind w:left="360" w:hanging="360"/>
      </w:pPr>
      <w:rPr>
        <w:rFonts w:hint="default"/>
      </w:rPr>
    </w:lvl>
  </w:abstractNum>
  <w:abstractNum w:abstractNumId="625">
    <w:nsid w:val="3706164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26">
    <w:nsid w:val="370C1279"/>
    <w:multiLevelType w:val="singleLevel"/>
    <w:tmpl w:val="F8ECF7B8"/>
    <w:lvl w:ilvl="0">
      <w:start w:val="1"/>
      <w:numFmt w:val="bullet"/>
      <w:lvlText w:val="-"/>
      <w:lvlJc w:val="left"/>
      <w:pPr>
        <w:tabs>
          <w:tab w:val="num" w:pos="1785"/>
        </w:tabs>
        <w:ind w:left="1785" w:hanging="360"/>
      </w:pPr>
      <w:rPr>
        <w:rFonts w:hint="default"/>
      </w:rPr>
    </w:lvl>
  </w:abstractNum>
  <w:abstractNum w:abstractNumId="627">
    <w:nsid w:val="371A30BF"/>
    <w:multiLevelType w:val="singleLevel"/>
    <w:tmpl w:val="FA5098FC"/>
    <w:lvl w:ilvl="0">
      <w:start w:val="1"/>
      <w:numFmt w:val="bullet"/>
      <w:lvlText w:val=""/>
      <w:lvlJc w:val="left"/>
      <w:pPr>
        <w:tabs>
          <w:tab w:val="num" w:pos="360"/>
        </w:tabs>
        <w:ind w:left="360" w:hanging="360"/>
      </w:pPr>
      <w:rPr>
        <w:rFonts w:ascii="Symbol" w:hAnsi="Symbol" w:hint="default"/>
        <w:sz w:val="28"/>
      </w:rPr>
    </w:lvl>
  </w:abstractNum>
  <w:abstractNum w:abstractNumId="628">
    <w:nsid w:val="371C5AEC"/>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629">
    <w:nsid w:val="372F46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0">
    <w:nsid w:val="373E0020"/>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631">
    <w:nsid w:val="37450F31"/>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32">
    <w:nsid w:val="37556C1F"/>
    <w:multiLevelType w:val="multilevel"/>
    <w:tmpl w:val="D3A4E876"/>
    <w:lvl w:ilvl="0">
      <w:start w:val="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3">
    <w:nsid w:val="37625F01"/>
    <w:multiLevelType w:val="singleLevel"/>
    <w:tmpl w:val="F8ECF7B8"/>
    <w:lvl w:ilvl="0">
      <w:start w:val="1"/>
      <w:numFmt w:val="bullet"/>
      <w:lvlText w:val="-"/>
      <w:lvlJc w:val="left"/>
      <w:pPr>
        <w:tabs>
          <w:tab w:val="num" w:pos="1785"/>
        </w:tabs>
        <w:ind w:left="1785" w:hanging="360"/>
      </w:pPr>
      <w:rPr>
        <w:rFonts w:hint="default"/>
      </w:rPr>
    </w:lvl>
  </w:abstractNum>
  <w:abstractNum w:abstractNumId="634">
    <w:nsid w:val="3764295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635">
    <w:nsid w:val="37A160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6">
    <w:nsid w:val="37C71C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7">
    <w:nsid w:val="37E214D2"/>
    <w:multiLevelType w:val="multilevel"/>
    <w:tmpl w:val="C5A4CBA2"/>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8">
    <w:nsid w:val="37EB69C8"/>
    <w:multiLevelType w:val="singleLevel"/>
    <w:tmpl w:val="7826D29E"/>
    <w:lvl w:ilvl="0">
      <w:start w:val="1"/>
      <w:numFmt w:val="bullet"/>
      <w:lvlText w:val=""/>
      <w:lvlJc w:val="left"/>
      <w:pPr>
        <w:tabs>
          <w:tab w:val="num" w:pos="360"/>
        </w:tabs>
        <w:ind w:left="360" w:hanging="360"/>
      </w:pPr>
      <w:rPr>
        <w:rFonts w:ascii="Wingdings" w:hAnsi="Wingdings" w:hint="default"/>
        <w:shadow/>
        <w:emboss w:val="0"/>
        <w:imprint w:val="0"/>
        <w:sz w:val="22"/>
      </w:rPr>
    </w:lvl>
  </w:abstractNum>
  <w:abstractNum w:abstractNumId="639">
    <w:nsid w:val="37EE63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0">
    <w:nsid w:val="37FC7800"/>
    <w:multiLevelType w:val="multilevel"/>
    <w:tmpl w:val="CA301B3A"/>
    <w:lvl w:ilvl="0">
      <w:start w:val="4"/>
      <w:numFmt w:val="decimal"/>
      <w:lvlText w:val="%1"/>
      <w:lvlJc w:val="left"/>
      <w:pPr>
        <w:tabs>
          <w:tab w:val="num" w:pos="525"/>
        </w:tabs>
        <w:ind w:left="525" w:hanging="525"/>
      </w:pPr>
      <w:rPr>
        <w:rFonts w:hint="default"/>
        <w:b/>
      </w:rPr>
    </w:lvl>
    <w:lvl w:ilvl="1">
      <w:start w:val="3"/>
      <w:numFmt w:val="decimal"/>
      <w:lvlText w:val="%1.%2"/>
      <w:lvlJc w:val="left"/>
      <w:pPr>
        <w:tabs>
          <w:tab w:val="num" w:pos="525"/>
        </w:tabs>
        <w:ind w:left="525" w:hanging="525"/>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41">
    <w:nsid w:val="380134D0"/>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642">
    <w:nsid w:val="380975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3">
    <w:nsid w:val="380C5868"/>
    <w:multiLevelType w:val="singleLevel"/>
    <w:tmpl w:val="8AD0B812"/>
    <w:lvl w:ilvl="0">
      <w:start w:val="1"/>
      <w:numFmt w:val="lowerLetter"/>
      <w:lvlText w:val="%1)"/>
      <w:lvlJc w:val="left"/>
      <w:pPr>
        <w:tabs>
          <w:tab w:val="num" w:pos="927"/>
        </w:tabs>
        <w:ind w:left="927" w:hanging="360"/>
      </w:pPr>
      <w:rPr>
        <w:rFonts w:hint="default"/>
      </w:rPr>
    </w:lvl>
  </w:abstractNum>
  <w:abstractNum w:abstractNumId="644">
    <w:nsid w:val="38183DED"/>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645">
    <w:nsid w:val="384F705B"/>
    <w:multiLevelType w:val="singleLevel"/>
    <w:tmpl w:val="F8ECF7B8"/>
    <w:lvl w:ilvl="0">
      <w:start w:val="1"/>
      <w:numFmt w:val="bullet"/>
      <w:lvlText w:val="-"/>
      <w:lvlJc w:val="left"/>
      <w:pPr>
        <w:tabs>
          <w:tab w:val="num" w:pos="1785"/>
        </w:tabs>
        <w:ind w:left="1785" w:hanging="360"/>
      </w:pPr>
      <w:rPr>
        <w:rFonts w:hint="default"/>
      </w:rPr>
    </w:lvl>
  </w:abstractNum>
  <w:abstractNum w:abstractNumId="646">
    <w:nsid w:val="38683DC0"/>
    <w:multiLevelType w:val="singleLevel"/>
    <w:tmpl w:val="0C0A000F"/>
    <w:lvl w:ilvl="0">
      <w:start w:val="4"/>
      <w:numFmt w:val="decimal"/>
      <w:lvlText w:val="%1."/>
      <w:lvlJc w:val="left"/>
      <w:pPr>
        <w:tabs>
          <w:tab w:val="num" w:pos="360"/>
        </w:tabs>
        <w:ind w:left="360" w:hanging="360"/>
      </w:pPr>
      <w:rPr>
        <w:rFonts w:hint="default"/>
      </w:rPr>
    </w:lvl>
  </w:abstractNum>
  <w:abstractNum w:abstractNumId="647">
    <w:nsid w:val="386F3C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8">
    <w:nsid w:val="38821C5E"/>
    <w:multiLevelType w:val="singleLevel"/>
    <w:tmpl w:val="7826D29E"/>
    <w:lvl w:ilvl="0">
      <w:start w:val="1"/>
      <w:numFmt w:val="bullet"/>
      <w:lvlText w:val=""/>
      <w:lvlJc w:val="left"/>
      <w:pPr>
        <w:tabs>
          <w:tab w:val="num" w:pos="360"/>
        </w:tabs>
        <w:ind w:left="360" w:hanging="360"/>
      </w:pPr>
      <w:rPr>
        <w:rFonts w:ascii="Wingdings" w:hAnsi="Wingdings" w:hint="default"/>
        <w:shadow/>
        <w:emboss w:val="0"/>
        <w:imprint w:val="0"/>
        <w:sz w:val="22"/>
      </w:rPr>
    </w:lvl>
  </w:abstractNum>
  <w:abstractNum w:abstractNumId="649">
    <w:nsid w:val="38B3770A"/>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650">
    <w:nsid w:val="38B5365C"/>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651">
    <w:nsid w:val="38DE60BC"/>
    <w:multiLevelType w:val="singleLevel"/>
    <w:tmpl w:val="0C0A000F"/>
    <w:lvl w:ilvl="0">
      <w:start w:val="1"/>
      <w:numFmt w:val="decimal"/>
      <w:lvlText w:val="%1."/>
      <w:lvlJc w:val="left"/>
      <w:pPr>
        <w:tabs>
          <w:tab w:val="num" w:pos="360"/>
        </w:tabs>
        <w:ind w:left="360" w:hanging="360"/>
      </w:pPr>
    </w:lvl>
  </w:abstractNum>
  <w:abstractNum w:abstractNumId="652">
    <w:nsid w:val="38F712C3"/>
    <w:multiLevelType w:val="multilevel"/>
    <w:tmpl w:val="E9807EF6"/>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53">
    <w:nsid w:val="391939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4">
    <w:nsid w:val="39216E3B"/>
    <w:multiLevelType w:val="multilevel"/>
    <w:tmpl w:val="28746048"/>
    <w:lvl w:ilvl="0">
      <w:start w:val="5"/>
      <w:numFmt w:val="decimal"/>
      <w:lvlText w:val="%1."/>
      <w:lvlJc w:val="left"/>
      <w:pPr>
        <w:tabs>
          <w:tab w:val="num" w:pos="360"/>
        </w:tabs>
        <w:ind w:left="360" w:hanging="360"/>
      </w:pPr>
      <w:rPr>
        <w:rFonts w:hint="default"/>
      </w:rPr>
    </w:lvl>
    <w:lvl w:ilvl="1">
      <w:start w:val="7"/>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55">
    <w:nsid w:val="39275170"/>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56">
    <w:nsid w:val="392C7DF8"/>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657">
    <w:nsid w:val="394A12C1"/>
    <w:multiLevelType w:val="singleLevel"/>
    <w:tmpl w:val="F8ECF7B8"/>
    <w:lvl w:ilvl="0">
      <w:start w:val="1"/>
      <w:numFmt w:val="bullet"/>
      <w:lvlText w:val="-"/>
      <w:lvlJc w:val="left"/>
      <w:pPr>
        <w:tabs>
          <w:tab w:val="num" w:pos="1785"/>
        </w:tabs>
        <w:ind w:left="1785" w:hanging="360"/>
      </w:pPr>
      <w:rPr>
        <w:rFonts w:hint="default"/>
      </w:rPr>
    </w:lvl>
  </w:abstractNum>
  <w:abstractNum w:abstractNumId="658">
    <w:nsid w:val="398848B7"/>
    <w:multiLevelType w:val="multilevel"/>
    <w:tmpl w:val="C02E5F4C"/>
    <w:lvl w:ilvl="0">
      <w:start w:val="2"/>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9">
    <w:nsid w:val="39B801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0">
    <w:nsid w:val="39B92F9A"/>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661">
    <w:nsid w:val="39C44F6B"/>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662">
    <w:nsid w:val="39C570AA"/>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63">
    <w:nsid w:val="3A1031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4">
    <w:nsid w:val="3A173F0F"/>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65">
    <w:nsid w:val="3A186057"/>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666">
    <w:nsid w:val="3A1D291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667">
    <w:nsid w:val="3A2D0F15"/>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668">
    <w:nsid w:val="3A36773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669">
    <w:nsid w:val="3A60425B"/>
    <w:multiLevelType w:val="multilevel"/>
    <w:tmpl w:val="66BC9F3E"/>
    <w:lvl w:ilvl="0">
      <w:start w:val="1"/>
      <w:numFmt w:val="decimal"/>
      <w:lvlText w:val="%1."/>
      <w:lvlJc w:val="left"/>
      <w:pPr>
        <w:tabs>
          <w:tab w:val="num" w:pos="360"/>
        </w:tabs>
        <w:ind w:left="360" w:hanging="360"/>
      </w:pPr>
    </w:lvl>
    <w:lvl w:ilvl="1">
      <w:start w:val="1"/>
      <w:numFmt w:val="decimal"/>
      <w:lvlText w:val="%1.%2."/>
      <w:lvlJc w:val="left"/>
      <w:pPr>
        <w:tabs>
          <w:tab w:val="num" w:pos="1588"/>
        </w:tabs>
        <w:ind w:left="1588" w:hanging="1228"/>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70">
    <w:nsid w:val="3AA50C0A"/>
    <w:multiLevelType w:val="multilevel"/>
    <w:tmpl w:val="227401E6"/>
    <w:lvl w:ilvl="0">
      <w:start w:val="2"/>
      <w:numFmt w:val="decimal"/>
      <w:lvlText w:val="%1."/>
      <w:lvlJc w:val="left"/>
      <w:pPr>
        <w:tabs>
          <w:tab w:val="num" w:pos="400"/>
        </w:tabs>
        <w:ind w:left="400" w:hanging="400"/>
      </w:pPr>
      <w:rPr>
        <w:rFonts w:hint="default"/>
        <w:i w:val="0"/>
      </w:rPr>
    </w:lvl>
    <w:lvl w:ilvl="1">
      <w:start w:val="2"/>
      <w:numFmt w:val="decimal"/>
      <w:lvlText w:val="%1.%2."/>
      <w:lvlJc w:val="left"/>
      <w:pPr>
        <w:tabs>
          <w:tab w:val="num" w:pos="672"/>
        </w:tabs>
        <w:ind w:left="672" w:hanging="720"/>
      </w:pPr>
      <w:rPr>
        <w:rFonts w:hint="default"/>
        <w:i w:val="0"/>
      </w:rPr>
    </w:lvl>
    <w:lvl w:ilvl="2">
      <w:start w:val="1"/>
      <w:numFmt w:val="decimal"/>
      <w:lvlText w:val="%1.%2.%3."/>
      <w:lvlJc w:val="left"/>
      <w:pPr>
        <w:tabs>
          <w:tab w:val="num" w:pos="624"/>
        </w:tabs>
        <w:ind w:left="624" w:hanging="720"/>
      </w:pPr>
      <w:rPr>
        <w:rFonts w:hint="default"/>
        <w:i w:val="0"/>
      </w:rPr>
    </w:lvl>
    <w:lvl w:ilvl="3">
      <w:start w:val="1"/>
      <w:numFmt w:val="decimal"/>
      <w:lvlText w:val="%1.%2.%3.%4."/>
      <w:lvlJc w:val="left"/>
      <w:pPr>
        <w:tabs>
          <w:tab w:val="num" w:pos="936"/>
        </w:tabs>
        <w:ind w:left="936" w:hanging="1080"/>
      </w:pPr>
      <w:rPr>
        <w:rFonts w:hint="default"/>
        <w:i w:val="0"/>
      </w:rPr>
    </w:lvl>
    <w:lvl w:ilvl="4">
      <w:start w:val="1"/>
      <w:numFmt w:val="decimal"/>
      <w:lvlText w:val="%1.%2.%3.%4.%5."/>
      <w:lvlJc w:val="left"/>
      <w:pPr>
        <w:tabs>
          <w:tab w:val="num" w:pos="888"/>
        </w:tabs>
        <w:ind w:left="888" w:hanging="1080"/>
      </w:pPr>
      <w:rPr>
        <w:rFonts w:hint="default"/>
        <w:i w:val="0"/>
      </w:rPr>
    </w:lvl>
    <w:lvl w:ilvl="5">
      <w:start w:val="1"/>
      <w:numFmt w:val="decimal"/>
      <w:lvlText w:val="%1.%2.%3.%4.%5.%6."/>
      <w:lvlJc w:val="left"/>
      <w:pPr>
        <w:tabs>
          <w:tab w:val="num" w:pos="1200"/>
        </w:tabs>
        <w:ind w:left="1200" w:hanging="1440"/>
      </w:pPr>
      <w:rPr>
        <w:rFonts w:hint="default"/>
        <w:i w:val="0"/>
      </w:rPr>
    </w:lvl>
    <w:lvl w:ilvl="6">
      <w:start w:val="1"/>
      <w:numFmt w:val="decimal"/>
      <w:lvlText w:val="%1.%2.%3.%4.%5.%6.%7."/>
      <w:lvlJc w:val="left"/>
      <w:pPr>
        <w:tabs>
          <w:tab w:val="num" w:pos="1152"/>
        </w:tabs>
        <w:ind w:left="1152" w:hanging="1440"/>
      </w:pPr>
      <w:rPr>
        <w:rFonts w:hint="default"/>
        <w:i w:val="0"/>
      </w:rPr>
    </w:lvl>
    <w:lvl w:ilvl="7">
      <w:start w:val="1"/>
      <w:numFmt w:val="decimal"/>
      <w:lvlText w:val="%1.%2.%3.%4.%5.%6.%7.%8."/>
      <w:lvlJc w:val="left"/>
      <w:pPr>
        <w:tabs>
          <w:tab w:val="num" w:pos="1464"/>
        </w:tabs>
        <w:ind w:left="1464" w:hanging="1800"/>
      </w:pPr>
      <w:rPr>
        <w:rFonts w:hint="default"/>
        <w:i w:val="0"/>
      </w:rPr>
    </w:lvl>
    <w:lvl w:ilvl="8">
      <w:start w:val="1"/>
      <w:numFmt w:val="decimal"/>
      <w:lvlText w:val="%1.%2.%3.%4.%5.%6.%7.%8.%9."/>
      <w:lvlJc w:val="left"/>
      <w:pPr>
        <w:tabs>
          <w:tab w:val="num" w:pos="1776"/>
        </w:tabs>
        <w:ind w:left="1776" w:hanging="2160"/>
      </w:pPr>
      <w:rPr>
        <w:rFonts w:hint="default"/>
        <w:i w:val="0"/>
      </w:rPr>
    </w:lvl>
  </w:abstractNum>
  <w:abstractNum w:abstractNumId="671">
    <w:nsid w:val="3AB14BE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72">
    <w:nsid w:val="3AFA4D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3">
    <w:nsid w:val="3B0319A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74">
    <w:nsid w:val="3B0D27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5">
    <w:nsid w:val="3B473FD9"/>
    <w:multiLevelType w:val="singleLevel"/>
    <w:tmpl w:val="0C0A000F"/>
    <w:lvl w:ilvl="0">
      <w:start w:val="1"/>
      <w:numFmt w:val="decimal"/>
      <w:lvlText w:val="%1."/>
      <w:lvlJc w:val="left"/>
      <w:pPr>
        <w:tabs>
          <w:tab w:val="num" w:pos="360"/>
        </w:tabs>
        <w:ind w:left="360" w:hanging="360"/>
      </w:pPr>
    </w:lvl>
  </w:abstractNum>
  <w:abstractNum w:abstractNumId="676">
    <w:nsid w:val="3B5033D7"/>
    <w:multiLevelType w:val="singleLevel"/>
    <w:tmpl w:val="A66274E6"/>
    <w:lvl w:ilvl="0">
      <w:start w:val="1"/>
      <w:numFmt w:val="bullet"/>
      <w:lvlText w:val=""/>
      <w:lvlJc w:val="left"/>
      <w:pPr>
        <w:tabs>
          <w:tab w:val="num" w:pos="360"/>
        </w:tabs>
        <w:ind w:left="360" w:hanging="360"/>
      </w:pPr>
      <w:rPr>
        <w:rFonts w:ascii="Wingdings" w:hAnsi="Wingdings" w:hint="default"/>
      </w:rPr>
    </w:lvl>
  </w:abstractNum>
  <w:abstractNum w:abstractNumId="677">
    <w:nsid w:val="3B53133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78">
    <w:nsid w:val="3B5F7DAF"/>
    <w:multiLevelType w:val="singleLevel"/>
    <w:tmpl w:val="0A1EA406"/>
    <w:lvl w:ilvl="0">
      <w:start w:val="2"/>
      <w:numFmt w:val="decimal"/>
      <w:lvlText w:val="%1."/>
      <w:lvlJc w:val="left"/>
      <w:pPr>
        <w:tabs>
          <w:tab w:val="num" w:pos="420"/>
        </w:tabs>
        <w:ind w:left="420" w:hanging="420"/>
      </w:pPr>
      <w:rPr>
        <w:rFonts w:hint="default"/>
      </w:rPr>
    </w:lvl>
  </w:abstractNum>
  <w:abstractNum w:abstractNumId="679">
    <w:nsid w:val="3BA309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0">
    <w:nsid w:val="3BBC64FA"/>
    <w:multiLevelType w:val="singleLevel"/>
    <w:tmpl w:val="F8ECF7B8"/>
    <w:lvl w:ilvl="0">
      <w:start w:val="1"/>
      <w:numFmt w:val="bullet"/>
      <w:lvlText w:val="-"/>
      <w:lvlJc w:val="left"/>
      <w:pPr>
        <w:tabs>
          <w:tab w:val="num" w:pos="1785"/>
        </w:tabs>
        <w:ind w:left="1785" w:hanging="360"/>
      </w:pPr>
      <w:rPr>
        <w:rFonts w:hint="default"/>
      </w:rPr>
    </w:lvl>
  </w:abstractNum>
  <w:abstractNum w:abstractNumId="681">
    <w:nsid w:val="3BCD6AFC"/>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682">
    <w:nsid w:val="3BE744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3">
    <w:nsid w:val="3BE75873"/>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684">
    <w:nsid w:val="3BF437FC"/>
    <w:multiLevelType w:val="singleLevel"/>
    <w:tmpl w:val="0C0A000F"/>
    <w:lvl w:ilvl="0">
      <w:start w:val="1"/>
      <w:numFmt w:val="decimal"/>
      <w:lvlText w:val="%1."/>
      <w:lvlJc w:val="left"/>
      <w:pPr>
        <w:tabs>
          <w:tab w:val="num" w:pos="360"/>
        </w:tabs>
        <w:ind w:left="360" w:hanging="360"/>
      </w:pPr>
    </w:lvl>
  </w:abstractNum>
  <w:abstractNum w:abstractNumId="685">
    <w:nsid w:val="3C0B3C3C"/>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686">
    <w:nsid w:val="3C2C35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7">
    <w:nsid w:val="3C3504A9"/>
    <w:multiLevelType w:val="singleLevel"/>
    <w:tmpl w:val="EE38673A"/>
    <w:lvl w:ilvl="0">
      <w:numFmt w:val="bullet"/>
      <w:lvlText w:val="-"/>
      <w:lvlJc w:val="left"/>
      <w:pPr>
        <w:tabs>
          <w:tab w:val="num" w:pos="1427"/>
        </w:tabs>
        <w:ind w:left="1427" w:hanging="435"/>
      </w:pPr>
      <w:rPr>
        <w:rFonts w:hint="default"/>
      </w:rPr>
    </w:lvl>
  </w:abstractNum>
  <w:abstractNum w:abstractNumId="688">
    <w:nsid w:val="3C39111D"/>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689">
    <w:nsid w:val="3C6B161E"/>
    <w:multiLevelType w:val="singleLevel"/>
    <w:tmpl w:val="FEEE9006"/>
    <w:lvl w:ilvl="0">
      <w:start w:val="2"/>
      <w:numFmt w:val="bullet"/>
      <w:lvlText w:val="-"/>
      <w:lvlJc w:val="left"/>
      <w:pPr>
        <w:tabs>
          <w:tab w:val="num" w:pos="360"/>
        </w:tabs>
        <w:ind w:left="360" w:hanging="360"/>
      </w:pPr>
      <w:rPr>
        <w:rFonts w:ascii="Times New Roman" w:hAnsi="Times New Roman" w:hint="default"/>
      </w:rPr>
    </w:lvl>
  </w:abstractNum>
  <w:abstractNum w:abstractNumId="690">
    <w:nsid w:val="3CB47D58"/>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691">
    <w:nsid w:val="3CC0547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692">
    <w:nsid w:val="3CF13576"/>
    <w:multiLevelType w:val="singleLevel"/>
    <w:tmpl w:val="F8ECF7B8"/>
    <w:lvl w:ilvl="0">
      <w:start w:val="1"/>
      <w:numFmt w:val="bullet"/>
      <w:lvlText w:val="-"/>
      <w:lvlJc w:val="left"/>
      <w:pPr>
        <w:tabs>
          <w:tab w:val="num" w:pos="1785"/>
        </w:tabs>
        <w:ind w:left="1785" w:hanging="360"/>
      </w:pPr>
      <w:rPr>
        <w:rFonts w:hint="default"/>
      </w:rPr>
    </w:lvl>
  </w:abstractNum>
  <w:abstractNum w:abstractNumId="693">
    <w:nsid w:val="3D151216"/>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694">
    <w:nsid w:val="3D2F03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5">
    <w:nsid w:val="3D3E2EB3"/>
    <w:multiLevelType w:val="singleLevel"/>
    <w:tmpl w:val="ABB0FB1A"/>
    <w:lvl w:ilvl="0">
      <w:numFmt w:val="bullet"/>
      <w:lvlText w:val="-"/>
      <w:lvlJc w:val="left"/>
      <w:pPr>
        <w:tabs>
          <w:tab w:val="num" w:pos="360"/>
        </w:tabs>
        <w:ind w:left="360" w:hanging="360"/>
      </w:pPr>
      <w:rPr>
        <w:rFonts w:ascii="Times New Roman" w:hAnsi="Times New Roman" w:hint="default"/>
      </w:rPr>
    </w:lvl>
  </w:abstractNum>
  <w:abstractNum w:abstractNumId="696">
    <w:nsid w:val="3D5A6586"/>
    <w:multiLevelType w:val="singleLevel"/>
    <w:tmpl w:val="FF20163E"/>
    <w:lvl w:ilvl="0">
      <w:start w:val="1998"/>
      <w:numFmt w:val="bullet"/>
      <w:lvlText w:val=""/>
      <w:lvlJc w:val="left"/>
      <w:pPr>
        <w:tabs>
          <w:tab w:val="num" w:pos="644"/>
        </w:tabs>
        <w:ind w:left="644" w:hanging="360"/>
      </w:pPr>
      <w:rPr>
        <w:rFonts w:ascii="Symbol" w:hAnsi="Symbol" w:hint="default"/>
      </w:rPr>
    </w:lvl>
  </w:abstractNum>
  <w:abstractNum w:abstractNumId="697">
    <w:nsid w:val="3D5D5CE2"/>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698">
    <w:nsid w:val="3D647238"/>
    <w:multiLevelType w:val="singleLevel"/>
    <w:tmpl w:val="40A4334A"/>
    <w:lvl w:ilvl="0">
      <w:start w:val="1"/>
      <w:numFmt w:val="decimal"/>
      <w:lvlText w:val="%1."/>
      <w:lvlJc w:val="left"/>
      <w:pPr>
        <w:tabs>
          <w:tab w:val="num" w:pos="360"/>
        </w:tabs>
        <w:ind w:left="360" w:hanging="360"/>
      </w:pPr>
      <w:rPr>
        <w:b/>
        <w:i w:val="0"/>
      </w:rPr>
    </w:lvl>
  </w:abstractNum>
  <w:abstractNum w:abstractNumId="699">
    <w:nsid w:val="3D6C25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0">
    <w:nsid w:val="3D954FD7"/>
    <w:multiLevelType w:val="singleLevel"/>
    <w:tmpl w:val="2798402E"/>
    <w:lvl w:ilvl="0">
      <w:numFmt w:val="bullet"/>
      <w:lvlText w:val=""/>
      <w:lvlJc w:val="left"/>
      <w:pPr>
        <w:tabs>
          <w:tab w:val="num" w:pos="0"/>
        </w:tabs>
        <w:ind w:left="0" w:firstLine="0"/>
      </w:pPr>
      <w:rPr>
        <w:rFonts w:ascii="Wingdings" w:hAnsi="Wingdings" w:hint="default"/>
      </w:rPr>
    </w:lvl>
  </w:abstractNum>
  <w:abstractNum w:abstractNumId="701">
    <w:nsid w:val="3D9C4F89"/>
    <w:multiLevelType w:val="singleLevel"/>
    <w:tmpl w:val="1D1056FC"/>
    <w:lvl w:ilvl="0">
      <w:start w:val="4"/>
      <w:numFmt w:val="decimal"/>
      <w:lvlText w:val="4.%1. "/>
      <w:legacy w:legacy="1" w:legacySpace="0" w:legacyIndent="283"/>
      <w:lvlJc w:val="left"/>
      <w:pPr>
        <w:ind w:left="283" w:hanging="283"/>
      </w:pPr>
      <w:rPr>
        <w:rFonts w:ascii="Arial" w:hAnsi="Arial" w:hint="default"/>
        <w:b w:val="0"/>
        <w:i w:val="0"/>
        <w:sz w:val="24"/>
        <w:u w:val="none"/>
      </w:rPr>
    </w:lvl>
  </w:abstractNum>
  <w:abstractNum w:abstractNumId="702">
    <w:nsid w:val="3DB174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3">
    <w:nsid w:val="3DB21275"/>
    <w:multiLevelType w:val="multilevel"/>
    <w:tmpl w:val="88EADA0E"/>
    <w:lvl w:ilvl="0">
      <w:start w:val="6"/>
      <w:numFmt w:val="decimal"/>
      <w:lvlText w:val="%1."/>
      <w:lvlJc w:val="left"/>
      <w:pPr>
        <w:tabs>
          <w:tab w:val="num" w:pos="855"/>
        </w:tabs>
        <w:ind w:left="855" w:hanging="855"/>
      </w:pPr>
      <w:rPr>
        <w:rFonts w:hint="default"/>
      </w:rPr>
    </w:lvl>
    <w:lvl w:ilvl="1">
      <w:start w:val="5"/>
      <w:numFmt w:val="decimal"/>
      <w:lvlText w:val="%1.%2."/>
      <w:lvlJc w:val="left"/>
      <w:pPr>
        <w:tabs>
          <w:tab w:val="num" w:pos="1422"/>
        </w:tabs>
        <w:ind w:left="1422" w:hanging="855"/>
      </w:pPr>
      <w:rPr>
        <w:rFonts w:hint="default"/>
      </w:rPr>
    </w:lvl>
    <w:lvl w:ilvl="2">
      <w:start w:val="1"/>
      <w:numFmt w:val="decimal"/>
      <w:lvlText w:val="%1.%2.%3."/>
      <w:lvlJc w:val="left"/>
      <w:pPr>
        <w:tabs>
          <w:tab w:val="num" w:pos="1989"/>
        </w:tabs>
        <w:ind w:left="1989" w:hanging="855"/>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704">
    <w:nsid w:val="3DB92AEA"/>
    <w:multiLevelType w:val="multilevel"/>
    <w:tmpl w:val="142AD24E"/>
    <w:lvl w:ilvl="0">
      <w:start w:val="3"/>
      <w:numFmt w:val="decimal"/>
      <w:lvlText w:val="%1."/>
      <w:lvlJc w:val="left"/>
      <w:pPr>
        <w:tabs>
          <w:tab w:val="num" w:pos="795"/>
        </w:tabs>
        <w:ind w:left="795" w:hanging="795"/>
      </w:pPr>
      <w:rPr>
        <w:rFonts w:hint="default"/>
      </w:rPr>
    </w:lvl>
    <w:lvl w:ilvl="1">
      <w:start w:val="3"/>
      <w:numFmt w:val="decimal"/>
      <w:lvlText w:val="%1.%2."/>
      <w:lvlJc w:val="left"/>
      <w:pPr>
        <w:tabs>
          <w:tab w:val="num" w:pos="795"/>
        </w:tabs>
        <w:ind w:left="795" w:hanging="795"/>
      </w:pPr>
      <w:rPr>
        <w:rFonts w:hint="default"/>
      </w:rPr>
    </w:lvl>
    <w:lvl w:ilvl="2">
      <w:start w:val="2"/>
      <w:numFmt w:val="decimal"/>
      <w:lvlText w:val="%1.%2.%3."/>
      <w:lvlJc w:val="left"/>
      <w:pPr>
        <w:tabs>
          <w:tab w:val="num" w:pos="795"/>
        </w:tabs>
        <w:ind w:left="795" w:hanging="795"/>
      </w:pPr>
      <w:rPr>
        <w:rFonts w:hint="default"/>
      </w:rPr>
    </w:lvl>
    <w:lvl w:ilvl="3">
      <w:start w:val="6"/>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5">
    <w:nsid w:val="3DBB770E"/>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706">
    <w:nsid w:val="3DBD3D28"/>
    <w:multiLevelType w:val="singleLevel"/>
    <w:tmpl w:val="7826D29E"/>
    <w:lvl w:ilvl="0">
      <w:start w:val="1"/>
      <w:numFmt w:val="bullet"/>
      <w:lvlText w:val=""/>
      <w:lvlJc w:val="left"/>
      <w:pPr>
        <w:tabs>
          <w:tab w:val="num" w:pos="360"/>
        </w:tabs>
        <w:ind w:left="360" w:hanging="360"/>
      </w:pPr>
      <w:rPr>
        <w:rFonts w:ascii="Wingdings" w:hAnsi="Wingdings" w:hint="default"/>
        <w:shadow/>
        <w:emboss w:val="0"/>
        <w:imprint w:val="0"/>
        <w:sz w:val="22"/>
      </w:rPr>
    </w:lvl>
  </w:abstractNum>
  <w:abstractNum w:abstractNumId="707">
    <w:nsid w:val="3DBF125B"/>
    <w:multiLevelType w:val="multilevel"/>
    <w:tmpl w:val="C5D0473C"/>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8">
    <w:nsid w:val="3DE3661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9">
    <w:nsid w:val="3DEC39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0">
    <w:nsid w:val="3E1E546B"/>
    <w:multiLevelType w:val="singleLevel"/>
    <w:tmpl w:val="F8ECF7B8"/>
    <w:lvl w:ilvl="0">
      <w:start w:val="1"/>
      <w:numFmt w:val="bullet"/>
      <w:lvlText w:val="-"/>
      <w:lvlJc w:val="left"/>
      <w:pPr>
        <w:tabs>
          <w:tab w:val="num" w:pos="1785"/>
        </w:tabs>
        <w:ind w:left="1785" w:hanging="360"/>
      </w:pPr>
      <w:rPr>
        <w:rFonts w:hint="default"/>
      </w:rPr>
    </w:lvl>
  </w:abstractNum>
  <w:abstractNum w:abstractNumId="711">
    <w:nsid w:val="3E2B39A2"/>
    <w:multiLevelType w:val="multilevel"/>
    <w:tmpl w:val="8576A454"/>
    <w:lvl w:ilvl="0">
      <w:start w:val="3"/>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12">
    <w:nsid w:val="3E3362D5"/>
    <w:multiLevelType w:val="singleLevel"/>
    <w:tmpl w:val="BD7A9714"/>
    <w:lvl w:ilvl="0">
      <w:start w:val="1"/>
      <w:numFmt w:val="decimal"/>
      <w:lvlText w:val="%1)"/>
      <w:lvlJc w:val="left"/>
      <w:pPr>
        <w:tabs>
          <w:tab w:val="num" w:pos="2203"/>
        </w:tabs>
        <w:ind w:left="2203" w:hanging="360"/>
      </w:pPr>
      <w:rPr>
        <w:rFonts w:hint="default"/>
      </w:rPr>
    </w:lvl>
  </w:abstractNum>
  <w:abstractNum w:abstractNumId="713">
    <w:nsid w:val="3E4F0E2F"/>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714">
    <w:nsid w:val="3E586830"/>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715">
    <w:nsid w:val="3E626F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6">
    <w:nsid w:val="3E644173"/>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717">
    <w:nsid w:val="3E6864C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718">
    <w:nsid w:val="3E7B23F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19">
    <w:nsid w:val="3E8940E6"/>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720">
    <w:nsid w:val="3E975B3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721">
    <w:nsid w:val="3E9A4EA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22">
    <w:nsid w:val="3EA44E65"/>
    <w:multiLevelType w:val="multilevel"/>
    <w:tmpl w:val="597C5F48"/>
    <w:lvl w:ilvl="0">
      <w:start w:val="6"/>
      <w:numFmt w:val="decimal"/>
      <w:lvlText w:val="%1"/>
      <w:lvlJc w:val="left"/>
      <w:pPr>
        <w:tabs>
          <w:tab w:val="num" w:pos="420"/>
        </w:tabs>
        <w:ind w:left="420" w:hanging="420"/>
      </w:pPr>
      <w:rPr>
        <w:rFonts w:hint="default"/>
      </w:rPr>
    </w:lvl>
    <w:lvl w:ilvl="1">
      <w:start w:val="9"/>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3">
    <w:nsid w:val="3EC6030B"/>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724">
    <w:nsid w:val="3EE75AF9"/>
    <w:multiLevelType w:val="singleLevel"/>
    <w:tmpl w:val="840057B4"/>
    <w:lvl w:ilvl="0">
      <w:numFmt w:val="bullet"/>
      <w:lvlText w:val="-"/>
      <w:lvlJc w:val="left"/>
      <w:pPr>
        <w:tabs>
          <w:tab w:val="num" w:pos="360"/>
        </w:tabs>
        <w:ind w:left="360" w:hanging="360"/>
      </w:pPr>
      <w:rPr>
        <w:rFonts w:hint="default"/>
        <w:sz w:val="24"/>
      </w:rPr>
    </w:lvl>
  </w:abstractNum>
  <w:abstractNum w:abstractNumId="725">
    <w:nsid w:val="3EE922A3"/>
    <w:multiLevelType w:val="multilevel"/>
    <w:tmpl w:val="10F84336"/>
    <w:lvl w:ilvl="0">
      <w:start w:val="2"/>
      <w:numFmt w:val="decimal"/>
      <w:lvlText w:val="%1"/>
      <w:lvlJc w:val="left"/>
      <w:pPr>
        <w:tabs>
          <w:tab w:val="num" w:pos="360"/>
        </w:tabs>
        <w:ind w:left="360" w:hanging="360"/>
      </w:pPr>
      <w:rPr>
        <w:rFonts w:hint="default"/>
        <w:i w:val="0"/>
      </w:rPr>
    </w:lvl>
    <w:lvl w:ilvl="1">
      <w:start w:val="1"/>
      <w:numFmt w:val="decimal"/>
      <w:lvlText w:val="%1.%2"/>
      <w:lvlJc w:val="left"/>
      <w:pPr>
        <w:tabs>
          <w:tab w:val="num" w:pos="312"/>
        </w:tabs>
        <w:ind w:left="312" w:hanging="360"/>
      </w:pPr>
      <w:rPr>
        <w:rFonts w:hint="default"/>
        <w:i w:val="0"/>
      </w:rPr>
    </w:lvl>
    <w:lvl w:ilvl="2">
      <w:start w:val="1"/>
      <w:numFmt w:val="decimal"/>
      <w:lvlText w:val="%1.%2.%3"/>
      <w:lvlJc w:val="left"/>
      <w:pPr>
        <w:tabs>
          <w:tab w:val="num" w:pos="624"/>
        </w:tabs>
        <w:ind w:left="624" w:hanging="720"/>
      </w:pPr>
      <w:rPr>
        <w:rFonts w:hint="default"/>
        <w:i w:val="0"/>
      </w:rPr>
    </w:lvl>
    <w:lvl w:ilvl="3">
      <w:start w:val="1"/>
      <w:numFmt w:val="decimal"/>
      <w:lvlText w:val="%1.%2.%3.%4"/>
      <w:lvlJc w:val="left"/>
      <w:pPr>
        <w:tabs>
          <w:tab w:val="num" w:pos="936"/>
        </w:tabs>
        <w:ind w:left="936" w:hanging="1080"/>
      </w:pPr>
      <w:rPr>
        <w:rFonts w:hint="default"/>
        <w:i w:val="0"/>
      </w:rPr>
    </w:lvl>
    <w:lvl w:ilvl="4">
      <w:start w:val="1"/>
      <w:numFmt w:val="decimal"/>
      <w:lvlText w:val="%1.%2.%3.%4.%5"/>
      <w:lvlJc w:val="left"/>
      <w:pPr>
        <w:tabs>
          <w:tab w:val="num" w:pos="888"/>
        </w:tabs>
        <w:ind w:left="888" w:hanging="1080"/>
      </w:pPr>
      <w:rPr>
        <w:rFonts w:hint="default"/>
        <w:i w:val="0"/>
      </w:rPr>
    </w:lvl>
    <w:lvl w:ilvl="5">
      <w:start w:val="1"/>
      <w:numFmt w:val="decimal"/>
      <w:lvlText w:val="%1.%2.%3.%4.%5.%6"/>
      <w:lvlJc w:val="left"/>
      <w:pPr>
        <w:tabs>
          <w:tab w:val="num" w:pos="1200"/>
        </w:tabs>
        <w:ind w:left="1200" w:hanging="1440"/>
      </w:pPr>
      <w:rPr>
        <w:rFonts w:hint="default"/>
        <w:i w:val="0"/>
      </w:rPr>
    </w:lvl>
    <w:lvl w:ilvl="6">
      <w:start w:val="1"/>
      <w:numFmt w:val="decimal"/>
      <w:lvlText w:val="%1.%2.%3.%4.%5.%6.%7"/>
      <w:lvlJc w:val="left"/>
      <w:pPr>
        <w:tabs>
          <w:tab w:val="num" w:pos="1152"/>
        </w:tabs>
        <w:ind w:left="1152" w:hanging="1440"/>
      </w:pPr>
      <w:rPr>
        <w:rFonts w:hint="default"/>
        <w:i w:val="0"/>
      </w:rPr>
    </w:lvl>
    <w:lvl w:ilvl="7">
      <w:start w:val="1"/>
      <w:numFmt w:val="decimal"/>
      <w:lvlText w:val="%1.%2.%3.%4.%5.%6.%7.%8"/>
      <w:lvlJc w:val="left"/>
      <w:pPr>
        <w:tabs>
          <w:tab w:val="num" w:pos="1464"/>
        </w:tabs>
        <w:ind w:left="1464" w:hanging="1800"/>
      </w:pPr>
      <w:rPr>
        <w:rFonts w:hint="default"/>
        <w:i w:val="0"/>
      </w:rPr>
    </w:lvl>
    <w:lvl w:ilvl="8">
      <w:start w:val="1"/>
      <w:numFmt w:val="decimal"/>
      <w:lvlText w:val="%1.%2.%3.%4.%5.%6.%7.%8.%9"/>
      <w:lvlJc w:val="left"/>
      <w:pPr>
        <w:tabs>
          <w:tab w:val="num" w:pos="1416"/>
        </w:tabs>
        <w:ind w:left="1416" w:hanging="1800"/>
      </w:pPr>
      <w:rPr>
        <w:rFonts w:hint="default"/>
        <w:i w:val="0"/>
      </w:rPr>
    </w:lvl>
  </w:abstractNum>
  <w:abstractNum w:abstractNumId="726">
    <w:nsid w:val="3EF03EE3"/>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727">
    <w:nsid w:val="3F182B1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8">
    <w:nsid w:val="3F2B143F"/>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729">
    <w:nsid w:val="3F2D54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0">
    <w:nsid w:val="3F54468C"/>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731">
    <w:nsid w:val="3F990B87"/>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732">
    <w:nsid w:val="3FAB5193"/>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733">
    <w:nsid w:val="3FB0138F"/>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734">
    <w:nsid w:val="3FB131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5">
    <w:nsid w:val="3FC0672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36">
    <w:nsid w:val="3FC63D2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37">
    <w:nsid w:val="3FCC34FB"/>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38">
    <w:nsid w:val="3FCD579B"/>
    <w:multiLevelType w:val="multilevel"/>
    <w:tmpl w:val="33FEF66E"/>
    <w:lvl w:ilvl="0">
      <w:start w:val="5"/>
      <w:numFmt w:val="decimal"/>
      <w:lvlText w:val="%1."/>
      <w:lvlJc w:val="left"/>
      <w:pPr>
        <w:tabs>
          <w:tab w:val="num" w:pos="400"/>
        </w:tabs>
        <w:ind w:left="400" w:hanging="40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9">
    <w:nsid w:val="3FD21688"/>
    <w:multiLevelType w:val="singleLevel"/>
    <w:tmpl w:val="0C0A000F"/>
    <w:lvl w:ilvl="0">
      <w:start w:val="3"/>
      <w:numFmt w:val="decimal"/>
      <w:lvlText w:val="%1."/>
      <w:lvlJc w:val="left"/>
      <w:pPr>
        <w:tabs>
          <w:tab w:val="num" w:pos="360"/>
        </w:tabs>
        <w:ind w:left="360" w:hanging="360"/>
      </w:pPr>
      <w:rPr>
        <w:rFonts w:hint="default"/>
      </w:rPr>
    </w:lvl>
  </w:abstractNum>
  <w:abstractNum w:abstractNumId="740">
    <w:nsid w:val="3FEB5BF1"/>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741">
    <w:nsid w:val="3FF97731"/>
    <w:multiLevelType w:val="singleLevel"/>
    <w:tmpl w:val="110E8E66"/>
    <w:lvl w:ilvl="0">
      <w:start w:val="1"/>
      <w:numFmt w:val="bullet"/>
      <w:lvlText w:val="-"/>
      <w:lvlJc w:val="left"/>
      <w:pPr>
        <w:tabs>
          <w:tab w:val="num" w:pos="1069"/>
        </w:tabs>
        <w:ind w:left="1069" w:hanging="360"/>
      </w:pPr>
      <w:rPr>
        <w:rFonts w:ascii="Times New Roman" w:hAnsi="Times New Roman" w:hint="default"/>
      </w:rPr>
    </w:lvl>
  </w:abstractNum>
  <w:abstractNum w:abstractNumId="742">
    <w:nsid w:val="3FFD212A"/>
    <w:multiLevelType w:val="singleLevel"/>
    <w:tmpl w:val="68701C0E"/>
    <w:lvl w:ilvl="0">
      <w:start w:val="1"/>
      <w:numFmt w:val="bullet"/>
      <w:lvlText w:val=""/>
      <w:lvlJc w:val="left"/>
      <w:pPr>
        <w:tabs>
          <w:tab w:val="num" w:pos="360"/>
        </w:tabs>
        <w:ind w:left="360" w:hanging="360"/>
      </w:pPr>
      <w:rPr>
        <w:rFonts w:ascii="Symbol" w:hAnsi="Symbol" w:hint="default"/>
      </w:rPr>
    </w:lvl>
  </w:abstractNum>
  <w:abstractNum w:abstractNumId="743">
    <w:nsid w:val="40276B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4">
    <w:nsid w:val="402C23A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45">
    <w:nsid w:val="404A25E4"/>
    <w:multiLevelType w:val="singleLevel"/>
    <w:tmpl w:val="F628219A"/>
    <w:lvl w:ilvl="0">
      <w:numFmt w:val="bullet"/>
      <w:lvlText w:val=""/>
      <w:lvlJc w:val="left"/>
      <w:pPr>
        <w:tabs>
          <w:tab w:val="num" w:pos="570"/>
        </w:tabs>
        <w:ind w:left="570" w:hanging="570"/>
      </w:pPr>
      <w:rPr>
        <w:rFonts w:ascii="Wingdings" w:hAnsi="Wingdings" w:hint="default"/>
        <w:sz w:val="28"/>
      </w:rPr>
    </w:lvl>
  </w:abstractNum>
  <w:abstractNum w:abstractNumId="746">
    <w:nsid w:val="405C5D8C"/>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747">
    <w:nsid w:val="408204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8">
    <w:nsid w:val="40960ECE"/>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749">
    <w:nsid w:val="409713E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0">
    <w:nsid w:val="40AE175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751">
    <w:nsid w:val="40C05208"/>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752">
    <w:nsid w:val="40CB6FE0"/>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753">
    <w:nsid w:val="40E41A40"/>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754">
    <w:nsid w:val="40E55E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5">
    <w:nsid w:val="40EF482D"/>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56">
    <w:nsid w:val="40F40E16"/>
    <w:multiLevelType w:val="multilevel"/>
    <w:tmpl w:val="0CB02FD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7">
    <w:nsid w:val="411921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8">
    <w:nsid w:val="41800C30"/>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759">
    <w:nsid w:val="41A10C68"/>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760">
    <w:nsid w:val="41B5105F"/>
    <w:multiLevelType w:val="singleLevel"/>
    <w:tmpl w:val="0C0A000F"/>
    <w:lvl w:ilvl="0">
      <w:start w:val="1"/>
      <w:numFmt w:val="decimal"/>
      <w:lvlText w:val="%1."/>
      <w:lvlJc w:val="left"/>
      <w:pPr>
        <w:tabs>
          <w:tab w:val="num" w:pos="360"/>
        </w:tabs>
        <w:ind w:left="360" w:hanging="360"/>
      </w:pPr>
    </w:lvl>
  </w:abstractNum>
  <w:abstractNum w:abstractNumId="761">
    <w:nsid w:val="41E372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2">
    <w:nsid w:val="41F510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3">
    <w:nsid w:val="41FE7CC8"/>
    <w:multiLevelType w:val="singleLevel"/>
    <w:tmpl w:val="049C15A0"/>
    <w:lvl w:ilvl="0">
      <w:numFmt w:val="bullet"/>
      <w:lvlText w:val="-"/>
      <w:lvlJc w:val="left"/>
      <w:pPr>
        <w:tabs>
          <w:tab w:val="num" w:pos="1068"/>
        </w:tabs>
        <w:ind w:left="1068" w:hanging="360"/>
      </w:pPr>
      <w:rPr>
        <w:rFonts w:ascii="Times New Roman" w:hAnsi="Times New Roman" w:hint="default"/>
      </w:rPr>
    </w:lvl>
  </w:abstractNum>
  <w:abstractNum w:abstractNumId="764">
    <w:nsid w:val="422708D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65">
    <w:nsid w:val="4281098F"/>
    <w:multiLevelType w:val="singleLevel"/>
    <w:tmpl w:val="598A90D6"/>
    <w:lvl w:ilvl="0">
      <w:start w:val="6"/>
      <w:numFmt w:val="decimal"/>
      <w:lvlText w:val="%1."/>
      <w:lvlJc w:val="left"/>
      <w:pPr>
        <w:tabs>
          <w:tab w:val="num" w:pos="360"/>
        </w:tabs>
        <w:ind w:left="360" w:hanging="360"/>
      </w:pPr>
      <w:rPr>
        <w:rFonts w:hint="default"/>
      </w:rPr>
    </w:lvl>
  </w:abstractNum>
  <w:abstractNum w:abstractNumId="766">
    <w:nsid w:val="42B5585D"/>
    <w:multiLevelType w:val="singleLevel"/>
    <w:tmpl w:val="38FEEC66"/>
    <w:lvl w:ilvl="0">
      <w:numFmt w:val="bullet"/>
      <w:lvlText w:val="-"/>
      <w:lvlJc w:val="left"/>
      <w:pPr>
        <w:tabs>
          <w:tab w:val="num" w:pos="1068"/>
        </w:tabs>
        <w:ind w:left="1068" w:hanging="360"/>
      </w:pPr>
      <w:rPr>
        <w:rFonts w:hint="default"/>
      </w:rPr>
    </w:lvl>
  </w:abstractNum>
  <w:abstractNum w:abstractNumId="767">
    <w:nsid w:val="42B8480A"/>
    <w:multiLevelType w:val="multilevel"/>
    <w:tmpl w:val="F5A693C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636"/>
        </w:tabs>
        <w:ind w:left="1636" w:hanging="360"/>
      </w:pPr>
      <w:rPr>
        <w:rFonts w:hint="default"/>
      </w:rPr>
    </w:lvl>
    <w:lvl w:ilvl="2">
      <w:start w:val="1"/>
      <w:numFmt w:val="lowerLetter"/>
      <w:lvlText w:val="%1.%2.%3"/>
      <w:lvlJc w:val="left"/>
      <w:pPr>
        <w:tabs>
          <w:tab w:val="num" w:pos="3272"/>
        </w:tabs>
        <w:ind w:left="3272" w:hanging="720"/>
      </w:pPr>
      <w:rPr>
        <w:rFonts w:hint="default"/>
      </w:rPr>
    </w:lvl>
    <w:lvl w:ilvl="3">
      <w:start w:val="1"/>
      <w:numFmt w:val="decimal"/>
      <w:lvlText w:val="%1.%2.%3.%4"/>
      <w:lvlJc w:val="left"/>
      <w:pPr>
        <w:tabs>
          <w:tab w:val="num" w:pos="4908"/>
        </w:tabs>
        <w:ind w:left="4908" w:hanging="1080"/>
      </w:pPr>
      <w:rPr>
        <w:rFonts w:hint="default"/>
      </w:rPr>
    </w:lvl>
    <w:lvl w:ilvl="4">
      <w:start w:val="1"/>
      <w:numFmt w:val="decimal"/>
      <w:lvlText w:val="%1.%2.%3.%4.%5"/>
      <w:lvlJc w:val="left"/>
      <w:pPr>
        <w:tabs>
          <w:tab w:val="num" w:pos="6184"/>
        </w:tabs>
        <w:ind w:left="6184" w:hanging="1080"/>
      </w:pPr>
      <w:rPr>
        <w:rFonts w:hint="default"/>
      </w:rPr>
    </w:lvl>
    <w:lvl w:ilvl="5">
      <w:start w:val="1"/>
      <w:numFmt w:val="decimal"/>
      <w:lvlText w:val="%1.%2.%3.%4.%5.%6"/>
      <w:lvlJc w:val="left"/>
      <w:pPr>
        <w:tabs>
          <w:tab w:val="num" w:pos="7820"/>
        </w:tabs>
        <w:ind w:left="7820" w:hanging="1440"/>
      </w:pPr>
      <w:rPr>
        <w:rFonts w:hint="default"/>
      </w:rPr>
    </w:lvl>
    <w:lvl w:ilvl="6">
      <w:start w:val="1"/>
      <w:numFmt w:val="decimal"/>
      <w:lvlText w:val="%1.%2.%3.%4.%5.%6.%7"/>
      <w:lvlJc w:val="left"/>
      <w:pPr>
        <w:tabs>
          <w:tab w:val="num" w:pos="9096"/>
        </w:tabs>
        <w:ind w:left="9096" w:hanging="1440"/>
      </w:pPr>
      <w:rPr>
        <w:rFonts w:hint="default"/>
      </w:rPr>
    </w:lvl>
    <w:lvl w:ilvl="7">
      <w:start w:val="1"/>
      <w:numFmt w:val="decimal"/>
      <w:lvlText w:val="%1.%2.%3.%4.%5.%6.%7.%8"/>
      <w:lvlJc w:val="left"/>
      <w:pPr>
        <w:tabs>
          <w:tab w:val="num" w:pos="10732"/>
        </w:tabs>
        <w:ind w:left="10732" w:hanging="1800"/>
      </w:pPr>
      <w:rPr>
        <w:rFonts w:hint="default"/>
      </w:rPr>
    </w:lvl>
    <w:lvl w:ilvl="8">
      <w:start w:val="1"/>
      <w:numFmt w:val="decimal"/>
      <w:lvlText w:val="%1.%2.%3.%4.%5.%6.%7.%8.%9"/>
      <w:lvlJc w:val="left"/>
      <w:pPr>
        <w:tabs>
          <w:tab w:val="num" w:pos="12008"/>
        </w:tabs>
        <w:ind w:left="12008" w:hanging="1800"/>
      </w:pPr>
      <w:rPr>
        <w:rFonts w:hint="default"/>
      </w:rPr>
    </w:lvl>
  </w:abstractNum>
  <w:abstractNum w:abstractNumId="768">
    <w:nsid w:val="42BC5979"/>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769">
    <w:nsid w:val="42C708F0"/>
    <w:multiLevelType w:val="singleLevel"/>
    <w:tmpl w:val="4606E7C4"/>
    <w:lvl w:ilvl="0">
      <w:start w:val="1"/>
      <w:numFmt w:val="decimal"/>
      <w:lvlText w:val="%1."/>
      <w:lvlJc w:val="left"/>
      <w:pPr>
        <w:tabs>
          <w:tab w:val="num" w:pos="361"/>
        </w:tabs>
        <w:ind w:left="361" w:hanging="360"/>
      </w:pPr>
      <w:rPr>
        <w:rFonts w:hint="default"/>
      </w:rPr>
    </w:lvl>
  </w:abstractNum>
  <w:abstractNum w:abstractNumId="770">
    <w:nsid w:val="42D94D43"/>
    <w:multiLevelType w:val="singleLevel"/>
    <w:tmpl w:val="9086DB08"/>
    <w:lvl w:ilvl="0">
      <w:start w:val="23"/>
      <w:numFmt w:val="bullet"/>
      <w:lvlText w:val="-"/>
      <w:lvlJc w:val="left"/>
      <w:pPr>
        <w:tabs>
          <w:tab w:val="num" w:pos="360"/>
        </w:tabs>
        <w:ind w:left="360" w:hanging="360"/>
      </w:pPr>
      <w:rPr>
        <w:rFonts w:ascii="Times New Roman" w:hAnsi="Times New Roman" w:hint="default"/>
      </w:rPr>
    </w:lvl>
  </w:abstractNum>
  <w:abstractNum w:abstractNumId="771">
    <w:nsid w:val="42DB13D3"/>
    <w:multiLevelType w:val="multilevel"/>
    <w:tmpl w:val="8AAA40A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2">
    <w:nsid w:val="42DE12D4"/>
    <w:multiLevelType w:val="singleLevel"/>
    <w:tmpl w:val="F23C7376"/>
    <w:lvl w:ilvl="0">
      <w:numFmt w:val="bullet"/>
      <w:lvlText w:val=""/>
      <w:lvlJc w:val="left"/>
      <w:pPr>
        <w:tabs>
          <w:tab w:val="num" w:pos="360"/>
        </w:tabs>
        <w:ind w:left="360" w:hanging="360"/>
      </w:pPr>
      <w:rPr>
        <w:rFonts w:ascii="Symbol" w:hAnsi="Symbol" w:hint="default"/>
      </w:rPr>
    </w:lvl>
  </w:abstractNum>
  <w:abstractNum w:abstractNumId="773">
    <w:nsid w:val="42EB7B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4">
    <w:nsid w:val="42FA26A3"/>
    <w:multiLevelType w:val="singleLevel"/>
    <w:tmpl w:val="D51AEA44"/>
    <w:lvl w:ilvl="0">
      <w:start w:val="1"/>
      <w:numFmt w:val="upperRoman"/>
      <w:lvlText w:val="%1."/>
      <w:lvlJc w:val="left"/>
      <w:pPr>
        <w:tabs>
          <w:tab w:val="num" w:pos="1004"/>
        </w:tabs>
        <w:ind w:left="1004" w:hanging="720"/>
      </w:pPr>
      <w:rPr>
        <w:rFonts w:hint="default"/>
      </w:rPr>
    </w:lvl>
  </w:abstractNum>
  <w:abstractNum w:abstractNumId="775">
    <w:nsid w:val="42FA322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76">
    <w:nsid w:val="430B3D68"/>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777">
    <w:nsid w:val="431A08B3"/>
    <w:multiLevelType w:val="singleLevel"/>
    <w:tmpl w:val="03A4E3A8"/>
    <w:lvl w:ilvl="0">
      <w:start w:val="1"/>
      <w:numFmt w:val="bullet"/>
      <w:lvlText w:val=""/>
      <w:lvlJc w:val="left"/>
      <w:pPr>
        <w:tabs>
          <w:tab w:val="num" w:pos="360"/>
        </w:tabs>
        <w:ind w:left="360" w:hanging="360"/>
      </w:pPr>
      <w:rPr>
        <w:rFonts w:ascii="Symbol" w:hAnsi="Symbol" w:hint="default"/>
        <w:b w:val="0"/>
        <w:i w:val="0"/>
      </w:rPr>
    </w:lvl>
  </w:abstractNum>
  <w:abstractNum w:abstractNumId="778">
    <w:nsid w:val="433C24A3"/>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79">
    <w:nsid w:val="43432A50"/>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780">
    <w:nsid w:val="434F7EFC"/>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781">
    <w:nsid w:val="43751161"/>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782">
    <w:nsid w:val="438C22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3">
    <w:nsid w:val="43AE2F71"/>
    <w:multiLevelType w:val="multilevel"/>
    <w:tmpl w:val="5998943C"/>
    <w:lvl w:ilvl="0">
      <w:start w:val="2"/>
      <w:numFmt w:val="decimal"/>
      <w:lvlText w:val="%1"/>
      <w:lvlJc w:val="left"/>
      <w:pPr>
        <w:tabs>
          <w:tab w:val="num" w:pos="450"/>
        </w:tabs>
        <w:ind w:left="450" w:hanging="450"/>
      </w:pPr>
      <w:rPr>
        <w:rFonts w:hint="default"/>
        <w:i w:val="0"/>
      </w:rPr>
    </w:lvl>
    <w:lvl w:ilvl="1">
      <w:start w:val="1"/>
      <w:numFmt w:val="decimal"/>
      <w:lvlText w:val="%1.%2"/>
      <w:lvlJc w:val="left"/>
      <w:pPr>
        <w:tabs>
          <w:tab w:val="num" w:pos="1158"/>
        </w:tabs>
        <w:ind w:left="1158" w:hanging="45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5688"/>
        </w:tabs>
        <w:ind w:left="5688" w:hanging="144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464"/>
        </w:tabs>
        <w:ind w:left="7464" w:hanging="1800"/>
      </w:pPr>
      <w:rPr>
        <w:rFonts w:hint="default"/>
        <w:i w:val="0"/>
      </w:rPr>
    </w:lvl>
  </w:abstractNum>
  <w:abstractNum w:abstractNumId="784">
    <w:nsid w:val="43D6219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5">
    <w:nsid w:val="43F66E2A"/>
    <w:multiLevelType w:val="singleLevel"/>
    <w:tmpl w:val="1D243106"/>
    <w:lvl w:ilvl="0">
      <w:start w:val="4"/>
      <w:numFmt w:val="upperLetter"/>
      <w:lvlText w:val="%1)"/>
      <w:lvlJc w:val="left"/>
      <w:pPr>
        <w:tabs>
          <w:tab w:val="num" w:pos="1697"/>
        </w:tabs>
        <w:ind w:left="1697" w:hanging="450"/>
      </w:pPr>
      <w:rPr>
        <w:rFonts w:hint="default"/>
      </w:rPr>
    </w:lvl>
  </w:abstractNum>
  <w:abstractNum w:abstractNumId="786">
    <w:nsid w:val="441A4BDB"/>
    <w:multiLevelType w:val="singleLevel"/>
    <w:tmpl w:val="9072DE84"/>
    <w:lvl w:ilvl="0">
      <w:start w:val="1"/>
      <w:numFmt w:val="bullet"/>
      <w:lvlText w:val=""/>
      <w:lvlJc w:val="left"/>
      <w:pPr>
        <w:tabs>
          <w:tab w:val="num" w:pos="360"/>
        </w:tabs>
        <w:ind w:left="360" w:hanging="360"/>
      </w:pPr>
      <w:rPr>
        <w:rFonts w:ascii="Symbol" w:hAnsi="Symbol" w:hint="default"/>
      </w:rPr>
    </w:lvl>
  </w:abstractNum>
  <w:abstractNum w:abstractNumId="787">
    <w:nsid w:val="442F082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88">
    <w:nsid w:val="445D7675"/>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789">
    <w:nsid w:val="44604EE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0">
    <w:nsid w:val="44774293"/>
    <w:multiLevelType w:val="singleLevel"/>
    <w:tmpl w:val="6A6AF33E"/>
    <w:lvl w:ilvl="0">
      <w:start w:val="2"/>
      <w:numFmt w:val="decimal"/>
      <w:lvlText w:val="2.1.%1. "/>
      <w:legacy w:legacy="1" w:legacySpace="0" w:legacyIndent="283"/>
      <w:lvlJc w:val="left"/>
      <w:pPr>
        <w:ind w:left="283" w:hanging="283"/>
      </w:pPr>
      <w:rPr>
        <w:rFonts w:ascii="Arial" w:hAnsi="Arial" w:hint="default"/>
        <w:b w:val="0"/>
        <w:i w:val="0"/>
        <w:sz w:val="24"/>
        <w:u w:val="single"/>
      </w:rPr>
    </w:lvl>
  </w:abstractNum>
  <w:abstractNum w:abstractNumId="791">
    <w:nsid w:val="44AD5D68"/>
    <w:multiLevelType w:val="singleLevel"/>
    <w:tmpl w:val="0C0A0013"/>
    <w:lvl w:ilvl="0">
      <w:start w:val="1"/>
      <w:numFmt w:val="upperRoman"/>
      <w:lvlText w:val="%1."/>
      <w:lvlJc w:val="left"/>
      <w:pPr>
        <w:tabs>
          <w:tab w:val="num" w:pos="720"/>
        </w:tabs>
        <w:ind w:left="720" w:hanging="720"/>
      </w:pPr>
    </w:lvl>
  </w:abstractNum>
  <w:abstractNum w:abstractNumId="792">
    <w:nsid w:val="44B45D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3">
    <w:nsid w:val="44BA517B"/>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794">
    <w:nsid w:val="44C73865"/>
    <w:multiLevelType w:val="multilevel"/>
    <w:tmpl w:val="66623230"/>
    <w:lvl w:ilvl="0">
      <w:start w:val="3"/>
      <w:numFmt w:val="decimal"/>
      <w:lvlText w:val="%1."/>
      <w:lvlJc w:val="left"/>
      <w:pPr>
        <w:tabs>
          <w:tab w:val="num" w:pos="622"/>
        </w:tabs>
        <w:ind w:left="622" w:hanging="622"/>
      </w:pPr>
      <w:rPr>
        <w:rFonts w:hint="default"/>
      </w:rPr>
    </w:lvl>
    <w:lvl w:ilvl="1">
      <w:start w:val="3"/>
      <w:numFmt w:val="decimal"/>
      <w:lvlText w:val="%1.%2."/>
      <w:lvlJc w:val="left"/>
      <w:pPr>
        <w:tabs>
          <w:tab w:val="num" w:pos="1641"/>
        </w:tabs>
        <w:ind w:left="1641" w:hanging="720"/>
      </w:pPr>
      <w:rPr>
        <w:rFonts w:hint="default"/>
      </w:rPr>
    </w:lvl>
    <w:lvl w:ilvl="2">
      <w:start w:val="2"/>
      <w:numFmt w:val="decimal"/>
      <w:lvlText w:val="%1.%2.%3."/>
      <w:lvlJc w:val="left"/>
      <w:pPr>
        <w:tabs>
          <w:tab w:val="num" w:pos="2562"/>
        </w:tabs>
        <w:ind w:left="2562" w:hanging="720"/>
      </w:pPr>
      <w:rPr>
        <w:rFonts w:hint="default"/>
      </w:rPr>
    </w:lvl>
    <w:lvl w:ilvl="3">
      <w:start w:val="1"/>
      <w:numFmt w:val="decimal"/>
      <w:lvlText w:val="%1.%2.%3.%4."/>
      <w:lvlJc w:val="left"/>
      <w:pPr>
        <w:tabs>
          <w:tab w:val="num" w:pos="3843"/>
        </w:tabs>
        <w:ind w:left="3843" w:hanging="1080"/>
      </w:pPr>
      <w:rPr>
        <w:rFonts w:hint="default"/>
      </w:rPr>
    </w:lvl>
    <w:lvl w:ilvl="4">
      <w:start w:val="1"/>
      <w:numFmt w:val="decimal"/>
      <w:lvlText w:val="%1.%2.%3.%4.%5."/>
      <w:lvlJc w:val="left"/>
      <w:pPr>
        <w:tabs>
          <w:tab w:val="num" w:pos="4764"/>
        </w:tabs>
        <w:ind w:left="4764" w:hanging="1080"/>
      </w:pPr>
      <w:rPr>
        <w:rFonts w:hint="default"/>
      </w:rPr>
    </w:lvl>
    <w:lvl w:ilvl="5">
      <w:start w:val="1"/>
      <w:numFmt w:val="decimal"/>
      <w:lvlText w:val="%1.%2.%3.%4.%5.%6."/>
      <w:lvlJc w:val="left"/>
      <w:pPr>
        <w:tabs>
          <w:tab w:val="num" w:pos="6045"/>
        </w:tabs>
        <w:ind w:left="6045" w:hanging="1440"/>
      </w:pPr>
      <w:rPr>
        <w:rFonts w:hint="default"/>
      </w:rPr>
    </w:lvl>
    <w:lvl w:ilvl="6">
      <w:start w:val="1"/>
      <w:numFmt w:val="decimal"/>
      <w:lvlText w:val="%1.%2.%3.%4.%5.%6.%7."/>
      <w:lvlJc w:val="left"/>
      <w:pPr>
        <w:tabs>
          <w:tab w:val="num" w:pos="6966"/>
        </w:tabs>
        <w:ind w:left="6966" w:hanging="1440"/>
      </w:pPr>
      <w:rPr>
        <w:rFonts w:hint="default"/>
      </w:rPr>
    </w:lvl>
    <w:lvl w:ilvl="7">
      <w:start w:val="1"/>
      <w:numFmt w:val="decimal"/>
      <w:lvlText w:val="%1.%2.%3.%4.%5.%6.%7.%8."/>
      <w:lvlJc w:val="left"/>
      <w:pPr>
        <w:tabs>
          <w:tab w:val="num" w:pos="8247"/>
        </w:tabs>
        <w:ind w:left="8247" w:hanging="1800"/>
      </w:pPr>
      <w:rPr>
        <w:rFonts w:hint="default"/>
      </w:rPr>
    </w:lvl>
    <w:lvl w:ilvl="8">
      <w:start w:val="1"/>
      <w:numFmt w:val="decimal"/>
      <w:lvlText w:val="%1.%2.%3.%4.%5.%6.%7.%8.%9."/>
      <w:lvlJc w:val="left"/>
      <w:pPr>
        <w:tabs>
          <w:tab w:val="num" w:pos="9528"/>
        </w:tabs>
        <w:ind w:left="9528" w:hanging="2160"/>
      </w:pPr>
      <w:rPr>
        <w:rFonts w:hint="default"/>
      </w:rPr>
    </w:lvl>
  </w:abstractNum>
  <w:abstractNum w:abstractNumId="795">
    <w:nsid w:val="44E96B2D"/>
    <w:multiLevelType w:val="singleLevel"/>
    <w:tmpl w:val="8DD25918"/>
    <w:lvl w:ilvl="0">
      <w:start w:val="8"/>
      <w:numFmt w:val="bullet"/>
      <w:lvlText w:val="-"/>
      <w:lvlJc w:val="left"/>
      <w:pPr>
        <w:tabs>
          <w:tab w:val="num" w:pos="360"/>
        </w:tabs>
        <w:ind w:left="360" w:hanging="360"/>
      </w:pPr>
      <w:rPr>
        <w:rFonts w:ascii="Times New Roman" w:hAnsi="Times New Roman" w:hint="default"/>
      </w:rPr>
    </w:lvl>
  </w:abstractNum>
  <w:abstractNum w:abstractNumId="796">
    <w:nsid w:val="44FC3F8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97">
    <w:nsid w:val="4501047B"/>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798">
    <w:nsid w:val="450E62B4"/>
    <w:multiLevelType w:val="multilevel"/>
    <w:tmpl w:val="C2B05440"/>
    <w:lvl w:ilvl="0">
      <w:start w:val="3"/>
      <w:numFmt w:val="decimal"/>
      <w:lvlText w:val="%1."/>
      <w:lvlJc w:val="left"/>
      <w:pPr>
        <w:tabs>
          <w:tab w:val="num" w:pos="622"/>
        </w:tabs>
        <w:ind w:left="622" w:hanging="622"/>
      </w:pPr>
      <w:rPr>
        <w:rFonts w:hint="default"/>
      </w:rPr>
    </w:lvl>
    <w:lvl w:ilvl="1">
      <w:start w:val="3"/>
      <w:numFmt w:val="decimal"/>
      <w:lvlText w:val="%1.%2."/>
      <w:lvlJc w:val="left"/>
      <w:pPr>
        <w:tabs>
          <w:tab w:val="num" w:pos="1641"/>
        </w:tabs>
        <w:ind w:left="1641" w:hanging="720"/>
      </w:pPr>
      <w:rPr>
        <w:rFonts w:hint="default"/>
      </w:rPr>
    </w:lvl>
    <w:lvl w:ilvl="2">
      <w:start w:val="1"/>
      <w:numFmt w:val="decimal"/>
      <w:lvlText w:val="%1.%2.%3."/>
      <w:lvlJc w:val="left"/>
      <w:pPr>
        <w:tabs>
          <w:tab w:val="num" w:pos="2562"/>
        </w:tabs>
        <w:ind w:left="2562" w:hanging="720"/>
      </w:pPr>
      <w:rPr>
        <w:rFonts w:hint="default"/>
      </w:rPr>
    </w:lvl>
    <w:lvl w:ilvl="3">
      <w:start w:val="1"/>
      <w:numFmt w:val="decimal"/>
      <w:lvlText w:val="%1.%2.%3.%4."/>
      <w:lvlJc w:val="left"/>
      <w:pPr>
        <w:tabs>
          <w:tab w:val="num" w:pos="3843"/>
        </w:tabs>
        <w:ind w:left="3843" w:hanging="1080"/>
      </w:pPr>
      <w:rPr>
        <w:rFonts w:hint="default"/>
      </w:rPr>
    </w:lvl>
    <w:lvl w:ilvl="4">
      <w:start w:val="1"/>
      <w:numFmt w:val="decimal"/>
      <w:lvlText w:val="%1.%2.%3.%4.%5."/>
      <w:lvlJc w:val="left"/>
      <w:pPr>
        <w:tabs>
          <w:tab w:val="num" w:pos="4764"/>
        </w:tabs>
        <w:ind w:left="4764" w:hanging="1080"/>
      </w:pPr>
      <w:rPr>
        <w:rFonts w:hint="default"/>
      </w:rPr>
    </w:lvl>
    <w:lvl w:ilvl="5">
      <w:start w:val="1"/>
      <w:numFmt w:val="decimal"/>
      <w:lvlText w:val="%1.%2.%3.%4.%5.%6."/>
      <w:lvlJc w:val="left"/>
      <w:pPr>
        <w:tabs>
          <w:tab w:val="num" w:pos="6045"/>
        </w:tabs>
        <w:ind w:left="6045" w:hanging="1440"/>
      </w:pPr>
      <w:rPr>
        <w:rFonts w:hint="default"/>
      </w:rPr>
    </w:lvl>
    <w:lvl w:ilvl="6">
      <w:start w:val="1"/>
      <w:numFmt w:val="decimal"/>
      <w:lvlText w:val="%1.%2.%3.%4.%5.%6.%7."/>
      <w:lvlJc w:val="left"/>
      <w:pPr>
        <w:tabs>
          <w:tab w:val="num" w:pos="6966"/>
        </w:tabs>
        <w:ind w:left="6966" w:hanging="1440"/>
      </w:pPr>
      <w:rPr>
        <w:rFonts w:hint="default"/>
      </w:rPr>
    </w:lvl>
    <w:lvl w:ilvl="7">
      <w:start w:val="1"/>
      <w:numFmt w:val="decimal"/>
      <w:lvlText w:val="%1.%2.%3.%4.%5.%6.%7.%8."/>
      <w:lvlJc w:val="left"/>
      <w:pPr>
        <w:tabs>
          <w:tab w:val="num" w:pos="8247"/>
        </w:tabs>
        <w:ind w:left="8247" w:hanging="1800"/>
      </w:pPr>
      <w:rPr>
        <w:rFonts w:hint="default"/>
      </w:rPr>
    </w:lvl>
    <w:lvl w:ilvl="8">
      <w:start w:val="1"/>
      <w:numFmt w:val="decimal"/>
      <w:lvlText w:val="%1.%2.%3.%4.%5.%6.%7.%8.%9."/>
      <w:lvlJc w:val="left"/>
      <w:pPr>
        <w:tabs>
          <w:tab w:val="num" w:pos="9528"/>
        </w:tabs>
        <w:ind w:left="9528" w:hanging="2160"/>
      </w:pPr>
      <w:rPr>
        <w:rFonts w:hint="default"/>
      </w:rPr>
    </w:lvl>
  </w:abstractNum>
  <w:abstractNum w:abstractNumId="799">
    <w:nsid w:val="45244730"/>
    <w:multiLevelType w:val="singleLevel"/>
    <w:tmpl w:val="C93E03E6"/>
    <w:lvl w:ilvl="0">
      <w:numFmt w:val="bullet"/>
      <w:lvlText w:val="-"/>
      <w:lvlJc w:val="left"/>
      <w:pPr>
        <w:tabs>
          <w:tab w:val="num" w:pos="2041"/>
        </w:tabs>
        <w:ind w:left="2041" w:hanging="1190"/>
      </w:pPr>
    </w:lvl>
  </w:abstractNum>
  <w:abstractNum w:abstractNumId="800">
    <w:nsid w:val="459B7C2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01">
    <w:nsid w:val="45DE19B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02">
    <w:nsid w:val="46237E52"/>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803">
    <w:nsid w:val="462947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4">
    <w:nsid w:val="463F333F"/>
    <w:multiLevelType w:val="multilevel"/>
    <w:tmpl w:val="4E56A8E6"/>
    <w:lvl w:ilvl="0">
      <w:start w:val="8"/>
      <w:numFmt w:val="lowerLetter"/>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05">
    <w:nsid w:val="46574A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6">
    <w:nsid w:val="465905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7">
    <w:nsid w:val="465D1835"/>
    <w:multiLevelType w:val="singleLevel"/>
    <w:tmpl w:val="37844B22"/>
    <w:lvl w:ilvl="0">
      <w:start w:val="1"/>
      <w:numFmt w:val="bullet"/>
      <w:lvlText w:val=""/>
      <w:lvlJc w:val="left"/>
      <w:pPr>
        <w:tabs>
          <w:tab w:val="num" w:pos="360"/>
        </w:tabs>
        <w:ind w:left="360" w:hanging="360"/>
      </w:pPr>
      <w:rPr>
        <w:rFonts w:ascii="Wingdings" w:hAnsi="Wingdings" w:hint="default"/>
        <w:sz w:val="24"/>
      </w:rPr>
    </w:lvl>
  </w:abstractNum>
  <w:abstractNum w:abstractNumId="808">
    <w:nsid w:val="46840240"/>
    <w:multiLevelType w:val="singleLevel"/>
    <w:tmpl w:val="0C0A000F"/>
    <w:lvl w:ilvl="0">
      <w:start w:val="1"/>
      <w:numFmt w:val="decimal"/>
      <w:lvlText w:val="%1."/>
      <w:lvlJc w:val="left"/>
      <w:pPr>
        <w:tabs>
          <w:tab w:val="num" w:pos="360"/>
        </w:tabs>
        <w:ind w:left="360" w:hanging="360"/>
      </w:pPr>
    </w:lvl>
  </w:abstractNum>
  <w:abstractNum w:abstractNumId="809">
    <w:nsid w:val="46865634"/>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810">
    <w:nsid w:val="46B672CE"/>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11">
    <w:nsid w:val="46C8359C"/>
    <w:multiLevelType w:val="multilevel"/>
    <w:tmpl w:val="E0D8703C"/>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2">
    <w:nsid w:val="46CE0CFE"/>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13">
    <w:nsid w:val="46DB0F25"/>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814">
    <w:nsid w:val="46ED456B"/>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815">
    <w:nsid w:val="46F201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6">
    <w:nsid w:val="46FD1BCF"/>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817">
    <w:nsid w:val="47252806"/>
    <w:multiLevelType w:val="singleLevel"/>
    <w:tmpl w:val="F8ECF7B8"/>
    <w:lvl w:ilvl="0">
      <w:start w:val="1"/>
      <w:numFmt w:val="bullet"/>
      <w:lvlText w:val="-"/>
      <w:lvlJc w:val="left"/>
      <w:pPr>
        <w:tabs>
          <w:tab w:val="num" w:pos="1785"/>
        </w:tabs>
        <w:ind w:left="1785" w:hanging="360"/>
      </w:pPr>
      <w:rPr>
        <w:rFonts w:hint="default"/>
      </w:rPr>
    </w:lvl>
  </w:abstractNum>
  <w:abstractNum w:abstractNumId="818">
    <w:nsid w:val="473D3E4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19">
    <w:nsid w:val="4741421C"/>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820">
    <w:nsid w:val="474F5313"/>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821">
    <w:nsid w:val="47555C88"/>
    <w:multiLevelType w:val="singleLevel"/>
    <w:tmpl w:val="4FDCFC44"/>
    <w:lvl w:ilvl="0">
      <w:start w:val="4"/>
      <w:numFmt w:val="decimal"/>
      <w:lvlText w:val=""/>
      <w:lvlJc w:val="left"/>
      <w:pPr>
        <w:tabs>
          <w:tab w:val="num" w:pos="360"/>
        </w:tabs>
        <w:ind w:left="360" w:hanging="360"/>
      </w:pPr>
      <w:rPr>
        <w:rFonts w:ascii="Times New Roman" w:hAnsi="Times New Roman" w:hint="default"/>
        <w:b/>
      </w:rPr>
    </w:lvl>
  </w:abstractNum>
  <w:abstractNum w:abstractNumId="822">
    <w:nsid w:val="47595F7A"/>
    <w:multiLevelType w:val="singleLevel"/>
    <w:tmpl w:val="971ED780"/>
    <w:lvl w:ilvl="0">
      <w:start w:val="1"/>
      <w:numFmt w:val="lowerLetter"/>
      <w:lvlText w:val="%1)"/>
      <w:lvlJc w:val="left"/>
      <w:pPr>
        <w:tabs>
          <w:tab w:val="num" w:pos="2130"/>
        </w:tabs>
        <w:ind w:left="2130" w:hanging="705"/>
      </w:pPr>
      <w:rPr>
        <w:rFonts w:hint="default"/>
      </w:rPr>
    </w:lvl>
  </w:abstractNum>
  <w:abstractNum w:abstractNumId="823">
    <w:nsid w:val="476B259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24">
    <w:nsid w:val="47C20EFC"/>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825">
    <w:nsid w:val="47D2750B"/>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826">
    <w:nsid w:val="47F8296F"/>
    <w:multiLevelType w:val="multilevel"/>
    <w:tmpl w:val="0556F4A4"/>
    <w:lvl w:ilvl="0">
      <w:start w:val="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7">
    <w:nsid w:val="47FA077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8">
    <w:nsid w:val="481058BE"/>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829">
    <w:nsid w:val="48286330"/>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830">
    <w:nsid w:val="485F1EFE"/>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831">
    <w:nsid w:val="486215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2">
    <w:nsid w:val="487908D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33">
    <w:nsid w:val="48BC26DB"/>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834">
    <w:nsid w:val="48D71947"/>
    <w:multiLevelType w:val="singleLevel"/>
    <w:tmpl w:val="F8ECF7B8"/>
    <w:lvl w:ilvl="0">
      <w:start w:val="1"/>
      <w:numFmt w:val="bullet"/>
      <w:lvlText w:val="-"/>
      <w:lvlJc w:val="left"/>
      <w:pPr>
        <w:tabs>
          <w:tab w:val="num" w:pos="1785"/>
        </w:tabs>
        <w:ind w:left="1785" w:hanging="360"/>
      </w:pPr>
      <w:rPr>
        <w:rFonts w:hint="default"/>
      </w:rPr>
    </w:lvl>
  </w:abstractNum>
  <w:abstractNum w:abstractNumId="835">
    <w:nsid w:val="48E704E8"/>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836">
    <w:nsid w:val="49016CB9"/>
    <w:multiLevelType w:val="singleLevel"/>
    <w:tmpl w:val="E0EA0E82"/>
    <w:lvl w:ilvl="0">
      <w:start w:val="1"/>
      <w:numFmt w:val="bullet"/>
      <w:lvlText w:val="-"/>
      <w:lvlJc w:val="left"/>
      <w:pPr>
        <w:tabs>
          <w:tab w:val="num" w:pos="1069"/>
        </w:tabs>
        <w:ind w:left="1069" w:hanging="360"/>
      </w:pPr>
      <w:rPr>
        <w:rFonts w:ascii="Times New Roman" w:hAnsi="Times New Roman" w:hint="default"/>
      </w:rPr>
    </w:lvl>
  </w:abstractNum>
  <w:abstractNum w:abstractNumId="837">
    <w:nsid w:val="491603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8">
    <w:nsid w:val="491A25AD"/>
    <w:multiLevelType w:val="singleLevel"/>
    <w:tmpl w:val="0C0A000F"/>
    <w:lvl w:ilvl="0">
      <w:start w:val="1"/>
      <w:numFmt w:val="decimal"/>
      <w:lvlText w:val="%1."/>
      <w:lvlJc w:val="left"/>
      <w:pPr>
        <w:tabs>
          <w:tab w:val="num" w:pos="360"/>
        </w:tabs>
        <w:ind w:left="360" w:hanging="360"/>
      </w:pPr>
    </w:lvl>
  </w:abstractNum>
  <w:abstractNum w:abstractNumId="839">
    <w:nsid w:val="492676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0">
    <w:nsid w:val="492D7AFC"/>
    <w:multiLevelType w:val="multilevel"/>
    <w:tmpl w:val="CC2EAC46"/>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1">
    <w:nsid w:val="493120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2">
    <w:nsid w:val="497014A3"/>
    <w:multiLevelType w:val="singleLevel"/>
    <w:tmpl w:val="B4489E0A"/>
    <w:lvl w:ilvl="0">
      <w:start w:val="5"/>
      <w:numFmt w:val="decimal"/>
      <w:lvlText w:val="%1- "/>
      <w:legacy w:legacy="1" w:legacySpace="0" w:legacyIndent="283"/>
      <w:lvlJc w:val="left"/>
      <w:pPr>
        <w:ind w:left="283" w:hanging="283"/>
      </w:pPr>
      <w:rPr>
        <w:rFonts w:ascii="Arial" w:hAnsi="Arial" w:hint="default"/>
        <w:b w:val="0"/>
        <w:i w:val="0"/>
        <w:sz w:val="24"/>
        <w:u w:val="none"/>
      </w:rPr>
    </w:lvl>
  </w:abstractNum>
  <w:abstractNum w:abstractNumId="843">
    <w:nsid w:val="4982492C"/>
    <w:multiLevelType w:val="multilevel"/>
    <w:tmpl w:val="CB5AD8A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4">
    <w:nsid w:val="498A77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5">
    <w:nsid w:val="49935905"/>
    <w:multiLevelType w:val="singleLevel"/>
    <w:tmpl w:val="0C0A000F"/>
    <w:lvl w:ilvl="0">
      <w:start w:val="1"/>
      <w:numFmt w:val="decimal"/>
      <w:lvlText w:val="%1."/>
      <w:lvlJc w:val="left"/>
      <w:pPr>
        <w:tabs>
          <w:tab w:val="num" w:pos="360"/>
        </w:tabs>
        <w:ind w:left="360" w:hanging="360"/>
      </w:pPr>
    </w:lvl>
  </w:abstractNum>
  <w:abstractNum w:abstractNumId="846">
    <w:nsid w:val="499778B3"/>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847">
    <w:nsid w:val="49C965F0"/>
    <w:multiLevelType w:val="singleLevel"/>
    <w:tmpl w:val="FEEE9006"/>
    <w:lvl w:ilvl="0">
      <w:start w:val="2"/>
      <w:numFmt w:val="bullet"/>
      <w:lvlText w:val="-"/>
      <w:lvlJc w:val="left"/>
      <w:pPr>
        <w:tabs>
          <w:tab w:val="num" w:pos="360"/>
        </w:tabs>
        <w:ind w:left="360" w:hanging="360"/>
      </w:pPr>
      <w:rPr>
        <w:rFonts w:ascii="Times New Roman" w:hAnsi="Times New Roman" w:hint="default"/>
      </w:rPr>
    </w:lvl>
  </w:abstractNum>
  <w:abstractNum w:abstractNumId="848">
    <w:nsid w:val="49F5055D"/>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849">
    <w:nsid w:val="4A2123EB"/>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850">
    <w:nsid w:val="4A2F2E2F"/>
    <w:multiLevelType w:val="singleLevel"/>
    <w:tmpl w:val="0C0A0015"/>
    <w:lvl w:ilvl="0">
      <w:start w:val="1"/>
      <w:numFmt w:val="upperLetter"/>
      <w:lvlText w:val="%1."/>
      <w:lvlJc w:val="left"/>
      <w:pPr>
        <w:tabs>
          <w:tab w:val="num" w:pos="360"/>
        </w:tabs>
        <w:ind w:left="360" w:hanging="360"/>
      </w:pPr>
    </w:lvl>
  </w:abstractNum>
  <w:abstractNum w:abstractNumId="851">
    <w:nsid w:val="4A4453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2">
    <w:nsid w:val="4A4610F9"/>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853">
    <w:nsid w:val="4A4903F9"/>
    <w:multiLevelType w:val="singleLevel"/>
    <w:tmpl w:val="061CA7FA"/>
    <w:lvl w:ilvl="0">
      <w:start w:val="1"/>
      <w:numFmt w:val="bullet"/>
      <w:lvlText w:val=""/>
      <w:lvlJc w:val="left"/>
      <w:pPr>
        <w:tabs>
          <w:tab w:val="num" w:pos="360"/>
        </w:tabs>
        <w:ind w:left="360" w:hanging="360"/>
      </w:pPr>
      <w:rPr>
        <w:rFonts w:ascii="Wingdings" w:hAnsi="Wingdings" w:hint="default"/>
      </w:rPr>
    </w:lvl>
  </w:abstractNum>
  <w:abstractNum w:abstractNumId="854">
    <w:nsid w:val="4A5550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5">
    <w:nsid w:val="4A5553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6">
    <w:nsid w:val="4A8D3DE6"/>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857">
    <w:nsid w:val="4AAB4115"/>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858">
    <w:nsid w:val="4AAC71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9">
    <w:nsid w:val="4AE9010E"/>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860">
    <w:nsid w:val="4AF906C1"/>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861">
    <w:nsid w:val="4AFF4F76"/>
    <w:multiLevelType w:val="singleLevel"/>
    <w:tmpl w:val="F8ECF7B8"/>
    <w:lvl w:ilvl="0">
      <w:start w:val="1"/>
      <w:numFmt w:val="bullet"/>
      <w:lvlText w:val="-"/>
      <w:lvlJc w:val="left"/>
      <w:pPr>
        <w:tabs>
          <w:tab w:val="num" w:pos="1785"/>
        </w:tabs>
        <w:ind w:left="1785" w:hanging="360"/>
      </w:pPr>
      <w:rPr>
        <w:rFonts w:hint="default"/>
      </w:rPr>
    </w:lvl>
  </w:abstractNum>
  <w:abstractNum w:abstractNumId="862">
    <w:nsid w:val="4B070E27"/>
    <w:multiLevelType w:val="singleLevel"/>
    <w:tmpl w:val="72C469C8"/>
    <w:lvl w:ilvl="0">
      <w:start w:val="1"/>
      <w:numFmt w:val="bullet"/>
      <w:lvlText w:val=""/>
      <w:lvlJc w:val="left"/>
      <w:pPr>
        <w:tabs>
          <w:tab w:val="num" w:pos="454"/>
        </w:tabs>
        <w:ind w:left="454" w:hanging="454"/>
      </w:pPr>
      <w:rPr>
        <w:rFonts w:ascii="Symbol" w:hAnsi="Symbol" w:hint="default"/>
      </w:rPr>
    </w:lvl>
  </w:abstractNum>
  <w:abstractNum w:abstractNumId="863">
    <w:nsid w:val="4B5A0B31"/>
    <w:multiLevelType w:val="singleLevel"/>
    <w:tmpl w:val="F8ECF7B8"/>
    <w:lvl w:ilvl="0">
      <w:start w:val="1"/>
      <w:numFmt w:val="bullet"/>
      <w:lvlText w:val="-"/>
      <w:lvlJc w:val="left"/>
      <w:pPr>
        <w:tabs>
          <w:tab w:val="num" w:pos="1785"/>
        </w:tabs>
        <w:ind w:left="1785" w:hanging="360"/>
      </w:pPr>
      <w:rPr>
        <w:rFonts w:hint="default"/>
      </w:rPr>
    </w:lvl>
  </w:abstractNum>
  <w:abstractNum w:abstractNumId="864">
    <w:nsid w:val="4B6A6294"/>
    <w:multiLevelType w:val="singleLevel"/>
    <w:tmpl w:val="0C0A000F"/>
    <w:lvl w:ilvl="0">
      <w:start w:val="1"/>
      <w:numFmt w:val="decimal"/>
      <w:lvlText w:val="%1."/>
      <w:lvlJc w:val="left"/>
      <w:pPr>
        <w:tabs>
          <w:tab w:val="num" w:pos="360"/>
        </w:tabs>
        <w:ind w:left="360" w:hanging="360"/>
      </w:pPr>
    </w:lvl>
  </w:abstractNum>
  <w:abstractNum w:abstractNumId="865">
    <w:nsid w:val="4B8567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6">
    <w:nsid w:val="4BA715E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67">
    <w:nsid w:val="4BC92F67"/>
    <w:multiLevelType w:val="singleLevel"/>
    <w:tmpl w:val="0C0A0017"/>
    <w:lvl w:ilvl="0">
      <w:start w:val="1"/>
      <w:numFmt w:val="lowerLetter"/>
      <w:lvlText w:val="%1)"/>
      <w:lvlJc w:val="left"/>
      <w:pPr>
        <w:tabs>
          <w:tab w:val="num" w:pos="360"/>
        </w:tabs>
        <w:ind w:left="360" w:hanging="360"/>
      </w:pPr>
      <w:rPr>
        <w:rFonts w:hint="default"/>
      </w:rPr>
    </w:lvl>
  </w:abstractNum>
  <w:abstractNum w:abstractNumId="868">
    <w:nsid w:val="4BE26397"/>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869">
    <w:nsid w:val="4BE66C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0">
    <w:nsid w:val="4BE675C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1">
    <w:nsid w:val="4BEE2AE5"/>
    <w:multiLevelType w:val="singleLevel"/>
    <w:tmpl w:val="0C0A0017"/>
    <w:lvl w:ilvl="0">
      <w:start w:val="1"/>
      <w:numFmt w:val="lowerLetter"/>
      <w:lvlText w:val="%1)"/>
      <w:lvlJc w:val="left"/>
      <w:pPr>
        <w:tabs>
          <w:tab w:val="num" w:pos="360"/>
        </w:tabs>
        <w:ind w:left="360" w:hanging="360"/>
      </w:pPr>
      <w:rPr>
        <w:rFonts w:hint="default"/>
      </w:rPr>
    </w:lvl>
  </w:abstractNum>
  <w:abstractNum w:abstractNumId="872">
    <w:nsid w:val="4BF24AD9"/>
    <w:multiLevelType w:val="singleLevel"/>
    <w:tmpl w:val="0C0A000F"/>
    <w:lvl w:ilvl="0">
      <w:start w:val="1"/>
      <w:numFmt w:val="decimal"/>
      <w:lvlText w:val="%1."/>
      <w:lvlJc w:val="left"/>
      <w:pPr>
        <w:tabs>
          <w:tab w:val="num" w:pos="360"/>
        </w:tabs>
        <w:ind w:left="360" w:hanging="360"/>
      </w:pPr>
    </w:lvl>
  </w:abstractNum>
  <w:abstractNum w:abstractNumId="873">
    <w:nsid w:val="4C08269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74">
    <w:nsid w:val="4C1516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5">
    <w:nsid w:val="4C1F0AD2"/>
    <w:multiLevelType w:val="singleLevel"/>
    <w:tmpl w:val="F8ECF7B8"/>
    <w:lvl w:ilvl="0">
      <w:start w:val="1"/>
      <w:numFmt w:val="bullet"/>
      <w:lvlText w:val="-"/>
      <w:lvlJc w:val="left"/>
      <w:pPr>
        <w:tabs>
          <w:tab w:val="num" w:pos="1785"/>
        </w:tabs>
        <w:ind w:left="1785" w:hanging="360"/>
      </w:pPr>
      <w:rPr>
        <w:rFonts w:hint="default"/>
      </w:rPr>
    </w:lvl>
  </w:abstractNum>
  <w:abstractNum w:abstractNumId="876">
    <w:nsid w:val="4C3A21C3"/>
    <w:multiLevelType w:val="multilevel"/>
    <w:tmpl w:val="66BC9F3E"/>
    <w:lvl w:ilvl="0">
      <w:start w:val="1"/>
      <w:numFmt w:val="decimal"/>
      <w:lvlText w:val="%1."/>
      <w:lvlJc w:val="left"/>
      <w:pPr>
        <w:tabs>
          <w:tab w:val="num" w:pos="360"/>
        </w:tabs>
        <w:ind w:left="360" w:hanging="360"/>
      </w:pPr>
    </w:lvl>
    <w:lvl w:ilvl="1">
      <w:start w:val="1"/>
      <w:numFmt w:val="decimal"/>
      <w:lvlText w:val="%1.%2."/>
      <w:lvlJc w:val="left"/>
      <w:pPr>
        <w:tabs>
          <w:tab w:val="num" w:pos="1588"/>
        </w:tabs>
        <w:ind w:left="1588" w:hanging="1228"/>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77">
    <w:nsid w:val="4C437A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8">
    <w:nsid w:val="4C657BE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9">
    <w:nsid w:val="4C7441AD"/>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880">
    <w:nsid w:val="4C801C72"/>
    <w:multiLevelType w:val="singleLevel"/>
    <w:tmpl w:val="54E6574E"/>
    <w:lvl w:ilvl="0">
      <w:start w:val="1"/>
      <w:numFmt w:val="bullet"/>
      <w:lvlText w:val=""/>
      <w:lvlJc w:val="left"/>
      <w:pPr>
        <w:tabs>
          <w:tab w:val="num" w:pos="2138"/>
        </w:tabs>
        <w:ind w:left="1758" w:hanging="340"/>
      </w:pPr>
      <w:rPr>
        <w:rFonts w:ascii="Wingdings" w:hAnsi="Wingdings" w:hint="default"/>
      </w:rPr>
    </w:lvl>
  </w:abstractNum>
  <w:abstractNum w:abstractNumId="881">
    <w:nsid w:val="4C8020E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82">
    <w:nsid w:val="4C936569"/>
    <w:multiLevelType w:val="singleLevel"/>
    <w:tmpl w:val="7088AE4A"/>
    <w:lvl w:ilvl="0">
      <w:start w:val="1"/>
      <w:numFmt w:val="decimal"/>
      <w:lvlText w:val="%1."/>
      <w:lvlJc w:val="left"/>
      <w:pPr>
        <w:tabs>
          <w:tab w:val="num" w:pos="360"/>
        </w:tabs>
        <w:ind w:left="360" w:hanging="360"/>
      </w:pPr>
      <w:rPr>
        <w:b/>
        <w:i w:val="0"/>
      </w:rPr>
    </w:lvl>
  </w:abstractNum>
  <w:abstractNum w:abstractNumId="883">
    <w:nsid w:val="4CBA30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4">
    <w:nsid w:val="4CC26D24"/>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885">
    <w:nsid w:val="4CC869F2"/>
    <w:multiLevelType w:val="multilevel"/>
    <w:tmpl w:val="50C06AA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450"/>
        </w:tabs>
        <w:ind w:left="450" w:hanging="39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1260"/>
        </w:tabs>
        <w:ind w:left="1260" w:hanging="108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280"/>
        </w:tabs>
        <w:ind w:left="2280" w:hanging="1800"/>
      </w:pPr>
      <w:rPr>
        <w:rFonts w:hint="default"/>
      </w:rPr>
    </w:lvl>
  </w:abstractNum>
  <w:abstractNum w:abstractNumId="886">
    <w:nsid w:val="4CD673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7">
    <w:nsid w:val="4CDA1A0A"/>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888">
    <w:nsid w:val="4D310AF5"/>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889">
    <w:nsid w:val="4D7A1151"/>
    <w:multiLevelType w:val="singleLevel"/>
    <w:tmpl w:val="0C0A000F"/>
    <w:lvl w:ilvl="0">
      <w:start w:val="1"/>
      <w:numFmt w:val="decimal"/>
      <w:lvlText w:val="%1."/>
      <w:lvlJc w:val="left"/>
      <w:pPr>
        <w:tabs>
          <w:tab w:val="num" w:pos="360"/>
        </w:tabs>
        <w:ind w:left="360" w:hanging="360"/>
      </w:pPr>
      <w:rPr>
        <w:rFonts w:hint="default"/>
      </w:rPr>
    </w:lvl>
  </w:abstractNum>
  <w:abstractNum w:abstractNumId="890">
    <w:nsid w:val="4D976F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1">
    <w:nsid w:val="4DB9685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92">
    <w:nsid w:val="4DE058C5"/>
    <w:multiLevelType w:val="multilevel"/>
    <w:tmpl w:val="8A82296A"/>
    <w:lvl w:ilvl="0">
      <w:start w:val="3"/>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3"/>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3">
    <w:nsid w:val="4E457033"/>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94">
    <w:nsid w:val="4E4A28CB"/>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895">
    <w:nsid w:val="4E944830"/>
    <w:multiLevelType w:val="multilevel"/>
    <w:tmpl w:val="505AE12A"/>
    <w:lvl w:ilvl="0">
      <w:start w:val="2"/>
      <w:numFmt w:val="decimal"/>
      <w:lvlText w:val="%1"/>
      <w:lvlJc w:val="left"/>
      <w:pPr>
        <w:tabs>
          <w:tab w:val="num" w:pos="360"/>
        </w:tabs>
        <w:ind w:left="360" w:hanging="360"/>
      </w:pPr>
      <w:rPr>
        <w:rFonts w:hint="default"/>
        <w:i w:val="0"/>
      </w:rPr>
    </w:lvl>
    <w:lvl w:ilvl="1">
      <w:start w:val="1"/>
      <w:numFmt w:val="decimal"/>
      <w:lvlText w:val="%1.%2"/>
      <w:lvlJc w:val="left"/>
      <w:pPr>
        <w:tabs>
          <w:tab w:val="num" w:pos="284"/>
        </w:tabs>
        <w:ind w:left="284" w:hanging="360"/>
      </w:pPr>
      <w:rPr>
        <w:rFonts w:hint="default"/>
        <w:i w:val="0"/>
      </w:rPr>
    </w:lvl>
    <w:lvl w:ilvl="2">
      <w:start w:val="1"/>
      <w:numFmt w:val="decimal"/>
      <w:lvlText w:val="%1.%2.%3"/>
      <w:lvlJc w:val="left"/>
      <w:pPr>
        <w:tabs>
          <w:tab w:val="num" w:pos="568"/>
        </w:tabs>
        <w:ind w:left="568" w:hanging="720"/>
      </w:pPr>
      <w:rPr>
        <w:rFonts w:hint="default"/>
        <w:i w:val="0"/>
      </w:rPr>
    </w:lvl>
    <w:lvl w:ilvl="3">
      <w:start w:val="1"/>
      <w:numFmt w:val="decimal"/>
      <w:lvlText w:val="%1.%2.%3.%4"/>
      <w:lvlJc w:val="left"/>
      <w:pPr>
        <w:tabs>
          <w:tab w:val="num" w:pos="492"/>
        </w:tabs>
        <w:ind w:left="492" w:hanging="720"/>
      </w:pPr>
      <w:rPr>
        <w:rFonts w:hint="default"/>
        <w:i w:val="0"/>
      </w:rPr>
    </w:lvl>
    <w:lvl w:ilvl="4">
      <w:start w:val="1"/>
      <w:numFmt w:val="decimal"/>
      <w:lvlText w:val="%1.%2.%3.%4.%5"/>
      <w:lvlJc w:val="left"/>
      <w:pPr>
        <w:tabs>
          <w:tab w:val="num" w:pos="776"/>
        </w:tabs>
        <w:ind w:left="776" w:hanging="1080"/>
      </w:pPr>
      <w:rPr>
        <w:rFonts w:hint="default"/>
        <w:i w:val="0"/>
      </w:rPr>
    </w:lvl>
    <w:lvl w:ilvl="5">
      <w:start w:val="1"/>
      <w:numFmt w:val="decimal"/>
      <w:lvlText w:val="%1.%2.%3.%4.%5.%6"/>
      <w:lvlJc w:val="left"/>
      <w:pPr>
        <w:tabs>
          <w:tab w:val="num" w:pos="700"/>
        </w:tabs>
        <w:ind w:left="700" w:hanging="1080"/>
      </w:pPr>
      <w:rPr>
        <w:rFonts w:hint="default"/>
        <w:i w:val="0"/>
      </w:rPr>
    </w:lvl>
    <w:lvl w:ilvl="6">
      <w:start w:val="1"/>
      <w:numFmt w:val="decimal"/>
      <w:lvlText w:val="%1.%2.%3.%4.%5.%6.%7"/>
      <w:lvlJc w:val="left"/>
      <w:pPr>
        <w:tabs>
          <w:tab w:val="num" w:pos="984"/>
        </w:tabs>
        <w:ind w:left="984" w:hanging="1440"/>
      </w:pPr>
      <w:rPr>
        <w:rFonts w:hint="default"/>
        <w:i w:val="0"/>
      </w:rPr>
    </w:lvl>
    <w:lvl w:ilvl="7">
      <w:start w:val="1"/>
      <w:numFmt w:val="decimal"/>
      <w:lvlText w:val="%1.%2.%3.%4.%5.%6.%7.%8"/>
      <w:lvlJc w:val="left"/>
      <w:pPr>
        <w:tabs>
          <w:tab w:val="num" w:pos="908"/>
        </w:tabs>
        <w:ind w:left="908" w:hanging="1440"/>
      </w:pPr>
      <w:rPr>
        <w:rFonts w:hint="default"/>
        <w:i w:val="0"/>
      </w:rPr>
    </w:lvl>
    <w:lvl w:ilvl="8">
      <w:start w:val="1"/>
      <w:numFmt w:val="decimal"/>
      <w:lvlText w:val="%1.%2.%3.%4.%5.%6.%7.%8.%9"/>
      <w:lvlJc w:val="left"/>
      <w:pPr>
        <w:tabs>
          <w:tab w:val="num" w:pos="1192"/>
        </w:tabs>
        <w:ind w:left="1192" w:hanging="1800"/>
      </w:pPr>
      <w:rPr>
        <w:rFonts w:hint="default"/>
        <w:i w:val="0"/>
      </w:rPr>
    </w:lvl>
  </w:abstractNum>
  <w:abstractNum w:abstractNumId="896">
    <w:nsid w:val="4EE328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7">
    <w:nsid w:val="4EF01236"/>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898">
    <w:nsid w:val="4F22214C"/>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899">
    <w:nsid w:val="4F2B6B53"/>
    <w:multiLevelType w:val="singleLevel"/>
    <w:tmpl w:val="EDD82794"/>
    <w:lvl w:ilvl="0">
      <w:numFmt w:val="bullet"/>
      <w:lvlText w:val="-"/>
      <w:lvlJc w:val="left"/>
      <w:pPr>
        <w:tabs>
          <w:tab w:val="num" w:pos="360"/>
        </w:tabs>
        <w:ind w:left="360" w:hanging="360"/>
      </w:pPr>
      <w:rPr>
        <w:rFonts w:ascii="Times New Roman" w:hAnsi="Times New Roman" w:hint="default"/>
      </w:rPr>
    </w:lvl>
  </w:abstractNum>
  <w:abstractNum w:abstractNumId="900">
    <w:nsid w:val="4F3274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01">
    <w:nsid w:val="4F3453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2">
    <w:nsid w:val="4F53575B"/>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03">
    <w:nsid w:val="4F6340BD"/>
    <w:multiLevelType w:val="singleLevel"/>
    <w:tmpl w:val="CD0E0690"/>
    <w:lvl w:ilvl="0">
      <w:start w:val="4"/>
      <w:numFmt w:val="decimal"/>
      <w:lvlText w:val="%1"/>
      <w:lvlJc w:val="left"/>
      <w:pPr>
        <w:tabs>
          <w:tab w:val="num" w:pos="360"/>
        </w:tabs>
        <w:ind w:left="360" w:hanging="360"/>
      </w:pPr>
      <w:rPr>
        <w:rFonts w:hint="default"/>
        <w:i w:val="0"/>
      </w:rPr>
    </w:lvl>
  </w:abstractNum>
  <w:abstractNum w:abstractNumId="904">
    <w:nsid w:val="4F634F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5">
    <w:nsid w:val="4F6514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6">
    <w:nsid w:val="4F6E7977"/>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07">
    <w:nsid w:val="500800E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08">
    <w:nsid w:val="500A5452"/>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909">
    <w:nsid w:val="501F0DFF"/>
    <w:multiLevelType w:val="singleLevel"/>
    <w:tmpl w:val="4B7C235A"/>
    <w:lvl w:ilvl="0">
      <w:numFmt w:val="bullet"/>
      <w:lvlText w:val="-"/>
      <w:lvlJc w:val="left"/>
      <w:pPr>
        <w:tabs>
          <w:tab w:val="num" w:pos="1766"/>
        </w:tabs>
        <w:ind w:left="1766" w:hanging="360"/>
      </w:pPr>
      <w:rPr>
        <w:rFonts w:ascii="Times New Roman" w:hAnsi="Times New Roman" w:hint="default"/>
      </w:rPr>
    </w:lvl>
  </w:abstractNum>
  <w:abstractNum w:abstractNumId="910">
    <w:nsid w:val="50854772"/>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911">
    <w:nsid w:val="50976C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2">
    <w:nsid w:val="50B62913"/>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13">
    <w:nsid w:val="50E2280A"/>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14">
    <w:nsid w:val="50F8766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15">
    <w:nsid w:val="5107306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16">
    <w:nsid w:val="510D17F4"/>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917">
    <w:nsid w:val="51142272"/>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18">
    <w:nsid w:val="511548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9">
    <w:nsid w:val="51237D73"/>
    <w:multiLevelType w:val="singleLevel"/>
    <w:tmpl w:val="F628219A"/>
    <w:lvl w:ilvl="0">
      <w:numFmt w:val="bullet"/>
      <w:lvlText w:val=""/>
      <w:lvlJc w:val="left"/>
      <w:pPr>
        <w:tabs>
          <w:tab w:val="num" w:pos="570"/>
        </w:tabs>
        <w:ind w:left="570" w:hanging="570"/>
      </w:pPr>
      <w:rPr>
        <w:rFonts w:ascii="Wingdings" w:hAnsi="Wingdings" w:hint="default"/>
        <w:sz w:val="28"/>
      </w:rPr>
    </w:lvl>
  </w:abstractNum>
  <w:abstractNum w:abstractNumId="920">
    <w:nsid w:val="51463C42"/>
    <w:multiLevelType w:val="singleLevel"/>
    <w:tmpl w:val="0C0A000F"/>
    <w:lvl w:ilvl="0">
      <w:start w:val="1"/>
      <w:numFmt w:val="decimal"/>
      <w:lvlText w:val="%1."/>
      <w:lvlJc w:val="left"/>
      <w:pPr>
        <w:tabs>
          <w:tab w:val="num" w:pos="360"/>
        </w:tabs>
        <w:ind w:left="360" w:hanging="360"/>
      </w:pPr>
    </w:lvl>
  </w:abstractNum>
  <w:abstractNum w:abstractNumId="921">
    <w:nsid w:val="514F1014"/>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922">
    <w:nsid w:val="515864F9"/>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923">
    <w:nsid w:val="51600F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4">
    <w:nsid w:val="51601044"/>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925">
    <w:nsid w:val="516901EF"/>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926">
    <w:nsid w:val="51740F4A"/>
    <w:multiLevelType w:val="multilevel"/>
    <w:tmpl w:val="76147A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27">
    <w:nsid w:val="518B045F"/>
    <w:multiLevelType w:val="singleLevel"/>
    <w:tmpl w:val="0C0A000F"/>
    <w:lvl w:ilvl="0">
      <w:start w:val="1"/>
      <w:numFmt w:val="decimal"/>
      <w:lvlText w:val="%1."/>
      <w:lvlJc w:val="left"/>
      <w:pPr>
        <w:tabs>
          <w:tab w:val="num" w:pos="360"/>
        </w:tabs>
        <w:ind w:left="360" w:hanging="360"/>
      </w:pPr>
    </w:lvl>
  </w:abstractNum>
  <w:abstractNum w:abstractNumId="928">
    <w:nsid w:val="518B05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9">
    <w:nsid w:val="5190351D"/>
    <w:multiLevelType w:val="singleLevel"/>
    <w:tmpl w:val="8118D362"/>
    <w:lvl w:ilvl="0">
      <w:start w:val="6"/>
      <w:numFmt w:val="bullet"/>
      <w:lvlText w:val="-"/>
      <w:lvlJc w:val="left"/>
      <w:pPr>
        <w:tabs>
          <w:tab w:val="num" w:pos="360"/>
        </w:tabs>
        <w:ind w:left="360" w:hanging="360"/>
      </w:pPr>
      <w:rPr>
        <w:rFonts w:hint="default"/>
      </w:rPr>
    </w:lvl>
  </w:abstractNum>
  <w:abstractNum w:abstractNumId="930">
    <w:nsid w:val="51A5775A"/>
    <w:multiLevelType w:val="singleLevel"/>
    <w:tmpl w:val="FFEA55B4"/>
    <w:lvl w:ilvl="0">
      <w:start w:val="1"/>
      <w:numFmt w:val="lowerLetter"/>
      <w:lvlText w:val="%1)"/>
      <w:lvlJc w:val="left"/>
      <w:pPr>
        <w:tabs>
          <w:tab w:val="num" w:pos="704"/>
        </w:tabs>
        <w:ind w:left="704" w:hanging="420"/>
      </w:pPr>
      <w:rPr>
        <w:rFonts w:hint="default"/>
      </w:rPr>
    </w:lvl>
  </w:abstractNum>
  <w:abstractNum w:abstractNumId="931">
    <w:nsid w:val="51DB0385"/>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932">
    <w:nsid w:val="52072370"/>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933">
    <w:nsid w:val="522360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4">
    <w:nsid w:val="522808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5">
    <w:nsid w:val="52387AC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36">
    <w:nsid w:val="525014DD"/>
    <w:multiLevelType w:val="singleLevel"/>
    <w:tmpl w:val="38FEEC66"/>
    <w:lvl w:ilvl="0">
      <w:numFmt w:val="bullet"/>
      <w:lvlText w:val="-"/>
      <w:lvlJc w:val="left"/>
      <w:pPr>
        <w:tabs>
          <w:tab w:val="num" w:pos="1068"/>
        </w:tabs>
        <w:ind w:left="1068" w:hanging="360"/>
      </w:pPr>
      <w:rPr>
        <w:rFonts w:hint="default"/>
      </w:rPr>
    </w:lvl>
  </w:abstractNum>
  <w:abstractNum w:abstractNumId="937">
    <w:nsid w:val="52566C8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38">
    <w:nsid w:val="5263708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39">
    <w:nsid w:val="52722EC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40">
    <w:nsid w:val="52C4774F"/>
    <w:multiLevelType w:val="singleLevel"/>
    <w:tmpl w:val="ED708CDC"/>
    <w:lvl w:ilvl="0">
      <w:start w:val="1"/>
      <w:numFmt w:val="lowerLetter"/>
      <w:lvlText w:val="%1)"/>
      <w:lvlJc w:val="left"/>
      <w:pPr>
        <w:tabs>
          <w:tab w:val="num" w:pos="644"/>
        </w:tabs>
        <w:ind w:left="644" w:hanging="360"/>
      </w:pPr>
      <w:rPr>
        <w:rFonts w:hint="default"/>
      </w:rPr>
    </w:lvl>
  </w:abstractNum>
  <w:abstractNum w:abstractNumId="941">
    <w:nsid w:val="52EA128B"/>
    <w:multiLevelType w:val="singleLevel"/>
    <w:tmpl w:val="D77087B6"/>
    <w:lvl w:ilvl="0">
      <w:numFmt w:val="bullet"/>
      <w:lvlText w:val="-"/>
      <w:lvlJc w:val="left"/>
      <w:pPr>
        <w:tabs>
          <w:tab w:val="num" w:pos="644"/>
        </w:tabs>
        <w:ind w:left="644" w:hanging="360"/>
      </w:pPr>
      <w:rPr>
        <w:rFonts w:hint="default"/>
      </w:rPr>
    </w:lvl>
  </w:abstractNum>
  <w:abstractNum w:abstractNumId="942">
    <w:nsid w:val="53121912"/>
    <w:multiLevelType w:val="singleLevel"/>
    <w:tmpl w:val="0C0A000F"/>
    <w:lvl w:ilvl="0">
      <w:start w:val="1"/>
      <w:numFmt w:val="decimal"/>
      <w:lvlText w:val="%1."/>
      <w:lvlJc w:val="left"/>
      <w:pPr>
        <w:tabs>
          <w:tab w:val="num" w:pos="360"/>
        </w:tabs>
        <w:ind w:left="360" w:hanging="360"/>
      </w:pPr>
    </w:lvl>
  </w:abstractNum>
  <w:abstractNum w:abstractNumId="943">
    <w:nsid w:val="53216B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4">
    <w:nsid w:val="53651D0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45">
    <w:nsid w:val="53714C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6">
    <w:nsid w:val="53800B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7">
    <w:nsid w:val="5385668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8">
    <w:nsid w:val="538A2393"/>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49">
    <w:nsid w:val="538C65DA"/>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950">
    <w:nsid w:val="53913BE4"/>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951">
    <w:nsid w:val="539262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2">
    <w:nsid w:val="539961EE"/>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953">
    <w:nsid w:val="53AB7FDF"/>
    <w:multiLevelType w:val="singleLevel"/>
    <w:tmpl w:val="0C0A000F"/>
    <w:lvl w:ilvl="0">
      <w:start w:val="1"/>
      <w:numFmt w:val="decimal"/>
      <w:lvlText w:val="%1."/>
      <w:lvlJc w:val="left"/>
      <w:pPr>
        <w:tabs>
          <w:tab w:val="num" w:pos="360"/>
        </w:tabs>
        <w:ind w:left="360" w:hanging="360"/>
      </w:pPr>
    </w:lvl>
  </w:abstractNum>
  <w:abstractNum w:abstractNumId="954">
    <w:nsid w:val="53CE5136"/>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955">
    <w:nsid w:val="53D85E5E"/>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956">
    <w:nsid w:val="53E13094"/>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957">
    <w:nsid w:val="54005A8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8">
    <w:nsid w:val="54074CA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59">
    <w:nsid w:val="540F028C"/>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60">
    <w:nsid w:val="54271B1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61">
    <w:nsid w:val="544F30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2">
    <w:nsid w:val="54730E38"/>
    <w:multiLevelType w:val="singleLevel"/>
    <w:tmpl w:val="0C0A000F"/>
    <w:lvl w:ilvl="0">
      <w:start w:val="1"/>
      <w:numFmt w:val="decimal"/>
      <w:lvlText w:val="%1."/>
      <w:lvlJc w:val="left"/>
      <w:pPr>
        <w:tabs>
          <w:tab w:val="num" w:pos="360"/>
        </w:tabs>
        <w:ind w:left="360" w:hanging="360"/>
      </w:pPr>
    </w:lvl>
  </w:abstractNum>
  <w:abstractNum w:abstractNumId="963">
    <w:nsid w:val="549F2E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4">
    <w:nsid w:val="54A45B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5">
    <w:nsid w:val="54C140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6">
    <w:nsid w:val="54CE253A"/>
    <w:multiLevelType w:val="multilevel"/>
    <w:tmpl w:val="917242B2"/>
    <w:lvl w:ilvl="0">
      <w:start w:val="1"/>
      <w:numFmt w:val="bullet"/>
      <w:lvlText w:val=""/>
      <w:lvlJc w:val="left"/>
      <w:pPr>
        <w:tabs>
          <w:tab w:val="num" w:pos="1571"/>
        </w:tabs>
        <w:ind w:left="1571" w:hanging="360"/>
      </w:pPr>
      <w:rPr>
        <w:rFonts w:ascii="Symbol" w:hAnsi="Symbol" w:hint="default"/>
      </w:rPr>
    </w:lvl>
    <w:lvl w:ilvl="1" w:tentative="1">
      <w:start w:val="1"/>
      <w:numFmt w:val="bullet"/>
      <w:lvlText w:val="o"/>
      <w:lvlJc w:val="left"/>
      <w:pPr>
        <w:tabs>
          <w:tab w:val="num" w:pos="2291"/>
        </w:tabs>
        <w:ind w:left="2291" w:hanging="360"/>
      </w:pPr>
      <w:rPr>
        <w:rFonts w:ascii="Courier New" w:hAnsi="Courier New"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967">
    <w:nsid w:val="54CE2AD0"/>
    <w:multiLevelType w:val="singleLevel"/>
    <w:tmpl w:val="D0AAB336"/>
    <w:lvl w:ilvl="0">
      <w:start w:val="1"/>
      <w:numFmt w:val="bullet"/>
      <w:lvlText w:val=""/>
      <w:lvlJc w:val="left"/>
      <w:pPr>
        <w:tabs>
          <w:tab w:val="num" w:pos="360"/>
        </w:tabs>
        <w:ind w:left="360" w:hanging="360"/>
      </w:pPr>
      <w:rPr>
        <w:rFonts w:ascii="Symbol" w:hAnsi="Symbol" w:hint="default"/>
      </w:rPr>
    </w:lvl>
  </w:abstractNum>
  <w:abstractNum w:abstractNumId="968">
    <w:nsid w:val="5503122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69">
    <w:nsid w:val="55171B5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70">
    <w:nsid w:val="553F28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1">
    <w:nsid w:val="55433B2A"/>
    <w:multiLevelType w:val="multilevel"/>
    <w:tmpl w:val="EC7878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lowerLetter"/>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972">
    <w:nsid w:val="55530DEC"/>
    <w:multiLevelType w:val="singleLevel"/>
    <w:tmpl w:val="8780E3AA"/>
    <w:lvl w:ilvl="0">
      <w:start w:val="5"/>
      <w:numFmt w:val="decimal"/>
      <w:lvlText w:val="%1"/>
      <w:lvlJc w:val="left"/>
      <w:pPr>
        <w:tabs>
          <w:tab w:val="num" w:pos="360"/>
        </w:tabs>
        <w:ind w:left="360" w:hanging="360"/>
      </w:pPr>
      <w:rPr>
        <w:rFonts w:hint="default"/>
      </w:rPr>
    </w:lvl>
  </w:abstractNum>
  <w:abstractNum w:abstractNumId="973">
    <w:nsid w:val="557C38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4">
    <w:nsid w:val="55987012"/>
    <w:multiLevelType w:val="singleLevel"/>
    <w:tmpl w:val="8A320442"/>
    <w:lvl w:ilvl="0">
      <w:numFmt w:val="bullet"/>
      <w:lvlText w:val="-"/>
      <w:lvlJc w:val="left"/>
      <w:pPr>
        <w:tabs>
          <w:tab w:val="num" w:pos="1636"/>
        </w:tabs>
        <w:ind w:left="1636" w:hanging="360"/>
      </w:pPr>
      <w:rPr>
        <w:rFonts w:ascii="Times New Roman" w:hAnsi="Times New Roman" w:hint="default"/>
      </w:rPr>
    </w:lvl>
  </w:abstractNum>
  <w:abstractNum w:abstractNumId="975">
    <w:nsid w:val="55A279E2"/>
    <w:multiLevelType w:val="singleLevel"/>
    <w:tmpl w:val="F8ECF7B8"/>
    <w:lvl w:ilvl="0">
      <w:start w:val="1"/>
      <w:numFmt w:val="bullet"/>
      <w:lvlText w:val="-"/>
      <w:lvlJc w:val="left"/>
      <w:pPr>
        <w:tabs>
          <w:tab w:val="num" w:pos="1785"/>
        </w:tabs>
        <w:ind w:left="1785" w:hanging="360"/>
      </w:pPr>
      <w:rPr>
        <w:rFonts w:hint="default"/>
      </w:rPr>
    </w:lvl>
  </w:abstractNum>
  <w:abstractNum w:abstractNumId="976">
    <w:nsid w:val="55A31330"/>
    <w:multiLevelType w:val="multilevel"/>
    <w:tmpl w:val="778A4DEA"/>
    <w:lvl w:ilvl="0">
      <w:start w:val="5"/>
      <w:numFmt w:val="decimal"/>
      <w:lvlText w:val="%1."/>
      <w:lvlJc w:val="left"/>
      <w:pPr>
        <w:tabs>
          <w:tab w:val="num" w:pos="400"/>
        </w:tabs>
        <w:ind w:left="400" w:hanging="40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77">
    <w:nsid w:val="55A900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8">
    <w:nsid w:val="55AF54AD"/>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979">
    <w:nsid w:val="55AF55F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80">
    <w:nsid w:val="55E333C6"/>
    <w:multiLevelType w:val="singleLevel"/>
    <w:tmpl w:val="29DAF436"/>
    <w:lvl w:ilvl="0">
      <w:start w:val="6"/>
      <w:numFmt w:val="bullet"/>
      <w:lvlText w:val=""/>
      <w:lvlJc w:val="left"/>
      <w:pPr>
        <w:tabs>
          <w:tab w:val="num" w:pos="927"/>
        </w:tabs>
        <w:ind w:left="927" w:hanging="360"/>
      </w:pPr>
      <w:rPr>
        <w:rFonts w:ascii="Symbol" w:hAnsi="Symbol" w:hint="default"/>
      </w:rPr>
    </w:lvl>
  </w:abstractNum>
  <w:abstractNum w:abstractNumId="981">
    <w:nsid w:val="56012F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2">
    <w:nsid w:val="561704F2"/>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983">
    <w:nsid w:val="56216B07"/>
    <w:multiLevelType w:val="singleLevel"/>
    <w:tmpl w:val="0C0A0017"/>
    <w:lvl w:ilvl="0">
      <w:start w:val="1"/>
      <w:numFmt w:val="lowerLetter"/>
      <w:lvlText w:val="%1)"/>
      <w:lvlJc w:val="left"/>
      <w:pPr>
        <w:tabs>
          <w:tab w:val="num" w:pos="360"/>
        </w:tabs>
        <w:ind w:left="360" w:hanging="360"/>
      </w:pPr>
      <w:rPr>
        <w:rFonts w:hint="default"/>
      </w:rPr>
    </w:lvl>
  </w:abstractNum>
  <w:abstractNum w:abstractNumId="984">
    <w:nsid w:val="562D3BEA"/>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85">
    <w:nsid w:val="564739F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986">
    <w:nsid w:val="56507D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7">
    <w:nsid w:val="5656563D"/>
    <w:multiLevelType w:val="singleLevel"/>
    <w:tmpl w:val="7BE69280"/>
    <w:lvl w:ilvl="0">
      <w:start w:val="2"/>
      <w:numFmt w:val="bullet"/>
      <w:lvlText w:val="-"/>
      <w:lvlJc w:val="left"/>
      <w:pPr>
        <w:tabs>
          <w:tab w:val="num" w:pos="1571"/>
        </w:tabs>
        <w:ind w:left="1571" w:hanging="360"/>
      </w:pPr>
      <w:rPr>
        <w:rFonts w:ascii="Times New Roman" w:hAnsi="Times New Roman" w:hint="default"/>
      </w:rPr>
    </w:lvl>
  </w:abstractNum>
  <w:abstractNum w:abstractNumId="988">
    <w:nsid w:val="567A4FB3"/>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989">
    <w:nsid w:val="567E64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0">
    <w:nsid w:val="568A263D"/>
    <w:multiLevelType w:val="singleLevel"/>
    <w:tmpl w:val="5156E7BE"/>
    <w:lvl w:ilvl="0">
      <w:start w:val="1"/>
      <w:numFmt w:val="bullet"/>
      <w:lvlText w:val=""/>
      <w:lvlJc w:val="left"/>
      <w:pPr>
        <w:tabs>
          <w:tab w:val="num" w:pos="2138"/>
        </w:tabs>
        <w:ind w:left="1758" w:hanging="340"/>
      </w:pPr>
      <w:rPr>
        <w:rFonts w:ascii="Wingdings" w:hAnsi="Wingdings" w:hint="default"/>
      </w:rPr>
    </w:lvl>
  </w:abstractNum>
  <w:abstractNum w:abstractNumId="991">
    <w:nsid w:val="56B80C4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92">
    <w:nsid w:val="56C21A47"/>
    <w:multiLevelType w:val="singleLevel"/>
    <w:tmpl w:val="598A90D6"/>
    <w:lvl w:ilvl="0">
      <w:start w:val="1"/>
      <w:numFmt w:val="decimal"/>
      <w:lvlText w:val="%1."/>
      <w:lvlJc w:val="left"/>
      <w:pPr>
        <w:tabs>
          <w:tab w:val="num" w:pos="360"/>
        </w:tabs>
        <w:ind w:left="360" w:hanging="360"/>
      </w:pPr>
    </w:lvl>
  </w:abstractNum>
  <w:abstractNum w:abstractNumId="993">
    <w:nsid w:val="56D9053B"/>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994">
    <w:nsid w:val="56F37B47"/>
    <w:multiLevelType w:val="singleLevel"/>
    <w:tmpl w:val="6A023D30"/>
    <w:lvl w:ilvl="0">
      <w:start w:val="1"/>
      <w:numFmt w:val="decimal"/>
      <w:lvlText w:val="%1."/>
      <w:lvlJc w:val="left"/>
      <w:pPr>
        <w:tabs>
          <w:tab w:val="num" w:pos="1211"/>
        </w:tabs>
        <w:ind w:left="1211" w:hanging="360"/>
      </w:pPr>
      <w:rPr>
        <w:rFonts w:hint="default"/>
      </w:rPr>
    </w:lvl>
  </w:abstractNum>
  <w:abstractNum w:abstractNumId="995">
    <w:nsid w:val="56FD68F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96">
    <w:nsid w:val="572D278D"/>
    <w:multiLevelType w:val="singleLevel"/>
    <w:tmpl w:val="7088AE4A"/>
    <w:lvl w:ilvl="0">
      <w:start w:val="1"/>
      <w:numFmt w:val="decimal"/>
      <w:lvlText w:val="%1."/>
      <w:lvlJc w:val="left"/>
      <w:pPr>
        <w:tabs>
          <w:tab w:val="num" w:pos="360"/>
        </w:tabs>
        <w:ind w:left="360" w:hanging="360"/>
      </w:pPr>
      <w:rPr>
        <w:b/>
        <w:i w:val="0"/>
      </w:rPr>
    </w:lvl>
  </w:abstractNum>
  <w:abstractNum w:abstractNumId="997">
    <w:nsid w:val="57331267"/>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998">
    <w:nsid w:val="574A062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9">
    <w:nsid w:val="5785633A"/>
    <w:multiLevelType w:val="singleLevel"/>
    <w:tmpl w:val="8788E488"/>
    <w:lvl w:ilvl="0">
      <w:start w:val="24"/>
      <w:numFmt w:val="bullet"/>
      <w:lvlText w:val="-"/>
      <w:lvlJc w:val="left"/>
      <w:pPr>
        <w:tabs>
          <w:tab w:val="num" w:pos="644"/>
        </w:tabs>
        <w:ind w:left="644" w:hanging="360"/>
      </w:pPr>
      <w:rPr>
        <w:rFonts w:ascii="Times New Roman" w:hAnsi="Times New Roman" w:hint="default"/>
        <w:b/>
      </w:rPr>
    </w:lvl>
  </w:abstractNum>
  <w:abstractNum w:abstractNumId="1000">
    <w:nsid w:val="579B11C5"/>
    <w:multiLevelType w:val="singleLevel"/>
    <w:tmpl w:val="049C15A0"/>
    <w:lvl w:ilvl="0">
      <w:numFmt w:val="bullet"/>
      <w:lvlText w:val="-"/>
      <w:lvlJc w:val="left"/>
      <w:pPr>
        <w:tabs>
          <w:tab w:val="num" w:pos="1068"/>
        </w:tabs>
        <w:ind w:left="1068" w:hanging="360"/>
      </w:pPr>
      <w:rPr>
        <w:rFonts w:ascii="Times New Roman" w:hAnsi="Times New Roman" w:hint="default"/>
      </w:rPr>
    </w:lvl>
  </w:abstractNum>
  <w:abstractNum w:abstractNumId="1001">
    <w:nsid w:val="57A102E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002">
    <w:nsid w:val="57DD003B"/>
    <w:multiLevelType w:val="singleLevel"/>
    <w:tmpl w:val="8E3E8650"/>
    <w:lvl w:ilvl="0">
      <w:start w:val="1"/>
      <w:numFmt w:val="bullet"/>
      <w:lvlText w:val="-"/>
      <w:lvlJc w:val="left"/>
      <w:pPr>
        <w:tabs>
          <w:tab w:val="num" w:pos="360"/>
        </w:tabs>
        <w:ind w:left="360" w:hanging="360"/>
      </w:pPr>
      <w:rPr>
        <w:rFonts w:ascii="Times New Roman" w:hAnsi="Times New Roman" w:hint="default"/>
      </w:rPr>
    </w:lvl>
  </w:abstractNum>
  <w:abstractNum w:abstractNumId="1003">
    <w:nsid w:val="57F800A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04">
    <w:nsid w:val="57FD4C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5">
    <w:nsid w:val="581E3F0E"/>
    <w:multiLevelType w:val="singleLevel"/>
    <w:tmpl w:val="7088AE4A"/>
    <w:lvl w:ilvl="0">
      <w:start w:val="1"/>
      <w:numFmt w:val="decimal"/>
      <w:lvlText w:val="%1."/>
      <w:lvlJc w:val="left"/>
      <w:pPr>
        <w:tabs>
          <w:tab w:val="num" w:pos="360"/>
        </w:tabs>
        <w:ind w:left="360" w:hanging="360"/>
      </w:pPr>
      <w:rPr>
        <w:b/>
        <w:i w:val="0"/>
      </w:rPr>
    </w:lvl>
  </w:abstractNum>
  <w:abstractNum w:abstractNumId="1006">
    <w:nsid w:val="582600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7">
    <w:nsid w:val="58371118"/>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1008">
    <w:nsid w:val="583F3501"/>
    <w:multiLevelType w:val="singleLevel"/>
    <w:tmpl w:val="D7D49220"/>
    <w:lvl w:ilvl="0">
      <w:start w:val="1"/>
      <w:numFmt w:val="bullet"/>
      <w:lvlText w:val="-"/>
      <w:lvlJc w:val="left"/>
      <w:pPr>
        <w:tabs>
          <w:tab w:val="num" w:pos="360"/>
        </w:tabs>
        <w:ind w:left="360" w:hanging="360"/>
      </w:pPr>
      <w:rPr>
        <w:rFonts w:ascii="Times New Roman" w:hAnsi="Times New Roman" w:hint="default"/>
      </w:rPr>
    </w:lvl>
  </w:abstractNum>
  <w:abstractNum w:abstractNumId="1009">
    <w:nsid w:val="584518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0">
    <w:nsid w:val="5849262E"/>
    <w:multiLevelType w:val="singleLevel"/>
    <w:tmpl w:val="0C0A000F"/>
    <w:lvl w:ilvl="0">
      <w:start w:val="1"/>
      <w:numFmt w:val="decimal"/>
      <w:lvlText w:val="%1."/>
      <w:lvlJc w:val="left"/>
      <w:pPr>
        <w:tabs>
          <w:tab w:val="num" w:pos="360"/>
        </w:tabs>
        <w:ind w:left="360" w:hanging="360"/>
      </w:pPr>
    </w:lvl>
  </w:abstractNum>
  <w:abstractNum w:abstractNumId="1011">
    <w:nsid w:val="585A39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2">
    <w:nsid w:val="585A3A4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3">
    <w:nsid w:val="58865F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4">
    <w:nsid w:val="5887056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5">
    <w:nsid w:val="589062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6">
    <w:nsid w:val="58B71AA7"/>
    <w:multiLevelType w:val="multilevel"/>
    <w:tmpl w:val="3C7CCB3A"/>
    <w:lvl w:ilvl="0">
      <w:start w:val="1"/>
      <w:numFmt w:val="bullet"/>
      <w:lvlText w:val=""/>
      <w:lvlJc w:val="left"/>
      <w:pPr>
        <w:tabs>
          <w:tab w:val="num" w:pos="1571"/>
        </w:tabs>
        <w:ind w:left="1571" w:hanging="360"/>
      </w:pPr>
      <w:rPr>
        <w:rFonts w:ascii="Symbol" w:hAnsi="Symbol" w:hint="default"/>
      </w:rPr>
    </w:lvl>
    <w:lvl w:ilvl="1" w:tentative="1">
      <w:start w:val="1"/>
      <w:numFmt w:val="bullet"/>
      <w:lvlText w:val="o"/>
      <w:lvlJc w:val="left"/>
      <w:pPr>
        <w:tabs>
          <w:tab w:val="num" w:pos="2291"/>
        </w:tabs>
        <w:ind w:left="2291" w:hanging="360"/>
      </w:pPr>
      <w:rPr>
        <w:rFonts w:ascii="Courier New" w:hAnsi="Courier New"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1017">
    <w:nsid w:val="58C950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8">
    <w:nsid w:val="58F85D43"/>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1019">
    <w:nsid w:val="5912611B"/>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020">
    <w:nsid w:val="592E7AC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21">
    <w:nsid w:val="59607BDE"/>
    <w:multiLevelType w:val="singleLevel"/>
    <w:tmpl w:val="FA5098FC"/>
    <w:lvl w:ilvl="0">
      <w:start w:val="1"/>
      <w:numFmt w:val="bullet"/>
      <w:lvlText w:val=""/>
      <w:lvlJc w:val="left"/>
      <w:pPr>
        <w:tabs>
          <w:tab w:val="num" w:pos="360"/>
        </w:tabs>
        <w:ind w:left="360" w:hanging="360"/>
      </w:pPr>
      <w:rPr>
        <w:rFonts w:ascii="Symbol" w:hAnsi="Symbol" w:hint="default"/>
        <w:sz w:val="28"/>
      </w:rPr>
    </w:lvl>
  </w:abstractNum>
  <w:abstractNum w:abstractNumId="1022">
    <w:nsid w:val="596B2DE8"/>
    <w:multiLevelType w:val="singleLevel"/>
    <w:tmpl w:val="A55AFC2C"/>
    <w:lvl w:ilvl="0">
      <w:start w:val="1"/>
      <w:numFmt w:val="decimal"/>
      <w:lvlText w:val="%1."/>
      <w:lvlJc w:val="left"/>
      <w:pPr>
        <w:tabs>
          <w:tab w:val="num" w:pos="1211"/>
        </w:tabs>
        <w:ind w:left="1211" w:hanging="360"/>
      </w:pPr>
      <w:rPr>
        <w:rFonts w:hint="default"/>
        <w:b/>
      </w:rPr>
    </w:lvl>
  </w:abstractNum>
  <w:abstractNum w:abstractNumId="1023">
    <w:nsid w:val="597F20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4">
    <w:nsid w:val="59AE219D"/>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025">
    <w:nsid w:val="59B54728"/>
    <w:multiLevelType w:val="singleLevel"/>
    <w:tmpl w:val="2BE08FCC"/>
    <w:lvl w:ilvl="0">
      <w:start w:val="1"/>
      <w:numFmt w:val="decimal"/>
      <w:lvlText w:val="%1."/>
      <w:lvlJc w:val="left"/>
      <w:pPr>
        <w:tabs>
          <w:tab w:val="num" w:pos="360"/>
        </w:tabs>
        <w:ind w:left="360" w:hanging="360"/>
      </w:pPr>
      <w:rPr>
        <w:rFonts w:hint="default"/>
      </w:rPr>
    </w:lvl>
  </w:abstractNum>
  <w:abstractNum w:abstractNumId="1026">
    <w:nsid w:val="59CE0A9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7">
    <w:nsid w:val="59D33D31"/>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1028">
    <w:nsid w:val="59EE44AD"/>
    <w:multiLevelType w:val="multilevel"/>
    <w:tmpl w:val="13C61994"/>
    <w:lvl w:ilvl="0">
      <w:start w:val="2"/>
      <w:numFmt w:val="decimal"/>
      <w:lvlText w:val="%1."/>
      <w:lvlJc w:val="left"/>
      <w:pPr>
        <w:tabs>
          <w:tab w:val="num" w:pos="1068"/>
        </w:tabs>
        <w:ind w:left="1068" w:hanging="360"/>
      </w:pPr>
      <w:rPr>
        <w:rFonts w:hint="default"/>
      </w:rPr>
    </w:lvl>
    <w:lvl w:ilvl="1">
      <w:start w:val="3"/>
      <w:numFmt w:val="decimal"/>
      <w:isLgl/>
      <w:lvlText w:val="%1.%2."/>
      <w:lvlJc w:val="left"/>
      <w:pPr>
        <w:tabs>
          <w:tab w:val="num" w:pos="720"/>
        </w:tabs>
        <w:ind w:left="720" w:hanging="720"/>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029">
    <w:nsid w:val="59F429BD"/>
    <w:multiLevelType w:val="singleLevel"/>
    <w:tmpl w:val="FA5098FC"/>
    <w:lvl w:ilvl="0">
      <w:start w:val="1"/>
      <w:numFmt w:val="bullet"/>
      <w:lvlText w:val=""/>
      <w:lvlJc w:val="left"/>
      <w:pPr>
        <w:tabs>
          <w:tab w:val="num" w:pos="360"/>
        </w:tabs>
        <w:ind w:left="360" w:hanging="360"/>
      </w:pPr>
      <w:rPr>
        <w:rFonts w:ascii="Symbol" w:hAnsi="Symbol" w:hint="default"/>
        <w:sz w:val="28"/>
      </w:rPr>
    </w:lvl>
  </w:abstractNum>
  <w:abstractNum w:abstractNumId="1030">
    <w:nsid w:val="5A023BB8"/>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031">
    <w:nsid w:val="5A105E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2">
    <w:nsid w:val="5A164BC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3">
    <w:nsid w:val="5A32008A"/>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034">
    <w:nsid w:val="5A332D49"/>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035">
    <w:nsid w:val="5A5416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6">
    <w:nsid w:val="5A554222"/>
    <w:multiLevelType w:val="singleLevel"/>
    <w:tmpl w:val="F8ECF7B8"/>
    <w:lvl w:ilvl="0">
      <w:start w:val="1"/>
      <w:numFmt w:val="bullet"/>
      <w:lvlText w:val="-"/>
      <w:lvlJc w:val="left"/>
      <w:pPr>
        <w:tabs>
          <w:tab w:val="num" w:pos="1785"/>
        </w:tabs>
        <w:ind w:left="1785" w:hanging="360"/>
      </w:pPr>
      <w:rPr>
        <w:rFonts w:hint="default"/>
      </w:rPr>
    </w:lvl>
  </w:abstractNum>
  <w:abstractNum w:abstractNumId="1037">
    <w:nsid w:val="5A7F085A"/>
    <w:multiLevelType w:val="singleLevel"/>
    <w:tmpl w:val="1EFADB40"/>
    <w:lvl w:ilvl="0">
      <w:start w:val="1"/>
      <w:numFmt w:val="bullet"/>
      <w:lvlText w:val="-"/>
      <w:lvlJc w:val="left"/>
      <w:pPr>
        <w:tabs>
          <w:tab w:val="num" w:pos="360"/>
        </w:tabs>
        <w:ind w:left="360" w:hanging="360"/>
      </w:pPr>
      <w:rPr>
        <w:rFonts w:ascii="Times New Roman" w:hAnsi="Times New Roman" w:hint="default"/>
      </w:rPr>
    </w:lvl>
  </w:abstractNum>
  <w:abstractNum w:abstractNumId="1038">
    <w:nsid w:val="5A9C67F3"/>
    <w:multiLevelType w:val="multilevel"/>
    <w:tmpl w:val="3498FA44"/>
    <w:lvl w:ilvl="0">
      <w:start w:val="3"/>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9">
    <w:nsid w:val="5AA81F2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0">
    <w:nsid w:val="5ABE6C59"/>
    <w:multiLevelType w:val="multilevel"/>
    <w:tmpl w:val="AD3A2FD8"/>
    <w:lvl w:ilvl="0">
      <w:start w:val="3"/>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41">
    <w:nsid w:val="5ACB60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2">
    <w:nsid w:val="5ACD30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3">
    <w:nsid w:val="5AFA02EB"/>
    <w:multiLevelType w:val="singleLevel"/>
    <w:tmpl w:val="0C0A000F"/>
    <w:lvl w:ilvl="0">
      <w:start w:val="1"/>
      <w:numFmt w:val="decimal"/>
      <w:lvlText w:val="%1."/>
      <w:lvlJc w:val="left"/>
      <w:pPr>
        <w:tabs>
          <w:tab w:val="num" w:pos="360"/>
        </w:tabs>
        <w:ind w:left="360" w:hanging="360"/>
      </w:pPr>
    </w:lvl>
  </w:abstractNum>
  <w:abstractNum w:abstractNumId="1044">
    <w:nsid w:val="5B3661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5">
    <w:nsid w:val="5B644BB9"/>
    <w:multiLevelType w:val="singleLevel"/>
    <w:tmpl w:val="9FD2DE82"/>
    <w:lvl w:ilvl="0">
      <w:numFmt w:val="bullet"/>
      <w:lvlText w:val="-"/>
      <w:lvlJc w:val="left"/>
      <w:pPr>
        <w:tabs>
          <w:tab w:val="num" w:pos="1636"/>
        </w:tabs>
        <w:ind w:left="1636" w:hanging="360"/>
      </w:pPr>
      <w:rPr>
        <w:rFonts w:ascii="Times New Roman" w:hAnsi="Times New Roman" w:hint="default"/>
      </w:rPr>
    </w:lvl>
  </w:abstractNum>
  <w:abstractNum w:abstractNumId="1046">
    <w:nsid w:val="5B6F07AA"/>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047">
    <w:nsid w:val="5B813A70"/>
    <w:multiLevelType w:val="singleLevel"/>
    <w:tmpl w:val="7088AE4A"/>
    <w:lvl w:ilvl="0">
      <w:start w:val="1"/>
      <w:numFmt w:val="decimal"/>
      <w:lvlText w:val="%1."/>
      <w:lvlJc w:val="left"/>
      <w:pPr>
        <w:tabs>
          <w:tab w:val="num" w:pos="360"/>
        </w:tabs>
        <w:ind w:left="360" w:hanging="360"/>
      </w:pPr>
      <w:rPr>
        <w:b/>
        <w:i w:val="0"/>
      </w:rPr>
    </w:lvl>
  </w:abstractNum>
  <w:abstractNum w:abstractNumId="1048">
    <w:nsid w:val="5BA20E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9">
    <w:nsid w:val="5BAB7CFA"/>
    <w:multiLevelType w:val="multilevel"/>
    <w:tmpl w:val="AE1E5416"/>
    <w:lvl w:ilvl="0">
      <w:start w:val="5"/>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50">
    <w:nsid w:val="5BDB31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1">
    <w:nsid w:val="5BE100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2">
    <w:nsid w:val="5C1B44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3">
    <w:nsid w:val="5C3653E0"/>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054">
    <w:nsid w:val="5C4F0511"/>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055">
    <w:nsid w:val="5C77159A"/>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1056">
    <w:nsid w:val="5C8B1A45"/>
    <w:multiLevelType w:val="singleLevel"/>
    <w:tmpl w:val="065E9992"/>
    <w:lvl w:ilvl="0">
      <w:start w:val="3"/>
      <w:numFmt w:val="decimal"/>
      <w:lvlText w:val="3.%1. "/>
      <w:legacy w:legacy="1" w:legacySpace="0" w:legacyIndent="283"/>
      <w:lvlJc w:val="left"/>
      <w:pPr>
        <w:ind w:left="283" w:hanging="283"/>
      </w:pPr>
      <w:rPr>
        <w:rFonts w:ascii="Arial" w:hAnsi="Arial" w:hint="default"/>
        <w:b w:val="0"/>
        <w:i w:val="0"/>
        <w:sz w:val="24"/>
        <w:u w:val="none"/>
      </w:rPr>
    </w:lvl>
  </w:abstractNum>
  <w:abstractNum w:abstractNumId="1057">
    <w:nsid w:val="5CC66B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8">
    <w:nsid w:val="5CCC43F1"/>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059">
    <w:nsid w:val="5CF44DBE"/>
    <w:multiLevelType w:val="singleLevel"/>
    <w:tmpl w:val="76D8CD38"/>
    <w:lvl w:ilvl="0">
      <w:start w:val="1"/>
      <w:numFmt w:val="bullet"/>
      <w:lvlText w:val=""/>
      <w:lvlJc w:val="left"/>
      <w:pPr>
        <w:tabs>
          <w:tab w:val="num" w:pos="1701"/>
        </w:tabs>
        <w:ind w:left="1701" w:hanging="850"/>
      </w:pPr>
      <w:rPr>
        <w:rFonts w:ascii="Wingdings" w:hAnsi="Wingdings" w:hint="default"/>
      </w:rPr>
    </w:lvl>
  </w:abstractNum>
  <w:abstractNum w:abstractNumId="1060">
    <w:nsid w:val="5CF7326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61">
    <w:nsid w:val="5CFC09DA"/>
    <w:multiLevelType w:val="multilevel"/>
    <w:tmpl w:val="1D1894F8"/>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062">
    <w:nsid w:val="5D183CBE"/>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1063">
    <w:nsid w:val="5D223A8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4">
    <w:nsid w:val="5D374E14"/>
    <w:multiLevelType w:val="singleLevel"/>
    <w:tmpl w:val="1A4E616E"/>
    <w:lvl w:ilvl="0">
      <w:start w:val="1"/>
      <w:numFmt w:val="decimal"/>
      <w:lvlText w:val="%1."/>
      <w:lvlJc w:val="left"/>
      <w:pPr>
        <w:tabs>
          <w:tab w:val="num" w:pos="390"/>
        </w:tabs>
        <w:ind w:left="390" w:hanging="390"/>
      </w:pPr>
      <w:rPr>
        <w:rFonts w:hint="default"/>
      </w:rPr>
    </w:lvl>
  </w:abstractNum>
  <w:abstractNum w:abstractNumId="1065">
    <w:nsid w:val="5D376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6">
    <w:nsid w:val="5D5C63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7">
    <w:nsid w:val="5D5D0EC9"/>
    <w:multiLevelType w:val="singleLevel"/>
    <w:tmpl w:val="D8A608DE"/>
    <w:lvl w:ilvl="0">
      <w:start w:val="1"/>
      <w:numFmt w:val="bullet"/>
      <w:lvlText w:val="-"/>
      <w:lvlJc w:val="left"/>
      <w:pPr>
        <w:tabs>
          <w:tab w:val="num" w:pos="1428"/>
        </w:tabs>
        <w:ind w:left="1428" w:hanging="360"/>
      </w:pPr>
      <w:rPr>
        <w:rFonts w:ascii="Times New Roman" w:hAnsi="Times New Roman" w:hint="default"/>
      </w:rPr>
    </w:lvl>
  </w:abstractNum>
  <w:abstractNum w:abstractNumId="1068">
    <w:nsid w:val="5D6F351C"/>
    <w:multiLevelType w:val="singleLevel"/>
    <w:tmpl w:val="66B49E1A"/>
    <w:lvl w:ilvl="0">
      <w:start w:val="1"/>
      <w:numFmt w:val="upperRoman"/>
      <w:lvlText w:val="%1."/>
      <w:lvlJc w:val="left"/>
      <w:pPr>
        <w:tabs>
          <w:tab w:val="num" w:pos="1004"/>
        </w:tabs>
        <w:ind w:left="1004" w:hanging="720"/>
      </w:pPr>
      <w:rPr>
        <w:rFonts w:hint="default"/>
      </w:rPr>
    </w:lvl>
  </w:abstractNum>
  <w:abstractNum w:abstractNumId="1069">
    <w:nsid w:val="5D973D24"/>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1070">
    <w:nsid w:val="5DB70353"/>
    <w:multiLevelType w:val="singleLevel"/>
    <w:tmpl w:val="8788E488"/>
    <w:lvl w:ilvl="0">
      <w:start w:val="24"/>
      <w:numFmt w:val="bullet"/>
      <w:lvlText w:val="-"/>
      <w:lvlJc w:val="left"/>
      <w:pPr>
        <w:tabs>
          <w:tab w:val="num" w:pos="644"/>
        </w:tabs>
        <w:ind w:left="644" w:hanging="360"/>
      </w:pPr>
      <w:rPr>
        <w:rFonts w:ascii="Times New Roman" w:hAnsi="Times New Roman" w:hint="default"/>
        <w:b/>
      </w:rPr>
    </w:lvl>
  </w:abstractNum>
  <w:abstractNum w:abstractNumId="1071">
    <w:nsid w:val="5DBD62D8"/>
    <w:multiLevelType w:val="multilevel"/>
    <w:tmpl w:val="447A71E4"/>
    <w:lvl w:ilvl="0">
      <w:start w:val="1"/>
      <w:numFmt w:val="decimal"/>
      <w:lvlText w:val="%1."/>
      <w:lvlJc w:val="left"/>
      <w:pPr>
        <w:tabs>
          <w:tab w:val="num" w:pos="644"/>
        </w:tabs>
        <w:ind w:left="644" w:hanging="360"/>
      </w:pPr>
      <w:rPr>
        <w:rFonts w:hint="default"/>
      </w:rPr>
    </w:lvl>
    <w:lvl w:ilvl="1">
      <w:start w:val="1"/>
      <w:numFmt w:val="decimal"/>
      <w:lvlText w:val="%2"/>
      <w:lvlJc w:val="left"/>
      <w:pPr>
        <w:tabs>
          <w:tab w:val="num" w:pos="1364"/>
        </w:tabs>
        <w:ind w:left="1364" w:hanging="360"/>
      </w:pPr>
      <w:rPr>
        <w:rFonts w:hint="default"/>
      </w:rPr>
    </w:lvl>
    <w:lvl w:ilvl="2">
      <w:start w:val="11"/>
      <w:numFmt w:val="upperLetter"/>
      <w:lvlText w:val="%3)"/>
      <w:lvlJc w:val="left"/>
      <w:pPr>
        <w:tabs>
          <w:tab w:val="num" w:pos="2264"/>
        </w:tabs>
        <w:ind w:left="2264" w:hanging="360"/>
      </w:pPr>
      <w:rPr>
        <w:rFonts w:hint="default"/>
      </w:rPr>
    </w:lvl>
    <w:lvl w:ilvl="3" w:tentative="1">
      <w:start w:val="1"/>
      <w:numFmt w:val="decimal"/>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abstractNum w:abstractNumId="1072">
    <w:nsid w:val="5DC22B89"/>
    <w:multiLevelType w:val="singleLevel"/>
    <w:tmpl w:val="BB647F94"/>
    <w:lvl w:ilvl="0">
      <w:start w:val="1"/>
      <w:numFmt w:val="lowerLetter"/>
      <w:lvlText w:val="%1)"/>
      <w:lvlJc w:val="left"/>
      <w:pPr>
        <w:tabs>
          <w:tab w:val="num" w:pos="1919"/>
        </w:tabs>
        <w:ind w:left="1919" w:hanging="360"/>
      </w:pPr>
      <w:rPr>
        <w:rFonts w:hint="default"/>
      </w:rPr>
    </w:lvl>
  </w:abstractNum>
  <w:abstractNum w:abstractNumId="1073">
    <w:nsid w:val="5DD50C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4">
    <w:nsid w:val="5DE319D8"/>
    <w:multiLevelType w:val="singleLevel"/>
    <w:tmpl w:val="4BAA2DC6"/>
    <w:lvl w:ilvl="0">
      <w:numFmt w:val="bullet"/>
      <w:lvlText w:val="-"/>
      <w:lvlJc w:val="left"/>
      <w:pPr>
        <w:tabs>
          <w:tab w:val="num" w:pos="360"/>
        </w:tabs>
        <w:ind w:left="360" w:hanging="360"/>
      </w:pPr>
      <w:rPr>
        <w:rFonts w:ascii="Times New Roman" w:hAnsi="Times New Roman" w:hint="default"/>
      </w:rPr>
    </w:lvl>
  </w:abstractNum>
  <w:abstractNum w:abstractNumId="1075">
    <w:nsid w:val="5E1A53C1"/>
    <w:multiLevelType w:val="multilevel"/>
    <w:tmpl w:val="C26E9A16"/>
    <w:lvl w:ilvl="0">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732"/>
        </w:tabs>
        <w:ind w:left="732" w:hanging="360"/>
      </w:pPr>
      <w:rPr>
        <w:rFonts w:ascii="Courier New" w:hAnsi="Courier New" w:hint="default"/>
      </w:rPr>
    </w:lvl>
    <w:lvl w:ilvl="2" w:tentative="1">
      <w:start w:val="1"/>
      <w:numFmt w:val="bullet"/>
      <w:lvlText w:val=""/>
      <w:lvlJc w:val="left"/>
      <w:pPr>
        <w:tabs>
          <w:tab w:val="num" w:pos="1452"/>
        </w:tabs>
        <w:ind w:left="1452" w:hanging="360"/>
      </w:pPr>
      <w:rPr>
        <w:rFonts w:ascii="Wingdings" w:hAnsi="Wingdings" w:hint="default"/>
      </w:rPr>
    </w:lvl>
    <w:lvl w:ilvl="3" w:tentative="1">
      <w:start w:val="1"/>
      <w:numFmt w:val="bullet"/>
      <w:lvlText w:val=""/>
      <w:lvlJc w:val="left"/>
      <w:pPr>
        <w:tabs>
          <w:tab w:val="num" w:pos="2172"/>
        </w:tabs>
        <w:ind w:left="2172" w:hanging="360"/>
      </w:pPr>
      <w:rPr>
        <w:rFonts w:ascii="Symbol" w:hAnsi="Symbol" w:hint="default"/>
      </w:rPr>
    </w:lvl>
    <w:lvl w:ilvl="4" w:tentative="1">
      <w:start w:val="1"/>
      <w:numFmt w:val="bullet"/>
      <w:lvlText w:val="o"/>
      <w:lvlJc w:val="left"/>
      <w:pPr>
        <w:tabs>
          <w:tab w:val="num" w:pos="2892"/>
        </w:tabs>
        <w:ind w:left="2892" w:hanging="360"/>
      </w:pPr>
      <w:rPr>
        <w:rFonts w:ascii="Courier New" w:hAnsi="Courier New" w:hint="default"/>
      </w:rPr>
    </w:lvl>
    <w:lvl w:ilvl="5" w:tentative="1">
      <w:start w:val="1"/>
      <w:numFmt w:val="bullet"/>
      <w:lvlText w:val=""/>
      <w:lvlJc w:val="left"/>
      <w:pPr>
        <w:tabs>
          <w:tab w:val="num" w:pos="3612"/>
        </w:tabs>
        <w:ind w:left="3612" w:hanging="360"/>
      </w:pPr>
      <w:rPr>
        <w:rFonts w:ascii="Wingdings" w:hAnsi="Wingdings" w:hint="default"/>
      </w:rPr>
    </w:lvl>
    <w:lvl w:ilvl="6" w:tentative="1">
      <w:start w:val="1"/>
      <w:numFmt w:val="bullet"/>
      <w:lvlText w:val=""/>
      <w:lvlJc w:val="left"/>
      <w:pPr>
        <w:tabs>
          <w:tab w:val="num" w:pos="4332"/>
        </w:tabs>
        <w:ind w:left="4332" w:hanging="360"/>
      </w:pPr>
      <w:rPr>
        <w:rFonts w:ascii="Symbol" w:hAnsi="Symbol" w:hint="default"/>
      </w:rPr>
    </w:lvl>
    <w:lvl w:ilvl="7" w:tentative="1">
      <w:start w:val="1"/>
      <w:numFmt w:val="bullet"/>
      <w:lvlText w:val="o"/>
      <w:lvlJc w:val="left"/>
      <w:pPr>
        <w:tabs>
          <w:tab w:val="num" w:pos="5052"/>
        </w:tabs>
        <w:ind w:left="5052" w:hanging="360"/>
      </w:pPr>
      <w:rPr>
        <w:rFonts w:ascii="Courier New" w:hAnsi="Courier New" w:hint="default"/>
      </w:rPr>
    </w:lvl>
    <w:lvl w:ilvl="8" w:tentative="1">
      <w:start w:val="1"/>
      <w:numFmt w:val="bullet"/>
      <w:lvlText w:val=""/>
      <w:lvlJc w:val="left"/>
      <w:pPr>
        <w:tabs>
          <w:tab w:val="num" w:pos="5772"/>
        </w:tabs>
        <w:ind w:left="5772" w:hanging="360"/>
      </w:pPr>
      <w:rPr>
        <w:rFonts w:ascii="Wingdings" w:hAnsi="Wingdings" w:hint="default"/>
      </w:rPr>
    </w:lvl>
  </w:abstractNum>
  <w:abstractNum w:abstractNumId="1076">
    <w:nsid w:val="5E2573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7">
    <w:nsid w:val="5E2C0889"/>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1078">
    <w:nsid w:val="5E6052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9">
    <w:nsid w:val="5E645E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0">
    <w:nsid w:val="5E7B69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1">
    <w:nsid w:val="5E855A6A"/>
    <w:multiLevelType w:val="multilevel"/>
    <w:tmpl w:val="DB7831A0"/>
    <w:lvl w:ilvl="0">
      <w:start w:val="1"/>
      <w:numFmt w:val="decimal"/>
      <w:lvlText w:val="%1."/>
      <w:lvlJc w:val="left"/>
      <w:pPr>
        <w:tabs>
          <w:tab w:val="num" w:pos="465"/>
        </w:tabs>
        <w:ind w:left="465" w:hanging="46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82">
    <w:nsid w:val="5E8971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3">
    <w:nsid w:val="5E8C7D07"/>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084">
    <w:nsid w:val="5E9B3D7C"/>
    <w:multiLevelType w:val="singleLevel"/>
    <w:tmpl w:val="EE38673A"/>
    <w:lvl w:ilvl="0">
      <w:numFmt w:val="bullet"/>
      <w:lvlText w:val="-"/>
      <w:lvlJc w:val="left"/>
      <w:pPr>
        <w:tabs>
          <w:tab w:val="num" w:pos="1427"/>
        </w:tabs>
        <w:ind w:left="1427" w:hanging="435"/>
      </w:pPr>
      <w:rPr>
        <w:rFonts w:hint="default"/>
      </w:rPr>
    </w:lvl>
  </w:abstractNum>
  <w:abstractNum w:abstractNumId="1085">
    <w:nsid w:val="5EB22EE3"/>
    <w:multiLevelType w:val="singleLevel"/>
    <w:tmpl w:val="C9CC39C0"/>
    <w:lvl w:ilvl="0">
      <w:numFmt w:val="bullet"/>
      <w:lvlText w:val=""/>
      <w:lvlJc w:val="left"/>
      <w:pPr>
        <w:tabs>
          <w:tab w:val="num" w:pos="360"/>
        </w:tabs>
        <w:ind w:left="360" w:hanging="360"/>
      </w:pPr>
      <w:rPr>
        <w:rFonts w:ascii="Symbol" w:hAnsi="Symbol" w:hint="default"/>
      </w:rPr>
    </w:lvl>
  </w:abstractNum>
  <w:abstractNum w:abstractNumId="1086">
    <w:nsid w:val="5EB62FE9"/>
    <w:multiLevelType w:val="singleLevel"/>
    <w:tmpl w:val="52EA48EC"/>
    <w:lvl w:ilvl="0">
      <w:start w:val="1"/>
      <w:numFmt w:val="upperRoman"/>
      <w:lvlText w:val="%1."/>
      <w:lvlJc w:val="left"/>
      <w:pPr>
        <w:tabs>
          <w:tab w:val="num" w:pos="1004"/>
        </w:tabs>
        <w:ind w:left="1004" w:hanging="720"/>
      </w:pPr>
      <w:rPr>
        <w:rFonts w:hint="default"/>
      </w:rPr>
    </w:lvl>
  </w:abstractNum>
  <w:abstractNum w:abstractNumId="1087">
    <w:nsid w:val="5ECC7D0C"/>
    <w:multiLevelType w:val="singleLevel"/>
    <w:tmpl w:val="68701C0E"/>
    <w:lvl w:ilvl="0">
      <w:start w:val="1"/>
      <w:numFmt w:val="bullet"/>
      <w:lvlText w:val=""/>
      <w:lvlJc w:val="left"/>
      <w:pPr>
        <w:tabs>
          <w:tab w:val="num" w:pos="360"/>
        </w:tabs>
        <w:ind w:left="360" w:hanging="360"/>
      </w:pPr>
      <w:rPr>
        <w:rFonts w:ascii="Symbol" w:hAnsi="Symbol" w:hint="default"/>
      </w:rPr>
    </w:lvl>
  </w:abstractNum>
  <w:abstractNum w:abstractNumId="1088">
    <w:nsid w:val="5ED7398F"/>
    <w:multiLevelType w:val="singleLevel"/>
    <w:tmpl w:val="D0AAB336"/>
    <w:lvl w:ilvl="0">
      <w:start w:val="1"/>
      <w:numFmt w:val="bullet"/>
      <w:lvlText w:val=""/>
      <w:lvlJc w:val="left"/>
      <w:pPr>
        <w:tabs>
          <w:tab w:val="num" w:pos="360"/>
        </w:tabs>
        <w:ind w:left="360" w:hanging="360"/>
      </w:pPr>
      <w:rPr>
        <w:rFonts w:ascii="Symbol" w:hAnsi="Symbol" w:hint="default"/>
      </w:rPr>
    </w:lvl>
  </w:abstractNum>
  <w:abstractNum w:abstractNumId="1089">
    <w:nsid w:val="5EDD1F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0">
    <w:nsid w:val="5EF401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1">
    <w:nsid w:val="5EF47415"/>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092">
    <w:nsid w:val="5EFB1658"/>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1093">
    <w:nsid w:val="5F1A3A69"/>
    <w:multiLevelType w:val="singleLevel"/>
    <w:tmpl w:val="40BCFF7A"/>
    <w:lvl w:ilvl="0">
      <w:start w:val="1"/>
      <w:numFmt w:val="bullet"/>
      <w:lvlText w:val=""/>
      <w:lvlJc w:val="left"/>
      <w:pPr>
        <w:tabs>
          <w:tab w:val="num" w:pos="360"/>
        </w:tabs>
        <w:ind w:left="360" w:hanging="360"/>
      </w:pPr>
      <w:rPr>
        <w:rFonts w:ascii="Symbol" w:hAnsi="Symbol" w:hint="default"/>
      </w:rPr>
    </w:lvl>
  </w:abstractNum>
  <w:abstractNum w:abstractNumId="1094">
    <w:nsid w:val="5F2C59B9"/>
    <w:multiLevelType w:val="singleLevel"/>
    <w:tmpl w:val="0C0A000F"/>
    <w:lvl w:ilvl="0">
      <w:start w:val="1"/>
      <w:numFmt w:val="decimal"/>
      <w:lvlText w:val="%1."/>
      <w:lvlJc w:val="left"/>
      <w:pPr>
        <w:tabs>
          <w:tab w:val="num" w:pos="360"/>
        </w:tabs>
        <w:ind w:left="360" w:hanging="360"/>
      </w:pPr>
    </w:lvl>
  </w:abstractNum>
  <w:abstractNum w:abstractNumId="1095">
    <w:nsid w:val="5F31314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096">
    <w:nsid w:val="5F3E13E3"/>
    <w:multiLevelType w:val="multilevel"/>
    <w:tmpl w:val="88604D6E"/>
    <w:lvl w:ilvl="0">
      <w:start w:val="1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7">
    <w:nsid w:val="5F452AC4"/>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098">
    <w:nsid w:val="5F550521"/>
    <w:multiLevelType w:val="multilevel"/>
    <w:tmpl w:val="0B08B75A"/>
    <w:lvl w:ilvl="0">
      <w:start w:val="2"/>
      <w:numFmt w:val="decimal"/>
      <w:lvlText w:val="%1."/>
      <w:lvlJc w:val="left"/>
      <w:pPr>
        <w:tabs>
          <w:tab w:val="num" w:pos="585"/>
        </w:tabs>
        <w:ind w:left="585" w:hanging="585"/>
      </w:pPr>
      <w:rPr>
        <w:rFonts w:hint="default"/>
        <w:b/>
        <w:i/>
        <w:u w:val="none"/>
      </w:rPr>
    </w:lvl>
    <w:lvl w:ilvl="1">
      <w:start w:val="3"/>
      <w:numFmt w:val="decimal"/>
      <w:lvlText w:val="%1.%2."/>
      <w:lvlJc w:val="left"/>
      <w:pPr>
        <w:tabs>
          <w:tab w:val="num" w:pos="1428"/>
        </w:tabs>
        <w:ind w:left="1428" w:hanging="720"/>
      </w:pPr>
      <w:rPr>
        <w:rFonts w:hint="default"/>
        <w:b/>
        <w:i/>
        <w:u w:val="none"/>
      </w:rPr>
    </w:lvl>
    <w:lvl w:ilvl="2">
      <w:start w:val="1"/>
      <w:numFmt w:val="decimal"/>
      <w:lvlText w:val="%1.%2.%3."/>
      <w:lvlJc w:val="left"/>
      <w:pPr>
        <w:tabs>
          <w:tab w:val="num" w:pos="2136"/>
        </w:tabs>
        <w:ind w:left="2136" w:hanging="720"/>
      </w:pPr>
      <w:rPr>
        <w:rFonts w:hint="default"/>
        <w:b/>
        <w:i/>
        <w:u w:val="none"/>
      </w:rPr>
    </w:lvl>
    <w:lvl w:ilvl="3">
      <w:start w:val="1"/>
      <w:numFmt w:val="decimal"/>
      <w:lvlText w:val="%1.%2.%3.%4."/>
      <w:lvlJc w:val="left"/>
      <w:pPr>
        <w:tabs>
          <w:tab w:val="num" w:pos="3204"/>
        </w:tabs>
        <w:ind w:left="3204" w:hanging="1080"/>
      </w:pPr>
      <w:rPr>
        <w:rFonts w:hint="default"/>
        <w:b/>
        <w:i/>
        <w:u w:val="none"/>
      </w:rPr>
    </w:lvl>
    <w:lvl w:ilvl="4">
      <w:start w:val="1"/>
      <w:numFmt w:val="decimal"/>
      <w:lvlText w:val="%1.%2.%3.%4.%5."/>
      <w:lvlJc w:val="left"/>
      <w:pPr>
        <w:tabs>
          <w:tab w:val="num" w:pos="3912"/>
        </w:tabs>
        <w:ind w:left="3912" w:hanging="1080"/>
      </w:pPr>
      <w:rPr>
        <w:rFonts w:hint="default"/>
        <w:b/>
        <w:i/>
        <w:u w:val="none"/>
      </w:rPr>
    </w:lvl>
    <w:lvl w:ilvl="5">
      <w:start w:val="1"/>
      <w:numFmt w:val="decimal"/>
      <w:lvlText w:val="%1.%2.%3.%4.%5.%6."/>
      <w:lvlJc w:val="left"/>
      <w:pPr>
        <w:tabs>
          <w:tab w:val="num" w:pos="4980"/>
        </w:tabs>
        <w:ind w:left="4980" w:hanging="1440"/>
      </w:pPr>
      <w:rPr>
        <w:rFonts w:hint="default"/>
        <w:b/>
        <w:i/>
        <w:u w:val="none"/>
      </w:rPr>
    </w:lvl>
    <w:lvl w:ilvl="6">
      <w:start w:val="1"/>
      <w:numFmt w:val="decimal"/>
      <w:lvlText w:val="%1.%2.%3.%4.%5.%6.%7."/>
      <w:lvlJc w:val="left"/>
      <w:pPr>
        <w:tabs>
          <w:tab w:val="num" w:pos="5688"/>
        </w:tabs>
        <w:ind w:left="5688" w:hanging="1440"/>
      </w:pPr>
      <w:rPr>
        <w:rFonts w:hint="default"/>
        <w:b/>
        <w:i/>
        <w:u w:val="none"/>
      </w:rPr>
    </w:lvl>
    <w:lvl w:ilvl="7">
      <w:start w:val="1"/>
      <w:numFmt w:val="decimal"/>
      <w:lvlText w:val="%1.%2.%3.%4.%5.%6.%7.%8."/>
      <w:lvlJc w:val="left"/>
      <w:pPr>
        <w:tabs>
          <w:tab w:val="num" w:pos="6756"/>
        </w:tabs>
        <w:ind w:left="6756" w:hanging="1800"/>
      </w:pPr>
      <w:rPr>
        <w:rFonts w:hint="default"/>
        <w:b/>
        <w:i/>
        <w:u w:val="none"/>
      </w:rPr>
    </w:lvl>
    <w:lvl w:ilvl="8">
      <w:start w:val="1"/>
      <w:numFmt w:val="decimal"/>
      <w:lvlText w:val="%1.%2.%3.%4.%5.%6.%7.%8.%9."/>
      <w:lvlJc w:val="left"/>
      <w:pPr>
        <w:tabs>
          <w:tab w:val="num" w:pos="7824"/>
        </w:tabs>
        <w:ind w:left="7824" w:hanging="2160"/>
      </w:pPr>
      <w:rPr>
        <w:rFonts w:hint="default"/>
        <w:b/>
        <w:i/>
        <w:u w:val="none"/>
      </w:rPr>
    </w:lvl>
  </w:abstractNum>
  <w:abstractNum w:abstractNumId="1099">
    <w:nsid w:val="5F6977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0">
    <w:nsid w:val="5F8961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1">
    <w:nsid w:val="5F9929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2">
    <w:nsid w:val="5F9E786C"/>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103">
    <w:nsid w:val="5FEA62D0"/>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04">
    <w:nsid w:val="6025413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05">
    <w:nsid w:val="60380D66"/>
    <w:multiLevelType w:val="singleLevel"/>
    <w:tmpl w:val="CA721BA4"/>
    <w:lvl w:ilvl="0">
      <w:start w:val="1"/>
      <w:numFmt w:val="decimal"/>
      <w:lvlText w:val="%1."/>
      <w:lvlJc w:val="left"/>
      <w:pPr>
        <w:tabs>
          <w:tab w:val="num" w:pos="1211"/>
        </w:tabs>
        <w:ind w:left="1211" w:hanging="360"/>
      </w:pPr>
      <w:rPr>
        <w:rFonts w:hint="default"/>
      </w:rPr>
    </w:lvl>
  </w:abstractNum>
  <w:abstractNum w:abstractNumId="1106">
    <w:nsid w:val="605B5CEC"/>
    <w:multiLevelType w:val="singleLevel"/>
    <w:tmpl w:val="27CC2246"/>
    <w:lvl w:ilvl="0">
      <w:start w:val="3"/>
      <w:numFmt w:val="decimal"/>
      <w:lvlText w:val="2.%1. "/>
      <w:legacy w:legacy="1" w:legacySpace="0" w:legacyIndent="283"/>
      <w:lvlJc w:val="left"/>
      <w:pPr>
        <w:ind w:left="283" w:hanging="283"/>
      </w:pPr>
      <w:rPr>
        <w:rFonts w:ascii="Arial" w:hAnsi="Arial" w:hint="default"/>
        <w:b w:val="0"/>
        <w:i w:val="0"/>
        <w:sz w:val="24"/>
        <w:u w:val="none"/>
      </w:rPr>
    </w:lvl>
  </w:abstractNum>
  <w:abstractNum w:abstractNumId="1107">
    <w:nsid w:val="60660101"/>
    <w:multiLevelType w:val="singleLevel"/>
    <w:tmpl w:val="93360D04"/>
    <w:lvl w:ilvl="0">
      <w:start w:val="1"/>
      <w:numFmt w:val="bullet"/>
      <w:lvlText w:val="-"/>
      <w:lvlJc w:val="left"/>
      <w:pPr>
        <w:tabs>
          <w:tab w:val="num" w:pos="360"/>
        </w:tabs>
        <w:ind w:left="360" w:hanging="360"/>
      </w:pPr>
      <w:rPr>
        <w:rFonts w:ascii="Times New Roman" w:hAnsi="Times New Roman" w:hint="default"/>
      </w:rPr>
    </w:lvl>
  </w:abstractNum>
  <w:abstractNum w:abstractNumId="1108">
    <w:nsid w:val="606969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9">
    <w:nsid w:val="608F2BDF"/>
    <w:multiLevelType w:val="singleLevel"/>
    <w:tmpl w:val="061CA7FA"/>
    <w:lvl w:ilvl="0">
      <w:start w:val="1"/>
      <w:numFmt w:val="bullet"/>
      <w:lvlText w:val=""/>
      <w:lvlJc w:val="left"/>
      <w:pPr>
        <w:tabs>
          <w:tab w:val="num" w:pos="360"/>
        </w:tabs>
        <w:ind w:left="360" w:hanging="360"/>
      </w:pPr>
      <w:rPr>
        <w:rFonts w:ascii="Wingdings" w:hAnsi="Wingdings" w:hint="default"/>
      </w:rPr>
    </w:lvl>
  </w:abstractNum>
  <w:abstractNum w:abstractNumId="1110">
    <w:nsid w:val="609330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1">
    <w:nsid w:val="609E50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2">
    <w:nsid w:val="60BE2092"/>
    <w:multiLevelType w:val="singleLevel"/>
    <w:tmpl w:val="F23C7376"/>
    <w:lvl w:ilvl="0">
      <w:numFmt w:val="bullet"/>
      <w:lvlText w:val=""/>
      <w:lvlJc w:val="left"/>
      <w:pPr>
        <w:tabs>
          <w:tab w:val="num" w:pos="360"/>
        </w:tabs>
        <w:ind w:left="360" w:hanging="360"/>
      </w:pPr>
      <w:rPr>
        <w:rFonts w:ascii="Symbol" w:hAnsi="Symbol" w:hint="default"/>
      </w:rPr>
    </w:lvl>
  </w:abstractNum>
  <w:abstractNum w:abstractNumId="1113">
    <w:nsid w:val="60CD751B"/>
    <w:multiLevelType w:val="multilevel"/>
    <w:tmpl w:val="0218B3D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14">
    <w:nsid w:val="60F277DB"/>
    <w:multiLevelType w:val="singleLevel"/>
    <w:tmpl w:val="D3D8A3CA"/>
    <w:lvl w:ilvl="0">
      <w:start w:val="2"/>
      <w:numFmt w:val="decimal"/>
      <w:lvlText w:val="%1."/>
      <w:lvlJc w:val="left"/>
      <w:pPr>
        <w:tabs>
          <w:tab w:val="num" w:pos="361"/>
        </w:tabs>
        <w:ind w:left="361" w:hanging="360"/>
      </w:pPr>
      <w:rPr>
        <w:rFonts w:hint="default"/>
      </w:rPr>
    </w:lvl>
  </w:abstractNum>
  <w:abstractNum w:abstractNumId="1115">
    <w:nsid w:val="60F72A5B"/>
    <w:multiLevelType w:val="multilevel"/>
    <w:tmpl w:val="2966742A"/>
    <w:lvl w:ilvl="0">
      <w:start w:val="1"/>
      <w:numFmt w:val="bullet"/>
      <w:lvlText w:val=""/>
      <w:lvlJc w:val="left"/>
      <w:pPr>
        <w:tabs>
          <w:tab w:val="num" w:pos="1571"/>
        </w:tabs>
        <w:ind w:left="1571" w:hanging="360"/>
      </w:pPr>
      <w:rPr>
        <w:rFonts w:ascii="Symbol" w:hAnsi="Symbol" w:hint="default"/>
      </w:rPr>
    </w:lvl>
    <w:lvl w:ilvl="1" w:tentative="1">
      <w:start w:val="1"/>
      <w:numFmt w:val="bullet"/>
      <w:lvlText w:val="o"/>
      <w:lvlJc w:val="left"/>
      <w:pPr>
        <w:tabs>
          <w:tab w:val="num" w:pos="2291"/>
        </w:tabs>
        <w:ind w:left="2291" w:hanging="360"/>
      </w:pPr>
      <w:rPr>
        <w:rFonts w:ascii="Courier New" w:hAnsi="Courier New"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1116">
    <w:nsid w:val="610B2B0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17">
    <w:nsid w:val="611F20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8">
    <w:nsid w:val="61665BDB"/>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19">
    <w:nsid w:val="618029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0">
    <w:nsid w:val="618B5265"/>
    <w:multiLevelType w:val="multilevel"/>
    <w:tmpl w:val="649C3024"/>
    <w:lvl w:ilvl="0">
      <w:start w:val="5"/>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1">
    <w:nsid w:val="618D1FA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22">
    <w:nsid w:val="619435D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23">
    <w:nsid w:val="619B49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4">
    <w:nsid w:val="61B078AD"/>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1125">
    <w:nsid w:val="61B826CD"/>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126">
    <w:nsid w:val="61C335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7">
    <w:nsid w:val="61DB595D"/>
    <w:multiLevelType w:val="singleLevel"/>
    <w:tmpl w:val="29DAF436"/>
    <w:lvl w:ilvl="0">
      <w:start w:val="6"/>
      <w:numFmt w:val="bullet"/>
      <w:lvlText w:val=""/>
      <w:lvlJc w:val="left"/>
      <w:pPr>
        <w:tabs>
          <w:tab w:val="num" w:pos="927"/>
        </w:tabs>
        <w:ind w:left="927" w:hanging="360"/>
      </w:pPr>
      <w:rPr>
        <w:rFonts w:ascii="Symbol" w:hAnsi="Symbol" w:hint="default"/>
      </w:rPr>
    </w:lvl>
  </w:abstractNum>
  <w:abstractNum w:abstractNumId="1128">
    <w:nsid w:val="61DD314F"/>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129">
    <w:nsid w:val="61E72C9E"/>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30">
    <w:nsid w:val="61E8419A"/>
    <w:multiLevelType w:val="singleLevel"/>
    <w:tmpl w:val="CB6CA966"/>
    <w:lvl w:ilvl="0">
      <w:start w:val="1"/>
      <w:numFmt w:val="decimal"/>
      <w:lvlText w:val="%1- "/>
      <w:legacy w:legacy="1" w:legacySpace="0" w:legacyIndent="283"/>
      <w:lvlJc w:val="left"/>
      <w:pPr>
        <w:ind w:left="283" w:hanging="283"/>
      </w:pPr>
      <w:rPr>
        <w:rFonts w:ascii="Arial" w:hAnsi="Arial" w:hint="default"/>
        <w:sz w:val="24"/>
      </w:rPr>
    </w:lvl>
  </w:abstractNum>
  <w:abstractNum w:abstractNumId="1131">
    <w:nsid w:val="621218F7"/>
    <w:multiLevelType w:val="singleLevel"/>
    <w:tmpl w:val="D9148182"/>
    <w:lvl w:ilvl="0">
      <w:start w:val="3"/>
      <w:numFmt w:val="decimal"/>
      <w:lvlText w:val="6.4.%1. "/>
      <w:legacy w:legacy="1" w:legacySpace="0" w:legacyIndent="283"/>
      <w:lvlJc w:val="left"/>
      <w:pPr>
        <w:ind w:left="283" w:hanging="283"/>
      </w:pPr>
      <w:rPr>
        <w:rFonts w:ascii="Arial" w:hAnsi="Arial" w:hint="default"/>
        <w:b w:val="0"/>
        <w:i w:val="0"/>
        <w:sz w:val="24"/>
        <w:u w:val="none"/>
      </w:rPr>
    </w:lvl>
  </w:abstractNum>
  <w:abstractNum w:abstractNumId="1132">
    <w:nsid w:val="621769DA"/>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133">
    <w:nsid w:val="62214F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4">
    <w:nsid w:val="623D0B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5">
    <w:nsid w:val="62575C92"/>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36">
    <w:nsid w:val="62617C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7">
    <w:nsid w:val="62952F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8">
    <w:nsid w:val="62A363FE"/>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139">
    <w:nsid w:val="62B33E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0">
    <w:nsid w:val="62B61D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1">
    <w:nsid w:val="62BB79EB"/>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142">
    <w:nsid w:val="62C43890"/>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43">
    <w:nsid w:val="62CB52E8"/>
    <w:multiLevelType w:val="singleLevel"/>
    <w:tmpl w:val="F8ECF7B8"/>
    <w:lvl w:ilvl="0">
      <w:start w:val="1"/>
      <w:numFmt w:val="bullet"/>
      <w:lvlText w:val="-"/>
      <w:lvlJc w:val="left"/>
      <w:pPr>
        <w:tabs>
          <w:tab w:val="num" w:pos="1785"/>
        </w:tabs>
        <w:ind w:left="1785" w:hanging="360"/>
      </w:pPr>
      <w:rPr>
        <w:rFonts w:hint="default"/>
      </w:rPr>
    </w:lvl>
  </w:abstractNum>
  <w:abstractNum w:abstractNumId="1144">
    <w:nsid w:val="62E24E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5">
    <w:nsid w:val="630C7D1E"/>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146">
    <w:nsid w:val="632422E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7">
    <w:nsid w:val="63323445"/>
    <w:multiLevelType w:val="singleLevel"/>
    <w:tmpl w:val="16B0B336"/>
    <w:lvl w:ilvl="0">
      <w:start w:val="1"/>
      <w:numFmt w:val="lowerLetter"/>
      <w:lvlText w:val="%1)"/>
      <w:lvlJc w:val="left"/>
      <w:pPr>
        <w:tabs>
          <w:tab w:val="num" w:pos="644"/>
        </w:tabs>
        <w:ind w:left="644" w:hanging="360"/>
      </w:pPr>
      <w:rPr>
        <w:rFonts w:hint="default"/>
      </w:rPr>
    </w:lvl>
  </w:abstractNum>
  <w:abstractNum w:abstractNumId="1148">
    <w:nsid w:val="634461B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49">
    <w:nsid w:val="63590EF2"/>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150">
    <w:nsid w:val="636722E2"/>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151">
    <w:nsid w:val="636972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2">
    <w:nsid w:val="63712626"/>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53">
    <w:nsid w:val="639812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4">
    <w:nsid w:val="63A61F63"/>
    <w:multiLevelType w:val="singleLevel"/>
    <w:tmpl w:val="B688F4A2"/>
    <w:lvl w:ilvl="0">
      <w:start w:val="3"/>
      <w:numFmt w:val="upperLetter"/>
      <w:lvlText w:val="(%1."/>
      <w:lvlJc w:val="left"/>
      <w:pPr>
        <w:tabs>
          <w:tab w:val="num" w:pos="643"/>
        </w:tabs>
        <w:ind w:left="643" w:hanging="360"/>
      </w:pPr>
      <w:rPr>
        <w:rFonts w:hint="default"/>
      </w:rPr>
    </w:lvl>
  </w:abstractNum>
  <w:abstractNum w:abstractNumId="1155">
    <w:nsid w:val="63AE57FA"/>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156">
    <w:nsid w:val="63B149A0"/>
    <w:multiLevelType w:val="singleLevel"/>
    <w:tmpl w:val="0C0A000F"/>
    <w:lvl w:ilvl="0">
      <w:start w:val="1"/>
      <w:numFmt w:val="decimal"/>
      <w:lvlText w:val="%1."/>
      <w:lvlJc w:val="left"/>
      <w:pPr>
        <w:tabs>
          <w:tab w:val="num" w:pos="360"/>
        </w:tabs>
        <w:ind w:left="360" w:hanging="360"/>
      </w:pPr>
      <w:rPr>
        <w:rFonts w:hint="default"/>
      </w:rPr>
    </w:lvl>
  </w:abstractNum>
  <w:abstractNum w:abstractNumId="1157">
    <w:nsid w:val="63B60C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8">
    <w:nsid w:val="63E226C6"/>
    <w:multiLevelType w:val="singleLevel"/>
    <w:tmpl w:val="0C0A000F"/>
    <w:lvl w:ilvl="0">
      <w:start w:val="1"/>
      <w:numFmt w:val="decimal"/>
      <w:lvlText w:val="%1."/>
      <w:lvlJc w:val="left"/>
      <w:pPr>
        <w:tabs>
          <w:tab w:val="num" w:pos="360"/>
        </w:tabs>
        <w:ind w:left="360" w:hanging="360"/>
      </w:pPr>
    </w:lvl>
  </w:abstractNum>
  <w:abstractNum w:abstractNumId="1159">
    <w:nsid w:val="63F920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0">
    <w:nsid w:val="646E29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1">
    <w:nsid w:val="64932DDE"/>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162">
    <w:nsid w:val="6497466B"/>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163">
    <w:nsid w:val="64B703C3"/>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1164">
    <w:nsid w:val="64CA75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5">
    <w:nsid w:val="64ED1C79"/>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166">
    <w:nsid w:val="64FA1A4D"/>
    <w:multiLevelType w:val="singleLevel"/>
    <w:tmpl w:val="F8ECF7B8"/>
    <w:lvl w:ilvl="0">
      <w:start w:val="1"/>
      <w:numFmt w:val="bullet"/>
      <w:lvlText w:val="-"/>
      <w:lvlJc w:val="left"/>
      <w:pPr>
        <w:tabs>
          <w:tab w:val="num" w:pos="1785"/>
        </w:tabs>
        <w:ind w:left="1785" w:hanging="360"/>
      </w:pPr>
      <w:rPr>
        <w:rFonts w:hint="default"/>
      </w:rPr>
    </w:lvl>
  </w:abstractNum>
  <w:abstractNum w:abstractNumId="1167">
    <w:nsid w:val="653B5701"/>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168">
    <w:nsid w:val="654D03CD"/>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169">
    <w:nsid w:val="654E1C96"/>
    <w:multiLevelType w:val="multilevel"/>
    <w:tmpl w:val="66BC9F3E"/>
    <w:lvl w:ilvl="0">
      <w:start w:val="1"/>
      <w:numFmt w:val="decimal"/>
      <w:lvlText w:val="%1."/>
      <w:lvlJc w:val="left"/>
      <w:pPr>
        <w:tabs>
          <w:tab w:val="num" w:pos="360"/>
        </w:tabs>
        <w:ind w:left="360" w:hanging="360"/>
      </w:pPr>
    </w:lvl>
    <w:lvl w:ilvl="1">
      <w:start w:val="1"/>
      <w:numFmt w:val="decimal"/>
      <w:lvlText w:val="%1.%2."/>
      <w:lvlJc w:val="left"/>
      <w:pPr>
        <w:tabs>
          <w:tab w:val="num" w:pos="1588"/>
        </w:tabs>
        <w:ind w:left="1588" w:hanging="1228"/>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70">
    <w:nsid w:val="656A63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1">
    <w:nsid w:val="65A10E9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72">
    <w:nsid w:val="65BB737B"/>
    <w:multiLevelType w:val="singleLevel"/>
    <w:tmpl w:val="E83CFE02"/>
    <w:lvl w:ilvl="0">
      <w:start w:val="1"/>
      <w:numFmt w:val="bullet"/>
      <w:lvlText w:val=""/>
      <w:lvlJc w:val="left"/>
      <w:pPr>
        <w:tabs>
          <w:tab w:val="num" w:pos="360"/>
        </w:tabs>
        <w:ind w:left="360" w:hanging="360"/>
      </w:pPr>
      <w:rPr>
        <w:rFonts w:ascii="Marlett" w:hAnsi="Arial Black" w:hint="default"/>
      </w:rPr>
    </w:lvl>
  </w:abstractNum>
  <w:abstractNum w:abstractNumId="1173">
    <w:nsid w:val="65C44FE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74">
    <w:nsid w:val="65CB6A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5">
    <w:nsid w:val="65E71EF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76">
    <w:nsid w:val="66255D0B"/>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77">
    <w:nsid w:val="662A1B99"/>
    <w:multiLevelType w:val="multilevel"/>
    <w:tmpl w:val="74FC6B54"/>
    <w:lvl w:ilvl="0">
      <w:start w:val="1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8">
    <w:nsid w:val="663E2515"/>
    <w:multiLevelType w:val="singleLevel"/>
    <w:tmpl w:val="0C0A000F"/>
    <w:lvl w:ilvl="0">
      <w:start w:val="1"/>
      <w:numFmt w:val="decimal"/>
      <w:lvlText w:val="%1."/>
      <w:lvlJc w:val="left"/>
      <w:pPr>
        <w:tabs>
          <w:tab w:val="num" w:pos="360"/>
        </w:tabs>
        <w:ind w:left="360" w:hanging="360"/>
      </w:pPr>
    </w:lvl>
  </w:abstractNum>
  <w:abstractNum w:abstractNumId="1179">
    <w:nsid w:val="66691D21"/>
    <w:multiLevelType w:val="singleLevel"/>
    <w:tmpl w:val="2C58A442"/>
    <w:lvl w:ilvl="0">
      <w:start w:val="1"/>
      <w:numFmt w:val="bullet"/>
      <w:lvlText w:val=""/>
      <w:lvlJc w:val="left"/>
      <w:pPr>
        <w:tabs>
          <w:tab w:val="num" w:pos="360"/>
        </w:tabs>
        <w:ind w:left="360" w:hanging="360"/>
      </w:pPr>
      <w:rPr>
        <w:rFonts w:ascii="Symbol" w:hAnsi="Symbol" w:hint="default"/>
        <w:sz w:val="16"/>
      </w:rPr>
    </w:lvl>
  </w:abstractNum>
  <w:abstractNum w:abstractNumId="1180">
    <w:nsid w:val="66701E6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81">
    <w:nsid w:val="6679089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2">
    <w:nsid w:val="668C56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3">
    <w:nsid w:val="669350A1"/>
    <w:multiLevelType w:val="singleLevel"/>
    <w:tmpl w:val="0C0A000F"/>
    <w:lvl w:ilvl="0">
      <w:start w:val="1"/>
      <w:numFmt w:val="decimal"/>
      <w:lvlText w:val="%1."/>
      <w:lvlJc w:val="left"/>
      <w:pPr>
        <w:tabs>
          <w:tab w:val="num" w:pos="360"/>
        </w:tabs>
        <w:ind w:left="360" w:hanging="360"/>
      </w:pPr>
      <w:rPr>
        <w:rFonts w:hint="default"/>
        <w:u w:val="none"/>
      </w:rPr>
    </w:lvl>
  </w:abstractNum>
  <w:abstractNum w:abstractNumId="1184">
    <w:nsid w:val="66A63C67"/>
    <w:multiLevelType w:val="singleLevel"/>
    <w:tmpl w:val="304C33D4"/>
    <w:lvl w:ilvl="0">
      <w:start w:val="1"/>
      <w:numFmt w:val="bullet"/>
      <w:lvlText w:val=""/>
      <w:lvlJc w:val="left"/>
      <w:pPr>
        <w:tabs>
          <w:tab w:val="num" w:pos="360"/>
        </w:tabs>
        <w:ind w:left="360" w:hanging="360"/>
      </w:pPr>
      <w:rPr>
        <w:rFonts w:ascii="Symbol" w:hAnsi="Symbol" w:hint="default"/>
      </w:rPr>
    </w:lvl>
  </w:abstractNum>
  <w:abstractNum w:abstractNumId="1185">
    <w:nsid w:val="66AF01F6"/>
    <w:multiLevelType w:val="singleLevel"/>
    <w:tmpl w:val="C8DE7944"/>
    <w:lvl w:ilvl="0">
      <w:numFmt w:val="bullet"/>
      <w:lvlText w:val="-"/>
      <w:lvlJc w:val="left"/>
      <w:pPr>
        <w:tabs>
          <w:tab w:val="num" w:pos="360"/>
        </w:tabs>
        <w:ind w:left="360" w:hanging="360"/>
      </w:pPr>
      <w:rPr>
        <w:rFonts w:ascii="Times New Roman" w:hAnsi="Times New Roman" w:hint="default"/>
      </w:rPr>
    </w:lvl>
  </w:abstractNum>
  <w:abstractNum w:abstractNumId="1186">
    <w:nsid w:val="66C305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7">
    <w:nsid w:val="66CB5503"/>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188">
    <w:nsid w:val="66EB07D6"/>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189">
    <w:nsid w:val="66F35196"/>
    <w:multiLevelType w:val="singleLevel"/>
    <w:tmpl w:val="7EE6C5CC"/>
    <w:lvl w:ilvl="0">
      <w:start w:val="2"/>
      <w:numFmt w:val="bullet"/>
      <w:lvlText w:val="-"/>
      <w:lvlJc w:val="left"/>
      <w:pPr>
        <w:tabs>
          <w:tab w:val="num" w:pos="360"/>
        </w:tabs>
        <w:ind w:left="360" w:hanging="360"/>
      </w:pPr>
      <w:rPr>
        <w:rFonts w:ascii="Times New Roman" w:hAnsi="Times New Roman" w:hint="default"/>
      </w:rPr>
    </w:lvl>
  </w:abstractNum>
  <w:abstractNum w:abstractNumId="1190">
    <w:nsid w:val="66F7697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191">
    <w:nsid w:val="675279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2">
    <w:nsid w:val="677C4AC0"/>
    <w:multiLevelType w:val="singleLevel"/>
    <w:tmpl w:val="FFFFFFFF"/>
    <w:lvl w:ilvl="0">
      <w:start w:val="1"/>
      <w:numFmt w:val="bullet"/>
      <w:lvlText w:val=""/>
      <w:legacy w:legacy="1" w:legacySpace="0" w:legacyIndent="-567"/>
      <w:lvlJc w:val="left"/>
      <w:pPr>
        <w:ind w:left="0" w:firstLine="567"/>
      </w:pPr>
      <w:rPr>
        <w:rFonts w:ascii="Symbol" w:hAnsi="Symbol" w:hint="default"/>
      </w:rPr>
    </w:lvl>
  </w:abstractNum>
  <w:abstractNum w:abstractNumId="1193">
    <w:nsid w:val="677E27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4">
    <w:nsid w:val="67945DDF"/>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195">
    <w:nsid w:val="67B729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6">
    <w:nsid w:val="67E33C67"/>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197">
    <w:nsid w:val="67EB682E"/>
    <w:multiLevelType w:val="singleLevel"/>
    <w:tmpl w:val="D7D49220"/>
    <w:lvl w:ilvl="0">
      <w:start w:val="1"/>
      <w:numFmt w:val="bullet"/>
      <w:lvlText w:val="-"/>
      <w:lvlJc w:val="left"/>
      <w:pPr>
        <w:tabs>
          <w:tab w:val="num" w:pos="360"/>
        </w:tabs>
        <w:ind w:left="360" w:hanging="360"/>
      </w:pPr>
      <w:rPr>
        <w:rFonts w:ascii="Times New Roman" w:hAnsi="Times New Roman" w:hint="default"/>
      </w:rPr>
    </w:lvl>
  </w:abstractNum>
  <w:abstractNum w:abstractNumId="1198">
    <w:nsid w:val="67EB75DB"/>
    <w:multiLevelType w:val="singleLevel"/>
    <w:tmpl w:val="07824C0E"/>
    <w:lvl w:ilvl="0">
      <w:start w:val="1"/>
      <w:numFmt w:val="bullet"/>
      <w:lvlText w:val="-"/>
      <w:lvlJc w:val="left"/>
      <w:pPr>
        <w:tabs>
          <w:tab w:val="num" w:pos="1065"/>
        </w:tabs>
        <w:ind w:left="1065" w:hanging="360"/>
      </w:pPr>
      <w:rPr>
        <w:rFonts w:ascii="Times New Roman" w:hAnsi="Times New Roman" w:hint="default"/>
      </w:rPr>
    </w:lvl>
  </w:abstractNum>
  <w:abstractNum w:abstractNumId="1199">
    <w:nsid w:val="67F325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0">
    <w:nsid w:val="680853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1">
    <w:nsid w:val="681A70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2">
    <w:nsid w:val="681A77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3">
    <w:nsid w:val="681E277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04">
    <w:nsid w:val="68333551"/>
    <w:multiLevelType w:val="singleLevel"/>
    <w:tmpl w:val="66FEA83E"/>
    <w:lvl w:ilvl="0">
      <w:start w:val="4"/>
      <w:numFmt w:val="decimal"/>
      <w:lvlText w:val="2.2.%1. "/>
      <w:legacy w:legacy="1" w:legacySpace="0" w:legacyIndent="283"/>
      <w:lvlJc w:val="left"/>
      <w:pPr>
        <w:ind w:left="283" w:hanging="283"/>
      </w:pPr>
      <w:rPr>
        <w:rFonts w:ascii="Arial" w:hAnsi="Arial" w:hint="default"/>
        <w:b w:val="0"/>
        <w:i w:val="0"/>
        <w:sz w:val="24"/>
        <w:u w:val="single"/>
      </w:rPr>
    </w:lvl>
  </w:abstractNum>
  <w:abstractNum w:abstractNumId="1205">
    <w:nsid w:val="685D174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06">
    <w:nsid w:val="685E1B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7">
    <w:nsid w:val="686A7790"/>
    <w:multiLevelType w:val="multilevel"/>
    <w:tmpl w:val="52B8C7B0"/>
    <w:lvl w:ilvl="0">
      <w:start w:val="3"/>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3"/>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08">
    <w:nsid w:val="68913D9E"/>
    <w:multiLevelType w:val="singleLevel"/>
    <w:tmpl w:val="E0EA0E82"/>
    <w:lvl w:ilvl="0">
      <w:start w:val="1"/>
      <w:numFmt w:val="bullet"/>
      <w:lvlText w:val="-"/>
      <w:lvlJc w:val="left"/>
      <w:pPr>
        <w:tabs>
          <w:tab w:val="num" w:pos="1069"/>
        </w:tabs>
        <w:ind w:left="1069" w:hanging="360"/>
      </w:pPr>
      <w:rPr>
        <w:rFonts w:ascii="Times New Roman" w:hAnsi="Times New Roman" w:hint="default"/>
      </w:rPr>
    </w:lvl>
  </w:abstractNum>
  <w:abstractNum w:abstractNumId="1209">
    <w:nsid w:val="68932F0C"/>
    <w:multiLevelType w:val="singleLevel"/>
    <w:tmpl w:val="F628219A"/>
    <w:lvl w:ilvl="0">
      <w:numFmt w:val="bullet"/>
      <w:lvlText w:val=""/>
      <w:lvlJc w:val="left"/>
      <w:pPr>
        <w:tabs>
          <w:tab w:val="num" w:pos="570"/>
        </w:tabs>
        <w:ind w:left="570" w:hanging="570"/>
      </w:pPr>
      <w:rPr>
        <w:rFonts w:ascii="Wingdings" w:hAnsi="Wingdings" w:hint="default"/>
        <w:sz w:val="28"/>
      </w:rPr>
    </w:lvl>
  </w:abstractNum>
  <w:abstractNum w:abstractNumId="1210">
    <w:nsid w:val="68956D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1">
    <w:nsid w:val="68974319"/>
    <w:multiLevelType w:val="singleLevel"/>
    <w:tmpl w:val="EFFE8AD2"/>
    <w:lvl w:ilvl="0">
      <w:numFmt w:val="bullet"/>
      <w:lvlText w:val="-"/>
      <w:lvlJc w:val="left"/>
      <w:pPr>
        <w:tabs>
          <w:tab w:val="num" w:pos="1068"/>
        </w:tabs>
        <w:ind w:left="1068" w:hanging="360"/>
      </w:pPr>
      <w:rPr>
        <w:rFonts w:ascii="Times New Roman" w:hAnsi="Times New Roman" w:hint="default"/>
      </w:rPr>
    </w:lvl>
  </w:abstractNum>
  <w:abstractNum w:abstractNumId="1212">
    <w:nsid w:val="68BF47D4"/>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213">
    <w:nsid w:val="68E745E3"/>
    <w:multiLevelType w:val="singleLevel"/>
    <w:tmpl w:val="8A320442"/>
    <w:lvl w:ilvl="0">
      <w:numFmt w:val="bullet"/>
      <w:lvlText w:val="-"/>
      <w:lvlJc w:val="left"/>
      <w:pPr>
        <w:tabs>
          <w:tab w:val="num" w:pos="1636"/>
        </w:tabs>
        <w:ind w:left="1636" w:hanging="360"/>
      </w:pPr>
      <w:rPr>
        <w:rFonts w:ascii="Times New Roman" w:hAnsi="Times New Roman" w:hint="default"/>
      </w:rPr>
    </w:lvl>
  </w:abstractNum>
  <w:abstractNum w:abstractNumId="1214">
    <w:nsid w:val="68F67C28"/>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215">
    <w:nsid w:val="6908338F"/>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216">
    <w:nsid w:val="69390625"/>
    <w:multiLevelType w:val="multilevel"/>
    <w:tmpl w:val="C26E9A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732"/>
        </w:tabs>
        <w:ind w:left="732" w:hanging="360"/>
      </w:pPr>
      <w:rPr>
        <w:rFonts w:ascii="Courier New" w:hAnsi="Courier New" w:hint="default"/>
      </w:rPr>
    </w:lvl>
    <w:lvl w:ilvl="2" w:tentative="1">
      <w:start w:val="1"/>
      <w:numFmt w:val="bullet"/>
      <w:lvlText w:val=""/>
      <w:lvlJc w:val="left"/>
      <w:pPr>
        <w:tabs>
          <w:tab w:val="num" w:pos="1452"/>
        </w:tabs>
        <w:ind w:left="1452" w:hanging="360"/>
      </w:pPr>
      <w:rPr>
        <w:rFonts w:ascii="Wingdings" w:hAnsi="Wingdings" w:hint="default"/>
      </w:rPr>
    </w:lvl>
    <w:lvl w:ilvl="3" w:tentative="1">
      <w:start w:val="1"/>
      <w:numFmt w:val="bullet"/>
      <w:lvlText w:val=""/>
      <w:lvlJc w:val="left"/>
      <w:pPr>
        <w:tabs>
          <w:tab w:val="num" w:pos="2172"/>
        </w:tabs>
        <w:ind w:left="2172" w:hanging="360"/>
      </w:pPr>
      <w:rPr>
        <w:rFonts w:ascii="Symbol" w:hAnsi="Symbol" w:hint="default"/>
      </w:rPr>
    </w:lvl>
    <w:lvl w:ilvl="4" w:tentative="1">
      <w:start w:val="1"/>
      <w:numFmt w:val="bullet"/>
      <w:lvlText w:val="o"/>
      <w:lvlJc w:val="left"/>
      <w:pPr>
        <w:tabs>
          <w:tab w:val="num" w:pos="2892"/>
        </w:tabs>
        <w:ind w:left="2892" w:hanging="360"/>
      </w:pPr>
      <w:rPr>
        <w:rFonts w:ascii="Courier New" w:hAnsi="Courier New" w:hint="default"/>
      </w:rPr>
    </w:lvl>
    <w:lvl w:ilvl="5" w:tentative="1">
      <w:start w:val="1"/>
      <w:numFmt w:val="bullet"/>
      <w:lvlText w:val=""/>
      <w:lvlJc w:val="left"/>
      <w:pPr>
        <w:tabs>
          <w:tab w:val="num" w:pos="3612"/>
        </w:tabs>
        <w:ind w:left="3612" w:hanging="360"/>
      </w:pPr>
      <w:rPr>
        <w:rFonts w:ascii="Wingdings" w:hAnsi="Wingdings" w:hint="default"/>
      </w:rPr>
    </w:lvl>
    <w:lvl w:ilvl="6" w:tentative="1">
      <w:start w:val="1"/>
      <w:numFmt w:val="bullet"/>
      <w:lvlText w:val=""/>
      <w:lvlJc w:val="left"/>
      <w:pPr>
        <w:tabs>
          <w:tab w:val="num" w:pos="4332"/>
        </w:tabs>
        <w:ind w:left="4332" w:hanging="360"/>
      </w:pPr>
      <w:rPr>
        <w:rFonts w:ascii="Symbol" w:hAnsi="Symbol" w:hint="default"/>
      </w:rPr>
    </w:lvl>
    <w:lvl w:ilvl="7" w:tentative="1">
      <w:start w:val="1"/>
      <w:numFmt w:val="bullet"/>
      <w:lvlText w:val="o"/>
      <w:lvlJc w:val="left"/>
      <w:pPr>
        <w:tabs>
          <w:tab w:val="num" w:pos="5052"/>
        </w:tabs>
        <w:ind w:left="5052" w:hanging="360"/>
      </w:pPr>
      <w:rPr>
        <w:rFonts w:ascii="Courier New" w:hAnsi="Courier New" w:hint="default"/>
      </w:rPr>
    </w:lvl>
    <w:lvl w:ilvl="8" w:tentative="1">
      <w:start w:val="1"/>
      <w:numFmt w:val="bullet"/>
      <w:lvlText w:val=""/>
      <w:lvlJc w:val="left"/>
      <w:pPr>
        <w:tabs>
          <w:tab w:val="num" w:pos="5772"/>
        </w:tabs>
        <w:ind w:left="5772" w:hanging="360"/>
      </w:pPr>
      <w:rPr>
        <w:rFonts w:ascii="Wingdings" w:hAnsi="Wingdings" w:hint="default"/>
      </w:rPr>
    </w:lvl>
  </w:abstractNum>
  <w:abstractNum w:abstractNumId="1217">
    <w:nsid w:val="694F4AF2"/>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218">
    <w:nsid w:val="6954117E"/>
    <w:multiLevelType w:val="singleLevel"/>
    <w:tmpl w:val="9738EE88"/>
    <w:lvl w:ilvl="0">
      <w:numFmt w:val="bullet"/>
      <w:lvlText w:val="-"/>
      <w:lvlJc w:val="left"/>
      <w:pPr>
        <w:tabs>
          <w:tab w:val="num" w:pos="927"/>
        </w:tabs>
        <w:ind w:left="927" w:hanging="360"/>
      </w:pPr>
      <w:rPr>
        <w:rFonts w:ascii="Times New Roman" w:hAnsi="Times New Roman" w:hint="default"/>
      </w:rPr>
    </w:lvl>
  </w:abstractNum>
  <w:abstractNum w:abstractNumId="1219">
    <w:nsid w:val="69621623"/>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220">
    <w:nsid w:val="696932AB"/>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21">
    <w:nsid w:val="696C232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22">
    <w:nsid w:val="696E7F95"/>
    <w:multiLevelType w:val="multilevel"/>
    <w:tmpl w:val="141E25F0"/>
    <w:lvl w:ilvl="0">
      <w:start w:val="1"/>
      <w:numFmt w:val="decimal"/>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1223">
    <w:nsid w:val="6970479F"/>
    <w:multiLevelType w:val="singleLevel"/>
    <w:tmpl w:val="0C0A000F"/>
    <w:lvl w:ilvl="0">
      <w:start w:val="1"/>
      <w:numFmt w:val="decimal"/>
      <w:lvlText w:val="%1."/>
      <w:lvlJc w:val="left"/>
      <w:pPr>
        <w:tabs>
          <w:tab w:val="num" w:pos="360"/>
        </w:tabs>
        <w:ind w:left="360" w:hanging="360"/>
      </w:pPr>
    </w:lvl>
  </w:abstractNum>
  <w:abstractNum w:abstractNumId="1224">
    <w:nsid w:val="69873C05"/>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1225">
    <w:nsid w:val="69B47409"/>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226">
    <w:nsid w:val="69BA49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7">
    <w:nsid w:val="69C20F8D"/>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228">
    <w:nsid w:val="69CD248C"/>
    <w:multiLevelType w:val="multilevel"/>
    <w:tmpl w:val="89865F1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50"/>
        </w:tabs>
        <w:ind w:left="750" w:hanging="750"/>
      </w:pPr>
      <w:rPr>
        <w:rFonts w:hint="default"/>
      </w:rPr>
    </w:lvl>
    <w:lvl w:ilvl="2">
      <w:start w:val="1"/>
      <w:numFmt w:val="decimal"/>
      <w:isLgl/>
      <w:lvlText w:val="%1.%2.%3."/>
      <w:lvlJc w:val="left"/>
      <w:pPr>
        <w:tabs>
          <w:tab w:val="num" w:pos="750"/>
        </w:tabs>
        <w:ind w:left="750" w:hanging="750"/>
      </w:pPr>
      <w:rPr>
        <w:rFonts w:hint="default"/>
      </w:rPr>
    </w:lvl>
    <w:lvl w:ilvl="3">
      <w:start w:val="1"/>
      <w:numFmt w:val="decimal"/>
      <w:isLgl/>
      <w:lvlText w:val="%1.%2.%3.%4."/>
      <w:lvlJc w:val="left"/>
      <w:pPr>
        <w:tabs>
          <w:tab w:val="num" w:pos="750"/>
        </w:tabs>
        <w:ind w:left="750" w:hanging="75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29">
    <w:nsid w:val="69E83E73"/>
    <w:multiLevelType w:val="multilevel"/>
    <w:tmpl w:val="FD483E4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0">
    <w:nsid w:val="69EB34C1"/>
    <w:multiLevelType w:val="singleLevel"/>
    <w:tmpl w:val="31D2CF36"/>
    <w:lvl w:ilvl="0">
      <w:start w:val="3"/>
      <w:numFmt w:val="decimal"/>
      <w:lvlText w:val="%1. "/>
      <w:legacy w:legacy="1" w:legacySpace="0" w:legacyIndent="283"/>
      <w:lvlJc w:val="left"/>
      <w:pPr>
        <w:ind w:left="283" w:hanging="283"/>
      </w:pPr>
      <w:rPr>
        <w:rFonts w:ascii="Arial" w:hAnsi="Arial" w:hint="default"/>
        <w:b/>
        <w:i w:val="0"/>
        <w:sz w:val="24"/>
        <w:u w:val="none"/>
      </w:rPr>
    </w:lvl>
  </w:abstractNum>
  <w:abstractNum w:abstractNumId="1231">
    <w:nsid w:val="69FD5C72"/>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232">
    <w:nsid w:val="69FE7A10"/>
    <w:multiLevelType w:val="singleLevel"/>
    <w:tmpl w:val="F8ECF7B8"/>
    <w:lvl w:ilvl="0">
      <w:start w:val="1"/>
      <w:numFmt w:val="bullet"/>
      <w:lvlText w:val="-"/>
      <w:lvlJc w:val="left"/>
      <w:pPr>
        <w:tabs>
          <w:tab w:val="num" w:pos="1785"/>
        </w:tabs>
        <w:ind w:left="1785" w:hanging="360"/>
      </w:pPr>
      <w:rPr>
        <w:rFonts w:hint="default"/>
      </w:rPr>
    </w:lvl>
  </w:abstractNum>
  <w:abstractNum w:abstractNumId="1233">
    <w:nsid w:val="6A0A4F6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34">
    <w:nsid w:val="6A0B08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35">
    <w:nsid w:val="6A5463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6">
    <w:nsid w:val="6A866DD6"/>
    <w:multiLevelType w:val="singleLevel"/>
    <w:tmpl w:val="0C0A000F"/>
    <w:lvl w:ilvl="0">
      <w:start w:val="1"/>
      <w:numFmt w:val="decimal"/>
      <w:lvlText w:val="%1."/>
      <w:lvlJc w:val="left"/>
      <w:pPr>
        <w:tabs>
          <w:tab w:val="num" w:pos="360"/>
        </w:tabs>
        <w:ind w:left="360" w:hanging="360"/>
      </w:pPr>
    </w:lvl>
  </w:abstractNum>
  <w:abstractNum w:abstractNumId="1237">
    <w:nsid w:val="6A8956D9"/>
    <w:multiLevelType w:val="singleLevel"/>
    <w:tmpl w:val="D55CD328"/>
    <w:lvl w:ilvl="0">
      <w:start w:val="1"/>
      <w:numFmt w:val="bullet"/>
      <w:lvlText w:val=""/>
      <w:lvlJc w:val="left"/>
      <w:pPr>
        <w:tabs>
          <w:tab w:val="num" w:pos="360"/>
        </w:tabs>
        <w:ind w:left="360" w:hanging="360"/>
      </w:pPr>
      <w:rPr>
        <w:rFonts w:ascii="Marlett" w:hAnsi="Marlett" w:hint="default"/>
      </w:rPr>
    </w:lvl>
  </w:abstractNum>
  <w:abstractNum w:abstractNumId="1238">
    <w:nsid w:val="6A964FDA"/>
    <w:multiLevelType w:val="multilevel"/>
    <w:tmpl w:val="5B38DC08"/>
    <w:lvl w:ilvl="0">
      <w:start w:val="3"/>
      <w:numFmt w:val="decimal"/>
      <w:lvlText w:val="%1."/>
      <w:lvlJc w:val="left"/>
      <w:pPr>
        <w:tabs>
          <w:tab w:val="num" w:pos="585"/>
        </w:tabs>
        <w:ind w:left="585" w:hanging="585"/>
      </w:pPr>
      <w:rPr>
        <w:rFonts w:hint="default"/>
        <w:b/>
      </w:rPr>
    </w:lvl>
    <w:lvl w:ilvl="1">
      <w:start w:val="2"/>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39">
    <w:nsid w:val="6AA50B6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40">
    <w:nsid w:val="6AAB00BA"/>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1241">
    <w:nsid w:val="6AB0227F"/>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242">
    <w:nsid w:val="6AB321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3">
    <w:nsid w:val="6AC84FDA"/>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44">
    <w:nsid w:val="6AE4008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5">
    <w:nsid w:val="6AF201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6">
    <w:nsid w:val="6AFB7D08"/>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247">
    <w:nsid w:val="6B014C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8">
    <w:nsid w:val="6B0D2BA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9">
    <w:nsid w:val="6B23703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50">
    <w:nsid w:val="6B2657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1">
    <w:nsid w:val="6B3471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2">
    <w:nsid w:val="6B53237D"/>
    <w:multiLevelType w:val="singleLevel"/>
    <w:tmpl w:val="8118D362"/>
    <w:lvl w:ilvl="0">
      <w:start w:val="6"/>
      <w:numFmt w:val="bullet"/>
      <w:lvlText w:val="-"/>
      <w:lvlJc w:val="left"/>
      <w:pPr>
        <w:tabs>
          <w:tab w:val="num" w:pos="360"/>
        </w:tabs>
        <w:ind w:left="360" w:hanging="360"/>
      </w:pPr>
      <w:rPr>
        <w:rFonts w:hint="default"/>
      </w:rPr>
    </w:lvl>
  </w:abstractNum>
  <w:abstractNum w:abstractNumId="1253">
    <w:nsid w:val="6B66019A"/>
    <w:multiLevelType w:val="multilevel"/>
    <w:tmpl w:val="2B224282"/>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54">
    <w:nsid w:val="6B764B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55">
    <w:nsid w:val="6B8219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6">
    <w:nsid w:val="6B9D2D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57">
    <w:nsid w:val="6B9F7DEA"/>
    <w:multiLevelType w:val="singleLevel"/>
    <w:tmpl w:val="B32A0868"/>
    <w:lvl w:ilvl="0">
      <w:start w:val="6"/>
      <w:numFmt w:val="decimal"/>
      <w:lvlText w:val="%1."/>
      <w:lvlJc w:val="left"/>
      <w:pPr>
        <w:tabs>
          <w:tab w:val="num" w:pos="360"/>
        </w:tabs>
        <w:ind w:left="360" w:hanging="360"/>
      </w:pPr>
    </w:lvl>
  </w:abstractNum>
  <w:abstractNum w:abstractNumId="1258">
    <w:nsid w:val="6BA3104A"/>
    <w:multiLevelType w:val="singleLevel"/>
    <w:tmpl w:val="840057B4"/>
    <w:lvl w:ilvl="0">
      <w:numFmt w:val="bullet"/>
      <w:lvlText w:val="-"/>
      <w:lvlJc w:val="left"/>
      <w:pPr>
        <w:tabs>
          <w:tab w:val="num" w:pos="360"/>
        </w:tabs>
        <w:ind w:left="360" w:hanging="360"/>
      </w:pPr>
      <w:rPr>
        <w:rFonts w:hint="default"/>
        <w:sz w:val="24"/>
      </w:rPr>
    </w:lvl>
  </w:abstractNum>
  <w:abstractNum w:abstractNumId="1259">
    <w:nsid w:val="6BBC61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0">
    <w:nsid w:val="6BBF42F1"/>
    <w:multiLevelType w:val="singleLevel"/>
    <w:tmpl w:val="72907C02"/>
    <w:lvl w:ilvl="0">
      <w:numFmt w:val="bullet"/>
      <w:lvlText w:val="-"/>
      <w:lvlJc w:val="left"/>
      <w:pPr>
        <w:tabs>
          <w:tab w:val="num" w:pos="2061"/>
        </w:tabs>
        <w:ind w:left="2061" w:hanging="360"/>
      </w:pPr>
      <w:rPr>
        <w:rFonts w:hint="default"/>
      </w:rPr>
    </w:lvl>
  </w:abstractNum>
  <w:abstractNum w:abstractNumId="1261">
    <w:nsid w:val="6BD050B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2">
    <w:nsid w:val="6C177A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3">
    <w:nsid w:val="6C2473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4">
    <w:nsid w:val="6C4731A5"/>
    <w:multiLevelType w:val="singleLevel"/>
    <w:tmpl w:val="900CA22A"/>
    <w:lvl w:ilvl="0">
      <w:start w:val="1"/>
      <w:numFmt w:val="decimal"/>
      <w:lvlText w:val="%1)"/>
      <w:lvlJc w:val="left"/>
      <w:pPr>
        <w:tabs>
          <w:tab w:val="num" w:pos="674"/>
        </w:tabs>
        <w:ind w:left="674" w:hanging="390"/>
      </w:pPr>
      <w:rPr>
        <w:rFonts w:hint="default"/>
      </w:rPr>
    </w:lvl>
  </w:abstractNum>
  <w:abstractNum w:abstractNumId="1265">
    <w:nsid w:val="6C512EB7"/>
    <w:multiLevelType w:val="multilevel"/>
    <w:tmpl w:val="995AAD2E"/>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66">
    <w:nsid w:val="6C5A0A29"/>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267">
    <w:nsid w:val="6C5C5E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8">
    <w:nsid w:val="6C7341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9">
    <w:nsid w:val="6C820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0">
    <w:nsid w:val="6C960B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71">
    <w:nsid w:val="6C9C70EF"/>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272">
    <w:nsid w:val="6CA12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3">
    <w:nsid w:val="6CA37164"/>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274">
    <w:nsid w:val="6CB05DA4"/>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275">
    <w:nsid w:val="6CBE0D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6">
    <w:nsid w:val="6CCD4AA6"/>
    <w:multiLevelType w:val="singleLevel"/>
    <w:tmpl w:val="0C0A0017"/>
    <w:lvl w:ilvl="0">
      <w:start w:val="1"/>
      <w:numFmt w:val="lowerLetter"/>
      <w:lvlText w:val="%1)"/>
      <w:lvlJc w:val="left"/>
      <w:pPr>
        <w:tabs>
          <w:tab w:val="num" w:pos="360"/>
        </w:tabs>
        <w:ind w:left="360" w:hanging="360"/>
      </w:pPr>
      <w:rPr>
        <w:rFonts w:hint="default"/>
      </w:rPr>
    </w:lvl>
  </w:abstractNum>
  <w:abstractNum w:abstractNumId="1277">
    <w:nsid w:val="6CDC0665"/>
    <w:multiLevelType w:val="singleLevel"/>
    <w:tmpl w:val="37844B22"/>
    <w:lvl w:ilvl="0">
      <w:start w:val="1"/>
      <w:numFmt w:val="bullet"/>
      <w:lvlText w:val=""/>
      <w:lvlJc w:val="left"/>
      <w:pPr>
        <w:tabs>
          <w:tab w:val="num" w:pos="360"/>
        </w:tabs>
        <w:ind w:left="360" w:hanging="360"/>
      </w:pPr>
      <w:rPr>
        <w:rFonts w:ascii="Wingdings" w:hAnsi="Wingdings" w:hint="default"/>
        <w:sz w:val="24"/>
      </w:rPr>
    </w:lvl>
  </w:abstractNum>
  <w:abstractNum w:abstractNumId="1278">
    <w:nsid w:val="6CFA06F9"/>
    <w:multiLevelType w:val="singleLevel"/>
    <w:tmpl w:val="C7B884F0"/>
    <w:lvl w:ilvl="0">
      <w:start w:val="1"/>
      <w:numFmt w:val="bullet"/>
      <w:lvlText w:val=""/>
      <w:lvlJc w:val="left"/>
      <w:pPr>
        <w:tabs>
          <w:tab w:val="num" w:pos="360"/>
        </w:tabs>
        <w:ind w:left="360" w:hanging="360"/>
      </w:pPr>
      <w:rPr>
        <w:rFonts w:ascii="Marlett" w:hAnsi="Marlett" w:hint="default"/>
      </w:rPr>
    </w:lvl>
  </w:abstractNum>
  <w:abstractNum w:abstractNumId="1279">
    <w:nsid w:val="6D036D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0">
    <w:nsid w:val="6D151749"/>
    <w:multiLevelType w:val="singleLevel"/>
    <w:tmpl w:val="FD0C374C"/>
    <w:lvl w:ilvl="0">
      <w:start w:val="1"/>
      <w:numFmt w:val="upperLetter"/>
      <w:lvlText w:val="%1)"/>
      <w:lvlJc w:val="left"/>
      <w:pPr>
        <w:tabs>
          <w:tab w:val="num" w:pos="360"/>
        </w:tabs>
        <w:ind w:left="360" w:hanging="360"/>
      </w:pPr>
      <w:rPr>
        <w:rFonts w:hint="default"/>
      </w:rPr>
    </w:lvl>
  </w:abstractNum>
  <w:abstractNum w:abstractNumId="1281">
    <w:nsid w:val="6D19240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82">
    <w:nsid w:val="6D1A5F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3">
    <w:nsid w:val="6D4713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84">
    <w:nsid w:val="6D534A61"/>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285">
    <w:nsid w:val="6D581956"/>
    <w:multiLevelType w:val="singleLevel"/>
    <w:tmpl w:val="110E8E66"/>
    <w:lvl w:ilvl="0">
      <w:start w:val="1"/>
      <w:numFmt w:val="bullet"/>
      <w:lvlText w:val="-"/>
      <w:lvlJc w:val="left"/>
      <w:pPr>
        <w:tabs>
          <w:tab w:val="num" w:pos="1069"/>
        </w:tabs>
        <w:ind w:left="1069" w:hanging="360"/>
      </w:pPr>
      <w:rPr>
        <w:rFonts w:ascii="Times New Roman" w:hAnsi="Times New Roman" w:hint="default"/>
      </w:rPr>
    </w:lvl>
  </w:abstractNum>
  <w:abstractNum w:abstractNumId="1286">
    <w:nsid w:val="6D744A18"/>
    <w:multiLevelType w:val="singleLevel"/>
    <w:tmpl w:val="93360D04"/>
    <w:lvl w:ilvl="0">
      <w:start w:val="1"/>
      <w:numFmt w:val="bullet"/>
      <w:lvlText w:val="-"/>
      <w:lvlJc w:val="left"/>
      <w:pPr>
        <w:tabs>
          <w:tab w:val="num" w:pos="360"/>
        </w:tabs>
        <w:ind w:left="360" w:hanging="360"/>
      </w:pPr>
      <w:rPr>
        <w:rFonts w:ascii="Times New Roman" w:hAnsi="Times New Roman" w:hint="default"/>
      </w:rPr>
    </w:lvl>
  </w:abstractNum>
  <w:abstractNum w:abstractNumId="1287">
    <w:nsid w:val="6D7F7BE2"/>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288">
    <w:nsid w:val="6DC0375B"/>
    <w:multiLevelType w:val="singleLevel"/>
    <w:tmpl w:val="AEE881FE"/>
    <w:lvl w:ilvl="0">
      <w:start w:val="1"/>
      <w:numFmt w:val="bullet"/>
      <w:lvlText w:val=""/>
      <w:lvlJc w:val="left"/>
      <w:pPr>
        <w:tabs>
          <w:tab w:val="num" w:pos="360"/>
        </w:tabs>
        <w:ind w:left="360" w:hanging="360"/>
      </w:pPr>
      <w:rPr>
        <w:rFonts w:ascii="Symbol" w:hAnsi="Symbol" w:hint="default"/>
      </w:rPr>
    </w:lvl>
  </w:abstractNum>
  <w:abstractNum w:abstractNumId="1289">
    <w:nsid w:val="6DD6729D"/>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1290">
    <w:nsid w:val="6DE71435"/>
    <w:multiLevelType w:val="singleLevel"/>
    <w:tmpl w:val="F94C7D90"/>
    <w:lvl w:ilvl="0">
      <w:start w:val="226"/>
      <w:numFmt w:val="bullet"/>
      <w:lvlText w:val="-"/>
      <w:lvlJc w:val="left"/>
      <w:pPr>
        <w:tabs>
          <w:tab w:val="num" w:pos="927"/>
        </w:tabs>
        <w:ind w:left="927" w:hanging="360"/>
      </w:pPr>
      <w:rPr>
        <w:rFonts w:ascii="Times New Roman" w:hAnsi="Times New Roman" w:hint="default"/>
      </w:rPr>
    </w:lvl>
  </w:abstractNum>
  <w:abstractNum w:abstractNumId="1291">
    <w:nsid w:val="6DF92EE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2">
    <w:nsid w:val="6E1F7C3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93">
    <w:nsid w:val="6E2833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94">
    <w:nsid w:val="6E492FFA"/>
    <w:multiLevelType w:val="singleLevel"/>
    <w:tmpl w:val="0C0A0011"/>
    <w:lvl w:ilvl="0">
      <w:start w:val="58"/>
      <w:numFmt w:val="decimal"/>
      <w:lvlText w:val="%1)"/>
      <w:lvlJc w:val="left"/>
      <w:pPr>
        <w:tabs>
          <w:tab w:val="num" w:pos="360"/>
        </w:tabs>
        <w:ind w:left="360" w:hanging="360"/>
      </w:pPr>
      <w:rPr>
        <w:rFonts w:hint="default"/>
      </w:rPr>
    </w:lvl>
  </w:abstractNum>
  <w:abstractNum w:abstractNumId="1295">
    <w:nsid w:val="6E533EAA"/>
    <w:multiLevelType w:val="singleLevel"/>
    <w:tmpl w:val="927E5940"/>
    <w:lvl w:ilvl="0">
      <w:start w:val="1"/>
      <w:numFmt w:val="bullet"/>
      <w:lvlText w:val=""/>
      <w:lvlJc w:val="left"/>
      <w:pPr>
        <w:tabs>
          <w:tab w:val="num" w:pos="360"/>
        </w:tabs>
        <w:ind w:left="360" w:hanging="360"/>
      </w:pPr>
      <w:rPr>
        <w:rFonts w:ascii="Wingdings" w:hAnsi="Wingdings" w:hint="default"/>
        <w:sz w:val="16"/>
      </w:rPr>
    </w:lvl>
  </w:abstractNum>
  <w:abstractNum w:abstractNumId="1296">
    <w:nsid w:val="6E822E20"/>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1297">
    <w:nsid w:val="6ED64FCB"/>
    <w:multiLevelType w:val="singleLevel"/>
    <w:tmpl w:val="0C0A000F"/>
    <w:lvl w:ilvl="0">
      <w:start w:val="1"/>
      <w:numFmt w:val="decimal"/>
      <w:lvlText w:val="%1."/>
      <w:lvlJc w:val="left"/>
      <w:pPr>
        <w:tabs>
          <w:tab w:val="num" w:pos="360"/>
        </w:tabs>
        <w:ind w:left="360" w:hanging="360"/>
      </w:pPr>
    </w:lvl>
  </w:abstractNum>
  <w:abstractNum w:abstractNumId="1298">
    <w:nsid w:val="6EE228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9">
    <w:nsid w:val="6EF32B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0">
    <w:nsid w:val="6F0A10E5"/>
    <w:multiLevelType w:val="singleLevel"/>
    <w:tmpl w:val="37844B22"/>
    <w:lvl w:ilvl="0">
      <w:start w:val="1"/>
      <w:numFmt w:val="bullet"/>
      <w:lvlText w:val=""/>
      <w:lvlJc w:val="left"/>
      <w:pPr>
        <w:tabs>
          <w:tab w:val="num" w:pos="360"/>
        </w:tabs>
        <w:ind w:left="360" w:hanging="360"/>
      </w:pPr>
      <w:rPr>
        <w:rFonts w:ascii="Wingdings" w:hAnsi="Wingdings" w:hint="default"/>
        <w:sz w:val="24"/>
      </w:rPr>
    </w:lvl>
  </w:abstractNum>
  <w:abstractNum w:abstractNumId="1301">
    <w:nsid w:val="6F0F6402"/>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302">
    <w:nsid w:val="6F2C281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303">
    <w:nsid w:val="6F473FC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04">
    <w:nsid w:val="6F5F5681"/>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305">
    <w:nsid w:val="6F5F71F3"/>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306">
    <w:nsid w:val="6F6F536E"/>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307">
    <w:nsid w:val="6F79347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08">
    <w:nsid w:val="6F880E04"/>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1309">
    <w:nsid w:val="6F902B63"/>
    <w:multiLevelType w:val="singleLevel"/>
    <w:tmpl w:val="0C0A0011"/>
    <w:lvl w:ilvl="0">
      <w:start w:val="1"/>
      <w:numFmt w:val="decimal"/>
      <w:lvlText w:val="%1)"/>
      <w:lvlJc w:val="left"/>
      <w:pPr>
        <w:tabs>
          <w:tab w:val="num" w:pos="360"/>
        </w:tabs>
        <w:ind w:left="360" w:hanging="360"/>
      </w:pPr>
    </w:lvl>
  </w:abstractNum>
  <w:abstractNum w:abstractNumId="1310">
    <w:nsid w:val="6FA2644F"/>
    <w:multiLevelType w:val="singleLevel"/>
    <w:tmpl w:val="8118D362"/>
    <w:lvl w:ilvl="0">
      <w:start w:val="6"/>
      <w:numFmt w:val="bullet"/>
      <w:lvlText w:val="-"/>
      <w:lvlJc w:val="left"/>
      <w:pPr>
        <w:tabs>
          <w:tab w:val="num" w:pos="360"/>
        </w:tabs>
        <w:ind w:left="360" w:hanging="360"/>
      </w:pPr>
      <w:rPr>
        <w:rFonts w:hint="default"/>
      </w:rPr>
    </w:lvl>
  </w:abstractNum>
  <w:abstractNum w:abstractNumId="1311">
    <w:nsid w:val="6FAA1E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2">
    <w:nsid w:val="6FB711DB"/>
    <w:multiLevelType w:val="singleLevel"/>
    <w:tmpl w:val="719E420C"/>
    <w:lvl w:ilvl="0">
      <w:numFmt w:val="bullet"/>
      <w:lvlText w:val="-"/>
      <w:lvlJc w:val="left"/>
      <w:pPr>
        <w:tabs>
          <w:tab w:val="num" w:pos="360"/>
        </w:tabs>
        <w:ind w:left="360" w:hanging="360"/>
      </w:pPr>
      <w:rPr>
        <w:rFonts w:ascii="Times New Roman" w:hAnsi="Times New Roman" w:hint="default"/>
      </w:rPr>
    </w:lvl>
  </w:abstractNum>
  <w:abstractNum w:abstractNumId="1313">
    <w:nsid w:val="6FDA577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4">
    <w:nsid w:val="70083EFA"/>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315">
    <w:nsid w:val="70361779"/>
    <w:multiLevelType w:val="multilevel"/>
    <w:tmpl w:val="41C2FF3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8"/>
        </w:tabs>
        <w:ind w:left="1098" w:hanging="39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1316">
    <w:nsid w:val="704715E3"/>
    <w:multiLevelType w:val="singleLevel"/>
    <w:tmpl w:val="7EE6C5CC"/>
    <w:lvl w:ilvl="0">
      <w:start w:val="2"/>
      <w:numFmt w:val="bullet"/>
      <w:lvlText w:val="-"/>
      <w:lvlJc w:val="left"/>
      <w:pPr>
        <w:tabs>
          <w:tab w:val="num" w:pos="360"/>
        </w:tabs>
        <w:ind w:left="360" w:hanging="360"/>
      </w:pPr>
      <w:rPr>
        <w:rFonts w:ascii="Times New Roman" w:hAnsi="Times New Roman" w:hint="default"/>
      </w:rPr>
    </w:lvl>
  </w:abstractNum>
  <w:abstractNum w:abstractNumId="1317">
    <w:nsid w:val="70500789"/>
    <w:multiLevelType w:val="singleLevel"/>
    <w:tmpl w:val="F8ECF7B8"/>
    <w:lvl w:ilvl="0">
      <w:start w:val="1"/>
      <w:numFmt w:val="bullet"/>
      <w:lvlText w:val="-"/>
      <w:lvlJc w:val="left"/>
      <w:pPr>
        <w:tabs>
          <w:tab w:val="num" w:pos="1785"/>
        </w:tabs>
        <w:ind w:left="1785" w:hanging="360"/>
      </w:pPr>
      <w:rPr>
        <w:rFonts w:hint="default"/>
      </w:rPr>
    </w:lvl>
  </w:abstractNum>
  <w:abstractNum w:abstractNumId="1318">
    <w:nsid w:val="70553C1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19">
    <w:nsid w:val="70663F00"/>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320">
    <w:nsid w:val="7071655F"/>
    <w:multiLevelType w:val="singleLevel"/>
    <w:tmpl w:val="942E386E"/>
    <w:lvl w:ilvl="0">
      <w:start w:val="1"/>
      <w:numFmt w:val="bullet"/>
      <w:lvlText w:val=""/>
      <w:lvlJc w:val="left"/>
      <w:pPr>
        <w:tabs>
          <w:tab w:val="num" w:pos="2041"/>
        </w:tabs>
        <w:ind w:left="2041" w:hanging="453"/>
      </w:pPr>
      <w:rPr>
        <w:rFonts w:ascii="Wingdings" w:hAnsi="Wingdings" w:hint="default"/>
      </w:rPr>
    </w:lvl>
  </w:abstractNum>
  <w:abstractNum w:abstractNumId="1321">
    <w:nsid w:val="707A3750"/>
    <w:multiLevelType w:val="multilevel"/>
    <w:tmpl w:val="807EEA4A"/>
    <w:lvl w:ilvl="0">
      <w:start w:val="6"/>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22">
    <w:nsid w:val="70943DFE"/>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323">
    <w:nsid w:val="70EC70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4">
    <w:nsid w:val="70F065A3"/>
    <w:multiLevelType w:val="singleLevel"/>
    <w:tmpl w:val="F6D85F48"/>
    <w:lvl w:ilvl="0">
      <w:numFmt w:val="bullet"/>
      <w:lvlText w:val="-"/>
      <w:lvlJc w:val="left"/>
      <w:pPr>
        <w:tabs>
          <w:tab w:val="num" w:pos="360"/>
        </w:tabs>
        <w:ind w:left="360" w:hanging="360"/>
      </w:pPr>
      <w:rPr>
        <w:rFonts w:hint="default"/>
      </w:rPr>
    </w:lvl>
  </w:abstractNum>
  <w:abstractNum w:abstractNumId="1325">
    <w:nsid w:val="70F3781A"/>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1326">
    <w:nsid w:val="71023BFF"/>
    <w:multiLevelType w:val="singleLevel"/>
    <w:tmpl w:val="70A4A3A0"/>
    <w:lvl w:ilvl="0">
      <w:start w:val="1"/>
      <w:numFmt w:val="bullet"/>
      <w:lvlText w:val=""/>
      <w:lvlJc w:val="left"/>
      <w:pPr>
        <w:tabs>
          <w:tab w:val="num" w:pos="360"/>
        </w:tabs>
        <w:ind w:left="360" w:hanging="360"/>
      </w:pPr>
      <w:rPr>
        <w:rFonts w:ascii="Symbol" w:hAnsi="Symbol" w:hint="default"/>
      </w:rPr>
    </w:lvl>
  </w:abstractNum>
  <w:abstractNum w:abstractNumId="1327">
    <w:nsid w:val="71215B53"/>
    <w:multiLevelType w:val="singleLevel"/>
    <w:tmpl w:val="97EE03AA"/>
    <w:lvl w:ilvl="0">
      <w:start w:val="1"/>
      <w:numFmt w:val="decimal"/>
      <w:lvlText w:val="%1."/>
      <w:lvlJc w:val="left"/>
      <w:pPr>
        <w:tabs>
          <w:tab w:val="num" w:pos="786"/>
        </w:tabs>
        <w:ind w:left="786" w:hanging="360"/>
      </w:pPr>
      <w:rPr>
        <w:rFonts w:hint="default"/>
      </w:rPr>
    </w:lvl>
  </w:abstractNum>
  <w:abstractNum w:abstractNumId="1328">
    <w:nsid w:val="712E54FB"/>
    <w:multiLevelType w:val="singleLevel"/>
    <w:tmpl w:val="C32E769A"/>
    <w:lvl w:ilvl="0">
      <w:start w:val="1"/>
      <w:numFmt w:val="lowerLetter"/>
      <w:lvlText w:val="%1)"/>
      <w:lvlJc w:val="left"/>
      <w:pPr>
        <w:tabs>
          <w:tab w:val="num" w:pos="1211"/>
        </w:tabs>
        <w:ind w:left="1211" w:hanging="360"/>
      </w:pPr>
      <w:rPr>
        <w:rFonts w:hint="default"/>
      </w:rPr>
    </w:lvl>
  </w:abstractNum>
  <w:abstractNum w:abstractNumId="1329">
    <w:nsid w:val="713B364C"/>
    <w:multiLevelType w:val="multilevel"/>
    <w:tmpl w:val="9BC0C626"/>
    <w:lvl w:ilvl="0">
      <w:start w:val="3"/>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30">
    <w:nsid w:val="715F15D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31">
    <w:nsid w:val="715F26C1"/>
    <w:multiLevelType w:val="singleLevel"/>
    <w:tmpl w:val="76FE5BC4"/>
    <w:lvl w:ilvl="0">
      <w:numFmt w:val="bullet"/>
      <w:lvlText w:val="-"/>
      <w:lvlJc w:val="left"/>
      <w:pPr>
        <w:tabs>
          <w:tab w:val="num" w:pos="750"/>
        </w:tabs>
        <w:ind w:left="750" w:hanging="360"/>
      </w:pPr>
      <w:rPr>
        <w:rFonts w:ascii="Times New Roman" w:hAnsi="Times New Roman" w:hint="default"/>
      </w:rPr>
    </w:lvl>
  </w:abstractNum>
  <w:abstractNum w:abstractNumId="1332">
    <w:nsid w:val="716C7A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3">
    <w:nsid w:val="717A2381"/>
    <w:multiLevelType w:val="multilevel"/>
    <w:tmpl w:val="9BF44B9E"/>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334">
    <w:nsid w:val="71895DB9"/>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335">
    <w:nsid w:val="71B21C0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36">
    <w:nsid w:val="71D4226C"/>
    <w:multiLevelType w:val="singleLevel"/>
    <w:tmpl w:val="0C0A000F"/>
    <w:lvl w:ilvl="0">
      <w:start w:val="1"/>
      <w:numFmt w:val="decimal"/>
      <w:lvlText w:val="%1."/>
      <w:lvlJc w:val="left"/>
      <w:pPr>
        <w:tabs>
          <w:tab w:val="num" w:pos="360"/>
        </w:tabs>
        <w:ind w:left="360" w:hanging="360"/>
      </w:pPr>
    </w:lvl>
  </w:abstractNum>
  <w:abstractNum w:abstractNumId="1337">
    <w:nsid w:val="72015F58"/>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338">
    <w:nsid w:val="725C714E"/>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339">
    <w:nsid w:val="727F4789"/>
    <w:multiLevelType w:val="multilevel"/>
    <w:tmpl w:val="C3F41D4A"/>
    <w:lvl w:ilvl="0">
      <w:start w:val="11"/>
      <w:numFmt w:val="upperLetter"/>
      <w:lvlText w:val="%1)"/>
      <w:lvlJc w:val="left"/>
      <w:pPr>
        <w:tabs>
          <w:tab w:val="num" w:pos="349"/>
        </w:tabs>
        <w:ind w:left="349" w:hanging="360"/>
      </w:pPr>
      <w:rPr>
        <w:rFonts w:hint="default"/>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1340">
    <w:nsid w:val="729C1160"/>
    <w:multiLevelType w:val="singleLevel"/>
    <w:tmpl w:val="0C0A000F"/>
    <w:lvl w:ilvl="0">
      <w:start w:val="1"/>
      <w:numFmt w:val="decimal"/>
      <w:lvlText w:val="%1."/>
      <w:lvlJc w:val="left"/>
      <w:pPr>
        <w:tabs>
          <w:tab w:val="num" w:pos="360"/>
        </w:tabs>
        <w:ind w:left="360" w:hanging="360"/>
      </w:pPr>
    </w:lvl>
  </w:abstractNum>
  <w:abstractNum w:abstractNumId="1341">
    <w:nsid w:val="72A56820"/>
    <w:multiLevelType w:val="singleLevel"/>
    <w:tmpl w:val="68701C0E"/>
    <w:lvl w:ilvl="0">
      <w:start w:val="1"/>
      <w:numFmt w:val="bullet"/>
      <w:lvlText w:val=""/>
      <w:lvlJc w:val="left"/>
      <w:pPr>
        <w:tabs>
          <w:tab w:val="num" w:pos="360"/>
        </w:tabs>
        <w:ind w:left="360" w:hanging="360"/>
      </w:pPr>
      <w:rPr>
        <w:rFonts w:ascii="Symbol" w:hAnsi="Symbol" w:hint="default"/>
      </w:rPr>
    </w:lvl>
  </w:abstractNum>
  <w:abstractNum w:abstractNumId="1342">
    <w:nsid w:val="72B9736B"/>
    <w:multiLevelType w:val="singleLevel"/>
    <w:tmpl w:val="51F81064"/>
    <w:lvl w:ilvl="0">
      <w:start w:val="1"/>
      <w:numFmt w:val="decimal"/>
      <w:lvlText w:val="%1)"/>
      <w:lvlJc w:val="left"/>
      <w:pPr>
        <w:tabs>
          <w:tab w:val="num" w:pos="927"/>
        </w:tabs>
        <w:ind w:left="927" w:hanging="360"/>
      </w:pPr>
      <w:rPr>
        <w:rFonts w:hint="default"/>
      </w:rPr>
    </w:lvl>
  </w:abstractNum>
  <w:abstractNum w:abstractNumId="1343">
    <w:nsid w:val="72CB36E5"/>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1344">
    <w:nsid w:val="72DA77DD"/>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345">
    <w:nsid w:val="73084352"/>
    <w:multiLevelType w:val="singleLevel"/>
    <w:tmpl w:val="E3BC4A1C"/>
    <w:lvl w:ilvl="0">
      <w:start w:val="4"/>
      <w:numFmt w:val="decimal"/>
      <w:lvlText w:val="%1"/>
      <w:lvlJc w:val="left"/>
      <w:pPr>
        <w:tabs>
          <w:tab w:val="num" w:pos="360"/>
        </w:tabs>
        <w:ind w:left="360" w:hanging="360"/>
      </w:pPr>
      <w:rPr>
        <w:rFonts w:hint="default"/>
        <w:b w:val="0"/>
        <w:i/>
      </w:rPr>
    </w:lvl>
  </w:abstractNum>
  <w:abstractNum w:abstractNumId="1346">
    <w:nsid w:val="730B4521"/>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1347">
    <w:nsid w:val="733E524E"/>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348">
    <w:nsid w:val="736E17A8"/>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349">
    <w:nsid w:val="737F11F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0">
    <w:nsid w:val="73960BC2"/>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51">
    <w:nsid w:val="73973B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2">
    <w:nsid w:val="739E3273"/>
    <w:multiLevelType w:val="singleLevel"/>
    <w:tmpl w:val="5AF4A3C6"/>
    <w:lvl w:ilvl="0">
      <w:start w:val="1"/>
      <w:numFmt w:val="lowerLetter"/>
      <w:lvlText w:val="%1)"/>
      <w:lvlJc w:val="left"/>
      <w:pPr>
        <w:tabs>
          <w:tab w:val="num" w:pos="927"/>
        </w:tabs>
        <w:ind w:left="927" w:hanging="360"/>
      </w:pPr>
      <w:rPr>
        <w:rFonts w:hint="default"/>
      </w:rPr>
    </w:lvl>
  </w:abstractNum>
  <w:abstractNum w:abstractNumId="1353">
    <w:nsid w:val="73A546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4">
    <w:nsid w:val="73D20F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5">
    <w:nsid w:val="73E743DE"/>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356">
    <w:nsid w:val="73EB4A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7">
    <w:nsid w:val="74110580"/>
    <w:multiLevelType w:val="multilevel"/>
    <w:tmpl w:val="54C0D668"/>
    <w:lvl w:ilvl="0">
      <w:start w:val="1"/>
      <w:numFmt w:val="bullet"/>
      <w:lvlText w:val=""/>
      <w:lvlJc w:val="left"/>
      <w:pPr>
        <w:tabs>
          <w:tab w:val="num" w:pos="1571"/>
        </w:tabs>
        <w:ind w:left="1571" w:hanging="360"/>
      </w:pPr>
      <w:rPr>
        <w:rFonts w:ascii="Symbol" w:hAnsi="Symbol" w:hint="default"/>
      </w:rPr>
    </w:lvl>
    <w:lvl w:ilvl="1" w:tentative="1">
      <w:start w:val="1"/>
      <w:numFmt w:val="bullet"/>
      <w:lvlText w:val="o"/>
      <w:lvlJc w:val="left"/>
      <w:pPr>
        <w:tabs>
          <w:tab w:val="num" w:pos="2291"/>
        </w:tabs>
        <w:ind w:left="2291" w:hanging="360"/>
      </w:pPr>
      <w:rPr>
        <w:rFonts w:ascii="Courier New" w:hAnsi="Courier New"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1358">
    <w:nsid w:val="74397AB6"/>
    <w:multiLevelType w:val="multilevel"/>
    <w:tmpl w:val="F5CE8620"/>
    <w:lvl w:ilvl="0">
      <w:start w:val="3"/>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59">
    <w:nsid w:val="74442C5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60">
    <w:nsid w:val="74703E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1">
    <w:nsid w:val="7475725C"/>
    <w:multiLevelType w:val="singleLevel"/>
    <w:tmpl w:val="0C0A0011"/>
    <w:lvl w:ilvl="0">
      <w:start w:val="1"/>
      <w:numFmt w:val="decimal"/>
      <w:lvlText w:val="%1)"/>
      <w:lvlJc w:val="left"/>
      <w:pPr>
        <w:tabs>
          <w:tab w:val="num" w:pos="360"/>
        </w:tabs>
        <w:ind w:left="360" w:hanging="360"/>
      </w:pPr>
      <w:rPr>
        <w:rFonts w:hint="default"/>
      </w:rPr>
    </w:lvl>
  </w:abstractNum>
  <w:abstractNum w:abstractNumId="1362">
    <w:nsid w:val="747D1E4A"/>
    <w:multiLevelType w:val="singleLevel"/>
    <w:tmpl w:val="97E0E2DC"/>
    <w:lvl w:ilvl="0">
      <w:start w:val="1"/>
      <w:numFmt w:val="bullet"/>
      <w:lvlText w:val="◦"/>
      <w:lvlJc w:val="left"/>
      <w:pPr>
        <w:tabs>
          <w:tab w:val="num" w:pos="360"/>
        </w:tabs>
        <w:ind w:left="360" w:hanging="360"/>
      </w:pPr>
      <w:rPr>
        <w:rFonts w:ascii="Tahoma" w:hAnsi="Tahoma" w:hint="default"/>
      </w:rPr>
    </w:lvl>
  </w:abstractNum>
  <w:abstractNum w:abstractNumId="1363">
    <w:nsid w:val="748031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64">
    <w:nsid w:val="74AF22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5">
    <w:nsid w:val="75115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6">
    <w:nsid w:val="753E29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7">
    <w:nsid w:val="75447BBC"/>
    <w:multiLevelType w:val="singleLevel"/>
    <w:tmpl w:val="4954A6AE"/>
    <w:lvl w:ilvl="0">
      <w:numFmt w:val="bullet"/>
      <w:lvlText w:val="-"/>
      <w:lvlJc w:val="left"/>
      <w:pPr>
        <w:tabs>
          <w:tab w:val="num" w:pos="1211"/>
        </w:tabs>
        <w:ind w:left="1211" w:hanging="360"/>
      </w:pPr>
      <w:rPr>
        <w:rFonts w:ascii="Times New Roman" w:hAnsi="Times New Roman" w:hint="default"/>
      </w:rPr>
    </w:lvl>
  </w:abstractNum>
  <w:abstractNum w:abstractNumId="1368">
    <w:nsid w:val="75686AB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9">
    <w:nsid w:val="75836EA1"/>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370">
    <w:nsid w:val="75D5497A"/>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371">
    <w:nsid w:val="75E656F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72">
    <w:nsid w:val="75EC391B"/>
    <w:multiLevelType w:val="singleLevel"/>
    <w:tmpl w:val="0C0A000F"/>
    <w:lvl w:ilvl="0">
      <w:start w:val="1"/>
      <w:numFmt w:val="decimal"/>
      <w:lvlText w:val="%1."/>
      <w:lvlJc w:val="left"/>
      <w:pPr>
        <w:tabs>
          <w:tab w:val="num" w:pos="360"/>
        </w:tabs>
        <w:ind w:left="360" w:hanging="360"/>
      </w:pPr>
      <w:rPr>
        <w:rFonts w:hint="default"/>
      </w:rPr>
    </w:lvl>
  </w:abstractNum>
  <w:abstractNum w:abstractNumId="1373">
    <w:nsid w:val="76113C0C"/>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374">
    <w:nsid w:val="76283102"/>
    <w:multiLevelType w:val="singleLevel"/>
    <w:tmpl w:val="7088AE4A"/>
    <w:lvl w:ilvl="0">
      <w:start w:val="1"/>
      <w:numFmt w:val="decimal"/>
      <w:lvlText w:val="%1."/>
      <w:lvlJc w:val="left"/>
      <w:pPr>
        <w:tabs>
          <w:tab w:val="num" w:pos="360"/>
        </w:tabs>
        <w:ind w:left="360" w:hanging="360"/>
      </w:pPr>
      <w:rPr>
        <w:b/>
        <w:i w:val="0"/>
      </w:rPr>
    </w:lvl>
  </w:abstractNum>
  <w:abstractNum w:abstractNumId="1375">
    <w:nsid w:val="762B28E7"/>
    <w:multiLevelType w:val="singleLevel"/>
    <w:tmpl w:val="7826D29E"/>
    <w:lvl w:ilvl="0">
      <w:start w:val="1"/>
      <w:numFmt w:val="bullet"/>
      <w:lvlText w:val=""/>
      <w:lvlJc w:val="left"/>
      <w:pPr>
        <w:tabs>
          <w:tab w:val="num" w:pos="360"/>
        </w:tabs>
        <w:ind w:left="360" w:hanging="360"/>
      </w:pPr>
      <w:rPr>
        <w:rFonts w:ascii="Wingdings" w:hAnsi="Wingdings" w:hint="default"/>
        <w:shadow/>
        <w:emboss w:val="0"/>
        <w:imprint w:val="0"/>
        <w:sz w:val="22"/>
      </w:rPr>
    </w:lvl>
  </w:abstractNum>
  <w:abstractNum w:abstractNumId="1376">
    <w:nsid w:val="763A5DC8"/>
    <w:multiLevelType w:val="singleLevel"/>
    <w:tmpl w:val="8788E488"/>
    <w:lvl w:ilvl="0">
      <w:start w:val="24"/>
      <w:numFmt w:val="bullet"/>
      <w:lvlText w:val="-"/>
      <w:lvlJc w:val="left"/>
      <w:pPr>
        <w:tabs>
          <w:tab w:val="num" w:pos="644"/>
        </w:tabs>
        <w:ind w:left="644" w:hanging="360"/>
      </w:pPr>
      <w:rPr>
        <w:rFonts w:ascii="Times New Roman" w:hAnsi="Times New Roman" w:hint="default"/>
        <w:b/>
      </w:rPr>
    </w:lvl>
  </w:abstractNum>
  <w:abstractNum w:abstractNumId="1377">
    <w:nsid w:val="764926D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8">
    <w:nsid w:val="7662578B"/>
    <w:multiLevelType w:val="singleLevel"/>
    <w:tmpl w:val="2F3C567A"/>
    <w:lvl w:ilvl="0">
      <w:start w:val="1"/>
      <w:numFmt w:val="bullet"/>
      <w:lvlText w:val=""/>
      <w:lvlJc w:val="left"/>
      <w:pPr>
        <w:tabs>
          <w:tab w:val="num" w:pos="360"/>
        </w:tabs>
        <w:ind w:left="360" w:hanging="360"/>
      </w:pPr>
      <w:rPr>
        <w:rFonts w:ascii="Symbol" w:hAnsi="Symbol" w:hint="default"/>
      </w:rPr>
    </w:lvl>
  </w:abstractNum>
  <w:abstractNum w:abstractNumId="1379">
    <w:nsid w:val="766D170D"/>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1380">
    <w:nsid w:val="76713129"/>
    <w:multiLevelType w:val="singleLevel"/>
    <w:tmpl w:val="1F86E102"/>
    <w:lvl w:ilvl="0">
      <w:start w:val="1"/>
      <w:numFmt w:val="bullet"/>
      <w:lvlText w:val=""/>
      <w:lvlJc w:val="left"/>
      <w:pPr>
        <w:tabs>
          <w:tab w:val="num" w:pos="360"/>
        </w:tabs>
        <w:ind w:left="360" w:hanging="360"/>
      </w:pPr>
      <w:rPr>
        <w:rFonts w:ascii="Symbol" w:hAnsi="Symbol" w:hint="default"/>
        <w:sz w:val="16"/>
      </w:rPr>
    </w:lvl>
  </w:abstractNum>
  <w:abstractNum w:abstractNumId="1381">
    <w:nsid w:val="76741EFC"/>
    <w:multiLevelType w:val="singleLevel"/>
    <w:tmpl w:val="0C0A000F"/>
    <w:lvl w:ilvl="0">
      <w:start w:val="1"/>
      <w:numFmt w:val="decimal"/>
      <w:lvlText w:val="%1."/>
      <w:lvlJc w:val="left"/>
      <w:pPr>
        <w:tabs>
          <w:tab w:val="num" w:pos="360"/>
        </w:tabs>
        <w:ind w:left="360" w:hanging="360"/>
      </w:pPr>
      <w:rPr>
        <w:rFonts w:hint="default"/>
      </w:rPr>
    </w:lvl>
  </w:abstractNum>
  <w:abstractNum w:abstractNumId="1382">
    <w:nsid w:val="769512BB"/>
    <w:multiLevelType w:val="singleLevel"/>
    <w:tmpl w:val="587C236C"/>
    <w:lvl w:ilvl="0">
      <w:numFmt w:val="bullet"/>
      <w:lvlText w:val="-"/>
      <w:lvlJc w:val="left"/>
      <w:pPr>
        <w:tabs>
          <w:tab w:val="num" w:pos="644"/>
        </w:tabs>
        <w:ind w:left="644" w:hanging="360"/>
      </w:pPr>
      <w:rPr>
        <w:rFonts w:hint="default"/>
      </w:rPr>
    </w:lvl>
  </w:abstractNum>
  <w:abstractNum w:abstractNumId="1383">
    <w:nsid w:val="76B551C3"/>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384">
    <w:nsid w:val="76B60207"/>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abstractNum w:abstractNumId="1385">
    <w:nsid w:val="76DC20EC"/>
    <w:multiLevelType w:val="singleLevel"/>
    <w:tmpl w:val="72907C02"/>
    <w:lvl w:ilvl="0">
      <w:numFmt w:val="bullet"/>
      <w:lvlText w:val="-"/>
      <w:lvlJc w:val="left"/>
      <w:pPr>
        <w:tabs>
          <w:tab w:val="num" w:pos="2061"/>
        </w:tabs>
        <w:ind w:left="2061" w:hanging="360"/>
      </w:pPr>
      <w:rPr>
        <w:rFonts w:hint="default"/>
      </w:rPr>
    </w:lvl>
  </w:abstractNum>
  <w:abstractNum w:abstractNumId="1386">
    <w:nsid w:val="76E03C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87">
    <w:nsid w:val="76E87DDB"/>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388">
    <w:nsid w:val="77124D42"/>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389">
    <w:nsid w:val="772237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0">
    <w:nsid w:val="77A13397"/>
    <w:multiLevelType w:val="singleLevel"/>
    <w:tmpl w:val="68BC5372"/>
    <w:lvl w:ilvl="0">
      <w:numFmt w:val="bullet"/>
      <w:lvlText w:val="-"/>
      <w:lvlJc w:val="left"/>
      <w:pPr>
        <w:tabs>
          <w:tab w:val="num" w:pos="360"/>
        </w:tabs>
        <w:ind w:left="360" w:hanging="360"/>
      </w:pPr>
      <w:rPr>
        <w:rFonts w:hint="default"/>
      </w:rPr>
    </w:lvl>
  </w:abstractNum>
  <w:abstractNum w:abstractNumId="1391">
    <w:nsid w:val="77A3735A"/>
    <w:multiLevelType w:val="multilevel"/>
    <w:tmpl w:val="23060918"/>
    <w:lvl w:ilvl="0">
      <w:start w:val="6"/>
      <w:numFmt w:val="decimal"/>
      <w:lvlText w:val="%1."/>
      <w:lvlJc w:val="left"/>
      <w:pPr>
        <w:tabs>
          <w:tab w:val="num" w:pos="525"/>
        </w:tabs>
        <w:ind w:left="525" w:hanging="525"/>
      </w:pPr>
      <w:rPr>
        <w:rFonts w:hint="default"/>
        <w:i w:val="0"/>
      </w:rPr>
    </w:lvl>
    <w:lvl w:ilvl="1">
      <w:start w:val="1"/>
      <w:numFmt w:val="decimal"/>
      <w:lvlText w:val="%1.%2."/>
      <w:lvlJc w:val="left"/>
      <w:pPr>
        <w:tabs>
          <w:tab w:val="num" w:pos="1287"/>
        </w:tabs>
        <w:ind w:left="1287" w:hanging="720"/>
      </w:pPr>
      <w:rPr>
        <w:rFonts w:hint="default"/>
        <w:i w:val="0"/>
      </w:rPr>
    </w:lvl>
    <w:lvl w:ilvl="2">
      <w:start w:val="1"/>
      <w:numFmt w:val="decimal"/>
      <w:lvlText w:val="%1.%2.%3."/>
      <w:lvlJc w:val="left"/>
      <w:pPr>
        <w:tabs>
          <w:tab w:val="num" w:pos="1854"/>
        </w:tabs>
        <w:ind w:left="1854" w:hanging="720"/>
      </w:pPr>
      <w:rPr>
        <w:rFonts w:hint="default"/>
        <w:i w:val="0"/>
      </w:rPr>
    </w:lvl>
    <w:lvl w:ilvl="3">
      <w:start w:val="1"/>
      <w:numFmt w:val="decimal"/>
      <w:lvlText w:val="%1.%2.%3.%4."/>
      <w:lvlJc w:val="left"/>
      <w:pPr>
        <w:tabs>
          <w:tab w:val="num" w:pos="2781"/>
        </w:tabs>
        <w:ind w:left="2781" w:hanging="1080"/>
      </w:pPr>
      <w:rPr>
        <w:rFonts w:hint="default"/>
        <w:i w:val="0"/>
      </w:rPr>
    </w:lvl>
    <w:lvl w:ilvl="4">
      <w:start w:val="1"/>
      <w:numFmt w:val="decimal"/>
      <w:lvlText w:val="%1.%2.%3.%4.%5."/>
      <w:lvlJc w:val="left"/>
      <w:pPr>
        <w:tabs>
          <w:tab w:val="num" w:pos="3348"/>
        </w:tabs>
        <w:ind w:left="3348" w:hanging="1080"/>
      </w:pPr>
      <w:rPr>
        <w:rFonts w:hint="default"/>
        <w:i w:val="0"/>
      </w:rPr>
    </w:lvl>
    <w:lvl w:ilvl="5">
      <w:start w:val="1"/>
      <w:numFmt w:val="decimal"/>
      <w:lvlText w:val="%1.%2.%3.%4.%5.%6."/>
      <w:lvlJc w:val="left"/>
      <w:pPr>
        <w:tabs>
          <w:tab w:val="num" w:pos="4275"/>
        </w:tabs>
        <w:ind w:left="4275" w:hanging="1440"/>
      </w:pPr>
      <w:rPr>
        <w:rFonts w:hint="default"/>
        <w:i w:val="0"/>
      </w:rPr>
    </w:lvl>
    <w:lvl w:ilvl="6">
      <w:start w:val="1"/>
      <w:numFmt w:val="decimal"/>
      <w:lvlText w:val="%1.%2.%3.%4.%5.%6.%7."/>
      <w:lvlJc w:val="left"/>
      <w:pPr>
        <w:tabs>
          <w:tab w:val="num" w:pos="4842"/>
        </w:tabs>
        <w:ind w:left="4842" w:hanging="1440"/>
      </w:pPr>
      <w:rPr>
        <w:rFonts w:hint="default"/>
        <w:i w:val="0"/>
      </w:rPr>
    </w:lvl>
    <w:lvl w:ilvl="7">
      <w:start w:val="1"/>
      <w:numFmt w:val="decimal"/>
      <w:lvlText w:val="%1.%2.%3.%4.%5.%6.%7.%8."/>
      <w:lvlJc w:val="left"/>
      <w:pPr>
        <w:tabs>
          <w:tab w:val="num" w:pos="5769"/>
        </w:tabs>
        <w:ind w:left="5769" w:hanging="1800"/>
      </w:pPr>
      <w:rPr>
        <w:rFonts w:hint="default"/>
        <w:i w:val="0"/>
      </w:rPr>
    </w:lvl>
    <w:lvl w:ilvl="8">
      <w:start w:val="1"/>
      <w:numFmt w:val="decimal"/>
      <w:lvlText w:val="%1.%2.%3.%4.%5.%6.%7.%8.%9."/>
      <w:lvlJc w:val="left"/>
      <w:pPr>
        <w:tabs>
          <w:tab w:val="num" w:pos="6696"/>
        </w:tabs>
        <w:ind w:left="6696" w:hanging="2160"/>
      </w:pPr>
      <w:rPr>
        <w:rFonts w:hint="default"/>
        <w:i w:val="0"/>
      </w:rPr>
    </w:lvl>
  </w:abstractNum>
  <w:abstractNum w:abstractNumId="1392">
    <w:nsid w:val="77D90561"/>
    <w:multiLevelType w:val="singleLevel"/>
    <w:tmpl w:val="C720CADC"/>
    <w:lvl w:ilvl="0">
      <w:start w:val="1"/>
      <w:numFmt w:val="bullet"/>
      <w:lvlText w:val=""/>
      <w:lvlJc w:val="left"/>
      <w:pPr>
        <w:tabs>
          <w:tab w:val="num" w:pos="360"/>
        </w:tabs>
        <w:ind w:left="360" w:hanging="360"/>
      </w:pPr>
      <w:rPr>
        <w:rFonts w:ascii="Symbol" w:hAnsi="Symbol" w:hint="default"/>
        <w:sz w:val="16"/>
      </w:rPr>
    </w:lvl>
  </w:abstractNum>
  <w:abstractNum w:abstractNumId="1393">
    <w:nsid w:val="77DD1EEE"/>
    <w:multiLevelType w:val="singleLevel"/>
    <w:tmpl w:val="8504863E"/>
    <w:lvl w:ilvl="0">
      <w:start w:val="1"/>
      <w:numFmt w:val="lowerLetter"/>
      <w:lvlText w:val="%1)"/>
      <w:lvlJc w:val="left"/>
      <w:pPr>
        <w:tabs>
          <w:tab w:val="num" w:pos="360"/>
        </w:tabs>
        <w:ind w:left="360" w:hanging="360"/>
      </w:pPr>
      <w:rPr>
        <w:rFonts w:hint="default"/>
      </w:rPr>
    </w:lvl>
  </w:abstractNum>
  <w:abstractNum w:abstractNumId="1394">
    <w:nsid w:val="77E60D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5">
    <w:nsid w:val="77EA2439"/>
    <w:multiLevelType w:val="singleLevel"/>
    <w:tmpl w:val="95C4F638"/>
    <w:lvl w:ilvl="0">
      <w:start w:val="1"/>
      <w:numFmt w:val="bullet"/>
      <w:lvlText w:val="-"/>
      <w:lvlJc w:val="left"/>
      <w:pPr>
        <w:tabs>
          <w:tab w:val="num" w:pos="2487"/>
        </w:tabs>
        <w:ind w:left="2487" w:hanging="360"/>
      </w:pPr>
      <w:rPr>
        <w:rFonts w:ascii="Times New Roman" w:hAnsi="Times New Roman" w:hint="default"/>
      </w:rPr>
    </w:lvl>
  </w:abstractNum>
  <w:abstractNum w:abstractNumId="1396">
    <w:nsid w:val="78022A04"/>
    <w:multiLevelType w:val="singleLevel"/>
    <w:tmpl w:val="97EE03AA"/>
    <w:lvl w:ilvl="0">
      <w:start w:val="1"/>
      <w:numFmt w:val="decimal"/>
      <w:lvlText w:val="%1."/>
      <w:lvlJc w:val="left"/>
      <w:pPr>
        <w:tabs>
          <w:tab w:val="num" w:pos="786"/>
        </w:tabs>
        <w:ind w:left="786" w:hanging="360"/>
      </w:pPr>
      <w:rPr>
        <w:rFonts w:hint="default"/>
      </w:rPr>
    </w:lvl>
  </w:abstractNum>
  <w:abstractNum w:abstractNumId="1397">
    <w:nsid w:val="780E0F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8">
    <w:nsid w:val="7813475F"/>
    <w:multiLevelType w:val="singleLevel"/>
    <w:tmpl w:val="A072B3F0"/>
    <w:lvl w:ilvl="0">
      <w:numFmt w:val="bullet"/>
      <w:lvlText w:val="-"/>
      <w:lvlJc w:val="left"/>
      <w:pPr>
        <w:tabs>
          <w:tab w:val="num" w:pos="927"/>
        </w:tabs>
        <w:ind w:left="927" w:hanging="360"/>
      </w:pPr>
      <w:rPr>
        <w:rFonts w:ascii="Times New Roman" w:hAnsi="Times New Roman" w:hint="default"/>
      </w:rPr>
    </w:lvl>
  </w:abstractNum>
  <w:abstractNum w:abstractNumId="1399">
    <w:nsid w:val="7821659D"/>
    <w:multiLevelType w:val="singleLevel"/>
    <w:tmpl w:val="EB907F9A"/>
    <w:lvl w:ilvl="0">
      <w:numFmt w:val="bullet"/>
      <w:lvlText w:val="-"/>
      <w:lvlJc w:val="left"/>
      <w:pPr>
        <w:tabs>
          <w:tab w:val="num" w:pos="720"/>
        </w:tabs>
        <w:ind w:left="720" w:hanging="360"/>
      </w:pPr>
      <w:rPr>
        <w:rFonts w:ascii="Times New Roman" w:hAnsi="Times New Roman" w:hint="default"/>
        <w:u w:val="none"/>
      </w:rPr>
    </w:lvl>
  </w:abstractNum>
  <w:abstractNum w:abstractNumId="1400">
    <w:nsid w:val="786458BA"/>
    <w:multiLevelType w:val="multilevel"/>
    <w:tmpl w:val="4DBA5E58"/>
    <w:lvl w:ilvl="0">
      <w:start w:val="5"/>
      <w:numFmt w:val="decimal"/>
      <w:lvlText w:val="%1."/>
      <w:lvlJc w:val="left"/>
      <w:pPr>
        <w:tabs>
          <w:tab w:val="num" w:pos="502"/>
        </w:tabs>
        <w:ind w:left="502" w:hanging="360"/>
      </w:pPr>
      <w:rPr>
        <w:rFonts w:hint="default"/>
        <w:u w:val="none"/>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2074"/>
        </w:tabs>
        <w:ind w:left="2074" w:hanging="1080"/>
      </w:pPr>
      <w:rPr>
        <w:rFonts w:hint="default"/>
      </w:rPr>
    </w:lvl>
    <w:lvl w:ilvl="4">
      <w:start w:val="1"/>
      <w:numFmt w:val="decimal"/>
      <w:isLgl/>
      <w:lvlText w:val="%1.%2.%3.%4.%5"/>
      <w:lvlJc w:val="left"/>
      <w:pPr>
        <w:tabs>
          <w:tab w:val="num" w:pos="2358"/>
        </w:tabs>
        <w:ind w:left="2358" w:hanging="1080"/>
      </w:pPr>
      <w:rPr>
        <w:rFonts w:hint="default"/>
      </w:rPr>
    </w:lvl>
    <w:lvl w:ilvl="5">
      <w:start w:val="1"/>
      <w:numFmt w:val="decimal"/>
      <w:isLgl/>
      <w:lvlText w:val="%1.%2.%3.%4.%5.%6"/>
      <w:lvlJc w:val="left"/>
      <w:pPr>
        <w:tabs>
          <w:tab w:val="num" w:pos="3002"/>
        </w:tabs>
        <w:ind w:left="3002" w:hanging="1440"/>
      </w:pPr>
      <w:rPr>
        <w:rFonts w:hint="default"/>
      </w:rPr>
    </w:lvl>
    <w:lvl w:ilvl="6">
      <w:start w:val="1"/>
      <w:numFmt w:val="decimal"/>
      <w:isLgl/>
      <w:lvlText w:val="%1.%2.%3.%4.%5.%6.%7"/>
      <w:lvlJc w:val="left"/>
      <w:pPr>
        <w:tabs>
          <w:tab w:val="num" w:pos="3286"/>
        </w:tabs>
        <w:ind w:left="3286" w:hanging="1440"/>
      </w:pPr>
      <w:rPr>
        <w:rFonts w:hint="default"/>
      </w:rPr>
    </w:lvl>
    <w:lvl w:ilvl="7">
      <w:start w:val="1"/>
      <w:numFmt w:val="decimal"/>
      <w:isLgl/>
      <w:lvlText w:val="%1.%2.%3.%4.%5.%6.%7.%8"/>
      <w:lvlJc w:val="left"/>
      <w:pPr>
        <w:tabs>
          <w:tab w:val="num" w:pos="3930"/>
        </w:tabs>
        <w:ind w:left="3930" w:hanging="1800"/>
      </w:pPr>
      <w:rPr>
        <w:rFonts w:hint="default"/>
      </w:rPr>
    </w:lvl>
    <w:lvl w:ilvl="8">
      <w:start w:val="1"/>
      <w:numFmt w:val="decimal"/>
      <w:isLgl/>
      <w:lvlText w:val="%1.%2.%3.%4.%5.%6.%7.%8.%9"/>
      <w:lvlJc w:val="left"/>
      <w:pPr>
        <w:tabs>
          <w:tab w:val="num" w:pos="4214"/>
        </w:tabs>
        <w:ind w:left="4214" w:hanging="1800"/>
      </w:pPr>
      <w:rPr>
        <w:rFonts w:hint="default"/>
      </w:rPr>
    </w:lvl>
  </w:abstractNum>
  <w:abstractNum w:abstractNumId="1401">
    <w:nsid w:val="786A3E0B"/>
    <w:multiLevelType w:val="multilevel"/>
    <w:tmpl w:val="C0D425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2">
    <w:nsid w:val="78C87374"/>
    <w:multiLevelType w:val="singleLevel"/>
    <w:tmpl w:val="0D5E5328"/>
    <w:lvl w:ilvl="0">
      <w:start w:val="1"/>
      <w:numFmt w:val="decimal"/>
      <w:lvlText w:val="3.%1. "/>
      <w:legacy w:legacy="1" w:legacySpace="0" w:legacyIndent="283"/>
      <w:lvlJc w:val="left"/>
      <w:pPr>
        <w:ind w:left="283" w:hanging="283"/>
      </w:pPr>
      <w:rPr>
        <w:rFonts w:ascii="Arial" w:hAnsi="Arial" w:hint="default"/>
        <w:b w:val="0"/>
        <w:i w:val="0"/>
        <w:sz w:val="24"/>
        <w:u w:val="none"/>
      </w:rPr>
    </w:lvl>
  </w:abstractNum>
  <w:abstractNum w:abstractNumId="1403">
    <w:nsid w:val="78CA3387"/>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404">
    <w:nsid w:val="78E40A23"/>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405">
    <w:nsid w:val="78E65C83"/>
    <w:multiLevelType w:val="singleLevel"/>
    <w:tmpl w:val="C7DCCFAA"/>
    <w:lvl w:ilvl="0">
      <w:start w:val="1"/>
      <w:numFmt w:val="decimal"/>
      <w:lvlText w:val="%1."/>
      <w:lvlJc w:val="left"/>
      <w:pPr>
        <w:tabs>
          <w:tab w:val="num" w:pos="420"/>
        </w:tabs>
        <w:ind w:left="420" w:hanging="420"/>
      </w:pPr>
      <w:rPr>
        <w:rFonts w:hint="default"/>
      </w:rPr>
    </w:lvl>
  </w:abstractNum>
  <w:abstractNum w:abstractNumId="1406">
    <w:nsid w:val="78F1094A"/>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1407">
    <w:nsid w:val="78F34858"/>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08">
    <w:nsid w:val="79032E63"/>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09">
    <w:nsid w:val="792560F9"/>
    <w:multiLevelType w:val="singleLevel"/>
    <w:tmpl w:val="F8ECF7B8"/>
    <w:lvl w:ilvl="0">
      <w:start w:val="1"/>
      <w:numFmt w:val="bullet"/>
      <w:lvlText w:val="-"/>
      <w:lvlJc w:val="left"/>
      <w:pPr>
        <w:tabs>
          <w:tab w:val="num" w:pos="1785"/>
        </w:tabs>
        <w:ind w:left="1785" w:hanging="360"/>
      </w:pPr>
      <w:rPr>
        <w:rFonts w:hint="default"/>
      </w:rPr>
    </w:lvl>
  </w:abstractNum>
  <w:abstractNum w:abstractNumId="1410">
    <w:nsid w:val="792971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1">
    <w:nsid w:val="79377619"/>
    <w:multiLevelType w:val="singleLevel"/>
    <w:tmpl w:val="0C0A0015"/>
    <w:lvl w:ilvl="0">
      <w:start w:val="2"/>
      <w:numFmt w:val="upperLetter"/>
      <w:lvlText w:val="%1."/>
      <w:lvlJc w:val="left"/>
      <w:pPr>
        <w:tabs>
          <w:tab w:val="num" w:pos="360"/>
        </w:tabs>
        <w:ind w:left="360" w:hanging="360"/>
      </w:pPr>
      <w:rPr>
        <w:rFonts w:hint="default"/>
      </w:rPr>
    </w:lvl>
  </w:abstractNum>
  <w:abstractNum w:abstractNumId="1412">
    <w:nsid w:val="79464EE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13">
    <w:nsid w:val="79477214"/>
    <w:multiLevelType w:val="singleLevel"/>
    <w:tmpl w:val="A900F858"/>
    <w:lvl w:ilvl="0">
      <w:start w:val="1"/>
      <w:numFmt w:val="bullet"/>
      <w:lvlText w:val=""/>
      <w:lvlJc w:val="left"/>
      <w:pPr>
        <w:tabs>
          <w:tab w:val="num" w:pos="360"/>
        </w:tabs>
        <w:ind w:left="360" w:hanging="360"/>
      </w:pPr>
      <w:rPr>
        <w:rFonts w:ascii="Wingdings" w:hAnsi="Wingdings" w:hint="default"/>
        <w:sz w:val="16"/>
      </w:rPr>
    </w:lvl>
  </w:abstractNum>
  <w:abstractNum w:abstractNumId="1414">
    <w:nsid w:val="79480E14"/>
    <w:multiLevelType w:val="singleLevel"/>
    <w:tmpl w:val="0C0A0011"/>
    <w:lvl w:ilvl="0">
      <w:start w:val="1"/>
      <w:numFmt w:val="decimal"/>
      <w:lvlText w:val="%1)"/>
      <w:lvlJc w:val="left"/>
      <w:pPr>
        <w:tabs>
          <w:tab w:val="num" w:pos="360"/>
        </w:tabs>
        <w:ind w:left="360" w:hanging="360"/>
      </w:pPr>
    </w:lvl>
  </w:abstractNum>
  <w:abstractNum w:abstractNumId="1415">
    <w:nsid w:val="795218E4"/>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416">
    <w:nsid w:val="795926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7">
    <w:nsid w:val="79754A89"/>
    <w:multiLevelType w:val="singleLevel"/>
    <w:tmpl w:val="F8ECF7B8"/>
    <w:lvl w:ilvl="0">
      <w:start w:val="1"/>
      <w:numFmt w:val="bullet"/>
      <w:lvlText w:val="-"/>
      <w:lvlJc w:val="left"/>
      <w:pPr>
        <w:tabs>
          <w:tab w:val="num" w:pos="1785"/>
        </w:tabs>
        <w:ind w:left="1785" w:hanging="360"/>
      </w:pPr>
      <w:rPr>
        <w:rFonts w:hint="default"/>
      </w:rPr>
    </w:lvl>
  </w:abstractNum>
  <w:abstractNum w:abstractNumId="1418">
    <w:nsid w:val="799472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9">
    <w:nsid w:val="7A0E34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0">
    <w:nsid w:val="7A1971A2"/>
    <w:multiLevelType w:val="singleLevel"/>
    <w:tmpl w:val="67103FD8"/>
    <w:lvl w:ilvl="0">
      <w:start w:val="1"/>
      <w:numFmt w:val="upperLetter"/>
      <w:lvlText w:val="%1)"/>
      <w:lvlJc w:val="left"/>
      <w:pPr>
        <w:tabs>
          <w:tab w:val="num" w:pos="360"/>
        </w:tabs>
        <w:ind w:left="360" w:hanging="360"/>
      </w:pPr>
      <w:rPr>
        <w:rFonts w:hint="default"/>
      </w:rPr>
    </w:lvl>
  </w:abstractNum>
  <w:abstractNum w:abstractNumId="1421">
    <w:nsid w:val="7A1D6B8A"/>
    <w:multiLevelType w:val="multilevel"/>
    <w:tmpl w:val="CE44A710"/>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22">
    <w:nsid w:val="7A207AF2"/>
    <w:multiLevelType w:val="singleLevel"/>
    <w:tmpl w:val="4B7C235A"/>
    <w:lvl w:ilvl="0">
      <w:numFmt w:val="bullet"/>
      <w:lvlText w:val="-"/>
      <w:lvlJc w:val="left"/>
      <w:pPr>
        <w:tabs>
          <w:tab w:val="num" w:pos="1766"/>
        </w:tabs>
        <w:ind w:left="1766" w:hanging="360"/>
      </w:pPr>
      <w:rPr>
        <w:rFonts w:ascii="Times New Roman" w:hAnsi="Times New Roman" w:hint="default"/>
      </w:rPr>
    </w:lvl>
  </w:abstractNum>
  <w:abstractNum w:abstractNumId="1423">
    <w:nsid w:val="7A294E9C"/>
    <w:multiLevelType w:val="singleLevel"/>
    <w:tmpl w:val="0820F48A"/>
    <w:lvl w:ilvl="0">
      <w:start w:val="1"/>
      <w:numFmt w:val="upperRoman"/>
      <w:lvlText w:val="%1."/>
      <w:lvlJc w:val="left"/>
      <w:pPr>
        <w:tabs>
          <w:tab w:val="num" w:pos="1004"/>
        </w:tabs>
        <w:ind w:left="1004" w:hanging="720"/>
      </w:pPr>
      <w:rPr>
        <w:rFonts w:hint="default"/>
      </w:rPr>
    </w:lvl>
  </w:abstractNum>
  <w:abstractNum w:abstractNumId="1424">
    <w:nsid w:val="7A31710F"/>
    <w:multiLevelType w:val="singleLevel"/>
    <w:tmpl w:val="2F8C8EF4"/>
    <w:lvl w:ilvl="0">
      <w:start w:val="10"/>
      <w:numFmt w:val="decimal"/>
      <w:lvlText w:val="%1- "/>
      <w:legacy w:legacy="1" w:legacySpace="0" w:legacyIndent="283"/>
      <w:lvlJc w:val="left"/>
      <w:pPr>
        <w:ind w:left="283" w:hanging="283"/>
      </w:pPr>
      <w:rPr>
        <w:rFonts w:ascii="Arial" w:hAnsi="Arial" w:hint="default"/>
        <w:b w:val="0"/>
        <w:i w:val="0"/>
        <w:sz w:val="24"/>
        <w:u w:val="none"/>
      </w:rPr>
    </w:lvl>
  </w:abstractNum>
  <w:abstractNum w:abstractNumId="1425">
    <w:nsid w:val="7A3519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6">
    <w:nsid w:val="7A903E68"/>
    <w:multiLevelType w:val="singleLevel"/>
    <w:tmpl w:val="DC0A3024"/>
    <w:lvl w:ilvl="0">
      <w:start w:val="1"/>
      <w:numFmt w:val="bullet"/>
      <w:lvlText w:val="▪"/>
      <w:lvlJc w:val="left"/>
      <w:pPr>
        <w:tabs>
          <w:tab w:val="num" w:pos="360"/>
        </w:tabs>
        <w:ind w:left="360" w:hanging="360"/>
      </w:pPr>
      <w:rPr>
        <w:rFonts w:ascii="Tahoma" w:hAnsi="Tahoma" w:hint="default"/>
        <w:sz w:val="20"/>
      </w:rPr>
    </w:lvl>
  </w:abstractNum>
  <w:abstractNum w:abstractNumId="1427">
    <w:nsid w:val="7A9320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8">
    <w:nsid w:val="7AD80AE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29">
    <w:nsid w:val="7B0831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30">
    <w:nsid w:val="7B0B15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31">
    <w:nsid w:val="7B2E71BA"/>
    <w:multiLevelType w:val="singleLevel"/>
    <w:tmpl w:val="A7387F88"/>
    <w:lvl w:ilvl="0">
      <w:numFmt w:val="bullet"/>
      <w:lvlText w:val="-"/>
      <w:lvlJc w:val="left"/>
      <w:pPr>
        <w:tabs>
          <w:tab w:val="num" w:pos="360"/>
        </w:tabs>
        <w:ind w:left="360" w:hanging="360"/>
      </w:pPr>
      <w:rPr>
        <w:rFonts w:ascii="Times New Roman" w:hAnsi="Times New Roman" w:hint="default"/>
      </w:rPr>
    </w:lvl>
  </w:abstractNum>
  <w:abstractNum w:abstractNumId="1432">
    <w:nsid w:val="7B816168"/>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33">
    <w:nsid w:val="7B99710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34">
    <w:nsid w:val="7BCF7ACF"/>
    <w:multiLevelType w:val="singleLevel"/>
    <w:tmpl w:val="F8ECF7B8"/>
    <w:lvl w:ilvl="0">
      <w:start w:val="1"/>
      <w:numFmt w:val="bullet"/>
      <w:lvlText w:val="-"/>
      <w:lvlJc w:val="left"/>
      <w:pPr>
        <w:tabs>
          <w:tab w:val="num" w:pos="1785"/>
        </w:tabs>
        <w:ind w:left="1785" w:hanging="360"/>
      </w:pPr>
      <w:rPr>
        <w:rFonts w:hint="default"/>
      </w:rPr>
    </w:lvl>
  </w:abstractNum>
  <w:abstractNum w:abstractNumId="1435">
    <w:nsid w:val="7BD45552"/>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1436">
    <w:nsid w:val="7BD91918"/>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37">
    <w:nsid w:val="7BF9536F"/>
    <w:multiLevelType w:val="singleLevel"/>
    <w:tmpl w:val="2858FA34"/>
    <w:lvl w:ilvl="0">
      <w:start w:val="1"/>
      <w:numFmt w:val="upperLetter"/>
      <w:lvlText w:val="%1."/>
      <w:lvlJc w:val="left"/>
      <w:pPr>
        <w:tabs>
          <w:tab w:val="num" w:pos="361"/>
        </w:tabs>
        <w:ind w:left="361" w:hanging="360"/>
      </w:pPr>
      <w:rPr>
        <w:rFonts w:hint="default"/>
      </w:rPr>
    </w:lvl>
  </w:abstractNum>
  <w:abstractNum w:abstractNumId="1438">
    <w:nsid w:val="7BFF3160"/>
    <w:multiLevelType w:val="multilevel"/>
    <w:tmpl w:val="B9F43E7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39">
    <w:nsid w:val="7C0519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0">
    <w:nsid w:val="7C0A657F"/>
    <w:multiLevelType w:val="multilevel"/>
    <w:tmpl w:val="233C33A2"/>
    <w:lvl w:ilvl="0">
      <w:start w:val="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1">
    <w:nsid w:val="7C120611"/>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442">
    <w:nsid w:val="7C1E4B3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43">
    <w:nsid w:val="7C2856F7"/>
    <w:multiLevelType w:val="singleLevel"/>
    <w:tmpl w:val="110E8E66"/>
    <w:lvl w:ilvl="0">
      <w:start w:val="1"/>
      <w:numFmt w:val="bullet"/>
      <w:lvlText w:val="-"/>
      <w:lvlJc w:val="left"/>
      <w:pPr>
        <w:tabs>
          <w:tab w:val="num" w:pos="1069"/>
        </w:tabs>
        <w:ind w:left="1069" w:hanging="360"/>
      </w:pPr>
      <w:rPr>
        <w:rFonts w:ascii="Times New Roman" w:hAnsi="Times New Roman" w:hint="default"/>
      </w:rPr>
    </w:lvl>
  </w:abstractNum>
  <w:abstractNum w:abstractNumId="1444">
    <w:nsid w:val="7C286D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5">
    <w:nsid w:val="7C410E54"/>
    <w:multiLevelType w:val="multilevel"/>
    <w:tmpl w:val="AE9C0336"/>
    <w:lvl w:ilvl="0">
      <w:start w:val="5"/>
      <w:numFmt w:val="decimal"/>
      <w:lvlText w:val="%1."/>
      <w:lvlJc w:val="left"/>
      <w:pPr>
        <w:tabs>
          <w:tab w:val="num" w:pos="400"/>
        </w:tabs>
        <w:ind w:left="400" w:hanging="40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446">
    <w:nsid w:val="7C6B79D8"/>
    <w:multiLevelType w:val="singleLevel"/>
    <w:tmpl w:val="3E3868AE"/>
    <w:lvl w:ilvl="0">
      <w:start w:val="1"/>
      <w:numFmt w:val="upperRoman"/>
      <w:lvlText w:val="%1."/>
      <w:lvlJc w:val="left"/>
      <w:pPr>
        <w:tabs>
          <w:tab w:val="num" w:pos="1004"/>
        </w:tabs>
        <w:ind w:left="1004" w:hanging="720"/>
      </w:pPr>
      <w:rPr>
        <w:rFonts w:hint="default"/>
      </w:rPr>
    </w:lvl>
  </w:abstractNum>
  <w:abstractNum w:abstractNumId="1447">
    <w:nsid w:val="7CAE6A07"/>
    <w:multiLevelType w:val="singleLevel"/>
    <w:tmpl w:val="78E6A54A"/>
    <w:lvl w:ilvl="0">
      <w:start w:val="1"/>
      <w:numFmt w:val="bullet"/>
      <w:lvlText w:val=""/>
      <w:lvlJc w:val="left"/>
      <w:pPr>
        <w:tabs>
          <w:tab w:val="num" w:pos="360"/>
        </w:tabs>
        <w:ind w:left="360" w:hanging="360"/>
      </w:pPr>
      <w:rPr>
        <w:rFonts w:ascii="Symbol" w:hAnsi="Symbol" w:hint="default"/>
        <w:sz w:val="16"/>
      </w:rPr>
    </w:lvl>
  </w:abstractNum>
  <w:abstractNum w:abstractNumId="1448">
    <w:nsid w:val="7D1F57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9">
    <w:nsid w:val="7D4A57C4"/>
    <w:multiLevelType w:val="singleLevel"/>
    <w:tmpl w:val="8A320442"/>
    <w:lvl w:ilvl="0">
      <w:numFmt w:val="bullet"/>
      <w:lvlText w:val="-"/>
      <w:lvlJc w:val="left"/>
      <w:pPr>
        <w:tabs>
          <w:tab w:val="num" w:pos="1636"/>
        </w:tabs>
        <w:ind w:left="1636" w:hanging="360"/>
      </w:pPr>
      <w:rPr>
        <w:rFonts w:ascii="Times New Roman" w:hAnsi="Times New Roman" w:hint="default"/>
      </w:rPr>
    </w:lvl>
  </w:abstractNum>
  <w:abstractNum w:abstractNumId="1450">
    <w:nsid w:val="7D6E3C4B"/>
    <w:multiLevelType w:val="singleLevel"/>
    <w:tmpl w:val="BF18B242"/>
    <w:lvl w:ilvl="0">
      <w:start w:val="1"/>
      <w:numFmt w:val="bullet"/>
      <w:lvlText w:val="-"/>
      <w:lvlJc w:val="left"/>
      <w:pPr>
        <w:tabs>
          <w:tab w:val="num" w:pos="786"/>
        </w:tabs>
        <w:ind w:left="786" w:hanging="360"/>
      </w:pPr>
      <w:rPr>
        <w:rFonts w:ascii="Times New Roman" w:hAnsi="Times New Roman" w:hint="default"/>
      </w:rPr>
    </w:lvl>
  </w:abstractNum>
  <w:abstractNum w:abstractNumId="1451">
    <w:nsid w:val="7D851A9F"/>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52">
    <w:nsid w:val="7D877255"/>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53">
    <w:nsid w:val="7DA868B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54">
    <w:nsid w:val="7DC11C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5">
    <w:nsid w:val="7DD057F6"/>
    <w:multiLevelType w:val="singleLevel"/>
    <w:tmpl w:val="D6DC4370"/>
    <w:lvl w:ilvl="0">
      <w:start w:val="1"/>
      <w:numFmt w:val="bullet"/>
      <w:lvlText w:val=""/>
      <w:lvlJc w:val="left"/>
      <w:pPr>
        <w:tabs>
          <w:tab w:val="num" w:pos="360"/>
        </w:tabs>
        <w:ind w:left="360" w:hanging="360"/>
      </w:pPr>
      <w:rPr>
        <w:rFonts w:ascii="Symbol" w:hAnsi="Symbol" w:hint="default"/>
      </w:rPr>
    </w:lvl>
  </w:abstractNum>
  <w:abstractNum w:abstractNumId="1456">
    <w:nsid w:val="7DD35D95"/>
    <w:multiLevelType w:val="singleLevel"/>
    <w:tmpl w:val="F94C7D90"/>
    <w:lvl w:ilvl="0">
      <w:numFmt w:val="bullet"/>
      <w:lvlText w:val="-"/>
      <w:lvlJc w:val="left"/>
      <w:pPr>
        <w:tabs>
          <w:tab w:val="num" w:pos="927"/>
        </w:tabs>
        <w:ind w:left="927" w:hanging="360"/>
      </w:pPr>
      <w:rPr>
        <w:rFonts w:ascii="Times New Roman" w:hAnsi="Times New Roman" w:hint="default"/>
      </w:rPr>
    </w:lvl>
  </w:abstractNum>
  <w:abstractNum w:abstractNumId="1457">
    <w:nsid w:val="7DEB642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58">
    <w:nsid w:val="7E3176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9">
    <w:nsid w:val="7E3A3BC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60">
    <w:nsid w:val="7E61190C"/>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61">
    <w:nsid w:val="7E7E7FF6"/>
    <w:multiLevelType w:val="singleLevel"/>
    <w:tmpl w:val="B03ED69A"/>
    <w:lvl w:ilvl="0">
      <w:start w:val="1"/>
      <w:numFmt w:val="decimal"/>
      <w:lvlText w:val="%1."/>
      <w:lvlJc w:val="left"/>
      <w:pPr>
        <w:tabs>
          <w:tab w:val="num" w:pos="360"/>
        </w:tabs>
        <w:ind w:left="360" w:hanging="360"/>
      </w:pPr>
      <w:rPr>
        <w:rFonts w:hint="default"/>
      </w:rPr>
    </w:lvl>
  </w:abstractNum>
  <w:abstractNum w:abstractNumId="1462">
    <w:nsid w:val="7EC062CA"/>
    <w:multiLevelType w:val="singleLevel"/>
    <w:tmpl w:val="BCA48740"/>
    <w:lvl w:ilvl="0">
      <w:start w:val="1"/>
      <w:numFmt w:val="bullet"/>
      <w:lvlText w:val=""/>
      <w:lvlJc w:val="left"/>
      <w:pPr>
        <w:tabs>
          <w:tab w:val="num" w:pos="360"/>
        </w:tabs>
        <w:ind w:left="360" w:hanging="360"/>
      </w:pPr>
      <w:rPr>
        <w:rFonts w:ascii="Marlett" w:hAnsi="Marlett" w:hint="default"/>
      </w:rPr>
    </w:lvl>
  </w:abstractNum>
  <w:abstractNum w:abstractNumId="1463">
    <w:nsid w:val="7EF01AD9"/>
    <w:multiLevelType w:val="singleLevel"/>
    <w:tmpl w:val="3FEA41B8"/>
    <w:lvl w:ilvl="0">
      <w:start w:val="1"/>
      <w:numFmt w:val="upperLetter"/>
      <w:lvlText w:val="%1)"/>
      <w:lvlJc w:val="left"/>
      <w:pPr>
        <w:tabs>
          <w:tab w:val="num" w:pos="1144"/>
        </w:tabs>
        <w:ind w:left="1144" w:hanging="435"/>
      </w:pPr>
      <w:rPr>
        <w:rFonts w:hint="default"/>
      </w:rPr>
    </w:lvl>
  </w:abstractNum>
  <w:abstractNum w:abstractNumId="1464">
    <w:nsid w:val="7F08361D"/>
    <w:multiLevelType w:val="multilevel"/>
    <w:tmpl w:val="6A2EC2C2"/>
    <w:lvl w:ilvl="0">
      <w:start w:val="1"/>
      <w:numFmt w:val="bullet"/>
      <w:lvlText w:val=""/>
      <w:lvlJc w:val="left"/>
      <w:pPr>
        <w:tabs>
          <w:tab w:val="num" w:pos="1571"/>
        </w:tabs>
        <w:ind w:left="1571" w:hanging="360"/>
      </w:pPr>
      <w:rPr>
        <w:rFonts w:ascii="Symbol" w:hAnsi="Symbol" w:hint="default"/>
      </w:rPr>
    </w:lvl>
    <w:lvl w:ilvl="1" w:tentative="1">
      <w:start w:val="1"/>
      <w:numFmt w:val="bullet"/>
      <w:lvlText w:val="o"/>
      <w:lvlJc w:val="left"/>
      <w:pPr>
        <w:tabs>
          <w:tab w:val="num" w:pos="2291"/>
        </w:tabs>
        <w:ind w:left="2291" w:hanging="360"/>
      </w:pPr>
      <w:rPr>
        <w:rFonts w:ascii="Courier New" w:hAnsi="Courier New"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1465">
    <w:nsid w:val="7F3317BC"/>
    <w:multiLevelType w:val="singleLevel"/>
    <w:tmpl w:val="B32A0868"/>
    <w:lvl w:ilvl="0">
      <w:start w:val="6"/>
      <w:numFmt w:val="decimal"/>
      <w:lvlText w:val="%1."/>
      <w:lvlJc w:val="left"/>
      <w:pPr>
        <w:tabs>
          <w:tab w:val="num" w:pos="360"/>
        </w:tabs>
        <w:ind w:left="360" w:hanging="360"/>
      </w:pPr>
    </w:lvl>
  </w:abstractNum>
  <w:abstractNum w:abstractNumId="1466">
    <w:nsid w:val="7F6B04F8"/>
    <w:multiLevelType w:val="singleLevel"/>
    <w:tmpl w:val="3EB2A718"/>
    <w:lvl w:ilvl="0">
      <w:numFmt w:val="bullet"/>
      <w:lvlText w:val="-"/>
      <w:lvlJc w:val="left"/>
      <w:pPr>
        <w:tabs>
          <w:tab w:val="num" w:pos="720"/>
        </w:tabs>
        <w:ind w:left="720" w:hanging="360"/>
      </w:pPr>
      <w:rPr>
        <w:rFonts w:ascii="Times New Roman" w:hAnsi="Times New Roman" w:hint="default"/>
      </w:rPr>
    </w:lvl>
  </w:abstractNum>
  <w:abstractNum w:abstractNumId="1467">
    <w:nsid w:val="7F732CD9"/>
    <w:multiLevelType w:val="singleLevel"/>
    <w:tmpl w:val="5B6464D6"/>
    <w:lvl w:ilvl="0">
      <w:start w:val="10"/>
      <w:numFmt w:val="decimal"/>
      <w:lvlText w:val="%1"/>
      <w:lvlJc w:val="left"/>
      <w:pPr>
        <w:tabs>
          <w:tab w:val="num" w:pos="720"/>
        </w:tabs>
        <w:ind w:left="720" w:hanging="360"/>
      </w:pPr>
      <w:rPr>
        <w:rFonts w:hint="default"/>
      </w:rPr>
    </w:lvl>
  </w:abstractNum>
  <w:abstractNum w:abstractNumId="1468">
    <w:nsid w:val="7F801943"/>
    <w:multiLevelType w:val="multilevel"/>
    <w:tmpl w:val="F3F0C92A"/>
    <w:lvl w:ilvl="0">
      <w:start w:val="1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9">
    <w:nsid w:val="7F8C639C"/>
    <w:multiLevelType w:val="singleLevel"/>
    <w:tmpl w:val="FA5098FC"/>
    <w:lvl w:ilvl="0">
      <w:start w:val="1"/>
      <w:numFmt w:val="bullet"/>
      <w:lvlText w:val=""/>
      <w:lvlJc w:val="left"/>
      <w:pPr>
        <w:tabs>
          <w:tab w:val="num" w:pos="360"/>
        </w:tabs>
        <w:ind w:left="360" w:hanging="360"/>
      </w:pPr>
      <w:rPr>
        <w:rFonts w:ascii="Symbol" w:hAnsi="Symbol" w:hint="default"/>
        <w:sz w:val="28"/>
      </w:rPr>
    </w:lvl>
  </w:abstractNum>
  <w:abstractNum w:abstractNumId="1470">
    <w:nsid w:val="7F91392A"/>
    <w:multiLevelType w:val="singleLevel"/>
    <w:tmpl w:val="5E5EB61E"/>
    <w:lvl w:ilvl="0">
      <w:start w:val="1"/>
      <w:numFmt w:val="bullet"/>
      <w:lvlText w:val="▪"/>
      <w:lvlJc w:val="left"/>
      <w:pPr>
        <w:tabs>
          <w:tab w:val="num" w:pos="360"/>
        </w:tabs>
        <w:ind w:left="360" w:hanging="360"/>
      </w:pPr>
      <w:rPr>
        <w:rFonts w:ascii="Tahoma" w:hAnsi="Tahoma" w:hint="default"/>
        <w:sz w:val="20"/>
      </w:rPr>
    </w:lvl>
  </w:abstractNum>
  <w:abstractNum w:abstractNumId="1471">
    <w:nsid w:val="7F9544EA"/>
    <w:multiLevelType w:val="singleLevel"/>
    <w:tmpl w:val="07CEBE82"/>
    <w:lvl w:ilvl="0">
      <w:numFmt w:val="bullet"/>
      <w:lvlText w:val=""/>
      <w:lvlJc w:val="left"/>
      <w:pPr>
        <w:tabs>
          <w:tab w:val="num" w:pos="-633"/>
        </w:tabs>
        <w:ind w:left="-633" w:hanging="360"/>
      </w:pPr>
      <w:rPr>
        <w:rFonts w:ascii="Symbol" w:hAnsi="Symbol" w:hint="default"/>
      </w:rPr>
    </w:lvl>
  </w:abstractNum>
  <w:abstractNum w:abstractNumId="1472">
    <w:nsid w:val="7F9D7DEB"/>
    <w:multiLevelType w:val="singleLevel"/>
    <w:tmpl w:val="E592CDC0"/>
    <w:lvl w:ilvl="0">
      <w:start w:val="1"/>
      <w:numFmt w:val="upperLetter"/>
      <w:lvlText w:val="%1)"/>
      <w:lvlJc w:val="left"/>
      <w:pPr>
        <w:tabs>
          <w:tab w:val="num" w:pos="361"/>
        </w:tabs>
        <w:ind w:left="361" w:hanging="360"/>
      </w:pPr>
      <w:rPr>
        <w:rFonts w:hint="default"/>
      </w:rPr>
    </w:lvl>
  </w:abstractNum>
  <w:abstractNum w:abstractNumId="1473">
    <w:nsid w:val="7FA40889"/>
    <w:multiLevelType w:val="singleLevel"/>
    <w:tmpl w:val="CC4AE558"/>
    <w:lvl w:ilvl="0">
      <w:start w:val="1"/>
      <w:numFmt w:val="bullet"/>
      <w:lvlText w:val="-"/>
      <w:lvlJc w:val="left"/>
      <w:pPr>
        <w:tabs>
          <w:tab w:val="num" w:pos="360"/>
        </w:tabs>
        <w:ind w:left="360" w:hanging="360"/>
      </w:pPr>
      <w:rPr>
        <w:rFonts w:ascii="Times New Roman" w:hAnsi="Times New Roman" w:hint="default"/>
      </w:rPr>
    </w:lvl>
  </w:abstractNum>
  <w:abstractNum w:abstractNumId="1474">
    <w:nsid w:val="7FB62C72"/>
    <w:multiLevelType w:val="singleLevel"/>
    <w:tmpl w:val="76203122"/>
    <w:lvl w:ilvl="0">
      <w:start w:val="1"/>
      <w:numFmt w:val="decimal"/>
      <w:lvlText w:val="%1."/>
      <w:lvlJc w:val="left"/>
      <w:pPr>
        <w:tabs>
          <w:tab w:val="num" w:pos="1065"/>
        </w:tabs>
        <w:ind w:left="1065" w:hanging="360"/>
      </w:pPr>
      <w:rPr>
        <w:rFonts w:hint="default"/>
      </w:rPr>
    </w:lvl>
  </w:abstractNum>
  <w:abstractNum w:abstractNumId="1475">
    <w:nsid w:val="7FCA34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6">
    <w:nsid w:val="7FCF6E61"/>
    <w:multiLevelType w:val="singleLevel"/>
    <w:tmpl w:val="971ED780"/>
    <w:lvl w:ilvl="0">
      <w:start w:val="1"/>
      <w:numFmt w:val="lowerLetter"/>
      <w:lvlText w:val="%1)"/>
      <w:lvlJc w:val="left"/>
      <w:pPr>
        <w:tabs>
          <w:tab w:val="num" w:pos="2130"/>
        </w:tabs>
        <w:ind w:left="2130" w:hanging="705"/>
      </w:pPr>
      <w:rPr>
        <w:rFonts w:hint="default"/>
      </w:rPr>
    </w:lvl>
  </w:abstractNum>
  <w:abstractNum w:abstractNumId="1477">
    <w:nsid w:val="7FD55F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8">
    <w:nsid w:val="7FD73B3B"/>
    <w:multiLevelType w:val="singleLevel"/>
    <w:tmpl w:val="68BC5372"/>
    <w:lvl w:ilvl="0">
      <w:numFmt w:val="bullet"/>
      <w:lvlText w:val="-"/>
      <w:lvlJc w:val="left"/>
      <w:pPr>
        <w:tabs>
          <w:tab w:val="num" w:pos="360"/>
        </w:tabs>
        <w:ind w:left="360" w:hanging="360"/>
      </w:pPr>
      <w:rPr>
        <w:rFonts w:hint="default"/>
      </w:rPr>
    </w:lvl>
  </w:abstractNum>
  <w:abstractNum w:abstractNumId="1479">
    <w:nsid w:val="7FE11C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80">
    <w:nsid w:val="7FF949F2"/>
    <w:multiLevelType w:val="singleLevel"/>
    <w:tmpl w:val="D5B8A73C"/>
    <w:lvl w:ilvl="0">
      <w:start w:val="1"/>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838"/>
  </w:num>
  <w:num w:numId="3">
    <w:abstractNumId w:val="325"/>
  </w:num>
  <w:num w:numId="4">
    <w:abstractNumId w:val="465"/>
  </w:num>
  <w:num w:numId="5">
    <w:abstractNumId w:val="559"/>
  </w:num>
  <w:num w:numId="6">
    <w:abstractNumId w:val="461"/>
  </w:num>
  <w:num w:numId="7">
    <w:abstractNumId w:val="236"/>
  </w:num>
  <w:num w:numId="8">
    <w:abstractNumId w:val="451"/>
  </w:num>
  <w:num w:numId="9">
    <w:abstractNumId w:val="50"/>
  </w:num>
  <w:num w:numId="10">
    <w:abstractNumId w:val="961"/>
  </w:num>
  <w:num w:numId="11">
    <w:abstractNumId w:val="1160"/>
  </w:num>
  <w:num w:numId="12">
    <w:abstractNumId w:val="1353"/>
  </w:num>
  <w:num w:numId="13">
    <w:abstractNumId w:val="1153"/>
  </w:num>
  <w:num w:numId="14">
    <w:abstractNumId w:val="839"/>
  </w:num>
  <w:num w:numId="15">
    <w:abstractNumId w:val="699"/>
  </w:num>
  <w:num w:numId="16">
    <w:abstractNumId w:val="549"/>
  </w:num>
  <w:num w:numId="17">
    <w:abstractNumId w:val="1032"/>
  </w:num>
  <w:num w:numId="18">
    <w:abstractNumId w:val="580"/>
  </w:num>
  <w:num w:numId="19">
    <w:abstractNumId w:val="211"/>
  </w:num>
  <w:num w:numId="20">
    <w:abstractNumId w:val="958"/>
  </w:num>
  <w:num w:numId="21">
    <w:abstractNumId w:val="905"/>
  </w:num>
  <w:num w:numId="22">
    <w:abstractNumId w:val="1388"/>
  </w:num>
  <w:num w:numId="23">
    <w:abstractNumId w:val="47"/>
  </w:num>
  <w:num w:numId="24">
    <w:abstractNumId w:val="415"/>
  </w:num>
  <w:num w:numId="25">
    <w:abstractNumId w:val="721"/>
  </w:num>
  <w:num w:numId="26">
    <w:abstractNumId w:val="857"/>
  </w:num>
  <w:num w:numId="27">
    <w:abstractNumId w:val="203"/>
  </w:num>
  <w:num w:numId="28">
    <w:abstractNumId w:val="3"/>
    <w:lvlOverride w:ilvl="0">
      <w:lvl w:ilvl="0">
        <w:start w:val="1"/>
        <w:numFmt w:val="bullet"/>
        <w:lvlText w:val=""/>
        <w:legacy w:legacy="1" w:legacySpace="0" w:legacyIndent="283"/>
        <w:lvlJc w:val="left"/>
        <w:pPr>
          <w:ind w:left="283" w:hanging="283"/>
        </w:pPr>
        <w:rPr>
          <w:rFonts w:ascii="Symbol" w:hAnsi="Symbol" w:hint="default"/>
        </w:rPr>
      </w:lvl>
    </w:lvlOverride>
  </w:num>
  <w:num w:numId="29">
    <w:abstractNumId w:val="875"/>
  </w:num>
  <w:num w:numId="30">
    <w:abstractNumId w:val="14"/>
  </w:num>
  <w:num w:numId="31">
    <w:abstractNumId w:val="1068"/>
  </w:num>
  <w:num w:numId="32">
    <w:abstractNumId w:val="1222"/>
  </w:num>
  <w:num w:numId="33">
    <w:abstractNumId w:val="896"/>
  </w:num>
  <w:num w:numId="34">
    <w:abstractNumId w:val="331"/>
  </w:num>
  <w:num w:numId="35">
    <w:abstractNumId w:val="34"/>
  </w:num>
  <w:num w:numId="36">
    <w:abstractNumId w:val="560"/>
  </w:num>
  <w:num w:numId="37">
    <w:abstractNumId w:val="271"/>
  </w:num>
  <w:num w:numId="38">
    <w:abstractNumId w:val="796"/>
  </w:num>
  <w:num w:numId="39">
    <w:abstractNumId w:val="1178"/>
  </w:num>
  <w:num w:numId="40">
    <w:abstractNumId w:val="1125"/>
  </w:num>
  <w:num w:numId="41">
    <w:abstractNumId w:val="884"/>
  </w:num>
  <w:num w:numId="42">
    <w:abstractNumId w:val="688"/>
  </w:num>
  <w:num w:numId="43">
    <w:abstractNumId w:val="589"/>
  </w:num>
  <w:num w:numId="44">
    <w:abstractNumId w:val="86"/>
  </w:num>
  <w:num w:numId="45">
    <w:abstractNumId w:val="1179"/>
  </w:num>
  <w:num w:numId="46">
    <w:abstractNumId w:val="705"/>
  </w:num>
  <w:num w:numId="47">
    <w:abstractNumId w:val="732"/>
  </w:num>
  <w:num w:numId="48">
    <w:abstractNumId w:val="696"/>
  </w:num>
  <w:num w:numId="49">
    <w:abstractNumId w:val="797"/>
  </w:num>
  <w:num w:numId="50">
    <w:abstractNumId w:val="1471"/>
  </w:num>
  <w:num w:numId="51">
    <w:abstractNumId w:val="1112"/>
  </w:num>
  <w:num w:numId="52">
    <w:abstractNumId w:val="719"/>
  </w:num>
  <w:num w:numId="53">
    <w:abstractNumId w:val="301"/>
  </w:num>
  <w:num w:numId="54">
    <w:abstractNumId w:val="83"/>
  </w:num>
  <w:num w:numId="55">
    <w:abstractNumId w:val="1343"/>
  </w:num>
  <w:num w:numId="56">
    <w:abstractNumId w:val="237"/>
  </w:num>
  <w:num w:numId="57">
    <w:abstractNumId w:val="621"/>
  </w:num>
  <w:num w:numId="58">
    <w:abstractNumId w:val="433"/>
  </w:num>
  <w:num w:numId="59">
    <w:abstractNumId w:val="386"/>
  </w:num>
  <w:num w:numId="60">
    <w:abstractNumId w:val="1352"/>
  </w:num>
  <w:num w:numId="61">
    <w:abstractNumId w:val="3"/>
    <w:lvlOverride w:ilvl="0">
      <w:lvl w:ilvl="0">
        <w:numFmt w:val="bullet"/>
        <w:lvlText w:val=""/>
        <w:legacy w:legacy="1" w:legacySpace="0" w:legacyIndent="360"/>
        <w:lvlJc w:val="left"/>
        <w:pPr>
          <w:ind w:left="720" w:hanging="360"/>
        </w:pPr>
        <w:rPr>
          <w:rFonts w:ascii="Symbol" w:hAnsi="Symbol" w:hint="default"/>
        </w:rPr>
      </w:lvl>
    </w:lvlOverride>
  </w:num>
  <w:num w:numId="62">
    <w:abstractNumId w:val="1322"/>
  </w:num>
  <w:num w:numId="63">
    <w:abstractNumId w:val="413"/>
  </w:num>
  <w:num w:numId="64">
    <w:abstractNumId w:val="777"/>
  </w:num>
  <w:num w:numId="65">
    <w:abstractNumId w:val="1393"/>
  </w:num>
  <w:num w:numId="66">
    <w:abstractNumId w:val="1342"/>
  </w:num>
  <w:num w:numId="67">
    <w:abstractNumId w:val="242"/>
  </w:num>
  <w:num w:numId="68">
    <w:abstractNumId w:val="246"/>
  </w:num>
  <w:num w:numId="69">
    <w:abstractNumId w:val="1436"/>
  </w:num>
  <w:num w:numId="70">
    <w:abstractNumId w:val="1338"/>
  </w:num>
  <w:num w:numId="71">
    <w:abstractNumId w:val="385"/>
  </w:num>
  <w:num w:numId="72">
    <w:abstractNumId w:val="202"/>
  </w:num>
  <w:num w:numId="73">
    <w:abstractNumId w:val="52"/>
  </w:num>
  <w:num w:numId="74">
    <w:abstractNumId w:val="1284"/>
  </w:num>
  <w:num w:numId="75">
    <w:abstractNumId w:val="1218"/>
  </w:num>
  <w:num w:numId="76">
    <w:abstractNumId w:val="566"/>
  </w:num>
  <w:num w:numId="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
    <w:abstractNumId w:val="4"/>
    <w:lvlOverride w:ilvl="0">
      <w:startOverride w:val="1"/>
      <w:lvl w:ilvl="0">
        <w:start w:val="1"/>
        <w:numFmt w:val="upperRoman"/>
        <w:lvlText w:val="%1."/>
        <w:lvlJc w:val="left"/>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9">
    <w:abstractNumId w:val="43"/>
  </w:num>
  <w:num w:numId="80">
    <w:abstractNumId w:val="255"/>
  </w:num>
  <w:num w:numId="81">
    <w:abstractNumId w:val="864"/>
  </w:num>
  <w:num w:numId="82">
    <w:abstractNumId w:val="393"/>
  </w:num>
  <w:num w:numId="83">
    <w:abstractNumId w:val="1276"/>
  </w:num>
  <w:num w:numId="84">
    <w:abstractNumId w:val="1123"/>
  </w:num>
  <w:num w:numId="85">
    <w:abstractNumId w:val="128"/>
  </w:num>
  <w:num w:numId="86">
    <w:abstractNumId w:val="834"/>
  </w:num>
  <w:num w:numId="87">
    <w:abstractNumId w:val="994"/>
  </w:num>
  <w:num w:numId="88">
    <w:abstractNumId w:val="1037"/>
  </w:num>
  <w:num w:numId="89">
    <w:abstractNumId w:val="278"/>
  </w:num>
  <w:num w:numId="90">
    <w:abstractNumId w:val="394"/>
  </w:num>
  <w:num w:numId="91">
    <w:abstractNumId w:val="234"/>
  </w:num>
  <w:num w:numId="92">
    <w:abstractNumId w:val="394"/>
    <w:lvlOverride w:ilvl="0"/>
  </w:num>
  <w:num w:numId="93">
    <w:abstractNumId w:val="181"/>
  </w:num>
  <w:num w:numId="94">
    <w:abstractNumId w:val="630"/>
  </w:num>
  <w:num w:numId="95">
    <w:abstractNumId w:val="1431"/>
  </w:num>
  <w:num w:numId="96">
    <w:abstractNumId w:val="125"/>
  </w:num>
  <w:num w:numId="97">
    <w:abstractNumId w:val="873"/>
  </w:num>
  <w:num w:numId="98">
    <w:abstractNumId w:val="832"/>
  </w:num>
  <w:num w:numId="99">
    <w:abstractNumId w:val="179"/>
  </w:num>
  <w:num w:numId="100">
    <w:abstractNumId w:val="680"/>
  </w:num>
  <w:num w:numId="101">
    <w:abstractNumId w:val="1409"/>
  </w:num>
  <w:num w:numId="102">
    <w:abstractNumId w:val="1232"/>
  </w:num>
  <w:num w:numId="103">
    <w:abstractNumId w:val="1434"/>
  </w:num>
  <w:num w:numId="104">
    <w:abstractNumId w:val="519"/>
  </w:num>
  <w:num w:numId="105">
    <w:abstractNumId w:val="1417"/>
  </w:num>
  <w:num w:numId="106">
    <w:abstractNumId w:val="657"/>
  </w:num>
  <w:num w:numId="107">
    <w:abstractNumId w:val="460"/>
  </w:num>
  <w:num w:numId="108">
    <w:abstractNumId w:val="863"/>
  </w:num>
  <w:num w:numId="109">
    <w:abstractNumId w:val="78"/>
  </w:num>
  <w:num w:numId="110">
    <w:abstractNumId w:val="817"/>
  </w:num>
  <w:num w:numId="111">
    <w:abstractNumId w:val="581"/>
  </w:num>
  <w:num w:numId="112">
    <w:abstractNumId w:val="692"/>
  </w:num>
  <w:num w:numId="113">
    <w:abstractNumId w:val="626"/>
  </w:num>
  <w:num w:numId="114">
    <w:abstractNumId w:val="975"/>
  </w:num>
  <w:num w:numId="115">
    <w:abstractNumId w:val="366"/>
  </w:num>
  <w:num w:numId="116">
    <w:abstractNumId w:val="1317"/>
  </w:num>
  <w:num w:numId="117">
    <w:abstractNumId w:val="645"/>
  </w:num>
  <w:num w:numId="118">
    <w:abstractNumId w:val="952"/>
  </w:num>
  <w:num w:numId="119">
    <w:abstractNumId w:val="724"/>
  </w:num>
  <w:num w:numId="120">
    <w:abstractNumId w:val="706"/>
  </w:num>
  <w:num w:numId="121">
    <w:abstractNumId w:val="690"/>
  </w:num>
  <w:num w:numId="122">
    <w:abstractNumId w:val="1375"/>
  </w:num>
  <w:num w:numId="123">
    <w:abstractNumId w:val="108"/>
  </w:num>
  <w:num w:numId="124">
    <w:abstractNumId w:val="648"/>
  </w:num>
  <w:num w:numId="125">
    <w:abstractNumId w:val="1258"/>
  </w:num>
  <w:num w:numId="126">
    <w:abstractNumId w:val="363"/>
  </w:num>
  <w:num w:numId="127">
    <w:abstractNumId w:val="1047"/>
  </w:num>
  <w:num w:numId="128">
    <w:abstractNumId w:val="1005"/>
  </w:num>
  <w:num w:numId="129">
    <w:abstractNumId w:val="882"/>
  </w:num>
  <w:num w:numId="130">
    <w:abstractNumId w:val="638"/>
  </w:num>
  <w:num w:numId="131">
    <w:abstractNumId w:val="1374"/>
  </w:num>
  <w:num w:numId="132">
    <w:abstractNumId w:val="996"/>
  </w:num>
  <w:num w:numId="133">
    <w:abstractNumId w:val="545"/>
  </w:num>
  <w:num w:numId="134">
    <w:abstractNumId w:val="224"/>
  </w:num>
  <w:num w:numId="135">
    <w:abstractNumId w:val="1016"/>
  </w:num>
  <w:num w:numId="136">
    <w:abstractNumId w:val="987"/>
  </w:num>
  <w:num w:numId="137">
    <w:abstractNumId w:val="456"/>
  </w:num>
  <w:num w:numId="138">
    <w:abstractNumId w:val="155"/>
  </w:num>
  <w:num w:numId="139">
    <w:abstractNumId w:val="1411"/>
  </w:num>
  <w:num w:numId="140">
    <w:abstractNumId w:val="1437"/>
  </w:num>
  <w:num w:numId="141">
    <w:abstractNumId w:val="698"/>
  </w:num>
  <w:num w:numId="142">
    <w:abstractNumId w:val="39"/>
  </w:num>
  <w:num w:numId="143">
    <w:abstractNumId w:val="209"/>
  </w:num>
  <w:num w:numId="144">
    <w:abstractNumId w:val="160"/>
  </w:num>
  <w:num w:numId="145">
    <w:abstractNumId w:val="756"/>
  </w:num>
  <w:num w:numId="146">
    <w:abstractNumId w:val="1"/>
  </w:num>
  <w:num w:numId="147">
    <w:abstractNumId w:val="506"/>
  </w:num>
  <w:num w:numId="148">
    <w:abstractNumId w:val="441"/>
  </w:num>
  <w:num w:numId="149">
    <w:abstractNumId w:val="441"/>
    <w:lvlOverride w:ilvl="0">
      <w:lvl w:ilvl="0">
        <w:start w:val="1"/>
        <w:numFmt w:val="decimal"/>
        <w:lvlText w:val="%1."/>
        <w:legacy w:legacy="1" w:legacySpace="0" w:legacyIndent="283"/>
        <w:lvlJc w:val="left"/>
        <w:pPr>
          <w:ind w:left="283" w:hanging="283"/>
        </w:pPr>
      </w:lvl>
    </w:lvlOverride>
  </w:num>
  <w:num w:numId="150">
    <w:abstractNumId w:val="1345"/>
  </w:num>
  <w:num w:numId="151">
    <w:abstractNumId w:val="338"/>
  </w:num>
  <w:num w:numId="152">
    <w:abstractNumId w:val="1078"/>
  </w:num>
  <w:num w:numId="153">
    <w:abstractNumId w:val="886"/>
  </w:num>
  <w:num w:numId="154">
    <w:abstractNumId w:val="383"/>
  </w:num>
  <w:num w:numId="155">
    <w:abstractNumId w:val="200"/>
  </w:num>
  <w:num w:numId="156">
    <w:abstractNumId w:val="1369"/>
  </w:num>
  <w:num w:numId="157">
    <w:abstractNumId w:val="955"/>
  </w:num>
  <w:num w:numId="158">
    <w:abstractNumId w:val="1415"/>
  </w:num>
  <w:num w:numId="159">
    <w:abstractNumId w:val="462"/>
  </w:num>
  <w:num w:numId="160">
    <w:abstractNumId w:val="1149"/>
  </w:num>
  <w:num w:numId="161">
    <w:abstractNumId w:val="364"/>
  </w:num>
  <w:num w:numId="162">
    <w:abstractNumId w:val="714"/>
  </w:num>
  <w:num w:numId="163">
    <w:abstractNumId w:val="859"/>
  </w:num>
  <w:num w:numId="164">
    <w:abstractNumId w:val="391"/>
  </w:num>
  <w:num w:numId="165">
    <w:abstractNumId w:val="22"/>
  </w:num>
  <w:num w:numId="166">
    <w:abstractNumId w:val="166"/>
  </w:num>
  <w:num w:numId="167">
    <w:abstractNumId w:val="1414"/>
  </w:num>
  <w:num w:numId="168">
    <w:abstractNumId w:val="254"/>
  </w:num>
  <w:num w:numId="169">
    <w:abstractNumId w:val="1324"/>
  </w:num>
  <w:num w:numId="170">
    <w:abstractNumId w:val="1181"/>
  </w:num>
  <w:num w:numId="171">
    <w:abstractNumId w:val="100"/>
  </w:num>
  <w:num w:numId="172">
    <w:abstractNumId w:val="118"/>
  </w:num>
  <w:num w:numId="173">
    <w:abstractNumId w:val="263"/>
  </w:num>
  <w:num w:numId="174">
    <w:abstractNumId w:val="93"/>
  </w:num>
  <w:num w:numId="175">
    <w:abstractNumId w:val="501"/>
  </w:num>
  <w:num w:numId="176">
    <w:abstractNumId w:val="900"/>
  </w:num>
  <w:num w:numId="177">
    <w:abstractNumId w:val="509"/>
  </w:num>
  <w:num w:numId="178">
    <w:abstractNumId w:val="1281"/>
  </w:num>
  <w:num w:numId="179">
    <w:abstractNumId w:val="555"/>
  </w:num>
  <w:num w:numId="180">
    <w:abstractNumId w:val="854"/>
  </w:num>
  <w:num w:numId="181">
    <w:abstractNumId w:val="1294"/>
  </w:num>
  <w:num w:numId="182">
    <w:abstractNumId w:val="1420"/>
  </w:num>
  <w:num w:numId="183">
    <w:abstractNumId w:val="585"/>
  </w:num>
  <w:num w:numId="184">
    <w:abstractNumId w:val="1004"/>
  </w:num>
  <w:num w:numId="185">
    <w:abstractNumId w:val="328"/>
  </w:num>
  <w:num w:numId="186">
    <w:abstractNumId w:val="487"/>
  </w:num>
  <w:num w:numId="187">
    <w:abstractNumId w:val="964"/>
  </w:num>
  <w:num w:numId="188">
    <w:abstractNumId w:val="1251"/>
  </w:num>
  <w:num w:numId="189">
    <w:abstractNumId w:val="463"/>
  </w:num>
  <w:num w:numId="190">
    <w:abstractNumId w:val="544"/>
  </w:num>
  <w:num w:numId="191">
    <w:abstractNumId w:val="851"/>
  </w:num>
  <w:num w:numId="192">
    <w:abstractNumId w:val="770"/>
  </w:num>
  <w:num w:numId="193">
    <w:abstractNumId w:val="1228"/>
  </w:num>
  <w:num w:numId="194">
    <w:abstractNumId w:val="671"/>
  </w:num>
  <w:num w:numId="195">
    <w:abstractNumId w:val="1079"/>
  </w:num>
  <w:num w:numId="196">
    <w:abstractNumId w:val="923"/>
  </w:num>
  <w:num w:numId="197">
    <w:abstractNumId w:val="1146"/>
  </w:num>
  <w:num w:numId="198">
    <w:abstractNumId w:val="904"/>
  </w:num>
  <w:num w:numId="199">
    <w:abstractNumId w:val="1299"/>
  </w:num>
  <w:num w:numId="200">
    <w:abstractNumId w:val="1403"/>
  </w:num>
  <w:num w:numId="201">
    <w:abstractNumId w:val="30"/>
  </w:num>
  <w:num w:numId="202">
    <w:abstractNumId w:val="1348"/>
  </w:num>
  <w:num w:numId="203">
    <w:abstractNumId w:val="856"/>
  </w:num>
  <w:num w:numId="204">
    <w:abstractNumId w:val="950"/>
  </w:num>
  <w:num w:numId="205">
    <w:abstractNumId w:val="1180"/>
  </w:num>
  <w:num w:numId="206">
    <w:abstractNumId w:val="622"/>
  </w:num>
  <w:num w:numId="207">
    <w:abstractNumId w:val="122"/>
  </w:num>
  <w:num w:numId="208">
    <w:abstractNumId w:val="367"/>
  </w:num>
  <w:num w:numId="209">
    <w:abstractNumId w:val="1020"/>
  </w:num>
  <w:num w:numId="210">
    <w:abstractNumId w:val="523"/>
  </w:num>
  <w:num w:numId="211">
    <w:abstractNumId w:val="476"/>
  </w:num>
  <w:num w:numId="212">
    <w:abstractNumId w:val="592"/>
  </w:num>
  <w:num w:numId="213">
    <w:abstractNumId w:val="384"/>
  </w:num>
  <w:num w:numId="214">
    <w:abstractNumId w:val="548"/>
  </w:num>
  <w:num w:numId="215">
    <w:abstractNumId w:val="914"/>
  </w:num>
  <w:num w:numId="216">
    <w:abstractNumId w:val="604"/>
  </w:num>
  <w:num w:numId="217">
    <w:abstractNumId w:val="176"/>
  </w:num>
  <w:num w:numId="218">
    <w:abstractNumId w:val="66"/>
  </w:num>
  <w:num w:numId="219">
    <w:abstractNumId w:val="539"/>
  </w:num>
  <w:num w:numId="220">
    <w:abstractNumId w:val="662"/>
  </w:num>
  <w:num w:numId="221">
    <w:abstractNumId w:val="3"/>
    <w:lvlOverride w:ilvl="0">
      <w:lvl w:ilvl="0">
        <w:start w:val="1"/>
        <w:numFmt w:val="bullet"/>
        <w:lvlText w:val=""/>
        <w:legacy w:legacy="1" w:legacySpace="0" w:legacyIndent="-567"/>
        <w:lvlJc w:val="left"/>
        <w:pPr>
          <w:ind w:left="0" w:firstLine="567"/>
        </w:pPr>
        <w:rPr>
          <w:rFonts w:ascii="Symbol" w:hAnsi="Symbol" w:hint="default"/>
        </w:rPr>
      </w:lvl>
    </w:lvlOverride>
  </w:num>
  <w:num w:numId="222">
    <w:abstractNumId w:val="1094"/>
  </w:num>
  <w:num w:numId="223">
    <w:abstractNumId w:val="986"/>
  </w:num>
  <w:num w:numId="224">
    <w:abstractNumId w:val="408"/>
  </w:num>
  <w:num w:numId="225">
    <w:abstractNumId w:val="6"/>
  </w:num>
  <w:num w:numId="226">
    <w:abstractNumId w:val="1351"/>
  </w:num>
  <w:num w:numId="227">
    <w:abstractNumId w:val="111"/>
  </w:num>
  <w:num w:numId="228">
    <w:abstractNumId w:val="299"/>
  </w:num>
  <w:num w:numId="229">
    <w:abstractNumId w:val="1192"/>
  </w:num>
  <w:num w:numId="230">
    <w:abstractNumId w:val="1398"/>
  </w:num>
  <w:num w:numId="231">
    <w:abstractNumId w:val="661"/>
  </w:num>
  <w:num w:numId="232">
    <w:abstractNumId w:val="716"/>
  </w:num>
  <w:num w:numId="233">
    <w:abstractNumId w:val="390"/>
  </w:num>
  <w:num w:numId="234">
    <w:abstractNumId w:val="728"/>
  </w:num>
  <w:num w:numId="235">
    <w:abstractNumId w:val="1018"/>
  </w:num>
  <w:num w:numId="236">
    <w:abstractNumId w:val="222"/>
  </w:num>
  <w:num w:numId="237">
    <w:abstractNumId w:val="1456"/>
  </w:num>
  <w:num w:numId="238">
    <w:abstractNumId w:val="1290"/>
  </w:num>
  <w:num w:numId="239">
    <w:abstractNumId w:val="1308"/>
  </w:num>
  <w:num w:numId="240">
    <w:abstractNumId w:val="931"/>
  </w:num>
  <w:num w:numId="241">
    <w:abstractNumId w:val="776"/>
  </w:num>
  <w:num w:numId="242">
    <w:abstractNumId w:val="1289"/>
  </w:num>
  <w:num w:numId="243">
    <w:abstractNumId w:val="84"/>
  </w:num>
  <w:num w:numId="244">
    <w:abstractNumId w:val="373"/>
  </w:num>
  <w:num w:numId="245">
    <w:abstractNumId w:val="208"/>
  </w:num>
  <w:num w:numId="246">
    <w:abstractNumId w:val="1313"/>
  </w:num>
  <w:num w:numId="247">
    <w:abstractNumId w:val="729"/>
  </w:num>
  <w:num w:numId="248">
    <w:abstractNumId w:val="1089"/>
  </w:num>
  <w:num w:numId="249">
    <w:abstractNumId w:val="891"/>
  </w:num>
  <w:num w:numId="250">
    <w:abstractNumId w:val="359"/>
  </w:num>
  <w:num w:numId="251">
    <w:abstractNumId w:val="843"/>
  </w:num>
  <w:num w:numId="252">
    <w:abstractNumId w:val="1381"/>
  </w:num>
  <w:num w:numId="253">
    <w:abstractNumId w:val="927"/>
  </w:num>
  <w:num w:numId="254">
    <w:abstractNumId w:val="1280"/>
  </w:num>
  <w:num w:numId="255">
    <w:abstractNumId w:val="1364"/>
  </w:num>
  <w:num w:numId="256">
    <w:abstractNumId w:val="674"/>
  </w:num>
  <w:num w:numId="257">
    <w:abstractNumId w:val="636"/>
  </w:num>
  <w:num w:numId="258">
    <w:abstractNumId w:val="1100"/>
  </w:num>
  <w:num w:numId="259">
    <w:abstractNumId w:val="105"/>
  </w:num>
  <w:num w:numId="260">
    <w:abstractNumId w:val="575"/>
  </w:num>
  <w:num w:numId="261">
    <w:abstractNumId w:val="379"/>
  </w:num>
  <w:num w:numId="262">
    <w:abstractNumId w:val="1368"/>
  </w:num>
  <w:num w:numId="263">
    <w:abstractNumId w:val="946"/>
  </w:num>
  <w:num w:numId="264">
    <w:abstractNumId w:val="466"/>
  </w:num>
  <w:num w:numId="265">
    <w:abstractNumId w:val="1275"/>
  </w:num>
  <w:num w:numId="266">
    <w:abstractNumId w:val="1035"/>
  </w:num>
  <w:num w:numId="267">
    <w:abstractNumId w:val="1164"/>
  </w:num>
  <w:num w:numId="268">
    <w:abstractNumId w:val="786"/>
  </w:num>
  <w:num w:numId="269">
    <w:abstractNumId w:val="283"/>
  </w:num>
  <w:num w:numId="270">
    <w:abstractNumId w:val="1028"/>
  </w:num>
  <w:num w:numId="271">
    <w:abstractNumId w:val="899"/>
  </w:num>
  <w:num w:numId="272">
    <w:abstractNumId w:val="967"/>
  </w:num>
  <w:num w:numId="273">
    <w:abstractNumId w:val="457"/>
  </w:num>
  <w:num w:numId="274">
    <w:abstractNumId w:val="1088"/>
  </w:num>
  <w:num w:numId="275">
    <w:abstractNumId w:val="1093"/>
  </w:num>
  <w:num w:numId="276">
    <w:abstractNumId w:val="182"/>
  </w:num>
  <w:num w:numId="277">
    <w:abstractNumId w:val="919"/>
  </w:num>
  <w:num w:numId="278">
    <w:abstractNumId w:val="745"/>
  </w:num>
  <w:num w:numId="279">
    <w:abstractNumId w:val="1209"/>
  </w:num>
  <w:num w:numId="280">
    <w:abstractNumId w:val="138"/>
  </w:num>
  <w:num w:numId="281">
    <w:abstractNumId w:val="217"/>
  </w:num>
  <w:num w:numId="282">
    <w:abstractNumId w:val="169"/>
  </w:num>
  <w:num w:numId="283">
    <w:abstractNumId w:val="1470"/>
  </w:num>
  <w:num w:numId="284">
    <w:abstractNumId w:val="608"/>
  </w:num>
  <w:num w:numId="285">
    <w:abstractNumId w:val="664"/>
  </w:num>
  <w:num w:numId="286">
    <w:abstractNumId w:val="1302"/>
  </w:num>
  <w:num w:numId="287">
    <w:abstractNumId w:val="1227"/>
  </w:num>
  <w:num w:numId="288">
    <w:abstractNumId w:val="637"/>
  </w:num>
  <w:num w:numId="289">
    <w:abstractNumId w:val="917"/>
  </w:num>
  <w:num w:numId="290">
    <w:abstractNumId w:val="296"/>
  </w:num>
  <w:num w:numId="291">
    <w:abstractNumId w:val="915"/>
  </w:num>
  <w:num w:numId="292">
    <w:abstractNumId w:val="655"/>
  </w:num>
  <w:num w:numId="293">
    <w:abstractNumId w:val="1301"/>
  </w:num>
  <w:num w:numId="294">
    <w:abstractNumId w:val="1121"/>
  </w:num>
  <w:num w:numId="295">
    <w:abstractNumId w:val="295"/>
  </w:num>
  <w:num w:numId="296">
    <w:abstractNumId w:val="1271"/>
  </w:num>
  <w:num w:numId="297">
    <w:abstractNumId w:val="1152"/>
  </w:num>
  <w:num w:numId="298">
    <w:abstractNumId w:val="750"/>
  </w:num>
  <w:num w:numId="299">
    <w:abstractNumId w:val="1212"/>
  </w:num>
  <w:num w:numId="300">
    <w:abstractNumId w:val="1161"/>
  </w:num>
  <w:num w:numId="301">
    <w:abstractNumId w:val="921"/>
  </w:num>
  <w:num w:numId="302">
    <w:abstractNumId w:val="0"/>
  </w:num>
  <w:num w:numId="303">
    <w:abstractNumId w:val="1419"/>
  </w:num>
  <w:num w:numId="304">
    <w:abstractNumId w:val="1199"/>
  </w:num>
  <w:num w:numId="305">
    <w:abstractNumId w:val="583"/>
  </w:num>
  <w:num w:numId="306">
    <w:abstractNumId w:val="869"/>
  </w:num>
  <w:num w:numId="307">
    <w:abstractNumId w:val="618"/>
  </w:num>
  <w:num w:numId="308">
    <w:abstractNumId w:val="1041"/>
  </w:num>
  <w:num w:numId="309">
    <w:abstractNumId w:val="350"/>
  </w:num>
  <w:num w:numId="310">
    <w:abstractNumId w:val="795"/>
  </w:num>
  <w:num w:numId="311">
    <w:abstractNumId w:val="889"/>
  </w:num>
  <w:num w:numId="312">
    <w:abstractNumId w:val="1106"/>
  </w:num>
  <w:num w:numId="313">
    <w:abstractNumId w:val="333"/>
  </w:num>
  <w:num w:numId="314">
    <w:abstractNumId w:val="1230"/>
  </w:num>
  <w:num w:numId="315">
    <w:abstractNumId w:val="1402"/>
  </w:num>
  <w:num w:numId="316">
    <w:abstractNumId w:val="1056"/>
  </w:num>
  <w:num w:numId="317">
    <w:abstractNumId w:val="58"/>
  </w:num>
  <w:num w:numId="318">
    <w:abstractNumId w:val="329"/>
  </w:num>
  <w:num w:numId="319">
    <w:abstractNumId w:val="701"/>
  </w:num>
  <w:num w:numId="320">
    <w:abstractNumId w:val="3"/>
    <w:lvlOverride w:ilvl="0">
      <w:lvl w:ilvl="0">
        <w:start w:val="1"/>
        <w:numFmt w:val="bullet"/>
        <w:lvlText w:val=""/>
        <w:legacy w:legacy="1" w:legacySpace="0" w:legacyIndent="283"/>
        <w:lvlJc w:val="left"/>
        <w:pPr>
          <w:ind w:left="992" w:hanging="283"/>
        </w:pPr>
        <w:rPr>
          <w:rFonts w:ascii="Symbol" w:hAnsi="Symbol" w:hint="default"/>
        </w:rPr>
      </w:lvl>
    </w:lvlOverride>
  </w:num>
  <w:num w:numId="321">
    <w:abstractNumId w:val="591"/>
  </w:num>
  <w:num w:numId="322">
    <w:abstractNumId w:val="1131"/>
  </w:num>
  <w:num w:numId="323">
    <w:abstractNumId w:val="1391"/>
  </w:num>
  <w:num w:numId="324">
    <w:abstractNumId w:val="500"/>
  </w:num>
  <w:num w:numId="325">
    <w:abstractNumId w:val="556"/>
  </w:num>
  <w:num w:numId="326">
    <w:abstractNumId w:val="1127"/>
  </w:num>
  <w:num w:numId="327">
    <w:abstractNumId w:val="27"/>
  </w:num>
  <w:num w:numId="328">
    <w:abstractNumId w:val="380"/>
  </w:num>
  <w:num w:numId="329">
    <w:abstractNumId w:val="703"/>
  </w:num>
  <w:num w:numId="330">
    <w:abstractNumId w:val="1472"/>
  </w:num>
  <w:num w:numId="331">
    <w:abstractNumId w:val="1156"/>
  </w:num>
  <w:num w:numId="332">
    <w:abstractNumId w:val="36"/>
  </w:num>
  <w:num w:numId="333">
    <w:abstractNumId w:val="739"/>
  </w:num>
  <w:num w:numId="334">
    <w:abstractNumId w:val="172"/>
  </w:num>
  <w:num w:numId="335">
    <w:abstractNumId w:val="213"/>
  </w:num>
  <w:num w:numId="336">
    <w:abstractNumId w:val="678"/>
  </w:num>
  <w:num w:numId="337">
    <w:abstractNumId w:val="1405"/>
  </w:num>
  <w:num w:numId="338">
    <w:abstractNumId w:val="21"/>
  </w:num>
  <w:num w:numId="339">
    <w:abstractNumId w:val="1002"/>
  </w:num>
  <w:num w:numId="340">
    <w:abstractNumId w:val="96"/>
  </w:num>
  <w:num w:numId="341">
    <w:abstractNumId w:val="1382"/>
  </w:num>
  <w:num w:numId="342">
    <w:abstractNumId w:val="15"/>
  </w:num>
  <w:num w:numId="343">
    <w:abstractNumId w:val="1335"/>
  </w:num>
  <w:num w:numId="344">
    <w:abstractNumId w:val="80"/>
  </w:num>
  <w:num w:numId="345">
    <w:abstractNumId w:val="374"/>
  </w:num>
  <w:num w:numId="346">
    <w:abstractNumId w:val="940"/>
  </w:num>
  <w:num w:numId="347">
    <w:abstractNumId w:val="38"/>
  </w:num>
  <w:num w:numId="348">
    <w:abstractNumId w:val="306"/>
  </w:num>
  <w:num w:numId="349">
    <w:abstractNumId w:val="164"/>
  </w:num>
  <w:num w:numId="350">
    <w:abstractNumId w:val="98"/>
  </w:num>
  <w:num w:numId="351">
    <w:abstractNumId w:val="980"/>
  </w:num>
  <w:num w:numId="352">
    <w:abstractNumId w:val="37"/>
  </w:num>
  <w:num w:numId="353">
    <w:abstractNumId w:val="95"/>
  </w:num>
  <w:num w:numId="354">
    <w:abstractNumId w:val="845"/>
  </w:num>
  <w:num w:numId="355">
    <w:abstractNumId w:val="1043"/>
  </w:num>
  <w:num w:numId="356">
    <w:abstractNumId w:val="562"/>
  </w:num>
  <w:num w:numId="357">
    <w:abstractNumId w:val="304"/>
  </w:num>
  <w:num w:numId="358">
    <w:abstractNumId w:val="953"/>
  </w:num>
  <w:num w:numId="359">
    <w:abstractNumId w:val="972"/>
  </w:num>
  <w:num w:numId="360">
    <w:abstractNumId w:val="769"/>
  </w:num>
  <w:num w:numId="361">
    <w:abstractNumId w:val="1114"/>
  </w:num>
  <w:num w:numId="362">
    <w:abstractNumId w:val="9"/>
  </w:num>
  <w:num w:numId="363">
    <w:abstractNumId w:val="554"/>
  </w:num>
  <w:num w:numId="364">
    <w:abstractNumId w:val="531"/>
  </w:num>
  <w:num w:numId="365">
    <w:abstractNumId w:val="1197"/>
  </w:num>
  <w:num w:numId="366">
    <w:abstractNumId w:val="610"/>
  </w:num>
  <w:num w:numId="367">
    <w:abstractNumId w:val="1008"/>
  </w:num>
  <w:num w:numId="368">
    <w:abstractNumId w:val="428"/>
  </w:num>
  <w:num w:numId="369">
    <w:abstractNumId w:val="1066"/>
  </w:num>
  <w:num w:numId="370">
    <w:abstractNumId w:val="431"/>
  </w:num>
  <w:num w:numId="371">
    <w:abstractNumId w:val="102"/>
  </w:num>
  <w:num w:numId="372">
    <w:abstractNumId w:val="847"/>
  </w:num>
  <w:num w:numId="373">
    <w:abstractNumId w:val="123"/>
  </w:num>
  <w:num w:numId="374">
    <w:abstractNumId w:val="189"/>
  </w:num>
  <w:num w:numId="375">
    <w:abstractNumId w:val="1198"/>
  </w:num>
  <w:num w:numId="376">
    <w:abstractNumId w:val="455"/>
  </w:num>
  <w:num w:numId="377">
    <w:abstractNumId w:val="68"/>
  </w:num>
  <w:num w:numId="378">
    <w:abstractNumId w:val="71"/>
  </w:num>
  <w:num w:numId="379">
    <w:abstractNumId w:val="1293"/>
  </w:num>
  <w:num w:numId="380">
    <w:abstractNumId w:val="1223"/>
  </w:num>
  <w:num w:numId="381">
    <w:abstractNumId w:val="1249"/>
  </w:num>
  <w:num w:numId="382">
    <w:abstractNumId w:val="926"/>
  </w:num>
  <w:num w:numId="383">
    <w:abstractNumId w:val="339"/>
  </w:num>
  <w:num w:numId="384">
    <w:abstractNumId w:val="499"/>
  </w:num>
  <w:num w:numId="385">
    <w:abstractNumId w:val="230"/>
  </w:num>
  <w:num w:numId="386">
    <w:abstractNumId w:val="1330"/>
  </w:num>
  <w:num w:numId="387">
    <w:abstractNumId w:val="1425"/>
  </w:num>
  <w:num w:numId="388">
    <w:abstractNumId w:val="414"/>
  </w:num>
  <w:num w:numId="389">
    <w:abstractNumId w:val="1226"/>
  </w:num>
  <w:num w:numId="390">
    <w:abstractNumId w:val="1013"/>
  </w:num>
  <w:num w:numId="391">
    <w:abstractNumId w:val="947"/>
  </w:num>
  <w:num w:numId="392">
    <w:abstractNumId w:val="103"/>
  </w:num>
  <w:num w:numId="393">
    <w:abstractNumId w:val="1159"/>
  </w:num>
  <w:num w:numId="394">
    <w:abstractNumId w:val="469"/>
  </w:num>
  <w:num w:numId="395">
    <w:abstractNumId w:val="264"/>
  </w:num>
  <w:num w:numId="396">
    <w:abstractNumId w:val="268"/>
  </w:num>
  <w:num w:numId="397">
    <w:abstractNumId w:val="227"/>
  </w:num>
  <w:num w:numId="398">
    <w:abstractNumId w:val="513"/>
  </w:num>
  <w:num w:numId="399">
    <w:abstractNumId w:val="1109"/>
  </w:num>
  <w:num w:numId="400">
    <w:abstractNumId w:val="347"/>
  </w:num>
  <w:num w:numId="401">
    <w:abstractNumId w:val="853"/>
  </w:num>
  <w:num w:numId="402">
    <w:abstractNumId w:val="184"/>
  </w:num>
  <w:num w:numId="403">
    <w:abstractNumId w:val="1478"/>
  </w:num>
  <w:num w:numId="404">
    <w:abstractNumId w:val="1390"/>
  </w:num>
  <w:num w:numId="405">
    <w:abstractNumId w:val="1315"/>
  </w:num>
  <w:num w:numId="406">
    <w:abstractNumId w:val="783"/>
  </w:num>
  <w:num w:numId="407">
    <w:abstractNumId w:val="389"/>
  </w:num>
  <w:num w:numId="408">
    <w:abstractNumId w:val="478"/>
  </w:num>
  <w:num w:numId="409">
    <w:abstractNumId w:val="167"/>
  </w:num>
  <w:num w:numId="410">
    <w:abstractNumId w:val="582"/>
  </w:num>
  <w:num w:numId="411">
    <w:abstractNumId w:val="725"/>
  </w:num>
  <w:num w:numId="412">
    <w:abstractNumId w:val="822"/>
  </w:num>
  <w:num w:numId="413">
    <w:abstractNumId w:val="1344"/>
  </w:num>
  <w:num w:numId="414">
    <w:abstractNumId w:val="538"/>
  </w:num>
  <w:num w:numId="415">
    <w:abstractNumId w:val="628"/>
  </w:num>
  <w:num w:numId="416">
    <w:abstractNumId w:val="1033"/>
  </w:num>
  <w:num w:numId="417">
    <w:abstractNumId w:val="1150"/>
  </w:num>
  <w:num w:numId="418">
    <w:abstractNumId w:val="1355"/>
  </w:num>
  <w:num w:numId="419">
    <w:abstractNumId w:val="1297"/>
  </w:num>
  <w:num w:numId="420">
    <w:abstractNumId w:val="992"/>
  </w:num>
  <w:num w:numId="421">
    <w:abstractNumId w:val="779"/>
  </w:num>
  <w:num w:numId="422">
    <w:abstractNumId w:val="1373"/>
  </w:num>
  <w:num w:numId="423">
    <w:abstractNumId w:val="993"/>
  </w:num>
  <w:num w:numId="424">
    <w:abstractNumId w:val="825"/>
  </w:num>
  <w:num w:numId="425">
    <w:abstractNumId w:val="1196"/>
  </w:num>
  <w:num w:numId="426">
    <w:abstractNumId w:val="1362"/>
  </w:num>
  <w:num w:numId="427">
    <w:abstractNumId w:val="752"/>
  </w:num>
  <w:num w:numId="428">
    <w:abstractNumId w:val="809"/>
  </w:num>
  <w:num w:numId="429">
    <w:abstractNumId w:val="846"/>
  </w:num>
  <w:num w:numId="430">
    <w:abstractNumId w:val="879"/>
  </w:num>
  <w:num w:numId="431">
    <w:abstractNumId w:val="813"/>
  </w:num>
  <w:num w:numId="432">
    <w:abstractNumId w:val="438"/>
  </w:num>
  <w:num w:numId="433">
    <w:abstractNumId w:val="780"/>
  </w:num>
  <w:num w:numId="434">
    <w:abstractNumId w:val="1058"/>
  </w:num>
  <w:num w:numId="435">
    <w:abstractNumId w:val="689"/>
  </w:num>
  <w:num w:numId="436">
    <w:abstractNumId w:val="576"/>
  </w:num>
  <w:num w:numId="437">
    <w:abstractNumId w:val="1083"/>
  </w:num>
  <w:num w:numId="438">
    <w:abstractNumId w:val="691"/>
  </w:num>
  <w:num w:numId="439">
    <w:abstractNumId w:val="984"/>
  </w:num>
  <w:num w:numId="440">
    <w:abstractNumId w:val="720"/>
  </w:num>
  <w:num w:numId="441">
    <w:abstractNumId w:val="906"/>
  </w:num>
  <w:num w:numId="442">
    <w:abstractNumId w:val="153"/>
  </w:num>
  <w:num w:numId="443">
    <w:abstractNumId w:val="1091"/>
  </w:num>
  <w:num w:numId="444">
    <w:abstractNumId w:val="432"/>
  </w:num>
  <w:num w:numId="445">
    <w:abstractNumId w:val="824"/>
  </w:num>
  <w:num w:numId="446">
    <w:abstractNumId w:val="250"/>
  </w:num>
  <w:num w:numId="447">
    <w:abstractNumId w:val="3"/>
    <w:lvlOverride w:ilvl="0">
      <w:lvl w:ilvl="0">
        <w:start w:val="1"/>
        <w:numFmt w:val="bullet"/>
        <w:lvlText w:val=""/>
        <w:legacy w:legacy="1" w:legacySpace="0" w:legacyIndent="-567"/>
        <w:lvlJc w:val="left"/>
        <w:pPr>
          <w:ind w:left="-567" w:firstLine="567"/>
        </w:pPr>
        <w:rPr>
          <w:rFonts w:ascii="Symbol" w:hAnsi="Symbol" w:hint="default"/>
        </w:rPr>
      </w:lvl>
    </w:lvlOverride>
  </w:num>
  <w:num w:numId="448">
    <w:abstractNumId w:val="262"/>
  </w:num>
  <w:num w:numId="449">
    <w:abstractNumId w:val="352"/>
  </w:num>
  <w:num w:numId="450">
    <w:abstractNumId w:val="922"/>
  </w:num>
  <w:num w:numId="451">
    <w:abstractNumId w:val="1175"/>
  </w:num>
  <w:num w:numId="452">
    <w:abstractNumId w:val="337"/>
  </w:num>
  <w:num w:numId="453">
    <w:abstractNumId w:val="941"/>
  </w:num>
  <w:num w:numId="454">
    <w:abstractNumId w:val="145"/>
  </w:num>
  <w:num w:numId="455">
    <w:abstractNumId w:val="150"/>
  </w:num>
  <w:num w:numId="456">
    <w:abstractNumId w:val="101"/>
  </w:num>
  <w:num w:numId="457">
    <w:abstractNumId w:val="765"/>
  </w:num>
  <w:num w:numId="458">
    <w:abstractNumId w:val="983"/>
  </w:num>
  <w:num w:numId="459">
    <w:abstractNumId w:val="67"/>
  </w:num>
  <w:num w:numId="460">
    <w:abstractNumId w:val="1379"/>
  </w:num>
  <w:num w:numId="461">
    <w:abstractNumId w:val="309"/>
  </w:num>
  <w:num w:numId="462">
    <w:abstractNumId w:val="287"/>
  </w:num>
  <w:num w:numId="463">
    <w:abstractNumId w:val="207"/>
  </w:num>
  <w:num w:numId="464">
    <w:abstractNumId w:val="758"/>
  </w:num>
  <w:num w:numId="465">
    <w:abstractNumId w:val="833"/>
  </w:num>
  <w:num w:numId="466">
    <w:abstractNumId w:val="1062"/>
  </w:num>
  <w:num w:numId="467">
    <w:abstractNumId w:val="216"/>
  </w:num>
  <w:num w:numId="468">
    <w:abstractNumId w:val="1296"/>
  </w:num>
  <w:num w:numId="469">
    <w:abstractNumId w:val="547"/>
  </w:num>
  <w:num w:numId="470">
    <w:abstractNumId w:val="1053"/>
  </w:num>
  <w:num w:numId="471">
    <w:abstractNumId w:val="1475"/>
  </w:num>
  <w:num w:numId="472">
    <w:abstractNumId w:val="12"/>
  </w:num>
  <w:num w:numId="473">
    <w:abstractNumId w:val="300"/>
  </w:num>
  <w:num w:numId="474">
    <w:abstractNumId w:val="749"/>
  </w:num>
  <w:num w:numId="475">
    <w:abstractNumId w:val="1262"/>
  </w:num>
  <w:num w:numId="476">
    <w:abstractNumId w:val="762"/>
  </w:num>
  <w:num w:numId="477">
    <w:abstractNumId w:val="1126"/>
  </w:num>
  <w:num w:numId="478">
    <w:abstractNumId w:val="1477"/>
  </w:num>
  <w:num w:numId="479">
    <w:abstractNumId w:val="965"/>
  </w:num>
  <w:num w:numId="480">
    <w:abstractNumId w:val="18"/>
  </w:num>
  <w:num w:numId="481">
    <w:abstractNumId w:val="1189"/>
  </w:num>
  <w:num w:numId="482">
    <w:abstractNumId w:val="360"/>
  </w:num>
  <w:num w:numId="483">
    <w:abstractNumId w:val="1316"/>
  </w:num>
  <w:num w:numId="484">
    <w:abstractNumId w:val="943"/>
  </w:num>
  <w:num w:numId="485">
    <w:abstractNumId w:val="79"/>
  </w:num>
  <w:num w:numId="486">
    <w:abstractNumId w:val="3"/>
    <w:lvlOverride w:ilvl="0">
      <w:lvl w:ilvl="0">
        <w:start w:val="1"/>
        <w:numFmt w:val="bullet"/>
        <w:lvlText w:val=""/>
        <w:legacy w:legacy="1" w:legacySpace="0" w:legacyIndent="283"/>
        <w:lvlJc w:val="left"/>
        <w:pPr>
          <w:ind w:left="991" w:hanging="283"/>
        </w:pPr>
        <w:rPr>
          <w:rFonts w:ascii="Symbol" w:hAnsi="Symbol" w:hint="default"/>
        </w:rPr>
      </w:lvl>
    </w:lvlOverride>
  </w:num>
  <w:num w:numId="487">
    <w:abstractNumId w:val="64"/>
  </w:num>
  <w:num w:numId="488">
    <w:abstractNumId w:val="957"/>
  </w:num>
  <w:num w:numId="489">
    <w:abstractNumId w:val="603"/>
  </w:num>
  <w:num w:numId="490">
    <w:abstractNumId w:val="878"/>
  </w:num>
  <w:num w:numId="491">
    <w:abstractNumId w:val="1242"/>
  </w:num>
  <w:num w:numId="492">
    <w:abstractNumId w:val="401"/>
  </w:num>
  <w:num w:numId="493">
    <w:abstractNumId w:val="679"/>
  </w:num>
  <w:num w:numId="494">
    <w:abstractNumId w:val="1065"/>
  </w:num>
  <w:num w:numId="495">
    <w:abstractNumId w:val="1361"/>
  </w:num>
  <w:num w:numId="496">
    <w:abstractNumId w:val="215"/>
  </w:num>
  <w:num w:numId="497">
    <w:abstractNumId w:val="483"/>
  </w:num>
  <w:num w:numId="498">
    <w:abstractNumId w:val="595"/>
  </w:num>
  <w:num w:numId="499">
    <w:abstractNumId w:val="532"/>
  </w:num>
  <w:num w:numId="500">
    <w:abstractNumId w:val="887"/>
  </w:num>
  <w:num w:numId="501">
    <w:abstractNumId w:val="652"/>
  </w:num>
  <w:num w:numId="502">
    <w:abstractNumId w:val="377"/>
  </w:num>
  <w:num w:numId="503">
    <w:abstractNumId w:val="695"/>
  </w:num>
  <w:num w:numId="504">
    <w:abstractNumId w:val="1328"/>
  </w:num>
  <w:num w:numId="505">
    <w:abstractNumId w:val="1098"/>
  </w:num>
  <w:num w:numId="506">
    <w:abstractNumId w:val="251"/>
  </w:num>
  <w:num w:numId="507">
    <w:abstractNumId w:val="867"/>
  </w:num>
  <w:num w:numId="508">
    <w:abstractNumId w:val="658"/>
  </w:num>
  <w:num w:numId="509">
    <w:abstractNumId w:val="51"/>
  </w:num>
  <w:num w:numId="510">
    <w:abstractNumId w:val="903"/>
  </w:num>
  <w:num w:numId="511">
    <w:abstractNumId w:val="76"/>
  </w:num>
  <w:num w:numId="512">
    <w:abstractNumId w:val="1072"/>
  </w:num>
  <w:num w:numId="513">
    <w:abstractNumId w:val="292"/>
  </w:num>
  <w:num w:numId="514">
    <w:abstractNumId w:val="1443"/>
  </w:num>
  <w:num w:numId="515">
    <w:abstractNumId w:val="640"/>
  </w:num>
  <w:num w:numId="516">
    <w:abstractNumId w:val="1183"/>
  </w:num>
  <w:num w:numId="517">
    <w:abstractNumId w:val="1400"/>
  </w:num>
  <w:num w:numId="518">
    <w:abstractNumId w:val="1333"/>
  </w:num>
  <w:num w:numId="519">
    <w:abstractNumId w:val="785"/>
  </w:num>
  <w:num w:numId="520">
    <w:abstractNumId w:val="821"/>
  </w:num>
  <w:num w:numId="521">
    <w:abstractNumId w:val="816"/>
  </w:num>
  <w:num w:numId="522">
    <w:abstractNumId w:val="29"/>
  </w:num>
  <w:num w:numId="523">
    <w:abstractNumId w:val="814"/>
  </w:num>
  <w:num w:numId="524">
    <w:abstractNumId w:val="938"/>
  </w:num>
  <w:num w:numId="525">
    <w:abstractNumId w:val="935"/>
  </w:num>
  <w:num w:numId="526">
    <w:abstractNumId w:val="1463"/>
  </w:num>
  <w:num w:numId="527">
    <w:abstractNumId w:val="939"/>
  </w:num>
  <w:num w:numId="528">
    <w:abstractNumId w:val="1378"/>
  </w:num>
  <w:num w:numId="529">
    <w:abstractNumId w:val="687"/>
  </w:num>
  <w:num w:numId="530">
    <w:abstractNumId w:val="1084"/>
  </w:num>
  <w:num w:numId="531">
    <w:abstractNumId w:val="1385"/>
  </w:num>
  <w:num w:numId="532">
    <w:abstractNumId w:val="1260"/>
  </w:num>
  <w:num w:numId="533">
    <w:abstractNumId w:val="1273"/>
  </w:num>
  <w:num w:numId="534">
    <w:abstractNumId w:val="913"/>
  </w:num>
  <w:num w:numId="535">
    <w:abstractNumId w:val="650"/>
  </w:num>
  <w:num w:numId="536">
    <w:abstractNumId w:val="573"/>
  </w:num>
  <w:num w:numId="537">
    <w:abstractNumId w:val="579"/>
  </w:num>
  <w:num w:numId="538">
    <w:abstractNumId w:val="936"/>
  </w:num>
  <w:num w:numId="539">
    <w:abstractNumId w:val="766"/>
  </w:num>
  <w:num w:numId="540">
    <w:abstractNumId w:val="717"/>
  </w:num>
  <w:num w:numId="541">
    <w:abstractNumId w:val="357"/>
  </w:num>
  <w:num w:numId="542">
    <w:abstractNumId w:val="1190"/>
  </w:num>
  <w:num w:numId="543">
    <w:abstractNumId w:val="1337"/>
  </w:num>
  <w:num w:numId="544">
    <w:abstractNumId w:val="1441"/>
  </w:num>
  <w:num w:numId="545">
    <w:abstractNumId w:val="1142"/>
  </w:num>
  <w:num w:numId="546">
    <w:abstractNumId w:val="404"/>
  </w:num>
  <w:num w:numId="547">
    <w:abstractNumId w:val="285"/>
  </w:num>
  <w:num w:numId="548">
    <w:abstractNumId w:val="741"/>
  </w:num>
  <w:num w:numId="549">
    <w:abstractNumId w:val="1285"/>
  </w:num>
  <w:num w:numId="550">
    <w:abstractNumId w:val="611"/>
  </w:num>
  <w:num w:numId="551">
    <w:abstractNumId w:val="596"/>
  </w:num>
  <w:num w:numId="552">
    <w:abstractNumId w:val="828"/>
  </w:num>
  <w:num w:numId="553">
    <w:abstractNumId w:val="768"/>
  </w:num>
  <w:num w:numId="554">
    <w:abstractNumId w:val="1327"/>
  </w:num>
  <w:num w:numId="555">
    <w:abstractNumId w:val="1396"/>
  </w:num>
  <w:num w:numId="556">
    <w:abstractNumId w:val="308"/>
  </w:num>
  <w:num w:numId="557">
    <w:abstractNumId w:val="1426"/>
  </w:num>
  <w:num w:numId="558">
    <w:abstractNumId w:val="871"/>
  </w:num>
  <w:num w:numId="559">
    <w:abstractNumId w:val="320"/>
  </w:num>
  <w:num w:numId="560">
    <w:abstractNumId w:val="623"/>
  </w:num>
  <w:num w:numId="561">
    <w:abstractNumId w:val="92"/>
  </w:num>
  <w:num w:numId="562">
    <w:abstractNumId w:val="1214"/>
  </w:num>
  <w:num w:numId="563">
    <w:abstractNumId w:val="916"/>
  </w:num>
  <w:num w:numId="564">
    <w:abstractNumId w:val="442"/>
  </w:num>
  <w:num w:numId="565">
    <w:abstractNumId w:val="624"/>
  </w:num>
  <w:num w:numId="566">
    <w:abstractNumId w:val="326"/>
  </w:num>
  <w:num w:numId="567">
    <w:abstractNumId w:val="565"/>
  </w:num>
  <w:num w:numId="568">
    <w:abstractNumId w:val="528"/>
  </w:num>
  <w:num w:numId="569">
    <w:abstractNumId w:val="1347"/>
  </w:num>
  <w:num w:numId="570">
    <w:abstractNumId w:val="908"/>
  </w:num>
  <w:num w:numId="571">
    <w:abstractNumId w:val="156"/>
  </w:num>
  <w:num w:numId="572">
    <w:abstractNumId w:val="1118"/>
  </w:num>
  <w:num w:numId="573">
    <w:abstractNumId w:val="302"/>
  </w:num>
  <w:num w:numId="574">
    <w:abstractNumId w:val="540"/>
  </w:num>
  <w:num w:numId="575">
    <w:abstractNumId w:val="1135"/>
  </w:num>
  <w:num w:numId="576">
    <w:abstractNumId w:val="178"/>
  </w:num>
  <w:num w:numId="577">
    <w:abstractNumId w:val="1107"/>
  </w:num>
  <w:num w:numId="578">
    <w:abstractNumId w:val="42"/>
  </w:num>
  <w:num w:numId="579">
    <w:abstractNumId w:val="670"/>
  </w:num>
  <w:num w:numId="580">
    <w:abstractNumId w:val="235"/>
  </w:num>
  <w:num w:numId="581">
    <w:abstractNumId w:val="885"/>
  </w:num>
  <w:num w:numId="582">
    <w:abstractNumId w:val="187"/>
  </w:num>
  <w:num w:numId="583">
    <w:abstractNumId w:val="872"/>
  </w:num>
  <w:num w:numId="584">
    <w:abstractNumId w:val="675"/>
  </w:num>
  <w:num w:numId="585">
    <w:abstractNumId w:val="480"/>
  </w:num>
  <w:num w:numId="586">
    <w:abstractNumId w:val="1120"/>
  </w:num>
  <w:num w:numId="587">
    <w:abstractNumId w:val="60"/>
  </w:num>
  <w:num w:numId="588">
    <w:abstractNumId w:val="722"/>
  </w:num>
  <w:num w:numId="589">
    <w:abstractNumId w:val="8"/>
  </w:num>
  <w:num w:numId="590">
    <w:abstractNumId w:val="137"/>
  </w:num>
  <w:num w:numId="591">
    <w:abstractNumId w:val="811"/>
  </w:num>
  <w:num w:numId="592">
    <w:abstractNumId w:val="324"/>
  </w:num>
  <w:num w:numId="593">
    <w:abstractNumId w:val="472"/>
  </w:num>
  <w:num w:numId="594">
    <w:abstractNumId w:val="1253"/>
  </w:num>
  <w:num w:numId="595">
    <w:abstractNumId w:val="804"/>
  </w:num>
  <w:num w:numId="596">
    <w:abstractNumId w:val="1059"/>
  </w:num>
  <w:num w:numId="597">
    <w:abstractNumId w:val="477"/>
  </w:num>
  <w:num w:numId="598">
    <w:abstractNumId w:val="567"/>
  </w:num>
  <w:num w:numId="599">
    <w:abstractNumId w:val="126"/>
  </w:num>
  <w:num w:numId="600">
    <w:abstractNumId w:val="332"/>
  </w:num>
  <w:num w:numId="601">
    <w:abstractNumId w:val="453"/>
  </w:num>
  <w:num w:numId="602">
    <w:abstractNumId w:val="482"/>
  </w:num>
  <w:num w:numId="603">
    <w:abstractNumId w:val="267"/>
  </w:num>
  <w:num w:numId="604">
    <w:abstractNumId w:val="1320"/>
  </w:num>
  <w:num w:numId="605">
    <w:abstractNumId w:val="587"/>
  </w:num>
  <w:num w:numId="606">
    <w:abstractNumId w:val="781"/>
  </w:num>
  <w:num w:numId="607">
    <w:abstractNumId w:val="1055"/>
  </w:num>
  <w:num w:numId="608">
    <w:abstractNumId w:val="1124"/>
  </w:num>
  <w:num w:numId="609">
    <w:abstractNumId w:val="1224"/>
  </w:num>
  <w:num w:numId="610">
    <w:abstractNumId w:val="423"/>
  </w:num>
  <w:num w:numId="611">
    <w:abstractNumId w:val="437"/>
  </w:num>
  <w:num w:numId="612">
    <w:abstractNumId w:val="880"/>
  </w:num>
  <w:num w:numId="613">
    <w:abstractNumId w:val="942"/>
  </w:num>
  <w:num w:numId="614">
    <w:abstractNumId w:val="1453"/>
  </w:num>
  <w:num w:numId="615">
    <w:abstractNumId w:val="170"/>
  </w:num>
  <w:num w:numId="616">
    <w:abstractNumId w:val="1292"/>
  </w:num>
  <w:num w:numId="617">
    <w:abstractNumId w:val="605"/>
  </w:num>
  <w:num w:numId="618">
    <w:abstractNumId w:val="110"/>
  </w:num>
  <w:num w:numId="619">
    <w:abstractNumId w:val="1318"/>
  </w:num>
  <w:num w:numId="620">
    <w:abstractNumId w:val="1412"/>
  </w:num>
  <w:num w:numId="621">
    <w:abstractNumId w:val="1171"/>
  </w:num>
  <w:num w:numId="622">
    <w:abstractNumId w:val="669"/>
  </w:num>
  <w:num w:numId="623">
    <w:abstractNumId w:val="1220"/>
  </w:num>
  <w:num w:numId="624">
    <w:abstractNumId w:val="206"/>
  </w:num>
  <w:num w:numId="625">
    <w:abstractNumId w:val="1205"/>
  </w:num>
  <w:num w:numId="626">
    <w:abstractNumId w:val="681"/>
  </w:num>
  <w:num w:numId="627">
    <w:abstractNumId w:val="375"/>
  </w:num>
  <w:num w:numId="628">
    <w:abstractNumId w:val="54"/>
  </w:num>
  <w:num w:numId="629">
    <w:abstractNumId w:val="124"/>
  </w:num>
  <w:num w:numId="630">
    <w:abstractNumId w:val="1105"/>
  </w:num>
  <w:num w:numId="631">
    <w:abstractNumId w:val="163"/>
  </w:num>
  <w:num w:numId="632">
    <w:abstractNumId w:val="46"/>
  </w:num>
  <w:num w:numId="633">
    <w:abstractNumId w:val="1359"/>
  </w:num>
  <w:num w:numId="634">
    <w:abstractNumId w:val="318"/>
  </w:num>
  <w:num w:numId="635">
    <w:abstractNumId w:val="969"/>
  </w:num>
  <w:num w:numId="636">
    <w:abstractNumId w:val="1428"/>
  </w:num>
  <w:num w:numId="637">
    <w:abstractNumId w:val="818"/>
  </w:num>
  <w:num w:numId="638">
    <w:abstractNumId w:val="40"/>
  </w:num>
  <w:num w:numId="639">
    <w:abstractNumId w:val="1457"/>
  </w:num>
  <w:num w:numId="640">
    <w:abstractNumId w:val="284"/>
  </w:num>
  <w:num w:numId="641">
    <w:abstractNumId w:val="673"/>
  </w:num>
  <w:num w:numId="642">
    <w:abstractNumId w:val="233"/>
  </w:num>
  <w:num w:numId="643">
    <w:abstractNumId w:val="223"/>
  </w:num>
  <w:num w:numId="644">
    <w:abstractNumId w:val="572"/>
  </w:num>
  <w:num w:numId="645">
    <w:abstractNumId w:val="1254"/>
  </w:num>
  <w:num w:numId="646">
    <w:abstractNumId w:val="787"/>
  </w:num>
  <w:num w:numId="647">
    <w:abstractNumId w:val="979"/>
  </w:num>
  <w:num w:numId="648">
    <w:abstractNumId w:val="609"/>
  </w:num>
  <w:num w:numId="649">
    <w:abstractNumId w:val="229"/>
  </w:num>
  <w:num w:numId="650">
    <w:abstractNumId w:val="775"/>
  </w:num>
  <w:num w:numId="651">
    <w:abstractNumId w:val="1433"/>
  </w:num>
  <w:num w:numId="652">
    <w:abstractNumId w:val="1003"/>
  </w:num>
  <w:num w:numId="653">
    <w:abstractNumId w:val="335"/>
  </w:num>
  <w:num w:numId="654">
    <w:abstractNumId w:val="311"/>
  </w:num>
  <w:num w:numId="655">
    <w:abstractNumId w:val="744"/>
  </w:num>
  <w:num w:numId="656">
    <w:abstractNumId w:val="474"/>
  </w:num>
  <w:num w:numId="657">
    <w:abstractNumId w:val="718"/>
  </w:num>
  <w:num w:numId="658">
    <w:abstractNumId w:val="1173"/>
  </w:num>
  <w:num w:numId="659">
    <w:abstractNumId w:val="569"/>
  </w:num>
  <w:num w:numId="660">
    <w:abstractNumId w:val="407"/>
  </w:num>
  <w:num w:numId="661">
    <w:abstractNumId w:val="1169"/>
  </w:num>
  <w:num w:numId="662">
    <w:abstractNumId w:val="876"/>
  </w:num>
  <w:num w:numId="663">
    <w:abstractNumId w:val="1307"/>
  </w:num>
  <w:num w:numId="664">
    <w:abstractNumId w:val="800"/>
  </w:num>
  <w:num w:numId="665">
    <w:abstractNumId w:val="746"/>
  </w:num>
  <w:num w:numId="666">
    <w:abstractNumId w:val="193"/>
  </w:num>
  <w:num w:numId="667">
    <w:abstractNumId w:val="1399"/>
  </w:num>
  <w:num w:numId="668">
    <w:abstractNumId w:val="812"/>
  </w:num>
  <w:num w:numId="669">
    <w:abstractNumId w:val="485"/>
  </w:num>
  <w:num w:numId="670">
    <w:abstractNumId w:val="56"/>
  </w:num>
  <w:num w:numId="671">
    <w:abstractNumId w:val="87"/>
  </w:num>
  <w:num w:numId="672">
    <w:abstractNumId w:val="113"/>
  </w:num>
  <w:num w:numId="673">
    <w:abstractNumId w:val="356"/>
  </w:num>
  <w:num w:numId="674">
    <w:abstractNumId w:val="1239"/>
  </w:num>
  <w:num w:numId="675">
    <w:abstractNumId w:val="354"/>
  </w:num>
  <w:num w:numId="676">
    <w:abstractNumId w:val="1480"/>
  </w:num>
  <w:num w:numId="677">
    <w:abstractNumId w:val="275"/>
  </w:num>
  <w:num w:numId="678">
    <w:abstractNumId w:val="1085"/>
  </w:num>
  <w:num w:numId="679">
    <w:abstractNumId w:val="897"/>
  </w:num>
  <w:num w:numId="680">
    <w:abstractNumId w:val="1167"/>
  </w:num>
  <w:num w:numId="681">
    <w:abstractNumId w:val="75"/>
  </w:num>
  <w:num w:numId="682">
    <w:abstractNumId w:val="1168"/>
  </w:num>
  <w:num w:numId="683">
    <w:abstractNumId w:val="195"/>
  </w:num>
  <w:num w:numId="684">
    <w:abstractNumId w:val="1001"/>
  </w:num>
  <w:num w:numId="685">
    <w:abstractNumId w:val="1274"/>
  </w:num>
  <w:num w:numId="686">
    <w:abstractNumId w:val="563"/>
  </w:num>
  <w:num w:numId="687">
    <w:abstractNumId w:val="1194"/>
  </w:num>
  <w:num w:numId="688">
    <w:abstractNumId w:val="180"/>
  </w:num>
  <w:num w:numId="689">
    <w:abstractNumId w:val="344"/>
  </w:num>
  <w:num w:numId="690">
    <w:abstractNumId w:val="606"/>
  </w:num>
  <w:num w:numId="691">
    <w:abstractNumId w:val="1305"/>
  </w:num>
  <w:num w:numId="692">
    <w:abstractNumId w:val="982"/>
  </w:num>
  <w:num w:numId="693">
    <w:abstractNumId w:val="1030"/>
  </w:num>
  <w:num w:numId="694">
    <w:abstractNumId w:val="881"/>
  </w:num>
  <w:num w:numId="695">
    <w:abstractNumId w:val="1384"/>
  </w:num>
  <w:num w:numId="696">
    <w:abstractNumId w:val="1165"/>
  </w:num>
  <w:num w:numId="697">
    <w:abstractNumId w:val="74"/>
  </w:num>
  <w:num w:numId="698">
    <w:abstractNumId w:val="991"/>
  </w:num>
  <w:num w:numId="699">
    <w:abstractNumId w:val="1022"/>
  </w:num>
  <w:num w:numId="700">
    <w:abstractNumId w:val="866"/>
  </w:num>
  <w:num w:numId="701">
    <w:abstractNumId w:val="590"/>
  </w:num>
  <w:num w:numId="702">
    <w:abstractNumId w:val="1270"/>
  </w:num>
  <w:num w:numId="703">
    <w:abstractNumId w:val="944"/>
  </w:num>
  <w:num w:numId="704">
    <w:abstractNumId w:val="666"/>
  </w:num>
  <w:num w:numId="705">
    <w:abstractNumId w:val="62"/>
  </w:num>
  <w:num w:numId="706">
    <w:abstractNumId w:val="524"/>
  </w:num>
  <w:num w:numId="707">
    <w:abstractNumId w:val="130"/>
  </w:num>
  <w:num w:numId="708">
    <w:abstractNumId w:val="985"/>
  </w:num>
  <w:num w:numId="709">
    <w:abstractNumId w:val="88"/>
  </w:num>
  <w:num w:numId="710">
    <w:abstractNumId w:val="378"/>
  </w:num>
  <w:num w:numId="711">
    <w:abstractNumId w:val="429"/>
  </w:num>
  <w:num w:numId="712">
    <w:abstractNumId w:val="990"/>
  </w:num>
  <w:num w:numId="713">
    <w:abstractNumId w:val="1233"/>
  </w:num>
  <w:num w:numId="714">
    <w:abstractNumId w:val="1442"/>
  </w:num>
  <w:num w:numId="715">
    <w:abstractNumId w:val="1283"/>
  </w:num>
  <w:num w:numId="716">
    <w:abstractNumId w:val="625"/>
  </w:num>
  <w:num w:numId="717">
    <w:abstractNumId w:val="63"/>
  </w:num>
  <w:num w:numId="718">
    <w:abstractNumId w:val="403"/>
  </w:num>
  <w:num w:numId="719">
    <w:abstractNumId w:val="307"/>
  </w:num>
  <w:num w:numId="720">
    <w:abstractNumId w:val="417"/>
  </w:num>
  <w:num w:numId="721">
    <w:abstractNumId w:val="1208"/>
  </w:num>
  <w:num w:numId="722">
    <w:abstractNumId w:val="204"/>
  </w:num>
  <w:num w:numId="723">
    <w:abstractNumId w:val="613"/>
  </w:num>
  <w:num w:numId="724">
    <w:abstractNumId w:val="440"/>
  </w:num>
  <w:num w:numId="725">
    <w:abstractNumId w:val="920"/>
  </w:num>
  <w:num w:numId="726">
    <w:abstractNumId w:val="158"/>
  </w:num>
  <w:num w:numId="727">
    <w:abstractNumId w:val="715"/>
  </w:num>
  <w:num w:numId="728">
    <w:abstractNumId w:val="862"/>
  </w:num>
  <w:num w:numId="729">
    <w:abstractNumId w:val="194"/>
  </w:num>
  <w:num w:numId="730">
    <w:abstractNumId w:val="1395"/>
  </w:num>
  <w:num w:numId="731">
    <w:abstractNumId w:val="535"/>
  </w:num>
  <w:num w:numId="732">
    <w:abstractNumId w:val="710"/>
  </w:num>
  <w:num w:numId="733">
    <w:abstractNumId w:val="515"/>
  </w:num>
  <w:num w:numId="734">
    <w:abstractNumId w:val="767"/>
  </w:num>
  <w:num w:numId="735">
    <w:abstractNumId w:val="798"/>
  </w:num>
  <w:num w:numId="736">
    <w:abstractNumId w:val="742"/>
  </w:num>
  <w:num w:numId="737">
    <w:abstractNumId w:val="1341"/>
  </w:num>
  <w:num w:numId="738">
    <w:abstractNumId w:val="1087"/>
  </w:num>
  <w:num w:numId="739">
    <w:abstractNumId w:val="221"/>
  </w:num>
  <w:num w:numId="740">
    <w:abstractNumId w:val="343"/>
  </w:num>
  <w:num w:numId="741">
    <w:abstractNumId w:val="376"/>
  </w:num>
  <w:num w:numId="742">
    <w:abstractNumId w:val="365"/>
  </w:num>
  <w:num w:numId="743">
    <w:abstractNumId w:val="633"/>
  </w:num>
  <w:num w:numId="744">
    <w:abstractNumId w:val="26"/>
  </w:num>
  <w:num w:numId="745">
    <w:abstractNumId w:val="1367"/>
  </w:num>
  <w:num w:numId="746">
    <w:abstractNumId w:val="1410"/>
  </w:num>
  <w:num w:numId="747">
    <w:abstractNumId w:val="396"/>
  </w:num>
  <w:num w:numId="748">
    <w:abstractNumId w:val="1295"/>
  </w:num>
  <w:num w:numId="749">
    <w:abstractNumId w:val="109"/>
  </w:num>
  <w:num w:numId="750">
    <w:abstractNumId w:val="861"/>
  </w:num>
  <w:num w:numId="751">
    <w:abstractNumId w:val="909"/>
  </w:num>
  <w:num w:numId="752">
    <w:abstractNumId w:val="502"/>
  </w:num>
  <w:num w:numId="753">
    <w:abstractNumId w:val="1422"/>
  </w:num>
  <w:num w:numId="754">
    <w:abstractNumId w:val="794"/>
  </w:num>
  <w:num w:numId="755">
    <w:abstractNumId w:val="1143"/>
  </w:num>
  <w:num w:numId="756">
    <w:abstractNumId w:val="1036"/>
  </w:num>
  <w:num w:numId="757">
    <w:abstractNumId w:val="1166"/>
  </w:num>
  <w:num w:numId="758">
    <w:abstractNumId w:val="228"/>
  </w:num>
  <w:num w:numId="759">
    <w:abstractNumId w:val="735"/>
  </w:num>
  <w:num w:numId="760">
    <w:abstractNumId w:val="154"/>
  </w:num>
  <w:num w:numId="761">
    <w:abstractNumId w:val="411"/>
  </w:num>
  <w:num w:numId="762">
    <w:abstractNumId w:val="1060"/>
  </w:num>
  <w:num w:numId="763">
    <w:abstractNumId w:val="1234"/>
  </w:num>
  <w:num w:numId="764">
    <w:abstractNumId w:val="823"/>
  </w:num>
  <w:num w:numId="765">
    <w:abstractNumId w:val="801"/>
  </w:num>
  <w:num w:numId="766">
    <w:abstractNumId w:val="41"/>
  </w:num>
  <w:num w:numId="767">
    <w:abstractNumId w:val="1148"/>
  </w:num>
  <w:num w:numId="768">
    <w:abstractNumId w:val="1104"/>
  </w:num>
  <w:num w:numId="769">
    <w:abstractNumId w:val="99"/>
  </w:num>
  <w:num w:numId="770">
    <w:abstractNumId w:val="1221"/>
  </w:num>
  <w:num w:numId="771">
    <w:abstractNumId w:val="1203"/>
  </w:num>
  <w:num w:numId="772">
    <w:abstractNumId w:val="1244"/>
  </w:num>
  <w:num w:numId="773">
    <w:abstractNumId w:val="186"/>
  </w:num>
  <w:num w:numId="774">
    <w:abstractNumId w:val="1116"/>
  </w:num>
  <w:num w:numId="775">
    <w:abstractNumId w:val="1371"/>
  </w:num>
  <w:num w:numId="776">
    <w:abstractNumId w:val="69"/>
  </w:num>
  <w:num w:numId="777">
    <w:abstractNumId w:val="971"/>
  </w:num>
  <w:num w:numId="778">
    <w:abstractNumId w:val="112"/>
  </w:num>
  <w:num w:numId="779">
    <w:abstractNumId w:val="981"/>
  </w:num>
  <w:num w:numId="780">
    <w:abstractNumId w:val="1050"/>
  </w:num>
  <w:num w:numId="781">
    <w:abstractNumId w:val="1006"/>
  </w:num>
  <w:num w:numId="782">
    <w:abstractNumId w:val="266"/>
  </w:num>
  <w:num w:numId="783">
    <w:abstractNumId w:val="836"/>
  </w:num>
  <w:num w:numId="784">
    <w:abstractNumId w:val="808"/>
  </w:num>
  <w:num w:numId="785">
    <w:abstractNumId w:val="199"/>
  </w:num>
  <w:num w:numId="786">
    <w:abstractNumId w:val="434"/>
  </w:num>
  <w:num w:numId="787">
    <w:abstractNumId w:val="454"/>
  </w:num>
  <w:num w:numId="788">
    <w:abstractNumId w:val="893"/>
  </w:num>
  <w:num w:numId="789">
    <w:abstractNumId w:val="551"/>
  </w:num>
  <w:num w:numId="790">
    <w:abstractNumId w:val="445"/>
  </w:num>
  <w:num w:numId="791">
    <w:abstractNumId w:val="988"/>
  </w:num>
  <w:num w:numId="792">
    <w:abstractNumId w:val="868"/>
  </w:num>
  <w:num w:numId="793">
    <w:abstractNumId w:val="1435"/>
  </w:num>
  <w:num w:numId="794">
    <w:abstractNumId w:val="1447"/>
  </w:num>
  <w:num w:numId="795">
    <w:abstractNumId w:val="1007"/>
  </w:num>
  <w:num w:numId="796">
    <w:abstractNumId w:val="1346"/>
  </w:num>
  <w:num w:numId="797">
    <w:abstractNumId w:val="753"/>
  </w:num>
  <w:num w:numId="798">
    <w:abstractNumId w:val="586"/>
  </w:num>
  <w:num w:numId="799">
    <w:abstractNumId w:val="644"/>
  </w:num>
  <w:num w:numId="800">
    <w:abstractNumId w:val="1303"/>
  </w:num>
  <w:num w:numId="801">
    <w:abstractNumId w:val="1225"/>
  </w:num>
  <w:num w:numId="802">
    <w:abstractNumId w:val="730"/>
  </w:num>
  <w:num w:numId="803">
    <w:abstractNumId w:val="530"/>
  </w:num>
  <w:num w:numId="804">
    <w:abstractNumId w:val="314"/>
  </w:num>
  <w:num w:numId="805">
    <w:abstractNumId w:val="849"/>
  </w:num>
  <w:num w:numId="806">
    <w:abstractNumId w:val="600"/>
  </w:num>
  <w:num w:numId="807">
    <w:abstractNumId w:val="550"/>
  </w:num>
  <w:num w:numId="808">
    <w:abstractNumId w:val="956"/>
  </w:num>
  <w:num w:numId="809">
    <w:abstractNumId w:val="1387"/>
  </w:num>
  <w:num w:numId="810">
    <w:abstractNumId w:val="135"/>
  </w:num>
  <w:num w:numId="811">
    <w:abstractNumId w:val="1054"/>
  </w:num>
  <w:num w:numId="812">
    <w:abstractNumId w:val="1024"/>
  </w:num>
  <w:num w:numId="813">
    <w:abstractNumId w:val="574"/>
  </w:num>
  <w:num w:numId="814">
    <w:abstractNumId w:val="405"/>
  </w:num>
  <w:num w:numId="815">
    <w:abstractNumId w:val="1392"/>
  </w:num>
  <w:num w:numId="816">
    <w:abstractNumId w:val="1459"/>
  </w:num>
  <w:num w:numId="817">
    <w:abstractNumId w:val="479"/>
  </w:num>
  <w:num w:numId="818">
    <w:abstractNumId w:val="1248"/>
  </w:num>
  <w:num w:numId="819">
    <w:abstractNumId w:val="1132"/>
  </w:num>
  <w:num w:numId="820">
    <w:abstractNumId w:val="552"/>
  </w:num>
  <w:num w:numId="821">
    <w:abstractNumId w:val="954"/>
  </w:num>
  <w:num w:numId="822">
    <w:abstractNumId w:val="819"/>
  </w:num>
  <w:num w:numId="823">
    <w:abstractNumId w:val="1215"/>
  </w:num>
  <w:num w:numId="824">
    <w:abstractNumId w:val="558"/>
  </w:num>
  <w:num w:numId="825">
    <w:abstractNumId w:val="1380"/>
  </w:num>
  <w:num w:numId="826">
    <w:abstractNumId w:val="452"/>
  </w:num>
  <w:num w:numId="827">
    <w:abstractNumId w:val="1172"/>
  </w:num>
  <w:num w:numId="828">
    <w:abstractNumId w:val="106"/>
  </w:num>
  <w:num w:numId="829">
    <w:abstractNumId w:val="607"/>
  </w:num>
  <w:num w:numId="830">
    <w:abstractNumId w:val="132"/>
  </w:num>
  <w:num w:numId="831">
    <w:abstractNumId w:val="77"/>
  </w:num>
  <w:num w:numId="832">
    <w:abstractNumId w:val="422"/>
  </w:num>
  <w:num w:numId="833">
    <w:abstractNumId w:val="129"/>
  </w:num>
  <w:num w:numId="834">
    <w:abstractNumId w:val="190"/>
  </w:num>
  <w:num w:numId="835">
    <w:abstractNumId w:val="319"/>
  </w:num>
  <w:num w:numId="836">
    <w:abstractNumId w:val="802"/>
  </w:num>
  <w:num w:numId="837">
    <w:abstractNumId w:val="1103"/>
  </w:num>
  <w:num w:numId="838">
    <w:abstractNumId w:val="402"/>
  </w:num>
  <w:num w:numId="839">
    <w:abstractNumId w:val="171"/>
  </w:num>
  <w:num w:numId="840">
    <w:abstractNumId w:val="656"/>
  </w:num>
  <w:num w:numId="841">
    <w:abstractNumId w:val="1077"/>
  </w:num>
  <w:num w:numId="842">
    <w:abstractNumId w:val="243"/>
  </w:num>
  <w:num w:numId="843">
    <w:abstractNumId w:val="676"/>
  </w:num>
  <w:num w:numId="844">
    <w:abstractNumId w:val="82"/>
  </w:num>
  <w:num w:numId="845">
    <w:abstractNumId w:val="1278"/>
  </w:num>
  <w:num w:numId="846">
    <w:abstractNumId w:val="382"/>
  </w:num>
  <w:num w:numId="847">
    <w:abstractNumId w:val="713"/>
  </w:num>
  <w:num w:numId="848">
    <w:abstractNumId w:val="1069"/>
  </w:num>
  <w:num w:numId="849">
    <w:abstractNumId w:val="848"/>
  </w:num>
  <w:num w:numId="850">
    <w:abstractNumId w:val="1243"/>
  </w:num>
  <w:num w:numId="851">
    <w:abstractNumId w:val="467"/>
  </w:num>
  <w:num w:numId="852">
    <w:abstractNumId w:val="788"/>
  </w:num>
  <w:num w:numId="853">
    <w:abstractNumId w:val="810"/>
  </w:num>
  <w:num w:numId="854">
    <w:abstractNumId w:val="1185"/>
  </w:num>
  <w:num w:numId="855">
    <w:abstractNumId w:val="1074"/>
  </w:num>
  <w:num w:numId="856">
    <w:abstractNumId w:val="1312"/>
  </w:num>
  <w:num w:numId="857">
    <w:abstractNumId w:val="73"/>
  </w:num>
  <w:num w:numId="858">
    <w:abstractNumId w:val="486"/>
  </w:num>
  <w:num w:numId="859">
    <w:abstractNumId w:val="334"/>
  </w:num>
  <w:num w:numId="860">
    <w:abstractNumId w:val="850"/>
  </w:num>
  <w:num w:numId="861">
    <w:abstractNumId w:val="791"/>
  </w:num>
  <w:num w:numId="862">
    <w:abstractNumId w:val="410"/>
  </w:num>
  <w:num w:numId="863">
    <w:abstractNumId w:val="962"/>
  </w:num>
  <w:num w:numId="864">
    <w:abstractNumId w:val="256"/>
  </w:num>
  <w:num w:numId="865">
    <w:abstractNumId w:val="3"/>
    <w:lvlOverride w:ilvl="0">
      <w:lvl w:ilvl="0">
        <w:numFmt w:val="bullet"/>
        <w:lvlText w:val="-"/>
        <w:legacy w:legacy="1" w:legacySpace="0" w:legacyIndent="360"/>
        <w:lvlJc w:val="left"/>
        <w:pPr>
          <w:ind w:left="360" w:hanging="360"/>
        </w:pPr>
      </w:lvl>
    </w:lvlOverride>
  </w:num>
  <w:num w:numId="866">
    <w:abstractNumId w:val="1424"/>
  </w:num>
  <w:num w:numId="867">
    <w:abstractNumId w:val="790"/>
  </w:num>
  <w:num w:numId="868">
    <w:abstractNumId w:val="289"/>
  </w:num>
  <w:num w:numId="869">
    <w:abstractNumId w:val="289"/>
    <w:lvlOverride w:ilvl="0">
      <w:lvl w:ilvl="0">
        <w:start w:val="1"/>
        <w:numFmt w:val="decimal"/>
        <w:lvlText w:val="%1- "/>
        <w:legacy w:legacy="1" w:legacySpace="0" w:legacyIndent="283"/>
        <w:lvlJc w:val="left"/>
        <w:pPr>
          <w:ind w:left="283" w:hanging="283"/>
        </w:pPr>
        <w:rPr>
          <w:rFonts w:ascii="Arial" w:hAnsi="Arial" w:hint="default"/>
          <w:b w:val="0"/>
          <w:i w:val="0"/>
          <w:sz w:val="24"/>
          <w:u w:val="none"/>
        </w:rPr>
      </w:lvl>
    </w:lvlOverride>
  </w:num>
  <w:num w:numId="870">
    <w:abstractNumId w:val="842"/>
  </w:num>
  <w:num w:numId="871">
    <w:abstractNumId w:val="842"/>
    <w:lvlOverride w:ilvl="0">
      <w:lvl w:ilvl="0">
        <w:start w:val="1"/>
        <w:numFmt w:val="decimal"/>
        <w:lvlText w:val="%1- "/>
        <w:legacy w:legacy="1" w:legacySpace="0" w:legacyIndent="283"/>
        <w:lvlJc w:val="left"/>
        <w:pPr>
          <w:ind w:left="283" w:hanging="283"/>
        </w:pPr>
        <w:rPr>
          <w:rFonts w:ascii="Arial" w:hAnsi="Arial" w:hint="default"/>
          <w:b w:val="0"/>
          <w:i w:val="0"/>
          <w:sz w:val="24"/>
          <w:u w:val="none"/>
        </w:rPr>
      </w:lvl>
    </w:lvlOverride>
  </w:num>
  <w:num w:numId="872">
    <w:abstractNumId w:val="3"/>
    <w:lvlOverride w:ilvl="0">
      <w:lvl w:ilvl="0">
        <w:start w:val="1"/>
        <w:numFmt w:val="bullet"/>
        <w:lvlText w:val=""/>
        <w:legacy w:legacy="1" w:legacySpace="0" w:legacyIndent="360"/>
        <w:lvlJc w:val="left"/>
        <w:pPr>
          <w:ind w:left="360" w:hanging="360"/>
        </w:pPr>
        <w:rPr>
          <w:rFonts w:ascii="Symbol" w:hAnsi="Symbol" w:hint="default"/>
        </w:rPr>
      </w:lvl>
    </w:lvlOverride>
  </w:num>
  <w:num w:numId="873">
    <w:abstractNumId w:val="3"/>
    <w:lvlOverride w:ilvl="0">
      <w:lvl w:ilvl="0">
        <w:start w:val="1"/>
        <w:numFmt w:val="bullet"/>
        <w:lvlText w:val=""/>
        <w:legacy w:legacy="1" w:legacySpace="0" w:legacyIndent="283"/>
        <w:lvlJc w:val="left"/>
        <w:pPr>
          <w:ind w:left="850" w:hanging="283"/>
        </w:pPr>
        <w:rPr>
          <w:rFonts w:ascii="Symbol" w:hAnsi="Symbol" w:hint="default"/>
        </w:rPr>
      </w:lvl>
    </w:lvlOverride>
  </w:num>
  <w:num w:numId="874">
    <w:abstractNumId w:val="475"/>
  </w:num>
  <w:num w:numId="875">
    <w:abstractNumId w:val="1204"/>
  </w:num>
  <w:num w:numId="876">
    <w:abstractNumId w:val="1130"/>
  </w:num>
  <w:num w:numId="877">
    <w:abstractNumId w:val="303"/>
  </w:num>
  <w:num w:numId="878">
    <w:abstractNumId w:val="747"/>
  </w:num>
  <w:num w:numId="879">
    <w:abstractNumId w:val="754"/>
  </w:num>
  <w:num w:numId="880">
    <w:abstractNumId w:val="1418"/>
  </w:num>
  <w:num w:numId="881">
    <w:abstractNumId w:val="1202"/>
  </w:num>
  <w:num w:numId="882">
    <w:abstractNumId w:val="362"/>
  </w:num>
  <w:num w:numId="883">
    <w:abstractNumId w:val="584"/>
  </w:num>
  <w:num w:numId="884">
    <w:abstractNumId w:val="1195"/>
  </w:num>
  <w:num w:numId="885">
    <w:abstractNumId w:val="1186"/>
  </w:num>
  <w:num w:numId="886">
    <w:abstractNumId w:val="448"/>
  </w:num>
  <w:num w:numId="887">
    <w:abstractNumId w:val="473"/>
  </w:num>
  <w:num w:numId="888">
    <w:abstractNumId w:val="541"/>
  </w:num>
  <w:num w:numId="889">
    <w:abstractNumId w:val="1354"/>
  </w:num>
  <w:num w:numId="890">
    <w:abstractNumId w:val="464"/>
  </w:num>
  <w:num w:numId="891">
    <w:abstractNumId w:val="1017"/>
  </w:num>
  <w:num w:numId="892">
    <w:abstractNumId w:val="116"/>
  </w:num>
  <w:num w:numId="893">
    <w:abstractNumId w:val="1429"/>
  </w:num>
  <w:num w:numId="894">
    <w:abstractNumId w:val="1416"/>
  </w:num>
  <w:num w:numId="895">
    <w:abstractNumId w:val="28"/>
  </w:num>
  <w:num w:numId="896">
    <w:abstractNumId w:val="1080"/>
  </w:num>
  <w:num w:numId="897">
    <w:abstractNumId w:val="1009"/>
  </w:num>
  <w:num w:numId="898">
    <w:abstractNumId w:val="1117"/>
  </w:num>
  <w:num w:numId="899">
    <w:abstractNumId w:val="192"/>
  </w:num>
  <w:num w:numId="900">
    <w:abstractNumId w:val="877"/>
  </w:num>
  <w:num w:numId="901">
    <w:abstractNumId w:val="1133"/>
  </w:num>
  <w:num w:numId="902">
    <w:abstractNumId w:val="945"/>
  </w:num>
  <w:num w:numId="903">
    <w:abstractNumId w:val="1051"/>
  </w:num>
  <w:num w:numId="904">
    <w:abstractNumId w:val="577"/>
  </w:num>
  <w:num w:numId="905">
    <w:abstractNumId w:val="659"/>
  </w:num>
  <w:num w:numId="906">
    <w:abstractNumId w:val="1044"/>
  </w:num>
  <w:num w:numId="907">
    <w:abstractNumId w:val="784"/>
  </w:num>
  <w:num w:numId="908">
    <w:abstractNumId w:val="1108"/>
  </w:num>
  <w:num w:numId="909">
    <w:abstractNumId w:val="1386"/>
  </w:num>
  <w:num w:numId="910">
    <w:abstractNumId w:val="32"/>
  </w:num>
  <w:num w:numId="911">
    <w:abstractNumId w:val="488"/>
  </w:num>
  <w:num w:numId="912">
    <w:abstractNumId w:val="1139"/>
  </w:num>
  <w:num w:numId="913">
    <w:abstractNumId w:val="1111"/>
  </w:num>
  <w:num w:numId="914">
    <w:abstractNumId w:val="883"/>
  </w:num>
  <w:num w:numId="915">
    <w:abstractNumId w:val="336"/>
  </w:num>
  <w:num w:numId="916">
    <w:abstractNumId w:val="782"/>
  </w:num>
  <w:num w:numId="917">
    <w:abstractNumId w:val="133"/>
  </w:num>
  <w:num w:numId="918">
    <w:abstractNumId w:val="140"/>
  </w:num>
  <w:num w:numId="919">
    <w:abstractNumId w:val="388"/>
  </w:num>
  <w:num w:numId="920">
    <w:abstractNumId w:val="1430"/>
  </w:num>
  <w:num w:numId="921">
    <w:abstractNumId w:val="1250"/>
  </w:num>
  <w:num w:numId="922">
    <w:abstractNumId w:val="858"/>
  </w:num>
  <w:num w:numId="923">
    <w:abstractNumId w:val="249"/>
  </w:num>
  <w:num w:numId="924">
    <w:abstractNumId w:val="1267"/>
  </w:num>
  <w:num w:numId="925">
    <w:abstractNumId w:val="1082"/>
  </w:num>
  <w:num w:numId="926">
    <w:abstractNumId w:val="694"/>
  </w:num>
  <w:num w:numId="927">
    <w:abstractNumId w:val="1272"/>
  </w:num>
  <w:num w:numId="928">
    <w:abstractNumId w:val="471"/>
  </w:num>
  <w:num w:numId="929">
    <w:abstractNumId w:val="727"/>
  </w:num>
  <w:num w:numId="930">
    <w:abstractNumId w:val="525"/>
  </w:num>
  <w:num w:numId="931">
    <w:abstractNumId w:val="392"/>
  </w:num>
  <w:num w:numId="932">
    <w:abstractNumId w:val="1279"/>
  </w:num>
  <w:num w:numId="933">
    <w:abstractNumId w:val="269"/>
  </w:num>
  <w:num w:numId="934">
    <w:abstractNumId w:val="629"/>
  </w:num>
  <w:num w:numId="935">
    <w:abstractNumId w:val="315"/>
  </w:num>
  <w:num w:numId="936">
    <w:abstractNumId w:val="998"/>
  </w:num>
  <w:num w:numId="937">
    <w:abstractNumId w:val="97"/>
  </w:num>
  <w:num w:numId="938">
    <w:abstractNumId w:val="1479"/>
  </w:num>
  <w:num w:numId="939">
    <w:abstractNumId w:val="1439"/>
  </w:num>
  <w:num w:numId="940">
    <w:abstractNumId w:val="1206"/>
  </w:num>
  <w:num w:numId="941">
    <w:abstractNumId w:val="447"/>
  </w:num>
  <w:num w:numId="942">
    <w:abstractNumId w:val="1014"/>
  </w:num>
  <w:num w:numId="943">
    <w:abstractNumId w:val="218"/>
  </w:num>
  <w:num w:numId="944">
    <w:abstractNumId w:val="1235"/>
  </w:num>
  <w:num w:numId="945">
    <w:abstractNumId w:val="81"/>
  </w:num>
  <w:num w:numId="946">
    <w:abstractNumId w:val="430"/>
  </w:num>
  <w:num w:numId="947">
    <w:abstractNumId w:val="340"/>
  </w:num>
  <w:num w:numId="948">
    <w:abstractNumId w:val="134"/>
  </w:num>
  <w:num w:numId="949">
    <w:abstractNumId w:val="351"/>
  </w:num>
  <w:num w:numId="950">
    <w:abstractNumId w:val="1076"/>
  </w:num>
  <w:num w:numId="951">
    <w:abstractNumId w:val="837"/>
  </w:num>
  <w:num w:numId="952">
    <w:abstractNumId w:val="175"/>
  </w:num>
  <w:num w:numId="953">
    <w:abstractNumId w:val="1151"/>
  </w:num>
  <w:num w:numId="954">
    <w:abstractNumId w:val="934"/>
  </w:num>
  <w:num w:numId="955">
    <w:abstractNumId w:val="593"/>
  </w:num>
  <w:num w:numId="956">
    <w:abstractNumId w:val="205"/>
  </w:num>
  <w:num w:numId="957">
    <w:abstractNumId w:val="570"/>
  </w:num>
  <w:num w:numId="958">
    <w:abstractNumId w:val="53"/>
  </w:num>
  <w:num w:numId="959">
    <w:abstractNumId w:val="146"/>
  </w:num>
  <w:num w:numId="960">
    <w:abstractNumId w:val="458"/>
  </w:num>
  <w:num w:numId="961">
    <w:abstractNumId w:val="151"/>
  </w:num>
  <w:num w:numId="962">
    <w:abstractNumId w:val="239"/>
  </w:num>
  <w:num w:numId="963">
    <w:abstractNumId w:val="470"/>
  </w:num>
  <w:num w:numId="964">
    <w:abstractNumId w:val="543"/>
  </w:num>
  <w:num w:numId="965">
    <w:abstractNumId w:val="1332"/>
  </w:num>
  <w:num w:numId="966">
    <w:abstractNumId w:val="1073"/>
  </w:num>
  <w:num w:numId="967">
    <w:abstractNumId w:val="16"/>
  </w:num>
  <w:num w:numId="968">
    <w:abstractNumId w:val="989"/>
  </w:num>
  <w:num w:numId="969">
    <w:abstractNumId w:val="115"/>
  </w:num>
  <w:num w:numId="970">
    <w:abstractNumId w:val="709"/>
  </w:num>
  <w:num w:numId="971">
    <w:abstractNumId w:val="844"/>
  </w:num>
  <w:num w:numId="972">
    <w:abstractNumId w:val="1247"/>
  </w:num>
  <w:num w:numId="973">
    <w:abstractNumId w:val="261"/>
  </w:num>
  <w:num w:numId="974">
    <w:abstractNumId w:val="161"/>
  </w:num>
  <w:num w:numId="975">
    <w:abstractNumId w:val="1268"/>
  </w:num>
  <w:num w:numId="976">
    <w:abstractNumId w:val="1210"/>
  </w:num>
  <w:num w:numId="977">
    <w:abstractNumId w:val="165"/>
  </w:num>
  <w:num w:numId="978">
    <w:abstractNumId w:val="1269"/>
  </w:num>
  <w:num w:numId="979">
    <w:abstractNumId w:val="276"/>
  </w:num>
  <w:num w:numId="980">
    <w:abstractNumId w:val="152"/>
  </w:num>
  <w:num w:numId="981">
    <w:abstractNumId w:val="639"/>
  </w:num>
  <w:num w:numId="982">
    <w:abstractNumId w:val="520"/>
  </w:num>
  <w:num w:numId="983">
    <w:abstractNumId w:val="397"/>
  </w:num>
  <w:num w:numId="984">
    <w:abstractNumId w:val="317"/>
  </w:num>
  <w:num w:numId="985">
    <w:abstractNumId w:val="226"/>
  </w:num>
  <w:num w:numId="986">
    <w:abstractNumId w:val="865"/>
  </w:num>
  <w:num w:numId="987">
    <w:abstractNumId w:val="642"/>
  </w:num>
  <w:num w:numId="988">
    <w:abstractNumId w:val="841"/>
  </w:num>
  <w:num w:numId="989">
    <w:abstractNumId w:val="1174"/>
  </w:num>
  <w:num w:numId="990">
    <w:abstractNumId w:val="468"/>
  </w:num>
  <w:num w:numId="991">
    <w:abstractNumId w:val="1015"/>
  </w:num>
  <w:num w:numId="992">
    <w:abstractNumId w:val="1397"/>
  </w:num>
  <w:num w:numId="993">
    <w:abstractNumId w:val="387"/>
  </w:num>
  <w:num w:numId="994">
    <w:abstractNumId w:val="792"/>
  </w:num>
  <w:num w:numId="995">
    <w:abstractNumId w:val="933"/>
  </w:num>
  <w:num w:numId="996">
    <w:abstractNumId w:val="1057"/>
  </w:num>
  <w:num w:numId="997">
    <w:abstractNumId w:val="259"/>
  </w:num>
  <w:num w:numId="998">
    <w:abstractNumId w:val="327"/>
  </w:num>
  <w:num w:numId="999">
    <w:abstractNumId w:val="421"/>
  </w:num>
  <w:num w:numId="1000">
    <w:abstractNumId w:val="1349"/>
  </w:num>
  <w:num w:numId="1001">
    <w:abstractNumId w:val="1311"/>
  </w:num>
  <w:num w:numId="1002">
    <w:abstractNumId w:val="827"/>
  </w:num>
  <w:num w:numId="1003">
    <w:abstractNumId w:val="371"/>
  </w:num>
  <w:num w:numId="1004">
    <w:abstractNumId w:val="599"/>
  </w:num>
  <w:num w:numId="1005">
    <w:abstractNumId w:val="855"/>
  </w:num>
  <w:num w:numId="1006">
    <w:abstractNumId w:val="1101"/>
  </w:num>
  <w:num w:numId="1007">
    <w:abstractNumId w:val="1323"/>
  </w:num>
  <w:num w:numId="1008">
    <w:abstractNumId w:val="734"/>
  </w:num>
  <w:num w:numId="1009">
    <w:abstractNumId w:val="1200"/>
  </w:num>
  <w:num w:numId="1010">
    <w:abstractNumId w:val="1099"/>
  </w:num>
  <w:num w:numId="1011">
    <w:abstractNumId w:val="1144"/>
  </w:num>
  <w:num w:numId="1012">
    <w:abstractNumId w:val="598"/>
  </w:num>
  <w:num w:numId="1013">
    <w:abstractNumId w:val="635"/>
  </w:num>
  <w:num w:numId="1014">
    <w:abstractNumId w:val="449"/>
  </w:num>
  <w:num w:numId="1015">
    <w:abstractNumId w:val="491"/>
  </w:num>
  <w:num w:numId="1016">
    <w:abstractNumId w:val="131"/>
  </w:num>
  <w:num w:numId="1017">
    <w:abstractNumId w:val="977"/>
  </w:num>
  <w:num w:numId="1018">
    <w:abstractNumId w:val="1182"/>
  </w:num>
  <w:num w:numId="1019">
    <w:abstractNumId w:val="542"/>
  </w:num>
  <w:num w:numId="1020">
    <w:abstractNumId w:val="419"/>
  </w:num>
  <w:num w:numId="1021">
    <w:abstractNumId w:val="1039"/>
  </w:num>
  <w:num w:numId="1022">
    <w:abstractNumId w:val="418"/>
  </w:num>
  <w:num w:numId="1023">
    <w:abstractNumId w:val="358"/>
  </w:num>
  <w:num w:numId="1024">
    <w:abstractNumId w:val="495"/>
  </w:num>
  <w:num w:numId="1025">
    <w:abstractNumId w:val="1356"/>
  </w:num>
  <w:num w:numId="1026">
    <w:abstractNumId w:val="107"/>
  </w:num>
  <w:num w:numId="1027">
    <w:abstractNumId w:val="928"/>
  </w:num>
  <w:num w:numId="1028">
    <w:abstractNumId w:val="1427"/>
  </w:num>
  <w:num w:numId="1029">
    <w:abstractNumId w:val="1090"/>
  </w:num>
  <w:num w:numId="1030">
    <w:abstractNumId w:val="1052"/>
  </w:num>
  <w:num w:numId="1031">
    <w:abstractNumId w:val="159"/>
  </w:num>
  <w:num w:numId="1032">
    <w:abstractNumId w:val="505"/>
  </w:num>
  <w:num w:numId="1033">
    <w:abstractNumId w:val="45"/>
  </w:num>
  <w:num w:numId="1034">
    <w:abstractNumId w:val="147"/>
  </w:num>
  <w:num w:numId="1035">
    <w:abstractNumId w:val="1263"/>
  </w:num>
  <w:num w:numId="1036">
    <w:abstractNumId w:val="1298"/>
  </w:num>
  <w:num w:numId="1037">
    <w:abstractNumId w:val="686"/>
  </w:num>
  <w:num w:numId="1038">
    <w:abstractNumId w:val="831"/>
  </w:num>
  <w:num w:numId="1039">
    <w:abstractNumId w:val="815"/>
  </w:num>
  <w:num w:numId="1040">
    <w:abstractNumId w:val="489"/>
  </w:num>
  <w:num w:numId="1041">
    <w:abstractNumId w:val="312"/>
  </w:num>
  <w:num w:numId="1042">
    <w:abstractNumId w:val="653"/>
  </w:num>
  <w:num w:numId="1043">
    <w:abstractNumId w:val="244"/>
  </w:num>
  <w:num w:numId="1044">
    <w:abstractNumId w:val="1458"/>
  </w:num>
  <w:num w:numId="1045">
    <w:abstractNumId w:val="647"/>
  </w:num>
  <w:num w:numId="1046">
    <w:abstractNumId w:val="1119"/>
  </w:num>
  <w:num w:numId="1047">
    <w:abstractNumId w:val="663"/>
  </w:num>
  <w:num w:numId="1048">
    <w:abstractNumId w:val="290"/>
  </w:num>
  <w:num w:numId="1049">
    <w:abstractNumId w:val="127"/>
  </w:num>
  <w:num w:numId="1050">
    <w:abstractNumId w:val="1048"/>
  </w:num>
  <w:num w:numId="1051">
    <w:abstractNumId w:val="682"/>
  </w:num>
  <w:num w:numId="1052">
    <w:abstractNumId w:val="803"/>
  </w:num>
  <w:num w:numId="1053">
    <w:abstractNumId w:val="1360"/>
  </w:num>
  <w:num w:numId="1054">
    <w:abstractNumId w:val="761"/>
  </w:num>
  <w:num w:numId="1055">
    <w:abstractNumId w:val="1034"/>
  </w:num>
  <w:num w:numId="1056">
    <w:abstractNumId w:val="1473"/>
  </w:num>
  <w:num w:numId="1057">
    <w:abstractNumId w:val="272"/>
  </w:num>
  <w:num w:numId="1058">
    <w:abstractNumId w:val="55"/>
  </w:num>
  <w:num w:numId="1059">
    <w:abstractNumId w:val="1306"/>
  </w:num>
  <w:num w:numId="1060">
    <w:abstractNumId w:val="1404"/>
  </w:num>
  <w:num w:numId="1061">
    <w:abstractNumId w:val="48"/>
  </w:num>
  <w:num w:numId="1062">
    <w:abstractNumId w:val="310"/>
  </w:num>
  <w:num w:numId="1063">
    <w:abstractNumId w:val="90"/>
  </w:num>
  <w:num w:numId="1064">
    <w:abstractNumId w:val="1476"/>
  </w:num>
  <w:num w:numId="1065">
    <w:abstractNumId w:val="61"/>
  </w:num>
  <w:num w:numId="1066">
    <w:abstractNumId w:val="518"/>
  </w:num>
  <w:num w:numId="1067">
    <w:abstractNumId w:val="723"/>
  </w:num>
  <w:num w:numId="1068">
    <w:abstractNumId w:val="1187"/>
  </w:num>
  <w:num w:numId="1069">
    <w:abstractNumId w:val="349"/>
  </w:num>
  <w:num w:numId="1070">
    <w:abstractNumId w:val="481"/>
  </w:num>
  <w:num w:numId="1071">
    <w:abstractNumId w:val="1176"/>
  </w:num>
  <w:num w:numId="1072">
    <w:abstractNumId w:val="512"/>
  </w:num>
  <w:num w:numId="1073">
    <w:abstractNumId w:val="1413"/>
  </w:num>
  <w:num w:numId="1074">
    <w:abstractNumId w:val="490"/>
  </w:num>
  <w:num w:numId="1075">
    <w:abstractNumId w:val="313"/>
  </w:num>
  <w:num w:numId="1076">
    <w:abstractNumId w:val="24"/>
  </w:num>
  <w:num w:numId="1077">
    <w:abstractNumId w:val="1129"/>
  </w:num>
  <w:num w:numId="1078">
    <w:abstractNumId w:val="564"/>
  </w:num>
  <w:num w:numId="1079">
    <w:abstractNumId w:val="174"/>
  </w:num>
  <w:num w:numId="1080">
    <w:abstractNumId w:val="1237"/>
  </w:num>
  <w:num w:numId="1081">
    <w:abstractNumId w:val="247"/>
  </w:num>
  <w:num w:numId="1082">
    <w:abstractNumId w:val="210"/>
  </w:num>
  <w:num w:numId="1083">
    <w:abstractNumId w:val="399"/>
  </w:num>
  <w:num w:numId="1084">
    <w:abstractNumId w:val="533"/>
  </w:num>
  <w:num w:numId="1085">
    <w:abstractNumId w:val="748"/>
  </w:num>
  <w:num w:numId="1086">
    <w:abstractNumId w:val="602"/>
  </w:num>
  <w:num w:numId="1087">
    <w:abstractNumId w:val="19"/>
  </w:num>
  <w:num w:numId="1088">
    <w:abstractNumId w:val="1240"/>
  </w:num>
  <w:num w:numId="1089">
    <w:abstractNumId w:val="1462"/>
  </w:num>
  <w:num w:numId="1090">
    <w:abstractNumId w:val="667"/>
  </w:num>
  <w:num w:numId="1091">
    <w:abstractNumId w:val="898"/>
  </w:num>
  <w:num w:numId="1092">
    <w:abstractNumId w:val="370"/>
  </w:num>
  <w:num w:numId="1093">
    <w:abstractNumId w:val="517"/>
  </w:num>
  <w:num w:numId="1094">
    <w:abstractNumId w:val="1406"/>
  </w:num>
  <w:num w:numId="1095">
    <w:abstractNumId w:val="201"/>
  </w:num>
  <w:num w:numId="1096">
    <w:abstractNumId w:val="162"/>
  </w:num>
  <w:num w:numId="1097">
    <w:abstractNumId w:val="614"/>
  </w:num>
  <w:num w:numId="1098">
    <w:abstractNumId w:val="1246"/>
  </w:num>
  <w:num w:numId="1099">
    <w:abstractNumId w:val="1128"/>
  </w:num>
  <w:num w:numId="1100">
    <w:abstractNumId w:val="1231"/>
  </w:num>
  <w:num w:numId="1101">
    <w:abstractNumId w:val="740"/>
  </w:num>
  <w:num w:numId="1102">
    <w:abstractNumId w:val="1340"/>
  </w:num>
  <w:num w:numId="1103">
    <w:abstractNumId w:val="241"/>
  </w:num>
  <w:num w:numId="1104">
    <w:abstractNumId w:val="273"/>
  </w:num>
  <w:num w:numId="1105">
    <w:abstractNumId w:val="601"/>
  </w:num>
  <w:num w:numId="1106">
    <w:abstractNumId w:val="11"/>
  </w:num>
  <w:num w:numId="1107">
    <w:abstractNumId w:val="910"/>
  </w:num>
  <w:num w:numId="1108">
    <w:abstractNumId w:val="395"/>
  </w:num>
  <w:num w:numId="1109">
    <w:abstractNumId w:val="1155"/>
  </w:num>
  <w:num w:numId="1110">
    <w:abstractNumId w:val="1046"/>
  </w:num>
  <w:num w:numId="1111">
    <w:abstractNumId w:val="733"/>
  </w:num>
  <w:num w:numId="1112">
    <w:abstractNumId w:val="13"/>
  </w:num>
  <w:num w:numId="1113">
    <w:abstractNumId w:val="561"/>
  </w:num>
  <w:num w:numId="1114">
    <w:abstractNumId w:val="342"/>
  </w:num>
  <w:num w:numId="1115">
    <w:abstractNumId w:val="1321"/>
  </w:num>
  <w:num w:numId="1116">
    <w:abstractNumId w:val="932"/>
  </w:num>
  <w:num w:numId="1117">
    <w:abstractNumId w:val="860"/>
  </w:num>
  <w:num w:numId="1118">
    <w:abstractNumId w:val="1319"/>
  </w:num>
  <w:num w:numId="1119">
    <w:abstractNumId w:val="508"/>
  </w:num>
  <w:num w:numId="1120">
    <w:abstractNumId w:val="1219"/>
  </w:num>
  <w:num w:numId="1121">
    <w:abstractNumId w:val="49"/>
  </w:num>
  <w:num w:numId="1122">
    <w:abstractNumId w:val="1334"/>
  </w:num>
  <w:num w:numId="1123">
    <w:abstractNumId w:val="830"/>
  </w:num>
  <w:num w:numId="1124">
    <w:abstractNumId w:val="537"/>
  </w:num>
  <w:num w:numId="1125">
    <w:abstractNumId w:val="924"/>
  </w:num>
  <w:num w:numId="1126">
    <w:abstractNumId w:val="529"/>
  </w:num>
  <w:num w:numId="1127">
    <w:abstractNumId w:val="341"/>
  </w:num>
  <w:num w:numId="1128">
    <w:abstractNumId w:val="212"/>
  </w:num>
  <w:num w:numId="1129">
    <w:abstractNumId w:val="731"/>
  </w:num>
  <w:num w:numId="1130">
    <w:abstractNumId w:val="121"/>
  </w:num>
  <w:num w:numId="1131">
    <w:abstractNumId w:val="117"/>
  </w:num>
  <w:num w:numId="1132">
    <w:abstractNumId w:val="1336"/>
  </w:num>
  <w:num w:numId="1133">
    <w:abstractNumId w:val="793"/>
  </w:num>
  <w:num w:numId="1134">
    <w:abstractNumId w:val="198"/>
  </w:num>
  <w:num w:numId="1135">
    <w:abstractNumId w:val="546"/>
  </w:num>
  <w:num w:numId="1136">
    <w:abstractNumId w:val="516"/>
  </w:num>
  <w:num w:numId="1137">
    <w:abstractNumId w:val="424"/>
  </w:num>
  <w:num w:numId="1138">
    <w:abstractNumId w:val="426"/>
  </w:num>
  <w:num w:numId="1139">
    <w:abstractNumId w:val="649"/>
  </w:num>
  <w:num w:numId="1140">
    <w:abstractNumId w:val="136"/>
  </w:num>
  <w:num w:numId="1141">
    <w:abstractNumId w:val="1450"/>
  </w:num>
  <w:num w:numId="1142">
    <w:abstractNumId w:val="668"/>
  </w:num>
  <w:num w:numId="1143">
    <w:abstractNumId w:val="493"/>
  </w:num>
  <w:num w:numId="1144">
    <w:abstractNumId w:val="1049"/>
  </w:num>
  <w:num w:numId="1145">
    <w:abstractNumId w:val="597"/>
  </w:num>
  <w:num w:numId="1146">
    <w:abstractNumId w:val="177"/>
  </w:num>
  <w:num w:numId="1147">
    <w:abstractNumId w:val="1421"/>
  </w:num>
  <w:num w:numId="1148">
    <w:abstractNumId w:val="976"/>
  </w:num>
  <w:num w:numId="1149">
    <w:abstractNumId w:val="738"/>
  </w:num>
  <w:num w:numId="1150">
    <w:abstractNumId w:val="612"/>
  </w:num>
  <w:num w:numId="1151">
    <w:abstractNumId w:val="949"/>
  </w:num>
  <w:num w:numId="1152">
    <w:abstractNumId w:val="492"/>
  </w:num>
  <w:num w:numId="1153">
    <w:abstractNumId w:val="1445"/>
  </w:num>
  <w:num w:numId="1154">
    <w:abstractNumId w:val="496"/>
  </w:num>
  <w:num w:numId="1155">
    <w:abstractNumId w:val="484"/>
  </w:num>
  <w:num w:numId="1156">
    <w:abstractNumId w:val="1266"/>
  </w:num>
  <w:num w:numId="1157">
    <w:abstractNumId w:val="7"/>
  </w:num>
  <w:num w:numId="1158">
    <w:abstractNumId w:val="759"/>
  </w:num>
  <w:num w:numId="1159">
    <w:abstractNumId w:val="1370"/>
  </w:num>
  <w:num w:numId="1160">
    <w:abstractNumId w:val="321"/>
  </w:num>
  <w:num w:numId="1161">
    <w:abstractNumId w:val="85"/>
  </w:num>
  <w:num w:numId="1162">
    <w:abstractNumId w:val="527"/>
  </w:num>
  <w:num w:numId="1163">
    <w:abstractNumId w:val="443"/>
  </w:num>
  <w:num w:numId="1164">
    <w:abstractNumId w:val="294"/>
  </w:num>
  <w:num w:numId="1165">
    <w:abstractNumId w:val="281"/>
  </w:num>
  <w:num w:numId="1166">
    <w:abstractNumId w:val="1045"/>
  </w:num>
  <w:num w:numId="1167">
    <w:abstractNumId w:val="1465"/>
  </w:num>
  <w:num w:numId="1168">
    <w:abstractNumId w:val="1257"/>
  </w:num>
  <w:num w:numId="1169">
    <w:abstractNumId w:val="995"/>
  </w:num>
  <w:num w:numId="1170">
    <w:abstractNumId w:val="1310"/>
  </w:num>
  <w:num w:numId="1171">
    <w:abstractNumId w:val="1252"/>
  </w:num>
  <w:num w:numId="1172">
    <w:abstractNumId w:val="361"/>
  </w:num>
  <w:num w:numId="1173">
    <w:abstractNumId w:val="929"/>
  </w:num>
  <w:num w:numId="1174">
    <w:abstractNumId w:val="144"/>
  </w:num>
  <w:num w:numId="1175">
    <w:abstractNumId w:val="807"/>
  </w:num>
  <w:num w:numId="1176">
    <w:abstractNumId w:val="1277"/>
  </w:num>
  <w:num w:numId="1177">
    <w:abstractNumId w:val="1300"/>
  </w:num>
  <w:num w:numId="1178">
    <w:abstractNumId w:val="1067"/>
  </w:num>
  <w:num w:numId="1179">
    <w:abstractNumId w:val="892"/>
  </w:num>
  <w:num w:numId="1180">
    <w:abstractNumId w:val="1229"/>
  </w:num>
  <w:num w:numId="1181">
    <w:abstractNumId w:val="510"/>
  </w:num>
  <w:num w:numId="1182">
    <w:abstractNumId w:val="420"/>
  </w:num>
  <w:num w:numId="1183">
    <w:abstractNumId w:val="1401"/>
  </w:num>
  <w:num w:numId="1184">
    <w:abstractNumId w:val="1064"/>
  </w:num>
  <w:num w:numId="1185">
    <w:abstractNumId w:val="257"/>
  </w:num>
  <w:num w:numId="1186">
    <w:abstractNumId w:val="297"/>
  </w:num>
  <w:num w:numId="1187">
    <w:abstractNumId w:val="1063"/>
  </w:num>
  <w:num w:numId="1188">
    <w:abstractNumId w:val="1136"/>
  </w:num>
  <w:num w:numId="1189">
    <w:abstractNumId w:val="641"/>
  </w:num>
  <w:num w:numId="1190">
    <w:abstractNumId w:val="25"/>
  </w:num>
  <w:num w:numId="1191">
    <w:abstractNumId w:val="94"/>
  </w:num>
  <w:num w:numId="1192">
    <w:abstractNumId w:val="20"/>
  </w:num>
  <w:num w:numId="1193">
    <w:abstractNumId w:val="439"/>
  </w:num>
  <w:num w:numId="1194">
    <w:abstractNumId w:val="683"/>
  </w:num>
  <w:num w:numId="1195">
    <w:abstractNumId w:val="142"/>
  </w:num>
  <w:num w:numId="1196">
    <w:abstractNumId w:val="702"/>
  </w:num>
  <w:num w:numId="1197">
    <w:abstractNumId w:val="504"/>
  </w:num>
  <w:num w:numId="1198">
    <w:abstractNumId w:val="323"/>
  </w:num>
  <w:num w:numId="1199">
    <w:abstractNumId w:val="1256"/>
  </w:num>
  <w:num w:numId="1200">
    <w:abstractNumId w:val="1092"/>
  </w:num>
  <w:num w:numId="1201">
    <w:abstractNumId w:val="1331"/>
  </w:num>
  <w:num w:numId="1202">
    <w:abstractNumId w:val="1140"/>
  </w:num>
  <w:num w:numId="1203">
    <w:abstractNumId w:val="253"/>
  </w:num>
  <w:num w:numId="1204">
    <w:abstractNumId w:val="925"/>
  </w:num>
  <w:num w:numId="1205">
    <w:abstractNumId w:val="997"/>
  </w:num>
  <w:num w:numId="1206">
    <w:abstractNumId w:val="1115"/>
  </w:num>
  <w:num w:numId="1207">
    <w:abstractNumId w:val="1464"/>
  </w:num>
  <w:num w:numId="1208">
    <w:abstractNumId w:val="91"/>
  </w:num>
  <w:num w:numId="1209">
    <w:abstractNumId w:val="966"/>
  </w:num>
  <w:num w:numId="1210">
    <w:abstractNumId w:val="353"/>
  </w:num>
  <w:num w:numId="1211">
    <w:abstractNumId w:val="1061"/>
  </w:num>
  <w:num w:numId="1212">
    <w:abstractNumId w:val="771"/>
  </w:num>
  <w:num w:numId="1213">
    <w:abstractNumId w:val="270"/>
  </w:num>
  <w:num w:numId="1214">
    <w:abstractNumId w:val="711"/>
  </w:num>
  <w:num w:numId="1215">
    <w:abstractNumId w:val="1207"/>
  </w:num>
  <w:num w:numId="1216">
    <w:abstractNumId w:val="191"/>
  </w:num>
  <w:num w:numId="1217">
    <w:abstractNumId w:val="293"/>
  </w:num>
  <w:num w:numId="1218">
    <w:abstractNumId w:val="536"/>
  </w:num>
  <w:num w:numId="1219">
    <w:abstractNumId w:val="1238"/>
  </w:num>
  <w:num w:numId="1220">
    <w:abstractNumId w:val="1040"/>
  </w:num>
  <w:num w:numId="1221">
    <w:abstractNumId w:val="1358"/>
  </w:num>
  <w:num w:numId="1222">
    <w:abstractNumId w:val="1329"/>
  </w:num>
  <w:num w:numId="1223">
    <w:abstractNumId w:val="444"/>
  </w:num>
  <w:num w:numId="1224">
    <w:abstractNumId w:val="627"/>
  </w:num>
  <w:num w:numId="1225">
    <w:abstractNumId w:val="1469"/>
  </w:num>
  <w:num w:numId="1226">
    <w:abstractNumId w:val="1000"/>
  </w:num>
  <w:num w:numId="1227">
    <w:abstractNumId w:val="1021"/>
  </w:num>
  <w:num w:numId="1228">
    <w:abstractNumId w:val="763"/>
  </w:num>
  <w:num w:numId="1229">
    <w:abstractNumId w:val="1029"/>
  </w:num>
  <w:num w:numId="1230">
    <w:abstractNumId w:val="369"/>
  </w:num>
  <w:num w:numId="1231">
    <w:abstractNumId w:val="1372"/>
  </w:num>
  <w:num w:numId="1232">
    <w:abstractNumId w:val="5"/>
  </w:num>
  <w:num w:numId="1233">
    <w:abstractNumId w:val="646"/>
  </w:num>
  <w:num w:numId="1234">
    <w:abstractNumId w:val="1213"/>
  </w:num>
  <w:num w:numId="1235">
    <w:abstractNumId w:val="316"/>
  </w:num>
  <w:num w:numId="1236">
    <w:abstractNumId w:val="1467"/>
  </w:num>
  <w:num w:numId="1237">
    <w:abstractNumId w:val="346"/>
  </w:num>
  <w:num w:numId="1238">
    <w:abstractNumId w:val="1350"/>
  </w:num>
  <w:num w:numId="1239">
    <w:abstractNumId w:val="907"/>
  </w:num>
  <w:num w:numId="1240">
    <w:abstractNumId w:val="930"/>
  </w:num>
  <w:num w:numId="1241">
    <w:abstractNumId w:val="279"/>
  </w:num>
  <w:num w:numId="1242">
    <w:abstractNumId w:val="507"/>
  </w:num>
  <w:num w:numId="1243">
    <w:abstractNumId w:val="1147"/>
  </w:num>
  <w:num w:numId="1244">
    <w:abstractNumId w:val="1071"/>
  </w:num>
  <w:num w:numId="1245">
    <w:abstractNumId w:val="1286"/>
  </w:num>
  <w:num w:numId="1246">
    <w:abstractNumId w:val="619"/>
  </w:num>
  <w:num w:numId="1247">
    <w:abstractNumId w:val="238"/>
  </w:num>
  <w:num w:numId="1248">
    <w:abstractNumId w:val="1326"/>
  </w:num>
  <w:num w:numId="1249">
    <w:abstractNumId w:val="398"/>
  </w:num>
  <w:num w:numId="1250">
    <w:abstractNumId w:val="1122"/>
  </w:num>
  <w:num w:numId="1251">
    <w:abstractNumId w:val="677"/>
  </w:num>
  <w:num w:numId="1252">
    <w:abstractNumId w:val="260"/>
  </w:num>
  <w:num w:numId="1253">
    <w:abstractNumId w:val="511"/>
  </w:num>
  <w:num w:numId="1254">
    <w:abstractNumId w:val="960"/>
  </w:num>
  <w:num w:numId="1255">
    <w:abstractNumId w:val="764"/>
  </w:num>
  <w:num w:numId="1256">
    <w:abstractNumId w:val="1363"/>
  </w:num>
  <w:num w:numId="1257">
    <w:abstractNumId w:val="1366"/>
  </w:num>
  <w:num w:numId="1258">
    <w:abstractNumId w:val="416"/>
  </w:num>
  <w:num w:numId="1259">
    <w:abstractNumId w:val="1245"/>
  </w:num>
  <w:num w:numId="1260">
    <w:abstractNumId w:val="743"/>
  </w:num>
  <w:num w:numId="1261">
    <w:abstractNumId w:val="1201"/>
  </w:num>
  <w:num w:numId="1262">
    <w:abstractNumId w:val="1454"/>
  </w:num>
  <w:num w:numId="1263">
    <w:abstractNumId w:val="805"/>
  </w:num>
  <w:num w:numId="1264">
    <w:abstractNumId w:val="355"/>
  </w:num>
  <w:num w:numId="1265">
    <w:abstractNumId w:val="1154"/>
  </w:num>
  <w:num w:numId="1266">
    <w:abstractNumId w:val="400"/>
  </w:num>
  <w:num w:numId="1267">
    <w:abstractNumId w:val="1081"/>
  </w:num>
  <w:num w:numId="1268">
    <w:abstractNumId w:val="286"/>
  </w:num>
  <w:num w:numId="1269">
    <w:abstractNumId w:val="1261"/>
  </w:num>
  <w:num w:numId="1270">
    <w:abstractNumId w:val="406"/>
  </w:num>
  <w:num w:numId="1271">
    <w:abstractNumId w:val="1377"/>
  </w:num>
  <w:num w:numId="1272">
    <w:abstractNumId w:val="773"/>
  </w:num>
  <w:num w:numId="1273">
    <w:abstractNumId w:val="1012"/>
  </w:num>
  <w:num w:numId="1274">
    <w:abstractNumId w:val="114"/>
  </w:num>
  <w:num w:numId="1275">
    <w:abstractNumId w:val="248"/>
  </w:num>
  <w:num w:numId="1276">
    <w:abstractNumId w:val="757"/>
  </w:num>
  <w:num w:numId="1277">
    <w:abstractNumId w:val="183"/>
  </w:num>
  <w:num w:numId="1278">
    <w:abstractNumId w:val="951"/>
  </w:num>
  <w:num w:numId="1279">
    <w:abstractNumId w:val="305"/>
  </w:num>
  <w:num w:numId="1280">
    <w:abstractNumId w:val="173"/>
  </w:num>
  <w:num w:numId="1281">
    <w:abstractNumId w:val="631"/>
  </w:num>
  <w:num w:numId="1282">
    <w:abstractNumId w:val="120"/>
  </w:num>
  <w:num w:numId="1283">
    <w:abstractNumId w:val="280"/>
  </w:num>
  <w:num w:numId="1284">
    <w:abstractNumId w:val="911"/>
  </w:num>
  <w:num w:numId="1285">
    <w:abstractNumId w:val="789"/>
  </w:num>
  <w:num w:numId="1286">
    <w:abstractNumId w:val="973"/>
  </w:num>
  <w:num w:numId="1287">
    <w:abstractNumId w:val="1193"/>
  </w:num>
  <w:num w:numId="1288">
    <w:abstractNumId w:val="1438"/>
  </w:num>
  <w:num w:numId="1289">
    <w:abstractNumId w:val="534"/>
  </w:num>
  <w:num w:numId="1290">
    <w:abstractNumId w:val="870"/>
  </w:num>
  <w:num w:numId="1291">
    <w:abstractNumId w:val="704"/>
  </w:num>
  <w:num w:numId="1292">
    <w:abstractNumId w:val="672"/>
  </w:num>
  <w:num w:numId="1293">
    <w:abstractNumId w:val="1170"/>
  </w:num>
  <w:num w:numId="1294">
    <w:abstractNumId w:val="1444"/>
  </w:num>
  <w:num w:numId="1295">
    <w:abstractNumId w:val="368"/>
  </w:num>
  <w:num w:numId="1296">
    <w:abstractNumId w:val="459"/>
  </w:num>
  <w:num w:numId="1297">
    <w:abstractNumId w:val="1365"/>
  </w:num>
  <w:num w:numId="1298">
    <w:abstractNumId w:val="157"/>
  </w:num>
  <w:num w:numId="1299">
    <w:abstractNumId w:val="1259"/>
  </w:num>
  <w:num w:numId="1300">
    <w:abstractNumId w:val="31"/>
  </w:num>
  <w:num w:numId="1301">
    <w:abstractNumId w:val="1282"/>
  </w:num>
  <w:num w:numId="1302">
    <w:abstractNumId w:val="1137"/>
  </w:num>
  <w:num w:numId="1303">
    <w:abstractNumId w:val="65"/>
  </w:num>
  <w:num w:numId="1304">
    <w:abstractNumId w:val="381"/>
  </w:num>
  <w:num w:numId="1305">
    <w:abstractNumId w:val="1110"/>
  </w:num>
  <w:num w:numId="1306">
    <w:abstractNumId w:val="708"/>
  </w:num>
  <w:num w:numId="1307">
    <w:abstractNumId w:val="568"/>
  </w:num>
  <w:num w:numId="1308">
    <w:abstractNumId w:val="348"/>
  </w:num>
  <w:num w:numId="1309">
    <w:abstractNumId w:val="806"/>
  </w:num>
  <w:num w:numId="1310">
    <w:abstractNumId w:val="901"/>
  </w:num>
  <w:num w:numId="1311">
    <w:abstractNumId w:val="225"/>
  </w:num>
  <w:num w:numId="1312">
    <w:abstractNumId w:val="277"/>
  </w:num>
  <w:num w:numId="1313">
    <w:abstractNumId w:val="588"/>
  </w:num>
  <w:num w:numId="1314">
    <w:abstractNumId w:val="890"/>
  </w:num>
  <w:num w:numId="1315">
    <w:abstractNumId w:val="963"/>
  </w:num>
  <w:num w:numId="1316">
    <w:abstractNumId w:val="1389"/>
  </w:num>
  <w:num w:numId="1317">
    <w:abstractNumId w:val="35"/>
  </w:num>
  <w:num w:numId="1318">
    <w:abstractNumId w:val="1134"/>
  </w:num>
  <w:num w:numId="1319">
    <w:abstractNumId w:val="874"/>
  </w:num>
  <w:num w:numId="1320">
    <w:abstractNumId w:val="1011"/>
  </w:num>
  <w:num w:numId="1321">
    <w:abstractNumId w:val="1042"/>
  </w:num>
  <w:num w:numId="1322">
    <w:abstractNumId w:val="918"/>
  </w:num>
  <w:num w:numId="1323">
    <w:abstractNumId w:val="1291"/>
  </w:num>
  <w:num w:numId="1324">
    <w:abstractNumId w:val="557"/>
  </w:num>
  <w:num w:numId="1325">
    <w:abstractNumId w:val="1026"/>
  </w:num>
  <w:num w:numId="1326">
    <w:abstractNumId w:val="1448"/>
  </w:num>
  <w:num w:numId="1327">
    <w:abstractNumId w:val="970"/>
  </w:num>
  <w:num w:numId="1328">
    <w:abstractNumId w:val="503"/>
  </w:num>
  <w:num w:numId="1329">
    <w:abstractNumId w:val="1023"/>
  </w:num>
  <w:num w:numId="1330">
    <w:abstractNumId w:val="214"/>
  </w:num>
  <w:num w:numId="1331">
    <w:abstractNumId w:val="1255"/>
  </w:num>
  <w:num w:numId="1332">
    <w:abstractNumId w:val="1394"/>
  </w:num>
  <w:num w:numId="1333">
    <w:abstractNumId w:val="1038"/>
  </w:num>
  <w:num w:numId="1334">
    <w:abstractNumId w:val="840"/>
  </w:num>
  <w:num w:numId="1335">
    <w:abstractNumId w:val="70"/>
  </w:num>
  <w:num w:numId="1336">
    <w:abstractNumId w:val="372"/>
  </w:num>
  <w:num w:numId="1337">
    <w:abstractNumId w:val="33"/>
  </w:num>
  <w:num w:numId="1338">
    <w:abstractNumId w:val="1474"/>
  </w:num>
  <w:num w:numId="1339">
    <w:abstractNumId w:val="707"/>
  </w:num>
  <w:num w:numId="1340">
    <w:abstractNumId w:val="494"/>
  </w:num>
  <w:num w:numId="1341">
    <w:abstractNumId w:val="700"/>
  </w:num>
  <w:num w:numId="1342">
    <w:abstractNumId w:val="1265"/>
  </w:num>
  <w:num w:numId="1343">
    <w:abstractNumId w:val="654"/>
  </w:num>
  <w:num w:numId="1344">
    <w:abstractNumId w:val="258"/>
  </w:num>
  <w:num w:numId="1345">
    <w:abstractNumId w:val="826"/>
  </w:num>
  <w:num w:numId="1346">
    <w:abstractNumId w:val="1440"/>
  </w:num>
  <w:num w:numId="1347">
    <w:abstractNumId w:val="231"/>
  </w:num>
  <w:num w:numId="1348">
    <w:abstractNumId w:val="632"/>
  </w:num>
  <w:num w:numId="1349">
    <w:abstractNumId w:val="1096"/>
  </w:num>
  <w:num w:numId="1350">
    <w:abstractNumId w:val="1177"/>
  </w:num>
  <w:num w:numId="1351">
    <w:abstractNumId w:val="1468"/>
  </w:num>
  <w:num w:numId="1352">
    <w:abstractNumId w:val="1339"/>
  </w:num>
  <w:num w:numId="1353">
    <w:abstractNumId w:val="141"/>
  </w:num>
  <w:num w:numId="1354">
    <w:abstractNumId w:val="1075"/>
  </w:num>
  <w:num w:numId="1355">
    <w:abstractNumId w:val="1216"/>
  </w:num>
  <w:num w:numId="1356">
    <w:abstractNumId w:val="526"/>
  </w:num>
  <w:num w:numId="1357">
    <w:abstractNumId w:val="693"/>
  </w:num>
  <w:num w:numId="1358">
    <w:abstractNumId w:val="89"/>
  </w:num>
  <w:num w:numId="1359">
    <w:abstractNumId w:val="446"/>
  </w:num>
  <w:num w:numId="1360">
    <w:abstractNumId w:val="498"/>
  </w:num>
  <w:num w:numId="1361">
    <w:abstractNumId w:val="1145"/>
  </w:num>
  <w:num w:numId="1362">
    <w:abstractNumId w:val="497"/>
  </w:num>
  <w:num w:numId="1363">
    <w:abstractNumId w:val="829"/>
  </w:num>
  <w:num w:numId="1364">
    <w:abstractNumId w:val="185"/>
  </w:num>
  <w:num w:numId="1365">
    <w:abstractNumId w:val="651"/>
  </w:num>
  <w:num w:numId="1366">
    <w:abstractNumId w:val="1031"/>
  </w:num>
  <w:num w:numId="1367">
    <w:abstractNumId w:val="684"/>
  </w:num>
  <w:num w:numId="1368">
    <w:abstractNumId w:val="282"/>
  </w:num>
  <w:num w:numId="1369">
    <w:abstractNumId w:val="1086"/>
  </w:num>
  <w:num w:numId="1370">
    <w:abstractNumId w:val="774"/>
  </w:num>
  <w:num w:numId="1371">
    <w:abstractNumId w:val="1357"/>
  </w:num>
  <w:num w:numId="1372">
    <w:abstractNumId w:val="1451"/>
  </w:num>
  <w:num w:numId="1373">
    <w:abstractNumId w:val="1455"/>
  </w:num>
  <w:num w:numId="1374">
    <w:abstractNumId w:val="665"/>
  </w:num>
  <w:num w:numId="1375">
    <w:abstractNumId w:val="436"/>
  </w:num>
  <w:num w:numId="1376">
    <w:abstractNumId w:val="1241"/>
  </w:num>
  <w:num w:numId="1377">
    <w:abstractNumId w:val="139"/>
  </w:num>
  <w:num w:numId="1378">
    <w:abstractNumId w:val="895"/>
  </w:num>
  <w:num w:numId="1379">
    <w:abstractNumId w:val="1162"/>
  </w:num>
  <w:num w:numId="1380">
    <w:abstractNumId w:val="620"/>
  </w:num>
  <w:num w:numId="1381">
    <w:abstractNumId w:val="553"/>
  </w:num>
  <w:num w:numId="1382">
    <w:abstractNumId w:val="820"/>
  </w:num>
  <w:num w:numId="1383">
    <w:abstractNumId w:val="1019"/>
  </w:num>
  <w:num w:numId="1384">
    <w:abstractNumId w:val="148"/>
  </w:num>
  <w:num w:numId="1385">
    <w:abstractNumId w:val="1408"/>
  </w:num>
  <w:num w:numId="1386">
    <w:abstractNumId w:val="1010"/>
  </w:num>
  <w:num w:numId="1387">
    <w:abstractNumId w:val="1158"/>
  </w:num>
  <w:num w:numId="1388">
    <w:abstractNumId w:val="726"/>
  </w:num>
  <w:num w:numId="1389">
    <w:abstractNumId w:val="852"/>
  </w:num>
  <w:num w:numId="1390">
    <w:abstractNumId w:val="1383"/>
  </w:num>
  <w:num w:numId="1391">
    <w:abstractNumId w:val="104"/>
  </w:num>
  <w:num w:numId="1392">
    <w:abstractNumId w:val="616"/>
  </w:num>
  <w:num w:numId="1393">
    <w:abstractNumId w:val="1217"/>
  </w:num>
  <w:num w:numId="1394">
    <w:abstractNumId w:val="265"/>
  </w:num>
  <w:num w:numId="1395">
    <w:abstractNumId w:val="799"/>
  </w:num>
  <w:num w:numId="1396">
    <w:abstractNumId w:val="615"/>
  </w:num>
  <w:num w:numId="1397">
    <w:abstractNumId w:val="1070"/>
  </w:num>
  <w:num w:numId="1398">
    <w:abstractNumId w:val="1236"/>
  </w:num>
  <w:num w:numId="1399">
    <w:abstractNumId w:val="149"/>
  </w:num>
  <w:num w:numId="1400">
    <w:abstractNumId w:val="999"/>
  </w:num>
  <w:num w:numId="1401">
    <w:abstractNumId w:val="1376"/>
  </w:num>
  <w:num w:numId="1402">
    <w:abstractNumId w:val="252"/>
  </w:num>
  <w:num w:numId="1403">
    <w:abstractNumId w:val="1095"/>
  </w:num>
  <w:num w:numId="1404">
    <w:abstractNumId w:val="959"/>
  </w:num>
  <w:num w:numId="1405">
    <w:abstractNumId w:val="948"/>
  </w:num>
  <w:num w:numId="1406">
    <w:abstractNumId w:val="1188"/>
  </w:num>
  <w:num w:numId="1407">
    <w:abstractNumId w:val="737"/>
  </w:num>
  <w:num w:numId="1408">
    <w:abstractNumId w:val="778"/>
  </w:num>
  <w:num w:numId="1409">
    <w:abstractNumId w:val="888"/>
  </w:num>
  <w:num w:numId="1410">
    <w:abstractNumId w:val="1452"/>
  </w:num>
  <w:num w:numId="1411">
    <w:abstractNumId w:val="17"/>
  </w:num>
  <w:num w:numId="1412">
    <w:abstractNumId w:val="1264"/>
  </w:num>
  <w:num w:numId="1413">
    <w:abstractNumId w:val="197"/>
  </w:num>
  <w:num w:numId="1414">
    <w:abstractNumId w:val="902"/>
  </w:num>
  <w:num w:numId="1415">
    <w:abstractNumId w:val="1407"/>
  </w:num>
  <w:num w:numId="1416">
    <w:abstractNumId w:val="232"/>
  </w:num>
  <w:num w:numId="1417">
    <w:abstractNumId w:val="168"/>
  </w:num>
  <w:num w:numId="1418">
    <w:abstractNumId w:val="712"/>
  </w:num>
  <w:num w:numId="1419">
    <w:abstractNumId w:val="760"/>
  </w:num>
  <w:num w:numId="1420">
    <w:abstractNumId w:val="643"/>
  </w:num>
  <w:num w:numId="1421">
    <w:abstractNumId w:val="322"/>
  </w:num>
  <w:num w:numId="1422">
    <w:abstractNumId w:val="772"/>
  </w:num>
  <w:num w:numId="1423">
    <w:abstractNumId w:val="59"/>
  </w:num>
  <w:num w:numId="1424">
    <w:abstractNumId w:val="1449"/>
  </w:num>
  <w:num w:numId="1425">
    <w:abstractNumId w:val="974"/>
  </w:num>
  <w:num w:numId="1426">
    <w:abstractNumId w:val="240"/>
  </w:num>
  <w:num w:numId="1427">
    <w:abstractNumId w:val="522"/>
  </w:num>
  <w:num w:numId="1428">
    <w:abstractNumId w:val="1460"/>
  </w:num>
  <w:num w:numId="1429">
    <w:abstractNumId w:val="425"/>
  </w:num>
  <w:num w:numId="1430">
    <w:abstractNumId w:val="1314"/>
  </w:num>
  <w:num w:numId="1431">
    <w:abstractNumId w:val="143"/>
  </w:num>
  <w:num w:numId="1432">
    <w:abstractNumId w:val="298"/>
  </w:num>
  <w:num w:numId="1433">
    <w:abstractNumId w:val="571"/>
  </w:num>
  <w:num w:numId="1434">
    <w:abstractNumId w:val="1191"/>
  </w:num>
  <w:num w:numId="1435">
    <w:abstractNumId w:val="245"/>
  </w:num>
  <w:num w:numId="1436">
    <w:abstractNumId w:val="188"/>
  </w:num>
  <w:num w:numId="1437">
    <w:abstractNumId w:val="330"/>
  </w:num>
  <w:num w:numId="1438">
    <w:abstractNumId w:val="1025"/>
  </w:num>
  <w:num w:numId="1439">
    <w:abstractNumId w:val="1461"/>
  </w:num>
  <w:num w:numId="1440">
    <w:abstractNumId w:val="435"/>
  </w:num>
  <w:num w:numId="1441">
    <w:abstractNumId w:val="1309"/>
  </w:num>
  <w:num w:numId="1442">
    <w:abstractNumId w:val="751"/>
  </w:num>
  <w:num w:numId="1443">
    <w:abstractNumId w:val="660"/>
  </w:num>
  <w:num w:numId="1444">
    <w:abstractNumId w:val="1287"/>
  </w:num>
  <w:num w:numId="1445">
    <w:abstractNumId w:val="412"/>
  </w:num>
  <w:num w:numId="1446">
    <w:abstractNumId w:val="1184"/>
  </w:num>
  <w:num w:numId="1447">
    <w:abstractNumId w:val="1325"/>
  </w:num>
  <w:num w:numId="1448">
    <w:abstractNumId w:val="1157"/>
  </w:num>
  <w:num w:numId="1449">
    <w:abstractNumId w:val="196"/>
  </w:num>
  <w:num w:numId="1450">
    <w:abstractNumId w:val="1027"/>
  </w:num>
  <w:num w:numId="1451">
    <w:abstractNumId w:val="427"/>
  </w:num>
  <w:num w:numId="1452">
    <w:abstractNumId w:val="409"/>
  </w:num>
  <w:num w:numId="1453">
    <w:abstractNumId w:val="594"/>
  </w:num>
  <w:num w:numId="1454">
    <w:abstractNumId w:val="578"/>
  </w:num>
  <w:num w:numId="1455">
    <w:abstractNumId w:val="57"/>
  </w:num>
  <w:num w:numId="1456">
    <w:abstractNumId w:val="835"/>
  </w:num>
  <w:num w:numId="1457">
    <w:abstractNumId w:val="1163"/>
  </w:num>
  <w:num w:numId="1458">
    <w:abstractNumId w:val="44"/>
  </w:num>
  <w:num w:numId="1459">
    <w:abstractNumId w:val="514"/>
  </w:num>
  <w:num w:numId="1460">
    <w:abstractNumId w:val="1211"/>
  </w:num>
  <w:num w:numId="1461">
    <w:abstractNumId w:val="345"/>
  </w:num>
  <w:num w:numId="1462">
    <w:abstractNumId w:val="10"/>
  </w:num>
  <w:num w:numId="1463">
    <w:abstractNumId w:val="1138"/>
  </w:num>
  <w:num w:numId="1464">
    <w:abstractNumId w:val="1097"/>
  </w:num>
  <w:num w:numId="1465">
    <w:abstractNumId w:val="894"/>
  </w:num>
  <w:num w:numId="1466">
    <w:abstractNumId w:val="697"/>
  </w:num>
  <w:num w:numId="1467">
    <w:abstractNumId w:val="119"/>
  </w:num>
  <w:num w:numId="1468">
    <w:abstractNumId w:val="912"/>
  </w:num>
  <w:num w:numId="1469">
    <w:abstractNumId w:val="23"/>
  </w:num>
  <w:num w:numId="1470">
    <w:abstractNumId w:val="219"/>
  </w:num>
  <w:num w:numId="1471">
    <w:abstractNumId w:val="685"/>
  </w:num>
  <w:num w:numId="1472">
    <w:abstractNumId w:val="288"/>
  </w:num>
  <w:num w:numId="1473">
    <w:abstractNumId w:val="1288"/>
  </w:num>
  <w:num w:numId="1474">
    <w:abstractNumId w:val="937"/>
  </w:num>
  <w:num w:numId="1475">
    <w:abstractNumId w:val="968"/>
  </w:num>
  <w:num w:numId="1476">
    <w:abstractNumId w:val="755"/>
  </w:num>
  <w:num w:numId="1477">
    <w:abstractNumId w:val="291"/>
  </w:num>
  <w:num w:numId="1478">
    <w:abstractNumId w:val="1086"/>
    <w:lvlOverride w:ilvl="0">
      <w:startOverride w:val="3"/>
    </w:lvlOverride>
  </w:num>
  <w:num w:numId="1479">
    <w:abstractNumId w:val="1423"/>
  </w:num>
  <w:num w:numId="1480">
    <w:abstractNumId w:val="1446"/>
  </w:num>
  <w:num w:numId="1481">
    <w:abstractNumId w:val="1304"/>
  </w:num>
  <w:num w:numId="1482">
    <w:abstractNumId w:val="1141"/>
  </w:num>
  <w:num w:numId="1483">
    <w:abstractNumId w:val="72"/>
  </w:num>
  <w:num w:numId="1484">
    <w:abstractNumId w:val="1466"/>
  </w:num>
  <w:num w:numId="1485">
    <w:abstractNumId w:val="1102"/>
  </w:num>
  <w:num w:numId="1486">
    <w:abstractNumId w:val="450"/>
  </w:num>
  <w:num w:numId="1487">
    <w:abstractNumId w:val="617"/>
  </w:num>
  <w:num w:numId="1488">
    <w:abstractNumId w:val="274"/>
  </w:num>
  <w:num w:numId="1489">
    <w:abstractNumId w:val="1432"/>
  </w:num>
  <w:num w:numId="1490">
    <w:abstractNumId w:val="220"/>
  </w:num>
  <w:num w:numId="1491">
    <w:abstractNumId w:val="978"/>
  </w:num>
  <w:num w:numId="1492">
    <w:abstractNumId w:val="634"/>
  </w:num>
  <w:num w:numId="1493">
    <w:abstractNumId w:val="521"/>
  </w:num>
  <w:num w:numId="1494">
    <w:abstractNumId w:val="736"/>
  </w:num>
  <w:num w:numId="1495">
    <w:abstractNumId w:val="1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3 10:38:02"/>
    <w:docVar w:name="DocCategory" w:val="Doc"/>
    <w:docVar w:name="DocType" w:val="Final"/>
    <w:docVar w:name="JobNo" w:val="0333030S"/>
    <w:docVar w:name="OandT" w:val="Amores"/>
    <w:docVar w:name="Symbol1" w:val="CEDAW/C/ESP/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720" w:lineRule="auto"/>
      <w:jc w:val="center"/>
      <w:outlineLvl w:val="0"/>
    </w:pPr>
    <w:rPr>
      <w:b/>
      <w:spacing w:val="0"/>
      <w:w w:val="100"/>
      <w:kern w:val="0"/>
      <w:sz w:val="24"/>
    </w:rPr>
  </w:style>
  <w:style w:type="paragraph" w:styleId="Heading2">
    <w:name w:val="heading 2"/>
    <w:basedOn w:val="Normal"/>
    <w:next w:val="Normal"/>
    <w:qFormat/>
    <w:pPr>
      <w:keepNext/>
      <w:suppressAutoHyphens w:val="0"/>
      <w:spacing w:line="320" w:lineRule="exact"/>
      <w:outlineLvl w:val="1"/>
    </w:pPr>
    <w:rPr>
      <w:rFonts w:ascii="Arial Narrow" w:hAnsi="Arial Narrow"/>
      <w:b/>
      <w:spacing w:val="0"/>
      <w:w w:val="100"/>
      <w:kern w:val="0"/>
      <w:sz w:val="14"/>
      <w:lang w:val="es-ES_tradnl"/>
    </w:rPr>
  </w:style>
  <w:style w:type="paragraph" w:styleId="Heading3">
    <w:name w:val="heading 3"/>
    <w:basedOn w:val="Normal"/>
    <w:next w:val="Normal"/>
    <w:qFormat/>
    <w:pPr>
      <w:keepNext/>
      <w:suppressAutoHyphens w:val="0"/>
      <w:spacing w:line="240" w:lineRule="auto"/>
      <w:ind w:left="851"/>
      <w:jc w:val="center"/>
      <w:outlineLvl w:val="2"/>
    </w:pPr>
    <w:rPr>
      <w:rFonts w:ascii="Arial Narrow" w:hAnsi="Arial Narrow"/>
      <w:spacing w:val="0"/>
      <w:w w:val="100"/>
      <w:kern w:val="0"/>
      <w:sz w:val="24"/>
    </w:rPr>
  </w:style>
  <w:style w:type="paragraph" w:styleId="Heading4">
    <w:name w:val="heading 4"/>
    <w:basedOn w:val="Normal"/>
    <w:next w:val="Normal"/>
    <w:qFormat/>
    <w:pPr>
      <w:keepNext/>
      <w:suppressAutoHyphens w:val="0"/>
      <w:spacing w:line="240" w:lineRule="auto"/>
      <w:ind w:left="2694"/>
      <w:outlineLvl w:val="3"/>
    </w:pPr>
    <w:rPr>
      <w:rFonts w:ascii="Arial" w:hAnsi="Arial"/>
      <w:b/>
      <w:spacing w:val="0"/>
      <w:w w:val="100"/>
      <w:kern w:val="0"/>
      <w:sz w:val="16"/>
      <w:lang w:val="es-ES_tradnl"/>
    </w:rPr>
  </w:style>
  <w:style w:type="paragraph" w:styleId="Heading5">
    <w:name w:val="heading 5"/>
    <w:basedOn w:val="Normal"/>
    <w:next w:val="Normal"/>
    <w:qFormat/>
    <w:pPr>
      <w:keepNext/>
      <w:suppressAutoHyphens w:val="0"/>
      <w:spacing w:line="240" w:lineRule="auto"/>
      <w:ind w:left="1560" w:right="565"/>
      <w:outlineLvl w:val="4"/>
    </w:pPr>
    <w:rPr>
      <w:rFonts w:ascii="Arial" w:hAnsi="Arial"/>
      <w:b/>
      <w:spacing w:val="0"/>
      <w:w w:val="100"/>
      <w:kern w:val="0"/>
      <w:sz w:val="16"/>
      <w:lang w:val="es-ES_tradnl"/>
    </w:rPr>
  </w:style>
  <w:style w:type="paragraph" w:styleId="Heading6">
    <w:name w:val="heading 6"/>
    <w:basedOn w:val="Normal"/>
    <w:next w:val="Normal"/>
    <w:qFormat/>
    <w:pPr>
      <w:keepNext/>
      <w:suppressAutoHyphens w:val="0"/>
      <w:spacing w:line="240" w:lineRule="auto"/>
      <w:ind w:left="1134" w:right="565"/>
      <w:jc w:val="center"/>
      <w:outlineLvl w:val="5"/>
    </w:pPr>
    <w:rPr>
      <w:rFonts w:ascii="Arial" w:hAnsi="Arial"/>
      <w:b/>
      <w:spacing w:val="0"/>
      <w:w w:val="100"/>
      <w:kern w:val="0"/>
      <w:sz w:val="16"/>
      <w:lang w:val="es-ES_tradnl"/>
    </w:rPr>
  </w:style>
  <w:style w:type="paragraph" w:styleId="Heading7">
    <w:name w:val="heading 7"/>
    <w:basedOn w:val="Normal"/>
    <w:next w:val="Normal"/>
    <w:qFormat/>
    <w:pPr>
      <w:keepNext/>
      <w:suppressAutoHyphens w:val="0"/>
      <w:spacing w:line="240" w:lineRule="auto"/>
      <w:ind w:left="284" w:right="565"/>
      <w:jc w:val="center"/>
      <w:outlineLvl w:val="6"/>
    </w:pPr>
    <w:rPr>
      <w:rFonts w:ascii="Arial" w:hAnsi="Arial"/>
      <w:b/>
      <w:spacing w:val="0"/>
      <w:w w:val="100"/>
      <w:kern w:val="0"/>
      <w:sz w:val="22"/>
      <w:lang w:val="es-ES_tradnl"/>
    </w:rPr>
  </w:style>
  <w:style w:type="paragraph" w:styleId="Heading8">
    <w:name w:val="heading 8"/>
    <w:basedOn w:val="Normal"/>
    <w:next w:val="Normal"/>
    <w:qFormat/>
    <w:pPr>
      <w:keepNext/>
      <w:numPr>
        <w:ilvl w:val="7"/>
        <w:numId w:val="1495"/>
      </w:numPr>
      <w:tabs>
        <w:tab w:val="left" w:pos="5954"/>
      </w:tabs>
      <w:suppressAutoHyphens w:val="0"/>
      <w:spacing w:line="240" w:lineRule="auto"/>
      <w:ind w:right="565"/>
      <w:outlineLvl w:val="7"/>
    </w:pPr>
    <w:rPr>
      <w:rFonts w:ascii="Arial" w:hAnsi="Arial"/>
      <w:b/>
      <w:spacing w:val="0"/>
      <w:w w:val="100"/>
      <w:kern w:val="0"/>
      <w:sz w:val="16"/>
      <w:lang w:val="es-ES_tradnl"/>
    </w:rPr>
  </w:style>
  <w:style w:type="paragraph" w:styleId="Heading9">
    <w:name w:val="heading 9"/>
    <w:basedOn w:val="Normal"/>
    <w:next w:val="Normal"/>
    <w:qFormat/>
    <w:pPr>
      <w:keepNext/>
      <w:numPr>
        <w:ilvl w:val="8"/>
        <w:numId w:val="1495"/>
      </w:numPr>
      <w:suppressAutoHyphens w:val="0"/>
      <w:spacing w:line="240" w:lineRule="auto"/>
      <w:outlineLvl w:val="8"/>
    </w:pPr>
    <w:rPr>
      <w:rFonts w:ascii="Arial,Bold" w:hAnsi="Arial,Bold"/>
      <w:b/>
      <w:snapToGrid w:val="0"/>
      <w:spacing w:val="0"/>
      <w:w w:val="100"/>
      <w:kern w:val="0"/>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
      </w:numPr>
      <w:suppressAutoHyphens w:val="0"/>
      <w:spacing w:line="240" w:lineRule="auto"/>
    </w:pPr>
    <w:rPr>
      <w:vanish/>
      <w:spacing w:val="0"/>
      <w:w w:val="100"/>
      <w:kern w:val="0"/>
      <w:sz w:val="22"/>
      <w:u w:val="words"/>
    </w:rPr>
  </w:style>
  <w:style w:type="paragraph" w:styleId="BlockText">
    <w:name w:val="Block Text"/>
    <w:basedOn w:val="Normal"/>
    <w:semiHidden/>
    <w:pPr>
      <w:suppressAutoHyphens w:val="0"/>
      <w:spacing w:line="240" w:lineRule="auto"/>
      <w:ind w:left="284" w:right="565"/>
      <w:jc w:val="both"/>
    </w:pPr>
    <w:rPr>
      <w:rFonts w:ascii="Arial" w:hAnsi="Arial"/>
      <w:spacing w:val="0"/>
      <w:w w:val="100"/>
      <w:kern w:val="0"/>
      <w:sz w:val="22"/>
      <w:lang w:val="es-ES_tradnl"/>
    </w:rPr>
  </w:style>
  <w:style w:type="paragraph" w:styleId="BodyTextIndent">
    <w:name w:val="Body Text Indent"/>
    <w:basedOn w:val="Normal"/>
    <w:semiHidden/>
    <w:pPr>
      <w:suppressAutoHyphens w:val="0"/>
      <w:spacing w:line="240" w:lineRule="auto"/>
      <w:ind w:left="284"/>
      <w:jc w:val="both"/>
    </w:pPr>
    <w:rPr>
      <w:rFonts w:ascii="Arial" w:hAnsi="Arial"/>
      <w:spacing w:val="0"/>
      <w:w w:val="100"/>
      <w:kern w:val="0"/>
      <w:sz w:val="22"/>
      <w:lang w:val="es-ES_tradnl"/>
    </w:rPr>
  </w:style>
  <w:style w:type="paragraph" w:styleId="BodyText2">
    <w:name w:val="Body Text 2"/>
    <w:basedOn w:val="Normal"/>
    <w:semiHidden/>
    <w:pPr>
      <w:tabs>
        <w:tab w:val="left" w:pos="7230"/>
        <w:tab w:val="left" w:pos="9070"/>
      </w:tabs>
      <w:suppressAutoHyphens w:val="0"/>
      <w:spacing w:line="240" w:lineRule="auto"/>
      <w:ind w:right="-2"/>
    </w:pPr>
    <w:rPr>
      <w:rFonts w:ascii="Arial" w:hAnsi="Arial"/>
      <w:spacing w:val="0"/>
      <w:w w:val="100"/>
      <w:kern w:val="0"/>
      <w:sz w:val="22"/>
      <w:lang w:val="es-ES_tradnl"/>
    </w:rPr>
  </w:style>
  <w:style w:type="paragraph" w:styleId="BodyTextIndent3">
    <w:name w:val="Body Text Indent 3"/>
    <w:basedOn w:val="Normal"/>
    <w:semiHidden/>
    <w:pPr>
      <w:tabs>
        <w:tab w:val="left" w:pos="1276"/>
      </w:tabs>
      <w:suppressAutoHyphens w:val="0"/>
      <w:spacing w:line="240" w:lineRule="auto"/>
      <w:ind w:left="993"/>
    </w:pPr>
    <w:rPr>
      <w:rFonts w:ascii="Arial" w:hAnsi="Arial"/>
      <w:spacing w:val="0"/>
      <w:w w:val="100"/>
      <w:kern w:val="0"/>
      <w:sz w:val="18"/>
      <w:lang w:val="es-ES_tradnl"/>
    </w:rPr>
  </w:style>
  <w:style w:type="paragraph" w:styleId="BodyText3">
    <w:name w:val="Body Text 3"/>
    <w:basedOn w:val="Normal"/>
    <w:semiHidden/>
    <w:pPr>
      <w:suppressAutoHyphens w:val="0"/>
      <w:spacing w:line="240" w:lineRule="auto"/>
      <w:ind w:right="-567"/>
      <w:jc w:val="both"/>
    </w:pPr>
    <w:rPr>
      <w:rFonts w:ascii="Arial" w:hAnsi="Arial"/>
      <w:spacing w:val="0"/>
      <w:w w:val="100"/>
      <w:kern w:val="0"/>
      <w:sz w:val="22"/>
    </w:rPr>
  </w:style>
  <w:style w:type="paragraph" w:styleId="BodyText">
    <w:name w:val="Body Text"/>
    <w:basedOn w:val="Normal"/>
    <w:semiHidden/>
    <w:pPr>
      <w:suppressAutoHyphens w:val="0"/>
      <w:spacing w:line="240" w:lineRule="auto"/>
      <w:jc w:val="both"/>
    </w:pPr>
    <w:rPr>
      <w:rFonts w:ascii="Arial" w:hAnsi="Arial"/>
      <w:spacing w:val="0"/>
      <w:w w:val="100"/>
      <w:kern w:val="0"/>
      <w:sz w:val="22"/>
    </w:rPr>
  </w:style>
  <w:style w:type="paragraph" w:styleId="Caption">
    <w:name w:val="caption"/>
    <w:basedOn w:val="Normal"/>
    <w:next w:val="Normal"/>
    <w:qFormat/>
    <w:pPr>
      <w:suppressAutoHyphens w:val="0"/>
      <w:spacing w:line="240" w:lineRule="auto"/>
      <w:ind w:left="851" w:right="565"/>
      <w:jc w:val="both"/>
    </w:pPr>
    <w:rPr>
      <w:rFonts w:ascii="Arial" w:hAnsi="Arial"/>
      <w:b/>
      <w:spacing w:val="0"/>
      <w:w w:val="100"/>
      <w:kern w:val="0"/>
      <w:sz w:val="16"/>
      <w:lang w:val="es-ES_tradnl"/>
    </w:rPr>
  </w:style>
  <w:style w:type="paragraph" w:styleId="Title">
    <w:name w:val="Title"/>
    <w:basedOn w:val="Normal"/>
    <w:qFormat/>
    <w:pPr>
      <w:suppressAutoHyphens w:val="0"/>
      <w:spacing w:line="240" w:lineRule="auto"/>
      <w:jc w:val="center"/>
    </w:pPr>
    <w:rPr>
      <w:rFonts w:ascii="Arial" w:hAnsi="Arial"/>
      <w:b/>
      <w:spacing w:val="0"/>
      <w:w w:val="100"/>
      <w:kern w:val="0"/>
      <w:sz w:val="24"/>
      <w:u w:val="single"/>
      <w:lang w:val="es-ES_tradnl"/>
    </w:rPr>
  </w:style>
  <w:style w:type="paragraph" w:styleId="BodyTextIndent2">
    <w:name w:val="Body Text Indent 2"/>
    <w:basedOn w:val="Normal"/>
    <w:semiHidden/>
    <w:pPr>
      <w:suppressAutoHyphens w:val="0"/>
      <w:spacing w:line="240" w:lineRule="auto"/>
      <w:ind w:left="567"/>
    </w:pPr>
    <w:rPr>
      <w:rFonts w:ascii="Arial" w:hAnsi="Arial"/>
      <w:spacing w:val="0"/>
      <w:w w:val="100"/>
      <w:kern w:val="0"/>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7.xml"/><Relationship Id="rId39" Type="http://schemas.openxmlformats.org/officeDocument/2006/relationships/oleObject" Target="embeddings/Microsoft_Excel_97-2003_Worksheet3.xls"/><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image" Target="media/image6.png"/><Relationship Id="rId42" Type="http://schemas.openxmlformats.org/officeDocument/2006/relationships/hyperlink" Target="./evaluacion_plan_multisectorial1997_2000.pdf"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hyperlink" Target="http://www.e-empresarias.net" TargetMode="External"/><Relationship Id="rId38" Type="http://schemas.openxmlformats.org/officeDocument/2006/relationships/image" Target="media/image9.wmf"/><Relationship Id="rId46" Type="http://schemas.openxmlformats.org/officeDocument/2006/relationships/header" Target="header10.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footer" Target="footer5.xml"/><Relationship Id="rId29" Type="http://schemas.openxmlformats.org/officeDocument/2006/relationships/header" Target="header8.xml"/><Relationship Id="rId41" Type="http://schemas.openxmlformats.org/officeDocument/2006/relationships/oleObject" Target="embeddings/Microsoft_Excel_97-2003_Worksheet4.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2.bin"/><Relationship Id="rId32" Type="http://schemas.openxmlformats.org/officeDocument/2006/relationships/footer" Target="footer9.xml"/><Relationship Id="rId37" Type="http://schemas.openxmlformats.org/officeDocument/2006/relationships/oleObject" Target="embeddings/Microsoft_Excel_97-2003_Worksheet2.xls"/><Relationship Id="rId40" Type="http://schemas.openxmlformats.org/officeDocument/2006/relationships/image" Target="media/image10.wmf"/><Relationship Id="rId45"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oleObject" Target="embeddings/Microsoft_Excel_97-2003_Worksheet1.xls"/><Relationship Id="rId23" Type="http://schemas.openxmlformats.org/officeDocument/2006/relationships/image" Target="media/image5.png"/><Relationship Id="rId28" Type="http://schemas.openxmlformats.org/officeDocument/2006/relationships/footer" Target="footer7.xml"/><Relationship Id="rId36" Type="http://schemas.openxmlformats.org/officeDocument/2006/relationships/image" Target="media/image8.wmf"/><Relationship Id="rId49"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oter" Target="footer8.xml"/><Relationship Id="rId44" Type="http://schemas.openxmlformats.org/officeDocument/2006/relationships/hyperlink" Target="./indicadores/indicadores2001_2005.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oleObject" Target="embeddings/oleObject1.bin"/><Relationship Id="rId27" Type="http://schemas.openxmlformats.org/officeDocument/2006/relationships/footer" Target="footer6.xml"/><Relationship Id="rId30" Type="http://schemas.openxmlformats.org/officeDocument/2006/relationships/header" Target="header9.xml"/><Relationship Id="rId35" Type="http://schemas.openxmlformats.org/officeDocument/2006/relationships/image" Target="media/image7.png"/><Relationship Id="rId43" Type="http://schemas.openxmlformats.org/officeDocument/2006/relationships/hyperlink" Target="./pmultisectorial2001_2005/entradaplan.htm" TargetMode="External"/><Relationship Id="rId48" Type="http://schemas.openxmlformats.org/officeDocument/2006/relationships/footer" Target="footer10.xml"/><Relationship Id="rId8" Type="http://schemas.openxmlformats.org/officeDocument/2006/relationships/header" Target="header2.xml"/><Relationship Id="rId51"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406</TotalTime>
  <Pages>109</Pages>
  <Words>42408</Words>
  <Characters>241726</Characters>
  <Application>Microsoft Office Word</Application>
  <DocSecurity>4</DocSecurity>
  <Lines>2014</Lines>
  <Paragraphs>483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296856</CharactersWithSpaces>
  <SharedDoc>false</SharedDoc>
  <HLinks>
    <vt:vector size="30" baseType="variant">
      <vt:variant>
        <vt:i4>6357065</vt:i4>
      </vt:variant>
      <vt:variant>
        <vt:i4>9</vt:i4>
      </vt:variant>
      <vt:variant>
        <vt:i4>0</vt:i4>
      </vt:variant>
      <vt:variant>
        <vt:i4>5</vt:i4>
      </vt:variant>
      <vt:variant>
        <vt:lpwstr>indicadores/indicadores2001_2005.pdf</vt:lpwstr>
      </vt:variant>
      <vt:variant>
        <vt:lpwstr/>
      </vt:variant>
      <vt:variant>
        <vt:i4>2359316</vt:i4>
      </vt:variant>
      <vt:variant>
        <vt:i4>6</vt:i4>
      </vt:variant>
      <vt:variant>
        <vt:i4>0</vt:i4>
      </vt:variant>
      <vt:variant>
        <vt:i4>5</vt:i4>
      </vt:variant>
      <vt:variant>
        <vt:lpwstr>pmultisectorial2001_2005/entradaplan.htm</vt:lpwstr>
      </vt:variant>
      <vt:variant>
        <vt:lpwstr/>
      </vt:variant>
      <vt:variant>
        <vt:i4>983149</vt:i4>
      </vt:variant>
      <vt:variant>
        <vt:i4>3</vt:i4>
      </vt:variant>
      <vt:variant>
        <vt:i4>0</vt:i4>
      </vt:variant>
      <vt:variant>
        <vt:i4>5</vt:i4>
      </vt:variant>
      <vt:variant>
        <vt:lpwstr>evaluacion_plan_multisectorial1997_2000.pdf</vt:lpwstr>
      </vt:variant>
      <vt:variant>
        <vt:lpwstr/>
      </vt:variant>
      <vt:variant>
        <vt:i4>6225993</vt:i4>
      </vt:variant>
      <vt:variant>
        <vt:i4>0</vt:i4>
      </vt:variant>
      <vt:variant>
        <vt:i4>0</vt:i4>
      </vt:variant>
      <vt:variant>
        <vt:i4>5</vt:i4>
      </vt:variant>
      <vt:variant>
        <vt:lpwstr>http://www.e-empresarias.net/</vt:lpwstr>
      </vt:variant>
      <vt:variant>
        <vt:lpwstr/>
      </vt:variant>
      <vt:variant>
        <vt:i4>4522087</vt:i4>
      </vt:variant>
      <vt:variant>
        <vt:i4>298315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Amores, José</cp:lastModifiedBy>
  <cp:revision>52</cp:revision>
  <cp:lastPrinted>2003-08-28T14:49:00Z</cp:lastPrinted>
  <dcterms:created xsi:type="dcterms:W3CDTF">2003-08-27T08:38:00Z</dcterms:created>
  <dcterms:modified xsi:type="dcterms:W3CDTF">2003-08-28T14:50:00Z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0333030</vt:lpwstr>
  </property>
  <property fmtid="{D5CDD505-2E9C-101B-9397-08002B2CF9AE}" pid="3" name="Symbol1">
    <vt:lpwstr>CEDAW/C/ESP/5</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