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737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CRC/C/43/1</w:t>
              </w:r>
            </w:fldSimple>
          </w:p>
          <w:p w:rsidR="00000000" w:rsidRDefault="00000000">
            <w:fldSimple w:instr=" FILLIN &quot;Date&quot; \* MERGEFORMAT ">
              <w:r>
                <w:t>1 July 2006</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ON THE RIGHTS OF THE CHILD</w:t>
      </w:r>
      <w:r>
        <w:br/>
        <w:t>Forty-third session</w:t>
      </w:r>
      <w:r>
        <w:br/>
        <w:t>Geneva, 11-29 September 2006</w:t>
      </w:r>
    </w:p>
    <w:p w:rsidR="00000000" w:rsidRDefault="00000000">
      <w:pPr>
        <w:pStyle w:val="Heading1"/>
      </w:pPr>
      <w:r>
        <w:t>provisional agenda and annotations</w:t>
      </w:r>
    </w:p>
    <w:p w:rsidR="00000000" w:rsidRDefault="00000000">
      <w:pPr>
        <w:pStyle w:val="Heading2"/>
      </w:pPr>
      <w:r>
        <w:t>Note by the Secretary-General</w:t>
      </w:r>
    </w:p>
    <w:p w:rsidR="00000000" w:rsidRDefault="00000000">
      <w:r>
        <w:t>1.</w:t>
      </w:r>
      <w:r>
        <w:tab/>
        <w:t>The forty-third session of the Committee on the Rights of the Child will be held at the United Nations Office at Geneva from 11 to 29 September 2006.  The first meeting of the session will be convened on Monday, 11 September at 10 a.m.</w:t>
      </w:r>
    </w:p>
    <w:p w:rsidR="00000000" w:rsidRDefault="00000000">
      <w:r>
        <w:t>2.</w:t>
      </w:r>
      <w:r>
        <w:tab/>
        <w:t>In accordance with rule 6 of the provisional rules of procedure, the Secretary-General has prepared, in consultation with the Chairperson of the Committee, the attached provisional agenda for the forty-third session.  Annotations to the provisional agenda are also attached.</w:t>
      </w:r>
    </w:p>
    <w:p w:rsidR="00000000" w:rsidRDefault="00000000">
      <w:r>
        <w:t>3.</w:t>
      </w:r>
      <w:r>
        <w:tab/>
        <w:t>Pursuant to rule 32 of the provisional rules of procedure, the meetings of the Committee shall be held in public unless the Committee decides otherwise.</w:t>
      </w:r>
    </w:p>
    <w:p w:rsidR="00000000" w:rsidRDefault="00000000">
      <w:r>
        <w:t>4.</w:t>
      </w:r>
      <w:r>
        <w:tab/>
        <w:t>The attention of the States parties is drawn, in particular, to the annotations to item 4, containing the list of reports that will be before the Committee at its forty-third session.</w:t>
      </w:r>
    </w:p>
    <w:p w:rsidR="00000000" w:rsidRDefault="00000000">
      <w:pPr>
        <w:spacing w:after="2880"/>
      </w:pPr>
      <w:r>
        <w:t>5.</w:t>
      </w:r>
      <w:r>
        <w:tab/>
        <w:t>A pre-sessional working group, established in accordance with rule 63 of the provisional rules of procedure, met at the United Nations Office at Geneva from 6 to 9 June 2006.</w:t>
      </w:r>
    </w:p>
    <w:p w:rsidR="00000000" w:rsidRDefault="00000000">
      <w:r>
        <w:t>GE.06-43047  (E)    190706</w:t>
      </w:r>
    </w:p>
    <w:p w:rsidR="00000000" w:rsidRDefault="00000000">
      <w:pPr>
        <w:pStyle w:val="Heading2"/>
      </w:pPr>
      <w:r>
        <w:t>Provisional agenda</w:t>
      </w:r>
    </w:p>
    <w:p w:rsidR="00000000" w:rsidRDefault="00000000">
      <w:r>
        <w:t>1.</w:t>
      </w:r>
      <w:r>
        <w:tab/>
        <w:t>Adoption of the agenda.</w:t>
      </w:r>
    </w:p>
    <w:p w:rsidR="00000000" w:rsidRDefault="00000000">
      <w:r>
        <w:t>2.</w:t>
      </w:r>
      <w:r>
        <w:tab/>
        <w:t>Organizational matters.</w:t>
      </w:r>
    </w:p>
    <w:p w:rsidR="00000000" w:rsidRDefault="00000000">
      <w:r>
        <w:t>3.</w:t>
      </w:r>
      <w:r>
        <w:tab/>
        <w:t>Submission of reports by States parties.</w:t>
      </w:r>
    </w:p>
    <w:p w:rsidR="00000000" w:rsidRDefault="00000000">
      <w:r>
        <w:t>4.</w:t>
      </w:r>
      <w:r>
        <w:tab/>
        <w:t>Consideration of reports of States parties.</w:t>
      </w:r>
    </w:p>
    <w:p w:rsidR="00000000" w:rsidRDefault="00000000">
      <w:pPr>
        <w:ind w:left="720" w:hanging="720"/>
      </w:pPr>
      <w:r>
        <w:t>5.</w:t>
      </w:r>
      <w:r>
        <w:tab/>
        <w:t>Cooperation with other United Nations bodies, specialized agencies and other competent bodies.</w:t>
      </w:r>
    </w:p>
    <w:p w:rsidR="00000000" w:rsidRDefault="00000000">
      <w:r>
        <w:t>6.</w:t>
      </w:r>
      <w:r>
        <w:tab/>
        <w:t>Methods of work of the Committee.</w:t>
      </w:r>
    </w:p>
    <w:p w:rsidR="00000000" w:rsidRDefault="00000000">
      <w:r>
        <w:t>7.</w:t>
      </w:r>
      <w:r>
        <w:tab/>
        <w:t>Day of general discussion.</w:t>
      </w:r>
    </w:p>
    <w:p w:rsidR="00000000" w:rsidRDefault="00000000">
      <w:r>
        <w:t>8.</w:t>
      </w:r>
      <w:r>
        <w:tab/>
        <w:t>General comments.</w:t>
      </w:r>
    </w:p>
    <w:p w:rsidR="00000000" w:rsidRDefault="00000000">
      <w:r>
        <w:t>9.</w:t>
      </w:r>
      <w:r>
        <w:tab/>
        <w:t>Future meetings.</w:t>
      </w:r>
    </w:p>
    <w:p w:rsidR="00000000" w:rsidRDefault="00000000">
      <w:r>
        <w:t>10.</w:t>
      </w:r>
      <w:r>
        <w:tab/>
        <w:t>Other matters.</w:t>
      </w:r>
    </w:p>
    <w:p w:rsidR="00000000" w:rsidRDefault="00000000">
      <w:pPr>
        <w:pStyle w:val="Heading2"/>
      </w:pPr>
      <w:r>
        <w:br w:type="page"/>
        <w:t>Annotations</w:t>
      </w:r>
    </w:p>
    <w:p w:rsidR="00000000" w:rsidRDefault="00000000">
      <w:pPr>
        <w:pStyle w:val="Heading2"/>
      </w:pPr>
      <w:r>
        <w:t>Item 1.  Adoption of the agenda</w:t>
      </w:r>
    </w:p>
    <w:p w:rsidR="00000000" w:rsidRDefault="00000000">
      <w:r>
        <w:t>1.</w:t>
      </w:r>
      <w:r>
        <w:tab/>
        <w:t>Under rule 8 of the provisional rules of procedure, the first item on the provisional agenda shall be the adoption of the agenda, except for the election of officers when required under rule 16.  In accordance with rule 9 of the provisional rules of procedure, the Committee may revise the agenda and may, as appropriate, add, defer or delete items.  Only urgent or important items may be added to the agenda.</w:t>
      </w:r>
    </w:p>
    <w:p w:rsidR="00000000" w:rsidRDefault="00000000">
      <w:pPr>
        <w:pStyle w:val="Heading2"/>
      </w:pPr>
      <w:r>
        <w:t>Item 2.  Organizational matters</w:t>
      </w:r>
    </w:p>
    <w:p w:rsidR="00000000" w:rsidRDefault="00000000">
      <w:r>
        <w:t>2.</w:t>
      </w:r>
      <w:r>
        <w:tab/>
        <w:t>Under this item, the Committee may wish to consider its programme of work for the session, as well as any other matter concerning the modalities of discharging its functions under the Convention.</w:t>
      </w:r>
    </w:p>
    <w:p w:rsidR="00000000" w:rsidRDefault="00000000">
      <w:pPr>
        <w:pStyle w:val="Heading2"/>
      </w:pPr>
      <w:r>
        <w:t>Item 3.  Submission of reports by States parties</w:t>
      </w:r>
    </w:p>
    <w:p w:rsidR="00000000" w:rsidRDefault="00000000">
      <w:pPr>
        <w:pStyle w:val="Heading2"/>
      </w:pPr>
      <w:r>
        <w:t>Reports received</w:t>
      </w:r>
    </w:p>
    <w:p w:rsidR="00000000" w:rsidRDefault="00000000">
      <w:r>
        <w:t>3.</w:t>
      </w:r>
      <w:r>
        <w:tab/>
        <w:t>In addition to the reports which are scheduled for consideration by the Committee at its forty-third session (see the timetable for consideration of reports under item 4 below), and reports included in the provisional agenda for the forty-second session, document CRC/C/42/1, the Secretary-General has received the following reports under the Convention’s Optional Protocols, in addition to those scheduled for consideration at the forty-third session.</w:t>
      </w:r>
    </w:p>
    <w:p w:rsidR="00000000" w:rsidRDefault="00000000">
      <w:pPr>
        <w:pStyle w:val="Heading2"/>
      </w:pPr>
      <w:r>
        <w:t>Optional Protocol to the Convention on the involvement</w:t>
      </w:r>
      <w:r>
        <w:br/>
        <w:t>of children in armed conflict</w:t>
      </w:r>
    </w:p>
    <w:tbl>
      <w:tblPr>
        <w:tblW w:w="0" w:type="auto"/>
        <w:tblInd w:w="57" w:type="dxa"/>
        <w:tblCellMar>
          <w:left w:w="57" w:type="dxa"/>
        </w:tblCellMar>
        <w:tblLook w:val="01E0" w:firstRow="1" w:lastRow="1" w:firstColumn="1" w:lastColumn="1" w:noHBand="0" w:noVBand="0"/>
      </w:tblPr>
      <w:tblGrid>
        <w:gridCol w:w="3111"/>
        <w:gridCol w:w="3169"/>
        <w:gridCol w:w="3076"/>
      </w:tblGrid>
      <w:tr w:rsidR="00000000">
        <w:trPr>
          <w:tblHeader/>
        </w:trPr>
        <w:tc>
          <w:tcPr>
            <w:tcW w:w="3111" w:type="dxa"/>
          </w:tcPr>
          <w:p w:rsidR="00000000" w:rsidRDefault="00000000">
            <w:pPr>
              <w:rPr>
                <w:u w:val="single"/>
              </w:rPr>
            </w:pPr>
            <w:r>
              <w:rPr>
                <w:u w:val="single"/>
              </w:rPr>
              <w:t>State party</w:t>
            </w:r>
          </w:p>
        </w:tc>
        <w:tc>
          <w:tcPr>
            <w:tcW w:w="3169" w:type="dxa"/>
          </w:tcPr>
          <w:p w:rsidR="00000000" w:rsidRDefault="00000000">
            <w:pPr>
              <w:rPr>
                <w:u w:val="single"/>
              </w:rPr>
            </w:pPr>
            <w:r>
              <w:rPr>
                <w:u w:val="single"/>
              </w:rPr>
              <w:t>Due in</w:t>
            </w:r>
          </w:p>
        </w:tc>
        <w:tc>
          <w:tcPr>
            <w:tcW w:w="3076" w:type="dxa"/>
          </w:tcPr>
          <w:p w:rsidR="00000000" w:rsidRDefault="00000000">
            <w:pPr>
              <w:rPr>
                <w:u w:val="single"/>
              </w:rPr>
            </w:pPr>
            <w:r>
              <w:rPr>
                <w:u w:val="single"/>
              </w:rPr>
              <w:t>Symbol</w:t>
            </w:r>
          </w:p>
        </w:tc>
      </w:tr>
      <w:tr w:rsidR="00000000">
        <w:tc>
          <w:tcPr>
            <w:tcW w:w="3111" w:type="dxa"/>
          </w:tcPr>
          <w:p w:rsidR="00000000" w:rsidRDefault="00000000">
            <w:pPr>
              <w:spacing w:after="0"/>
            </w:pPr>
            <w:r>
              <w:t>Qatar</w:t>
            </w:r>
          </w:p>
        </w:tc>
        <w:tc>
          <w:tcPr>
            <w:tcW w:w="3169" w:type="dxa"/>
          </w:tcPr>
          <w:p w:rsidR="00000000" w:rsidRDefault="00000000">
            <w:pPr>
              <w:spacing w:after="0"/>
            </w:pPr>
            <w:r>
              <w:t>August 2004</w:t>
            </w:r>
          </w:p>
        </w:tc>
        <w:tc>
          <w:tcPr>
            <w:tcW w:w="3076" w:type="dxa"/>
          </w:tcPr>
          <w:p w:rsidR="00000000" w:rsidRDefault="00000000">
            <w:pPr>
              <w:spacing w:after="0"/>
            </w:pPr>
            <w:r>
              <w:t>CRC/C/OPAC/QAT/1</w:t>
            </w:r>
          </w:p>
        </w:tc>
      </w:tr>
      <w:tr w:rsidR="00000000">
        <w:tc>
          <w:tcPr>
            <w:tcW w:w="3111" w:type="dxa"/>
          </w:tcPr>
          <w:p w:rsidR="00000000" w:rsidRDefault="00000000">
            <w:pPr>
              <w:spacing w:after="0"/>
            </w:pPr>
            <w:r>
              <w:t>Guatemala</w:t>
            </w:r>
          </w:p>
        </w:tc>
        <w:tc>
          <w:tcPr>
            <w:tcW w:w="3169" w:type="dxa"/>
          </w:tcPr>
          <w:p w:rsidR="00000000" w:rsidRDefault="00000000">
            <w:pPr>
              <w:spacing w:after="0"/>
            </w:pPr>
            <w:r>
              <w:t>June 2004</w:t>
            </w:r>
          </w:p>
        </w:tc>
        <w:tc>
          <w:tcPr>
            <w:tcW w:w="3076" w:type="dxa"/>
          </w:tcPr>
          <w:p w:rsidR="00000000" w:rsidRDefault="00000000">
            <w:pPr>
              <w:spacing w:after="0"/>
            </w:pPr>
            <w:r>
              <w:t>CRC/C/OPAC/GTM/1</w:t>
            </w:r>
          </w:p>
        </w:tc>
      </w:tr>
      <w:tr w:rsidR="00000000">
        <w:tc>
          <w:tcPr>
            <w:tcW w:w="3111" w:type="dxa"/>
          </w:tcPr>
          <w:p w:rsidR="00000000" w:rsidRDefault="00000000">
            <w:pPr>
              <w:pStyle w:val="Header"/>
              <w:tabs>
                <w:tab w:val="clear" w:pos="4320"/>
                <w:tab w:val="clear" w:pos="8640"/>
              </w:tabs>
              <w:spacing w:after="0"/>
            </w:pPr>
            <w:r>
              <w:t>Lithuania</w:t>
            </w:r>
          </w:p>
        </w:tc>
        <w:tc>
          <w:tcPr>
            <w:tcW w:w="3169" w:type="dxa"/>
          </w:tcPr>
          <w:p w:rsidR="00000000" w:rsidRDefault="00000000">
            <w:pPr>
              <w:spacing w:after="0"/>
            </w:pPr>
            <w:r>
              <w:t>March 2005</w:t>
            </w:r>
          </w:p>
        </w:tc>
        <w:tc>
          <w:tcPr>
            <w:tcW w:w="3076" w:type="dxa"/>
          </w:tcPr>
          <w:p w:rsidR="00000000" w:rsidRDefault="00000000">
            <w:pPr>
              <w:spacing w:after="0"/>
            </w:pPr>
            <w:r>
              <w:t>CRC/C/OPAC/LTU/1</w:t>
            </w:r>
          </w:p>
        </w:tc>
      </w:tr>
    </w:tbl>
    <w:p w:rsidR="00000000" w:rsidRDefault="00000000">
      <w:pPr>
        <w:pStyle w:val="Heading2"/>
        <w:spacing w:before="240"/>
      </w:pPr>
      <w:r>
        <w:t>Optional Protocol to the Convention on the sale of children,</w:t>
      </w:r>
      <w:r>
        <w:br/>
        <w:t>child prostitution and child pornography</w:t>
      </w:r>
    </w:p>
    <w:tbl>
      <w:tblPr>
        <w:tblW w:w="0" w:type="auto"/>
        <w:tblInd w:w="108" w:type="dxa"/>
        <w:tblLook w:val="01E0" w:firstRow="1" w:lastRow="1" w:firstColumn="1" w:lastColumn="1" w:noHBand="0" w:noVBand="0"/>
      </w:tblPr>
      <w:tblGrid>
        <w:gridCol w:w="3071"/>
        <w:gridCol w:w="3179"/>
        <w:gridCol w:w="3106"/>
      </w:tblGrid>
      <w:tr w:rsidR="00000000">
        <w:trPr>
          <w:tblHeader/>
        </w:trPr>
        <w:tc>
          <w:tcPr>
            <w:tcW w:w="3071" w:type="dxa"/>
          </w:tcPr>
          <w:p w:rsidR="00000000" w:rsidRDefault="00000000">
            <w:pPr>
              <w:rPr>
                <w:u w:val="single"/>
              </w:rPr>
            </w:pPr>
            <w:r>
              <w:rPr>
                <w:u w:val="single"/>
              </w:rPr>
              <w:t>State party</w:t>
            </w:r>
          </w:p>
        </w:tc>
        <w:tc>
          <w:tcPr>
            <w:tcW w:w="3179" w:type="dxa"/>
          </w:tcPr>
          <w:p w:rsidR="00000000" w:rsidRDefault="00000000">
            <w:pPr>
              <w:rPr>
                <w:u w:val="single"/>
              </w:rPr>
            </w:pPr>
            <w:r>
              <w:rPr>
                <w:u w:val="single"/>
              </w:rPr>
              <w:t>Due in</w:t>
            </w:r>
          </w:p>
        </w:tc>
        <w:tc>
          <w:tcPr>
            <w:tcW w:w="3106" w:type="dxa"/>
          </w:tcPr>
          <w:p w:rsidR="00000000" w:rsidRDefault="00000000">
            <w:pPr>
              <w:rPr>
                <w:u w:val="single"/>
              </w:rPr>
            </w:pPr>
            <w:r>
              <w:rPr>
                <w:u w:val="single"/>
              </w:rPr>
              <w:t>Symbol</w:t>
            </w:r>
          </w:p>
        </w:tc>
      </w:tr>
      <w:tr w:rsidR="00000000">
        <w:trPr>
          <w:trHeight w:val="273"/>
        </w:trPr>
        <w:tc>
          <w:tcPr>
            <w:tcW w:w="3071" w:type="dxa"/>
          </w:tcPr>
          <w:p w:rsidR="00000000" w:rsidRDefault="00000000">
            <w:pPr>
              <w:spacing w:after="0"/>
            </w:pPr>
            <w:r>
              <w:t xml:space="preserve">Ukraine </w:t>
            </w:r>
          </w:p>
        </w:tc>
        <w:tc>
          <w:tcPr>
            <w:tcW w:w="3179" w:type="dxa"/>
          </w:tcPr>
          <w:p w:rsidR="00000000" w:rsidRDefault="00000000">
            <w:pPr>
              <w:spacing w:after="0"/>
            </w:pPr>
            <w:r>
              <w:t>August 2005</w:t>
            </w:r>
          </w:p>
        </w:tc>
        <w:tc>
          <w:tcPr>
            <w:tcW w:w="3106" w:type="dxa"/>
          </w:tcPr>
          <w:p w:rsidR="00000000" w:rsidRDefault="00000000">
            <w:pPr>
              <w:spacing w:after="0"/>
            </w:pPr>
            <w:r>
              <w:t>CRC/C/OPSC/UKR/1</w:t>
            </w:r>
          </w:p>
        </w:tc>
      </w:tr>
      <w:tr w:rsidR="00000000">
        <w:trPr>
          <w:trHeight w:val="273"/>
        </w:trPr>
        <w:tc>
          <w:tcPr>
            <w:tcW w:w="3071" w:type="dxa"/>
          </w:tcPr>
          <w:p w:rsidR="00000000" w:rsidRDefault="00000000">
            <w:pPr>
              <w:spacing w:after="0"/>
            </w:pPr>
            <w:r>
              <w:t xml:space="preserve">Guatemala </w:t>
            </w:r>
          </w:p>
        </w:tc>
        <w:tc>
          <w:tcPr>
            <w:tcW w:w="3179" w:type="dxa"/>
          </w:tcPr>
          <w:p w:rsidR="00000000" w:rsidRDefault="00000000">
            <w:pPr>
              <w:spacing w:after="0"/>
            </w:pPr>
            <w:r>
              <w:t>June 2004</w:t>
            </w:r>
          </w:p>
        </w:tc>
        <w:tc>
          <w:tcPr>
            <w:tcW w:w="3106" w:type="dxa"/>
          </w:tcPr>
          <w:p w:rsidR="00000000" w:rsidRDefault="00000000">
            <w:pPr>
              <w:pStyle w:val="Header"/>
              <w:tabs>
                <w:tab w:val="clear" w:pos="4320"/>
                <w:tab w:val="clear" w:pos="8640"/>
              </w:tabs>
              <w:spacing w:after="0"/>
            </w:pPr>
            <w:r>
              <w:t>CRC/C/OPSC/GTM/1</w:t>
            </w:r>
          </w:p>
        </w:tc>
      </w:tr>
    </w:tbl>
    <w:p w:rsidR="00000000" w:rsidRDefault="00000000">
      <w:pPr>
        <w:pStyle w:val="Heading2"/>
        <w:spacing w:before="240"/>
      </w:pPr>
      <w:r>
        <w:t>Overdue reports due</w:t>
      </w:r>
    </w:p>
    <w:p w:rsidR="00000000" w:rsidRDefault="00000000">
      <w:r>
        <w:t>4.</w:t>
      </w:r>
      <w:r>
        <w:tab/>
        <w:t xml:space="preserve">Under rule 67 of the provisional rules of procedure, the Secretary-General is required to notify the Committee at each session of all cases of non-submission of reports.  The full list of initial and periodic reports due under the Convention and the initial reports due under the </w:t>
      </w:r>
      <w:r>
        <w:br w:type="page"/>
        <w:t>Optional Protocols can be found in the document on the status of submission of reports (CRC/C/43/2).  This document also indicates exceptional measures granted by the Committee to States parties that are encountering problems in complying with the strict time frame for submission of reports established by the Convention in article 44, paragraph 1, or the consideration of whose reports has been delayed.  These recommendations apply as exceptional measures taken for one time only.</w:t>
      </w:r>
    </w:p>
    <w:p w:rsidR="00000000" w:rsidRDefault="00000000">
      <w:pPr>
        <w:pStyle w:val="Heading2"/>
      </w:pPr>
      <w:r>
        <w:t>Item 4.  Consideration of reports of States parties</w:t>
      </w:r>
    </w:p>
    <w:p w:rsidR="00000000" w:rsidRDefault="00000000">
      <w:r>
        <w:t>5.</w:t>
      </w:r>
      <w:r>
        <w:tab/>
        <w:t>A tentative timetable for consideration of reports at the forty-third session, prepared by the Secretary-General in consultation with the Chairperson and subject to approval by the Committee, is given below.</w:t>
      </w:r>
    </w:p>
    <w:p w:rsidR="00000000" w:rsidRDefault="00000000">
      <w:pPr>
        <w:pStyle w:val="Heading2"/>
      </w:pPr>
      <w:r>
        <w:t>Tentative timetable for consideration of reports of States parties</w:t>
      </w:r>
    </w:p>
    <w:tbl>
      <w:tblPr>
        <w:tblW w:w="0" w:type="auto"/>
        <w:tblInd w:w="108" w:type="dxa"/>
        <w:tblLook w:val="0000" w:firstRow="0" w:lastRow="0" w:firstColumn="0" w:lastColumn="0" w:noHBand="0" w:noVBand="0"/>
      </w:tblPr>
      <w:tblGrid>
        <w:gridCol w:w="3360"/>
        <w:gridCol w:w="1035"/>
        <w:gridCol w:w="992"/>
        <w:gridCol w:w="2173"/>
        <w:gridCol w:w="1796"/>
      </w:tblGrid>
      <w:tr w:rsidR="00000000">
        <w:tblPrEx>
          <w:tblCellMar>
            <w:top w:w="0" w:type="dxa"/>
            <w:bottom w:w="0" w:type="dxa"/>
          </w:tblCellMar>
        </w:tblPrEx>
        <w:tc>
          <w:tcPr>
            <w:tcW w:w="3360" w:type="dxa"/>
          </w:tcPr>
          <w:p w:rsidR="00000000" w:rsidRDefault="00000000">
            <w:pPr>
              <w:rPr>
                <w:u w:val="single"/>
              </w:rPr>
            </w:pPr>
            <w:r>
              <w:rPr>
                <w:u w:val="single"/>
              </w:rPr>
              <w:t>Date</w:t>
            </w:r>
          </w:p>
        </w:tc>
        <w:tc>
          <w:tcPr>
            <w:tcW w:w="1035" w:type="dxa"/>
          </w:tcPr>
          <w:p w:rsidR="00000000" w:rsidRDefault="00000000">
            <w:pPr>
              <w:rPr>
                <w:u w:val="single"/>
              </w:rPr>
            </w:pPr>
            <w:r>
              <w:t xml:space="preserve">  </w:t>
            </w:r>
            <w:r>
              <w:rPr>
                <w:u w:val="single"/>
              </w:rPr>
              <w:t>Time</w:t>
            </w:r>
          </w:p>
        </w:tc>
        <w:tc>
          <w:tcPr>
            <w:tcW w:w="992" w:type="dxa"/>
          </w:tcPr>
          <w:p w:rsidR="00000000" w:rsidRDefault="00000000">
            <w:pPr>
              <w:jc w:val="center"/>
              <w:rPr>
                <w:u w:val="single"/>
              </w:rPr>
            </w:pPr>
            <w:r>
              <w:rPr>
                <w:u w:val="single"/>
              </w:rPr>
              <w:t>Agenda item</w:t>
            </w:r>
          </w:p>
        </w:tc>
        <w:tc>
          <w:tcPr>
            <w:tcW w:w="2173" w:type="dxa"/>
          </w:tcPr>
          <w:p w:rsidR="00000000" w:rsidRDefault="00000000">
            <w:pPr>
              <w:rPr>
                <w:u w:val="single"/>
              </w:rPr>
            </w:pPr>
            <w:r>
              <w:rPr>
                <w:u w:val="single"/>
              </w:rPr>
              <w:t>Chamber A</w:t>
            </w:r>
          </w:p>
        </w:tc>
        <w:tc>
          <w:tcPr>
            <w:tcW w:w="1796" w:type="dxa"/>
          </w:tcPr>
          <w:p w:rsidR="00000000" w:rsidRDefault="00000000">
            <w:pPr>
              <w:rPr>
                <w:u w:val="single"/>
              </w:rPr>
            </w:pPr>
            <w:r>
              <w:rPr>
                <w:u w:val="single"/>
              </w:rPr>
              <w:t>Chamber B</w:t>
            </w:r>
          </w:p>
        </w:tc>
      </w:tr>
      <w:tr w:rsidR="00000000">
        <w:tblPrEx>
          <w:tblCellMar>
            <w:top w:w="0" w:type="dxa"/>
            <w:bottom w:w="0" w:type="dxa"/>
          </w:tblCellMar>
        </w:tblPrEx>
        <w:tc>
          <w:tcPr>
            <w:tcW w:w="3360" w:type="dxa"/>
          </w:tcPr>
          <w:p w:rsidR="00000000" w:rsidRDefault="00000000">
            <w:r>
              <w:t>Monday, 11 September 2006</w:t>
            </w:r>
          </w:p>
        </w:tc>
        <w:tc>
          <w:tcPr>
            <w:tcW w:w="1035" w:type="dxa"/>
          </w:tcPr>
          <w:p w:rsidR="00000000" w:rsidRDefault="00000000">
            <w:pPr>
              <w:pStyle w:val="FootnoteText"/>
            </w:pPr>
            <w:r>
              <w:t xml:space="preserve">  3 p.m.</w:t>
            </w:r>
          </w:p>
        </w:tc>
        <w:tc>
          <w:tcPr>
            <w:tcW w:w="992" w:type="dxa"/>
          </w:tcPr>
          <w:p w:rsidR="00000000" w:rsidRDefault="00000000">
            <w:pPr>
              <w:jc w:val="center"/>
            </w:pPr>
            <w:r>
              <w:t>4</w:t>
            </w:r>
          </w:p>
        </w:tc>
        <w:tc>
          <w:tcPr>
            <w:tcW w:w="2173" w:type="dxa"/>
          </w:tcPr>
          <w:p w:rsidR="00000000" w:rsidRDefault="00000000">
            <w:r>
              <w:t>Kazakhstan OPAC</w:t>
            </w:r>
          </w:p>
        </w:tc>
        <w:tc>
          <w:tcPr>
            <w:tcW w:w="1796" w:type="dxa"/>
          </w:tcPr>
          <w:p w:rsidR="00000000" w:rsidRDefault="00000000">
            <w:r>
              <w:t>Malta OPAC</w:t>
            </w:r>
          </w:p>
        </w:tc>
      </w:tr>
      <w:tr w:rsidR="00000000">
        <w:tblPrEx>
          <w:tblCellMar>
            <w:top w:w="0" w:type="dxa"/>
            <w:bottom w:w="0" w:type="dxa"/>
          </w:tblCellMar>
        </w:tblPrEx>
        <w:tc>
          <w:tcPr>
            <w:tcW w:w="3360" w:type="dxa"/>
          </w:tcPr>
          <w:p w:rsidR="00000000" w:rsidRDefault="00000000">
            <w:pPr>
              <w:spacing w:after="0"/>
            </w:pPr>
            <w:r>
              <w:t>Tuesday, 12 September 2006</w:t>
            </w:r>
          </w:p>
        </w:tc>
        <w:tc>
          <w:tcPr>
            <w:tcW w:w="1035" w:type="dxa"/>
          </w:tcPr>
          <w:p w:rsidR="00000000" w:rsidRDefault="00000000">
            <w:pPr>
              <w:spacing w:after="0"/>
            </w:pPr>
            <w:r>
              <w:t>10 a.m.</w:t>
            </w:r>
          </w:p>
        </w:tc>
        <w:tc>
          <w:tcPr>
            <w:tcW w:w="992" w:type="dxa"/>
          </w:tcPr>
          <w:p w:rsidR="00000000" w:rsidRDefault="00000000">
            <w:pPr>
              <w:spacing w:after="0"/>
              <w:jc w:val="center"/>
            </w:pPr>
            <w:r>
              <w:t>4</w:t>
            </w:r>
          </w:p>
        </w:tc>
        <w:tc>
          <w:tcPr>
            <w:tcW w:w="2173" w:type="dxa"/>
          </w:tcPr>
          <w:p w:rsidR="00000000" w:rsidRDefault="00000000">
            <w:pPr>
              <w:spacing w:after="0"/>
            </w:pPr>
            <w:r>
              <w:t>Samoa</w:t>
            </w:r>
          </w:p>
        </w:tc>
        <w:tc>
          <w:tcPr>
            <w:tcW w:w="1796" w:type="dxa"/>
          </w:tcPr>
          <w:p w:rsidR="00000000" w:rsidRDefault="00000000">
            <w:pPr>
              <w:spacing w:after="0"/>
            </w:pPr>
            <w:r>
              <w:t>Ethiopia third</w:t>
            </w:r>
          </w:p>
        </w:tc>
      </w:tr>
      <w:tr w:rsidR="00000000">
        <w:tblPrEx>
          <w:tblCellMar>
            <w:top w:w="0" w:type="dxa"/>
            <w:bottom w:w="0" w:type="dxa"/>
          </w:tblCellMar>
        </w:tblPrEx>
        <w:tc>
          <w:tcPr>
            <w:tcW w:w="3360" w:type="dxa"/>
          </w:tcPr>
          <w:p w:rsidR="00000000" w:rsidRDefault="00000000">
            <w:pPr>
              <w:pStyle w:val="FootnoteText"/>
            </w:pPr>
          </w:p>
        </w:tc>
        <w:tc>
          <w:tcPr>
            <w:tcW w:w="1035" w:type="dxa"/>
          </w:tcPr>
          <w:p w:rsidR="00000000" w:rsidRDefault="00000000">
            <w:pPr>
              <w:pStyle w:val="FootnoteText"/>
            </w:pPr>
            <w:r>
              <w:t xml:space="preserve">  3 p.m.</w:t>
            </w:r>
          </w:p>
        </w:tc>
        <w:tc>
          <w:tcPr>
            <w:tcW w:w="992" w:type="dxa"/>
          </w:tcPr>
          <w:p w:rsidR="00000000" w:rsidRDefault="00000000">
            <w:pPr>
              <w:jc w:val="center"/>
            </w:pPr>
            <w:r>
              <w:t>4</w:t>
            </w:r>
          </w:p>
        </w:tc>
        <w:tc>
          <w:tcPr>
            <w:tcW w:w="2173" w:type="dxa"/>
          </w:tcPr>
          <w:p w:rsidR="00000000" w:rsidRDefault="00000000">
            <w:r>
              <w:t>Samoa</w:t>
            </w:r>
          </w:p>
        </w:tc>
        <w:tc>
          <w:tcPr>
            <w:tcW w:w="1796" w:type="dxa"/>
          </w:tcPr>
          <w:p w:rsidR="00000000" w:rsidRDefault="00000000">
            <w:r>
              <w:t>Ethiopia third</w:t>
            </w:r>
          </w:p>
        </w:tc>
      </w:tr>
      <w:tr w:rsidR="00000000">
        <w:tblPrEx>
          <w:tblCellMar>
            <w:top w:w="0" w:type="dxa"/>
            <w:bottom w:w="0" w:type="dxa"/>
          </w:tblCellMar>
        </w:tblPrEx>
        <w:tc>
          <w:tcPr>
            <w:tcW w:w="3360" w:type="dxa"/>
          </w:tcPr>
          <w:p w:rsidR="00000000" w:rsidRDefault="00000000">
            <w:pPr>
              <w:pStyle w:val="Header"/>
              <w:tabs>
                <w:tab w:val="clear" w:pos="4320"/>
                <w:tab w:val="clear" w:pos="8640"/>
              </w:tabs>
              <w:spacing w:after="0"/>
            </w:pPr>
            <w:r>
              <w:t>Wednesday, 13 September 2006</w:t>
            </w:r>
          </w:p>
        </w:tc>
        <w:tc>
          <w:tcPr>
            <w:tcW w:w="1035" w:type="dxa"/>
          </w:tcPr>
          <w:p w:rsidR="00000000" w:rsidRDefault="00000000">
            <w:pPr>
              <w:spacing w:after="0"/>
            </w:pPr>
            <w:r>
              <w:t>10 a.m.</w:t>
            </w:r>
          </w:p>
        </w:tc>
        <w:tc>
          <w:tcPr>
            <w:tcW w:w="992" w:type="dxa"/>
          </w:tcPr>
          <w:p w:rsidR="00000000" w:rsidRDefault="00000000">
            <w:pPr>
              <w:spacing w:after="0"/>
              <w:jc w:val="center"/>
            </w:pPr>
            <w:r>
              <w:t>4</w:t>
            </w:r>
          </w:p>
        </w:tc>
        <w:tc>
          <w:tcPr>
            <w:tcW w:w="2173" w:type="dxa"/>
          </w:tcPr>
          <w:p w:rsidR="00000000" w:rsidRDefault="00000000">
            <w:pPr>
              <w:spacing w:after="0"/>
            </w:pPr>
            <w:r>
              <w:t>Oman second</w:t>
            </w:r>
          </w:p>
        </w:tc>
        <w:tc>
          <w:tcPr>
            <w:tcW w:w="1796" w:type="dxa"/>
          </w:tcPr>
          <w:p w:rsidR="00000000" w:rsidRDefault="00000000">
            <w:pPr>
              <w:spacing w:after="0"/>
            </w:pPr>
            <w:r>
              <w:t xml:space="preserve">Kiribati </w:t>
            </w:r>
          </w:p>
        </w:tc>
      </w:tr>
      <w:tr w:rsidR="00000000">
        <w:tblPrEx>
          <w:tblCellMar>
            <w:top w:w="0" w:type="dxa"/>
            <w:bottom w:w="0" w:type="dxa"/>
          </w:tblCellMar>
        </w:tblPrEx>
        <w:tc>
          <w:tcPr>
            <w:tcW w:w="3360" w:type="dxa"/>
          </w:tcPr>
          <w:p w:rsidR="00000000" w:rsidRDefault="00000000">
            <w:pPr>
              <w:pStyle w:val="FootnoteText"/>
            </w:pPr>
          </w:p>
        </w:tc>
        <w:tc>
          <w:tcPr>
            <w:tcW w:w="1035" w:type="dxa"/>
          </w:tcPr>
          <w:p w:rsidR="00000000" w:rsidRDefault="00000000">
            <w:r>
              <w:t xml:space="preserve">  3 p.m.</w:t>
            </w:r>
          </w:p>
        </w:tc>
        <w:tc>
          <w:tcPr>
            <w:tcW w:w="992" w:type="dxa"/>
          </w:tcPr>
          <w:p w:rsidR="00000000" w:rsidRDefault="00000000">
            <w:pPr>
              <w:jc w:val="center"/>
            </w:pPr>
            <w:r>
              <w:t>4</w:t>
            </w:r>
          </w:p>
        </w:tc>
        <w:tc>
          <w:tcPr>
            <w:tcW w:w="2173" w:type="dxa"/>
          </w:tcPr>
          <w:p w:rsidR="00000000" w:rsidRDefault="00000000">
            <w:r>
              <w:t>Oman second</w:t>
            </w:r>
          </w:p>
        </w:tc>
        <w:tc>
          <w:tcPr>
            <w:tcW w:w="1796" w:type="dxa"/>
          </w:tcPr>
          <w:p w:rsidR="00000000" w:rsidRDefault="00000000">
            <w:r>
              <w:t>Kiribati</w:t>
            </w:r>
          </w:p>
        </w:tc>
      </w:tr>
      <w:tr w:rsidR="00000000">
        <w:tblPrEx>
          <w:tblCellMar>
            <w:top w:w="0" w:type="dxa"/>
            <w:bottom w:w="0" w:type="dxa"/>
          </w:tblCellMar>
        </w:tblPrEx>
        <w:tc>
          <w:tcPr>
            <w:tcW w:w="3360" w:type="dxa"/>
          </w:tcPr>
          <w:p w:rsidR="00000000" w:rsidRDefault="00000000">
            <w:pPr>
              <w:pStyle w:val="Header"/>
              <w:tabs>
                <w:tab w:val="clear" w:pos="4320"/>
                <w:tab w:val="clear" w:pos="8640"/>
              </w:tabs>
              <w:spacing w:after="0"/>
            </w:pPr>
            <w:r>
              <w:t>Friday, 15 September 2006</w:t>
            </w:r>
          </w:p>
        </w:tc>
        <w:tc>
          <w:tcPr>
            <w:tcW w:w="1035" w:type="dxa"/>
          </w:tcPr>
          <w:p w:rsidR="00000000" w:rsidRDefault="00000000">
            <w:pPr>
              <w:pStyle w:val="Header"/>
              <w:tabs>
                <w:tab w:val="clear" w:pos="4320"/>
                <w:tab w:val="clear" w:pos="8640"/>
              </w:tabs>
              <w:spacing w:after="0"/>
            </w:pPr>
            <w:r>
              <w:t>10 a.m.</w:t>
            </w:r>
          </w:p>
        </w:tc>
        <w:tc>
          <w:tcPr>
            <w:tcW w:w="992" w:type="dxa"/>
          </w:tcPr>
          <w:p w:rsidR="00000000" w:rsidRDefault="00000000">
            <w:pPr>
              <w:spacing w:after="0"/>
              <w:jc w:val="center"/>
            </w:pPr>
            <w:r>
              <w:t>7</w:t>
            </w:r>
          </w:p>
        </w:tc>
        <w:tc>
          <w:tcPr>
            <w:tcW w:w="2173" w:type="dxa"/>
          </w:tcPr>
          <w:p w:rsidR="00000000" w:rsidRDefault="00000000">
            <w:pPr>
              <w:pStyle w:val="Header"/>
              <w:tabs>
                <w:tab w:val="clear" w:pos="4320"/>
                <w:tab w:val="clear" w:pos="8640"/>
              </w:tabs>
              <w:spacing w:after="0"/>
            </w:pPr>
            <w:r>
              <w:t>Day of general discussion</w:t>
            </w:r>
          </w:p>
        </w:tc>
        <w:tc>
          <w:tcPr>
            <w:tcW w:w="1796" w:type="dxa"/>
          </w:tcPr>
          <w:p w:rsidR="00000000" w:rsidRDefault="00000000">
            <w:pPr>
              <w:spacing w:after="0"/>
            </w:pPr>
            <w:r>
              <w:t>Day of general discussion</w:t>
            </w:r>
          </w:p>
        </w:tc>
      </w:tr>
      <w:tr w:rsidR="00000000">
        <w:tblPrEx>
          <w:tblCellMar>
            <w:top w:w="0" w:type="dxa"/>
            <w:bottom w:w="0" w:type="dxa"/>
          </w:tblCellMar>
        </w:tblPrEx>
        <w:tc>
          <w:tcPr>
            <w:tcW w:w="3360" w:type="dxa"/>
          </w:tcPr>
          <w:p w:rsidR="00000000" w:rsidRDefault="00000000"/>
        </w:tc>
        <w:tc>
          <w:tcPr>
            <w:tcW w:w="1035" w:type="dxa"/>
          </w:tcPr>
          <w:p w:rsidR="00000000" w:rsidRDefault="00000000">
            <w:r>
              <w:t xml:space="preserve">  3 p.m.</w:t>
            </w:r>
          </w:p>
        </w:tc>
        <w:tc>
          <w:tcPr>
            <w:tcW w:w="992" w:type="dxa"/>
          </w:tcPr>
          <w:p w:rsidR="00000000" w:rsidRDefault="00000000">
            <w:pPr>
              <w:jc w:val="center"/>
            </w:pPr>
            <w:r>
              <w:t>7</w:t>
            </w:r>
          </w:p>
        </w:tc>
        <w:tc>
          <w:tcPr>
            <w:tcW w:w="2173" w:type="dxa"/>
          </w:tcPr>
          <w:p w:rsidR="00000000" w:rsidRDefault="00000000">
            <w:pPr>
              <w:pStyle w:val="FootnoteText"/>
            </w:pPr>
            <w:r>
              <w:t>Day of general discussion</w:t>
            </w:r>
          </w:p>
        </w:tc>
        <w:tc>
          <w:tcPr>
            <w:tcW w:w="1796" w:type="dxa"/>
          </w:tcPr>
          <w:p w:rsidR="00000000" w:rsidRDefault="00000000">
            <w:r>
              <w:t>Day of general discussion</w:t>
            </w:r>
          </w:p>
        </w:tc>
      </w:tr>
      <w:tr w:rsidR="00000000">
        <w:tblPrEx>
          <w:tblCellMar>
            <w:top w:w="0" w:type="dxa"/>
            <w:bottom w:w="0" w:type="dxa"/>
          </w:tblCellMar>
        </w:tblPrEx>
        <w:tc>
          <w:tcPr>
            <w:tcW w:w="3360" w:type="dxa"/>
          </w:tcPr>
          <w:p w:rsidR="00000000" w:rsidRDefault="00000000">
            <w:pPr>
              <w:spacing w:after="0"/>
            </w:pPr>
            <w:r>
              <w:t>Monday, 18 September 2006</w:t>
            </w:r>
          </w:p>
        </w:tc>
        <w:tc>
          <w:tcPr>
            <w:tcW w:w="1035" w:type="dxa"/>
          </w:tcPr>
          <w:p w:rsidR="00000000" w:rsidRDefault="00000000">
            <w:pPr>
              <w:spacing w:after="0"/>
            </w:pPr>
            <w:r>
              <w:t>10 a.m.</w:t>
            </w:r>
          </w:p>
        </w:tc>
        <w:tc>
          <w:tcPr>
            <w:tcW w:w="992" w:type="dxa"/>
          </w:tcPr>
          <w:p w:rsidR="00000000" w:rsidRDefault="00000000">
            <w:pPr>
              <w:spacing w:after="0"/>
              <w:jc w:val="center"/>
            </w:pPr>
            <w:r>
              <w:t>4</w:t>
            </w:r>
          </w:p>
        </w:tc>
        <w:tc>
          <w:tcPr>
            <w:tcW w:w="2173" w:type="dxa"/>
          </w:tcPr>
          <w:p w:rsidR="00000000" w:rsidRDefault="00000000">
            <w:pPr>
              <w:spacing w:after="0"/>
            </w:pPr>
            <w:r>
              <w:t xml:space="preserve">Swaziland </w:t>
            </w:r>
          </w:p>
        </w:tc>
        <w:tc>
          <w:tcPr>
            <w:tcW w:w="1796" w:type="dxa"/>
          </w:tcPr>
          <w:p w:rsidR="00000000" w:rsidRDefault="00000000">
            <w:pPr>
              <w:spacing w:after="0"/>
            </w:pPr>
            <w:r>
              <w:t xml:space="preserve">Senegal second </w:t>
            </w:r>
          </w:p>
        </w:tc>
      </w:tr>
      <w:tr w:rsidR="00000000">
        <w:tblPrEx>
          <w:tblCellMar>
            <w:top w:w="0" w:type="dxa"/>
            <w:bottom w:w="0" w:type="dxa"/>
          </w:tblCellMar>
        </w:tblPrEx>
        <w:trPr>
          <w:trHeight w:val="453"/>
        </w:trPr>
        <w:tc>
          <w:tcPr>
            <w:tcW w:w="3360" w:type="dxa"/>
          </w:tcPr>
          <w:p w:rsidR="00000000" w:rsidRDefault="00000000"/>
        </w:tc>
        <w:tc>
          <w:tcPr>
            <w:tcW w:w="1035" w:type="dxa"/>
          </w:tcPr>
          <w:p w:rsidR="00000000" w:rsidRDefault="00000000">
            <w:r>
              <w:t xml:space="preserve">  3 p.m.</w:t>
            </w:r>
          </w:p>
        </w:tc>
        <w:tc>
          <w:tcPr>
            <w:tcW w:w="992" w:type="dxa"/>
          </w:tcPr>
          <w:p w:rsidR="00000000" w:rsidRDefault="00000000">
            <w:pPr>
              <w:jc w:val="center"/>
            </w:pPr>
            <w:r>
              <w:t>4</w:t>
            </w:r>
          </w:p>
        </w:tc>
        <w:tc>
          <w:tcPr>
            <w:tcW w:w="2173" w:type="dxa"/>
          </w:tcPr>
          <w:p w:rsidR="00000000" w:rsidRDefault="00000000">
            <w:r>
              <w:t>Swaziland</w:t>
            </w:r>
          </w:p>
        </w:tc>
        <w:tc>
          <w:tcPr>
            <w:tcW w:w="1796" w:type="dxa"/>
          </w:tcPr>
          <w:p w:rsidR="00000000" w:rsidRDefault="00000000">
            <w:r>
              <w:t>Senegal second</w:t>
            </w:r>
          </w:p>
        </w:tc>
      </w:tr>
      <w:tr w:rsidR="00000000">
        <w:tblPrEx>
          <w:tblCellMar>
            <w:top w:w="0" w:type="dxa"/>
            <w:bottom w:w="0" w:type="dxa"/>
          </w:tblCellMar>
        </w:tblPrEx>
        <w:tc>
          <w:tcPr>
            <w:tcW w:w="3360" w:type="dxa"/>
          </w:tcPr>
          <w:p w:rsidR="00000000" w:rsidRDefault="00000000">
            <w:pPr>
              <w:pStyle w:val="Header"/>
              <w:tabs>
                <w:tab w:val="clear" w:pos="4320"/>
                <w:tab w:val="clear" w:pos="8640"/>
              </w:tabs>
              <w:spacing w:after="0"/>
            </w:pPr>
            <w:r>
              <w:t>Tuesday, 19 September 2006</w:t>
            </w:r>
          </w:p>
        </w:tc>
        <w:tc>
          <w:tcPr>
            <w:tcW w:w="1035" w:type="dxa"/>
          </w:tcPr>
          <w:p w:rsidR="00000000" w:rsidRDefault="00000000">
            <w:pPr>
              <w:pStyle w:val="Header"/>
              <w:tabs>
                <w:tab w:val="clear" w:pos="4320"/>
                <w:tab w:val="clear" w:pos="8640"/>
              </w:tabs>
              <w:spacing w:after="0"/>
            </w:pPr>
            <w:r>
              <w:t>10 a.m.</w:t>
            </w:r>
          </w:p>
        </w:tc>
        <w:tc>
          <w:tcPr>
            <w:tcW w:w="992" w:type="dxa"/>
          </w:tcPr>
          <w:p w:rsidR="00000000" w:rsidRDefault="00000000">
            <w:pPr>
              <w:spacing w:after="0"/>
              <w:jc w:val="center"/>
            </w:pPr>
            <w:r>
              <w:t>4</w:t>
            </w:r>
          </w:p>
        </w:tc>
        <w:tc>
          <w:tcPr>
            <w:tcW w:w="2173" w:type="dxa"/>
          </w:tcPr>
          <w:p w:rsidR="00000000" w:rsidRDefault="00000000">
            <w:pPr>
              <w:spacing w:after="0"/>
            </w:pPr>
            <w:r>
              <w:t xml:space="preserve">Republic of Congo </w:t>
            </w:r>
          </w:p>
        </w:tc>
        <w:tc>
          <w:tcPr>
            <w:tcW w:w="1796" w:type="dxa"/>
          </w:tcPr>
          <w:p w:rsidR="00000000" w:rsidRDefault="00000000">
            <w:pPr>
              <w:spacing w:after="0"/>
            </w:pPr>
            <w:r>
              <w:t>Syrian Arab Republic OPSC</w:t>
            </w:r>
          </w:p>
        </w:tc>
      </w:tr>
      <w:tr w:rsidR="00000000">
        <w:tblPrEx>
          <w:tblCellMar>
            <w:top w:w="0" w:type="dxa"/>
            <w:bottom w:w="0" w:type="dxa"/>
          </w:tblCellMar>
        </w:tblPrEx>
        <w:tc>
          <w:tcPr>
            <w:tcW w:w="3360" w:type="dxa"/>
          </w:tcPr>
          <w:p w:rsidR="00000000" w:rsidRDefault="00000000">
            <w:pPr>
              <w:pStyle w:val="FootnoteText"/>
            </w:pPr>
          </w:p>
        </w:tc>
        <w:tc>
          <w:tcPr>
            <w:tcW w:w="1035" w:type="dxa"/>
          </w:tcPr>
          <w:p w:rsidR="00000000" w:rsidRDefault="00000000">
            <w:pPr>
              <w:pStyle w:val="FootnoteText"/>
            </w:pPr>
            <w:r>
              <w:t xml:space="preserve">  3 p.m.</w:t>
            </w:r>
          </w:p>
        </w:tc>
        <w:tc>
          <w:tcPr>
            <w:tcW w:w="992" w:type="dxa"/>
          </w:tcPr>
          <w:p w:rsidR="00000000" w:rsidRDefault="00000000">
            <w:pPr>
              <w:jc w:val="center"/>
            </w:pPr>
            <w:r>
              <w:t>4</w:t>
            </w:r>
          </w:p>
        </w:tc>
        <w:tc>
          <w:tcPr>
            <w:tcW w:w="2173" w:type="dxa"/>
          </w:tcPr>
          <w:p w:rsidR="00000000" w:rsidRDefault="00000000">
            <w:r>
              <w:t>Republic of Congo</w:t>
            </w:r>
          </w:p>
        </w:tc>
        <w:tc>
          <w:tcPr>
            <w:tcW w:w="1796" w:type="dxa"/>
          </w:tcPr>
          <w:p w:rsidR="00000000" w:rsidRDefault="00000000">
            <w:r>
              <w:t>Denmark OPSC</w:t>
            </w:r>
          </w:p>
        </w:tc>
      </w:tr>
      <w:tr w:rsidR="00000000">
        <w:tblPrEx>
          <w:tblCellMar>
            <w:top w:w="0" w:type="dxa"/>
            <w:bottom w:w="0" w:type="dxa"/>
          </w:tblCellMar>
        </w:tblPrEx>
        <w:tc>
          <w:tcPr>
            <w:tcW w:w="3360" w:type="dxa"/>
          </w:tcPr>
          <w:p w:rsidR="00000000" w:rsidRDefault="00000000">
            <w:pPr>
              <w:pStyle w:val="Header"/>
              <w:tabs>
                <w:tab w:val="clear" w:pos="4320"/>
                <w:tab w:val="clear" w:pos="8640"/>
              </w:tabs>
              <w:spacing w:after="0"/>
            </w:pPr>
            <w:r>
              <w:t>Wednesday, 20 September 2006</w:t>
            </w:r>
          </w:p>
        </w:tc>
        <w:tc>
          <w:tcPr>
            <w:tcW w:w="1035" w:type="dxa"/>
          </w:tcPr>
          <w:p w:rsidR="00000000" w:rsidRDefault="00000000">
            <w:pPr>
              <w:spacing w:after="0"/>
            </w:pPr>
            <w:r>
              <w:t>10 a.m.</w:t>
            </w:r>
          </w:p>
        </w:tc>
        <w:tc>
          <w:tcPr>
            <w:tcW w:w="992" w:type="dxa"/>
          </w:tcPr>
          <w:p w:rsidR="00000000" w:rsidRDefault="00000000">
            <w:pPr>
              <w:pStyle w:val="Header"/>
              <w:tabs>
                <w:tab w:val="clear" w:pos="4320"/>
                <w:tab w:val="clear" w:pos="8640"/>
              </w:tabs>
              <w:spacing w:after="0"/>
              <w:jc w:val="center"/>
            </w:pPr>
            <w:r>
              <w:t>4</w:t>
            </w:r>
          </w:p>
        </w:tc>
        <w:tc>
          <w:tcPr>
            <w:tcW w:w="2173" w:type="dxa"/>
          </w:tcPr>
          <w:p w:rsidR="00000000" w:rsidRDefault="00000000">
            <w:pPr>
              <w:spacing w:after="0"/>
            </w:pPr>
            <w:r>
              <w:t xml:space="preserve">Benin second </w:t>
            </w:r>
          </w:p>
        </w:tc>
        <w:tc>
          <w:tcPr>
            <w:tcW w:w="1796" w:type="dxa"/>
          </w:tcPr>
          <w:p w:rsidR="00000000" w:rsidRDefault="00000000">
            <w:pPr>
              <w:spacing w:after="0"/>
            </w:pPr>
            <w:r>
              <w:t>Ireland second</w:t>
            </w:r>
          </w:p>
        </w:tc>
      </w:tr>
      <w:tr w:rsidR="00000000">
        <w:tblPrEx>
          <w:tblCellMar>
            <w:top w:w="0" w:type="dxa"/>
            <w:bottom w:w="0" w:type="dxa"/>
          </w:tblCellMar>
        </w:tblPrEx>
        <w:tc>
          <w:tcPr>
            <w:tcW w:w="3360" w:type="dxa"/>
          </w:tcPr>
          <w:p w:rsidR="00000000" w:rsidRDefault="00000000">
            <w:pPr>
              <w:pStyle w:val="FootnoteText"/>
            </w:pPr>
          </w:p>
        </w:tc>
        <w:tc>
          <w:tcPr>
            <w:tcW w:w="1035" w:type="dxa"/>
          </w:tcPr>
          <w:p w:rsidR="00000000" w:rsidRDefault="00000000">
            <w:r>
              <w:t xml:space="preserve">  3 p.m.</w:t>
            </w:r>
          </w:p>
        </w:tc>
        <w:tc>
          <w:tcPr>
            <w:tcW w:w="992" w:type="dxa"/>
          </w:tcPr>
          <w:p w:rsidR="00000000" w:rsidRDefault="00000000">
            <w:pPr>
              <w:jc w:val="center"/>
            </w:pPr>
            <w:r>
              <w:t>4</w:t>
            </w:r>
          </w:p>
        </w:tc>
        <w:tc>
          <w:tcPr>
            <w:tcW w:w="2173" w:type="dxa"/>
          </w:tcPr>
          <w:p w:rsidR="00000000" w:rsidRDefault="00000000">
            <w:r>
              <w:t>Benin second</w:t>
            </w:r>
          </w:p>
        </w:tc>
        <w:tc>
          <w:tcPr>
            <w:tcW w:w="1796" w:type="dxa"/>
          </w:tcPr>
          <w:p w:rsidR="00000000" w:rsidRDefault="00000000">
            <w:r>
              <w:t>Ireland second</w:t>
            </w:r>
          </w:p>
        </w:tc>
      </w:tr>
      <w:tr w:rsidR="00000000">
        <w:tblPrEx>
          <w:tblCellMar>
            <w:top w:w="0" w:type="dxa"/>
            <w:bottom w:w="0" w:type="dxa"/>
          </w:tblCellMar>
        </w:tblPrEx>
        <w:tc>
          <w:tcPr>
            <w:tcW w:w="3360" w:type="dxa"/>
          </w:tcPr>
          <w:p w:rsidR="00000000" w:rsidRDefault="00000000">
            <w:pPr>
              <w:pStyle w:val="Header"/>
              <w:tabs>
                <w:tab w:val="clear" w:pos="4320"/>
                <w:tab w:val="clear" w:pos="8640"/>
              </w:tabs>
              <w:spacing w:after="0"/>
            </w:pPr>
            <w:r>
              <w:t>Friday, 22 September 2006</w:t>
            </w:r>
          </w:p>
        </w:tc>
        <w:tc>
          <w:tcPr>
            <w:tcW w:w="1035" w:type="dxa"/>
          </w:tcPr>
          <w:p w:rsidR="00000000" w:rsidRDefault="00000000">
            <w:pPr>
              <w:spacing w:after="0"/>
            </w:pPr>
            <w:r>
              <w:t>10 a.m.</w:t>
            </w:r>
          </w:p>
        </w:tc>
        <w:tc>
          <w:tcPr>
            <w:tcW w:w="992" w:type="dxa"/>
          </w:tcPr>
          <w:p w:rsidR="00000000" w:rsidRDefault="00000000">
            <w:pPr>
              <w:spacing w:after="0"/>
              <w:jc w:val="center"/>
            </w:pPr>
            <w:r>
              <w:t>4</w:t>
            </w:r>
          </w:p>
        </w:tc>
        <w:tc>
          <w:tcPr>
            <w:tcW w:w="2173" w:type="dxa"/>
          </w:tcPr>
          <w:p w:rsidR="00000000" w:rsidRDefault="00000000">
            <w:pPr>
              <w:spacing w:after="0"/>
            </w:pPr>
            <w:r>
              <w:t>Viet Nam OPAC/OPSC</w:t>
            </w:r>
          </w:p>
        </w:tc>
        <w:tc>
          <w:tcPr>
            <w:tcW w:w="1796" w:type="dxa"/>
          </w:tcPr>
          <w:p w:rsidR="00000000" w:rsidRDefault="00000000">
            <w:pPr>
              <w:spacing w:after="0"/>
            </w:pPr>
            <w:r>
              <w:t xml:space="preserve">Jordan third </w:t>
            </w:r>
          </w:p>
        </w:tc>
      </w:tr>
      <w:tr w:rsidR="00000000">
        <w:tblPrEx>
          <w:tblCellMar>
            <w:top w:w="0" w:type="dxa"/>
            <w:bottom w:w="0" w:type="dxa"/>
          </w:tblCellMar>
        </w:tblPrEx>
        <w:tc>
          <w:tcPr>
            <w:tcW w:w="3360" w:type="dxa"/>
          </w:tcPr>
          <w:p w:rsidR="00000000" w:rsidRDefault="00000000">
            <w:pPr>
              <w:pStyle w:val="Header"/>
              <w:tabs>
                <w:tab w:val="clear" w:pos="4320"/>
                <w:tab w:val="clear" w:pos="8640"/>
              </w:tabs>
              <w:spacing w:after="120"/>
            </w:pPr>
          </w:p>
        </w:tc>
        <w:tc>
          <w:tcPr>
            <w:tcW w:w="1035" w:type="dxa"/>
          </w:tcPr>
          <w:p w:rsidR="00000000" w:rsidRDefault="00000000">
            <w:pPr>
              <w:spacing w:after="120"/>
            </w:pPr>
            <w:r>
              <w:t xml:space="preserve">  3 p.m.</w:t>
            </w:r>
          </w:p>
        </w:tc>
        <w:tc>
          <w:tcPr>
            <w:tcW w:w="992" w:type="dxa"/>
          </w:tcPr>
          <w:p w:rsidR="00000000" w:rsidRDefault="00000000">
            <w:pPr>
              <w:spacing w:after="120"/>
              <w:jc w:val="center"/>
            </w:pPr>
            <w:r>
              <w:t>4</w:t>
            </w:r>
          </w:p>
        </w:tc>
        <w:tc>
          <w:tcPr>
            <w:tcW w:w="2173" w:type="dxa"/>
          </w:tcPr>
          <w:p w:rsidR="00000000" w:rsidRDefault="00000000">
            <w:pPr>
              <w:pStyle w:val="FootnoteText"/>
            </w:pPr>
            <w:r>
              <w:t>Viet Nam OPAC/OPSC</w:t>
            </w:r>
          </w:p>
        </w:tc>
        <w:tc>
          <w:tcPr>
            <w:tcW w:w="1796" w:type="dxa"/>
          </w:tcPr>
          <w:p w:rsidR="00000000" w:rsidRDefault="00000000">
            <w:pPr>
              <w:spacing w:after="120"/>
            </w:pPr>
            <w:r>
              <w:t>Jordan third</w:t>
            </w:r>
          </w:p>
        </w:tc>
      </w:tr>
    </w:tbl>
    <w:p w:rsidR="00000000" w:rsidRDefault="00000000">
      <w:r>
        <w:br w:type="page"/>
        <w:t>6.</w:t>
      </w:r>
      <w:r>
        <w:tab/>
        <w:t>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  Pursuant to the Committee’s decision No. 8 adopted at its thirty</w:t>
      </w:r>
      <w:r>
        <w:noBreakHyphen/>
        <w:t>ninth session in June 2005, States parties that are not facing serious difficulties in respecting and implementing the provisions enshrined in the Optional Protocol on the involvement of children in armed conflict will be offered the choice of a technical review (written procedure) or a regular consideration in dialogue with the Committee.</w:t>
      </w:r>
    </w:p>
    <w:p w:rsidR="00000000" w:rsidRDefault="00000000">
      <w:r>
        <w:t>7.</w:t>
      </w:r>
      <w:r>
        <w:tab/>
        <w:t>In accordance with rule 68 of the Committee’s provisional rules of procedure, the Secretary-General has notified the States parties concerned of the opening date, duration and place of the forty-third session of the Committee, at which their respective reports will be examined, and has invited them to send representatives to attend the meetings of the Committee at which their reports will be examined.</w:t>
      </w:r>
    </w:p>
    <w:p w:rsidR="00000000" w:rsidRDefault="00000000">
      <w:pPr>
        <w:pStyle w:val="Heading2"/>
        <w:ind w:left="2013" w:hanging="879"/>
        <w:jc w:val="left"/>
      </w:pPr>
      <w:r>
        <w:t>Item 5.</w:t>
      </w:r>
      <w:r>
        <w:tab/>
        <w:t>Cooperation with other United Nations bodies, specialized</w:t>
      </w:r>
      <w:r>
        <w:br/>
        <w:t>agencies and other competent bodies</w:t>
      </w:r>
    </w:p>
    <w:p w:rsidR="00000000" w:rsidRDefault="00000000">
      <w:r>
        <w:t>8.</w:t>
      </w:r>
      <w:r>
        <w:tab/>
        <w:t>Under this item, the Committee will pursue its discussion of ways and areas in which existing cooperation with various relevant bodies could be further strengthened to enhance the promotion and protection of the rights of the child.</w:t>
      </w:r>
    </w:p>
    <w:p w:rsidR="00000000" w:rsidRDefault="00000000">
      <w:pPr>
        <w:pStyle w:val="Heading2"/>
      </w:pPr>
      <w:r>
        <w:t>Item 6.  Methods of work of the Committee</w:t>
      </w:r>
    </w:p>
    <w:p w:rsidR="00000000" w:rsidRDefault="00000000">
      <w:r>
        <w:t>9.</w:t>
      </w:r>
      <w:r>
        <w:tab/>
        <w:t>Under this item, the Committee will pursue its discussion concerning the organization of its future work, as well as the procedure to be followed in the consideration of reports by States parties and their follow-up, including where necessary areas identified for technical assistance.</w:t>
      </w:r>
    </w:p>
    <w:p w:rsidR="00000000" w:rsidRDefault="00000000">
      <w:pPr>
        <w:pStyle w:val="Heading2"/>
      </w:pPr>
      <w:r>
        <w:t>Item 7.  Day of general discussion</w:t>
      </w:r>
    </w:p>
    <w:p w:rsidR="00000000" w:rsidRDefault="00000000">
      <w:r>
        <w:t>10.</w:t>
      </w:r>
      <w:r>
        <w:tab/>
        <w:t>In accordance with rule 75 of its provisional rules of procedure, the Committee decided at its fortieth session that a day of general discussion would be held during its forty-third session devoted to the issue of “The right of the child to be heard”, which will take place on Friday, 15 September 2006.  At its forty-first session, the Committee adopted an outline for the discussion day (see CRC/C/41/3, annex II).  Documentation and information related to the day of general discussion are posted on the web page of the Committee on the Rights of the Child at www.ohchr.org.</w:t>
      </w:r>
    </w:p>
    <w:p w:rsidR="00000000" w:rsidRDefault="00000000">
      <w:pPr>
        <w:pStyle w:val="Heading2"/>
      </w:pPr>
      <w:r>
        <w:br w:type="page"/>
        <w:t>Item 8.  General comments</w:t>
      </w:r>
    </w:p>
    <w:p w:rsidR="00000000" w:rsidRDefault="00000000">
      <w:r>
        <w:t>11.</w:t>
      </w:r>
      <w:r>
        <w:tab/>
        <w:t>Under this item, the Committee will pursue the elaboration of general comments based on the various principles and provisions of the Convention.</w:t>
      </w:r>
    </w:p>
    <w:p w:rsidR="00000000" w:rsidRDefault="00000000">
      <w:pPr>
        <w:pStyle w:val="Heading2"/>
      </w:pPr>
      <w:r>
        <w:t>Item 9.  Future meetings</w:t>
      </w:r>
    </w:p>
    <w:p w:rsidR="00000000" w:rsidRDefault="00000000">
      <w:r>
        <w:t>12.</w:t>
      </w:r>
      <w:r>
        <w:tab/>
        <w:t>Under this item, the Committee will be informed of any developments relating to the schedule of its future meetings.</w:t>
      </w:r>
    </w:p>
    <w:p w:rsidR="00000000" w:rsidRDefault="00000000">
      <w:pPr>
        <w:pStyle w:val="Heading2"/>
      </w:pPr>
      <w:r>
        <w:t>Item 10.  Other matters</w:t>
      </w:r>
    </w:p>
    <w:p w:rsidR="00000000" w:rsidRDefault="00000000">
      <w:r>
        <w:t>13.</w:t>
      </w:r>
      <w:r>
        <w:tab/>
        <w:t>Under this item, members will discuss such other matters relating to the work of the Committee as may be necessary.</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CRC/C/43/1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CRC/C/43/1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3FEC7FDF"/>
    <w:multiLevelType w:val="hybridMultilevel"/>
    <w:tmpl w:val="9A50745A"/>
    <w:lvl w:ilvl="0" w:tplc="FFFFFFF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09B2EB4"/>
    <w:multiLevelType w:val="hybridMultilevel"/>
    <w:tmpl w:val="AA2042E2"/>
    <w:lvl w:ilvl="0" w:tplc="69FE9364">
      <w:start w:val="1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2"/>
  </w:num>
  <w:num w:numId="3">
    <w:abstractNumId w:val="12"/>
  </w:num>
  <w:num w:numId="4">
    <w:abstractNumId w:val="2"/>
  </w:num>
  <w:num w:numId="5">
    <w:abstractNumId w:val="1"/>
  </w:num>
  <w:num w:numId="6">
    <w:abstractNumId w:val="3"/>
  </w:num>
  <w:num w:numId="7">
    <w:abstractNumId w:val="6"/>
  </w:num>
  <w:num w:numId="8">
    <w:abstractNumId w:val="11"/>
  </w:num>
  <w:num w:numId="9">
    <w:abstractNumId w:val="8"/>
  </w:num>
  <w:num w:numId="10">
    <w:abstractNumId w:val="13"/>
  </w:num>
  <w:num w:numId="11">
    <w:abstractNumId w:val="6"/>
  </w:num>
  <w:num w:numId="12">
    <w:abstractNumId w:val="7"/>
  </w:num>
  <w:num w:numId="13">
    <w:abstractNumId w:val="7"/>
  </w:num>
  <w:num w:numId="14">
    <w:abstractNumId w:val="9"/>
  </w:num>
  <w:num w:numId="15">
    <w:abstractNumId w:val="4"/>
  </w:num>
  <w:num w:numId="16">
    <w:abstractNumId w:val="4"/>
  </w:num>
  <w:num w:numId="17">
    <w:abstractNumId w:val="12"/>
  </w:num>
  <w:num w:numId="18">
    <w:abstractNumId w:val="2"/>
  </w:num>
  <w:num w:numId="19">
    <w:abstractNumId w:val="0"/>
  </w:num>
  <w:num w:numId="20">
    <w:abstractNumId w:val="12"/>
  </w:num>
  <w:num w:numId="21">
    <w:abstractNumId w:val="2"/>
  </w:num>
  <w:num w:numId="22">
    <w:abstractNumId w:val="10"/>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1233</Words>
  <Characters>7031</Characters>
  <Application>Microsoft Office Word</Application>
  <DocSecurity>4</DocSecurity>
  <Lines>58</Lines>
  <Paragraphs>14</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0643047</vt:lpstr>
      <vt:lpstr>provisional agenda and annotations</vt:lpstr>
      <vt:lpstr>    Note by the Secretary-General</vt:lpstr>
      <vt:lpstr>    Provisional agenda</vt:lpstr>
      <vt:lpstr>    Annotations</vt:lpstr>
      <vt:lpstr>    Item 1.  Adoption of the agenda</vt:lpstr>
      <vt:lpstr>    Item 2.  Organizational matters</vt:lpstr>
      <vt:lpstr>    Item 3.  Submission of reports by States parties</vt:lpstr>
      <vt:lpstr>    Reports received</vt:lpstr>
      <vt:lpstr>    Optional Protocol to the Convention on the involvement of children in armed conf</vt:lpstr>
      <vt:lpstr>    Optional Protocol to the Convention on the sale of children, child prostitution </vt:lpstr>
      <vt:lpstr>    Overdue reports due</vt:lpstr>
      <vt:lpstr>    Item 4.  Consideration of reports of States parties</vt:lpstr>
      <vt:lpstr>    Tentative timetable for consideration of reports of States parties</vt:lpstr>
      <vt:lpstr>    Item 5.	Cooperation with other United Nations bodies, specialized agencies and o</vt:lpstr>
      <vt:lpstr>    Item 6.  Methods of work of the Committee</vt:lpstr>
      <vt:lpstr>    Item 7.  Day of general discussion</vt:lpstr>
      <vt:lpstr>    Item 8.  General comments</vt:lpstr>
      <vt:lpstr>    Item 9.  Future meetings</vt:lpstr>
      <vt:lpstr>    Item 10.  Other matters</vt:lpstr>
    </vt:vector>
  </TitlesOfParts>
  <Company>ONU</Company>
  <LinksUpToDate>false</LinksUpToDate>
  <CharactersWithSpaces>8634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0643047</dc:title>
  <dc:subject/>
  <dc:creator>EK-A</dc:creator>
  <cp:keywords>CRC/C/43/1</cp:keywords>
  <dc:description>Final</dc:description>
  <cp:lastModifiedBy>CSD</cp:lastModifiedBy>
  <cp:revision>2</cp:revision>
  <cp:lastPrinted>2006-07-19T09:26:00Z</cp:lastPrinted>
  <dcterms:created xsi:type="dcterms:W3CDTF">2006-07-19T09:35:00Z</dcterms:created>
  <dcterms:modified xsi:type="dcterms:W3CDTF">2006-07-19T09:35:00Z</dcterms:modified>
</cp:coreProperties>
</file>